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9993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99935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FMR LLC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3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04/29/2015</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1060" w:type="dxa"/>
            <w:vAlign w:val="bottom"/>
          </w:tcPr>
          <w:p>
            <w:pPr>
              <w:ind w:left="20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245 SUMMER STREET</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BOSTON</w:t>
            </w:r>
          </w:p>
        </w:tc>
        <w:tc>
          <w:tcPr>
            <w:tcW w:w="1060" w:type="dxa"/>
            <w:vAlign w:val="bottom"/>
          </w:tcPr>
          <w:p>
            <w:pPr>
              <w:ind w:left="200"/>
              <w:spacing w:after="0"/>
              <w:rPr>
                <w:sz w:val="20"/>
                <w:szCs w:val="20"/>
                <w:color w:val="auto"/>
              </w:rPr>
            </w:pPr>
            <w:r>
              <w:rPr>
                <w:rFonts w:ascii="Arial" w:cs="Arial" w:eastAsia="Arial" w:hAnsi="Arial"/>
                <w:sz w:val="18"/>
                <w:szCs w:val="18"/>
                <w:color w:val="0000FF"/>
              </w:rPr>
              <w:t>MA</w:t>
            </w:r>
          </w:p>
        </w:tc>
        <w:tc>
          <w:tcPr>
            <w:tcW w:w="1260" w:type="dxa"/>
            <w:vAlign w:val="bottom"/>
          </w:tcPr>
          <w:p>
            <w:pPr>
              <w:ind w:left="220"/>
              <w:spacing w:after="0"/>
              <w:rPr>
                <w:sz w:val="20"/>
                <w:szCs w:val="20"/>
                <w:color w:val="auto"/>
              </w:rPr>
            </w:pPr>
            <w:r>
              <w:rPr>
                <w:rFonts w:ascii="Arial" w:cs="Arial" w:eastAsia="Arial" w:hAnsi="Arial"/>
                <w:sz w:val="18"/>
                <w:szCs w:val="18"/>
                <w:color w:val="0000FF"/>
              </w:rPr>
              <w:t>02210</w:t>
            </w: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(City)</w:t>
            </w:r>
          </w:p>
        </w:tc>
        <w:tc>
          <w:tcPr>
            <w:tcW w:w="1060" w:type="dxa"/>
            <w:vAlign w:val="bottom"/>
          </w:tcPr>
          <w:p>
            <w:pPr>
              <w:ind w:left="200"/>
              <w:spacing w:after="0"/>
              <w:rPr>
                <w:sz w:val="20"/>
                <w:szCs w:val="20"/>
                <w:color w:val="auto"/>
              </w:rPr>
            </w:pPr>
            <w:r>
              <w:rPr>
                <w:rFonts w:ascii="Arial" w:cs="Arial" w:eastAsia="Arial" w:hAnsi="Arial"/>
                <w:sz w:val="14"/>
                <w:szCs w:val="14"/>
                <w:color w:val="auto"/>
              </w:rPr>
              <w:t>(State)</w:t>
            </w:r>
          </w:p>
        </w:tc>
        <w:tc>
          <w:tcPr>
            <w:tcW w:w="1260" w:type="dxa"/>
            <w:vAlign w:val="bottom"/>
          </w:tcPr>
          <w:p>
            <w:pPr>
              <w:ind w:left="2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Blueprint Medicines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BPMC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0"/>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400" w:type="dxa"/>
            <w:vAlign w:val="bottom"/>
          </w:tcPr>
          <w:p>
            <w:pPr>
              <w:ind w:left="160"/>
              <w:spacing w:after="0" w:line="170" w:lineRule="exact"/>
              <w:rPr>
                <w:sz w:val="20"/>
                <w:szCs w:val="20"/>
                <w:color w:val="auto"/>
              </w:rPr>
            </w:pPr>
            <w:r>
              <w:rPr>
                <w:rFonts w:ascii="Arial" w:cs="Arial" w:eastAsia="Arial" w:hAnsi="Arial"/>
                <w:sz w:val="18"/>
                <w:szCs w:val="18"/>
                <w:color w:val="0000FF"/>
              </w:rPr>
              <w:t>X</w:t>
            </w:r>
          </w:p>
        </w:tc>
        <w:tc>
          <w:tcPr>
            <w:tcW w:w="1260" w:type="dxa"/>
            <w:vAlign w:val="bottom"/>
          </w:tcPr>
          <w:p>
            <w:pPr>
              <w:ind w:left="100"/>
              <w:spacing w:after="0"/>
              <w:rPr>
                <w:sz w:val="20"/>
                <w:szCs w:val="20"/>
                <w:color w:val="auto"/>
              </w:rPr>
            </w:pPr>
            <w:r>
              <w:rPr>
                <w:rFonts w:ascii="Arial" w:cs="Arial" w:eastAsia="Arial" w:hAnsi="Arial"/>
                <w:sz w:val="14"/>
                <w:szCs w:val="14"/>
                <w:color w:val="auto"/>
              </w:rPr>
              <w:t>10% Owner</w:t>
            </w:r>
          </w:p>
        </w:tc>
        <w:tc>
          <w:tcPr>
            <w:tcW w:w="288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60" w:type="dxa"/>
            <w:vAlign w:val="bottom"/>
            <w:vMerge w:val="restart"/>
          </w:tcPr>
          <w:p>
            <w:pPr>
              <w:ind w:left="100"/>
              <w:spacing w:after="0"/>
              <w:rPr>
                <w:sz w:val="20"/>
                <w:szCs w:val="20"/>
                <w:color w:val="auto"/>
              </w:rPr>
            </w:pPr>
            <w:r>
              <w:rPr>
                <w:rFonts w:ascii="Arial" w:cs="Arial" w:eastAsia="Arial" w:hAnsi="Arial"/>
                <w:sz w:val="14"/>
                <w:szCs w:val="14"/>
                <w:color w:val="auto"/>
              </w:rPr>
              <w:t>Other (specify</w:t>
            </w:r>
          </w:p>
        </w:tc>
        <w:tc>
          <w:tcPr>
            <w:tcW w:w="2880" w:type="dxa"/>
            <w:vAlign w:val="bottom"/>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54"/>
        </w:trPr>
        <w:tc>
          <w:tcPr>
            <w:tcW w:w="1660" w:type="dxa"/>
            <w:vAlign w:val="bottom"/>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2880" w:type="dxa"/>
            <w:vAlign w:val="bottom"/>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108"/>
        </w:trPr>
        <w:tc>
          <w:tcPr>
            <w:tcW w:w="1660" w:type="dxa"/>
            <w:vAlign w:val="bottom"/>
            <w:vMerge w:val="restart"/>
          </w:tcPr>
          <w:p>
            <w:pPr>
              <w:ind w:left="540"/>
              <w:spacing w:after="0" w:line="141" w:lineRule="exact"/>
              <w:rPr>
                <w:sz w:val="20"/>
                <w:szCs w:val="20"/>
                <w:color w:val="auto"/>
              </w:rPr>
            </w:pPr>
            <w:r>
              <w:rPr>
                <w:rFonts w:ascii="Arial" w:cs="Arial" w:eastAsia="Arial" w:hAnsi="Arial"/>
                <w:sz w:val="14"/>
                <w:szCs w:val="14"/>
                <w:color w:val="auto"/>
              </w:rPr>
              <w:t>below)</w:t>
            </w:r>
          </w:p>
        </w:tc>
        <w:tc>
          <w:tcPr>
            <w:tcW w:w="400" w:type="dxa"/>
            <w:vAlign w:val="bottom"/>
            <w:vMerge w:val="continue"/>
          </w:tcPr>
          <w:p>
            <w:pPr>
              <w:spacing w:after="0"/>
              <w:rPr>
                <w:sz w:val="9"/>
                <w:szCs w:val="9"/>
                <w:color w:val="auto"/>
              </w:rPr>
            </w:pPr>
          </w:p>
        </w:tc>
        <w:tc>
          <w:tcPr>
            <w:tcW w:w="1260" w:type="dxa"/>
            <w:vAlign w:val="bottom"/>
            <w:vMerge w:val="restart"/>
          </w:tcPr>
          <w:p>
            <w:pPr>
              <w:ind w:left="100"/>
              <w:spacing w:after="0" w:line="141" w:lineRule="exact"/>
              <w:rPr>
                <w:sz w:val="20"/>
                <w:szCs w:val="20"/>
                <w:color w:val="auto"/>
              </w:rPr>
            </w:pPr>
            <w:r>
              <w:rPr>
                <w:rFonts w:ascii="Arial" w:cs="Arial" w:eastAsia="Arial" w:hAnsi="Arial"/>
                <w:sz w:val="14"/>
                <w:szCs w:val="14"/>
                <w:color w:val="auto"/>
              </w:rPr>
              <w:t>below)</w:t>
            </w:r>
          </w:p>
        </w:tc>
        <w:tc>
          <w:tcPr>
            <w:tcW w:w="2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66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140" w:type="dxa"/>
        <w:tblCellMar>
          <w:top w:w="0" w:type="dxa"/>
          <w:left w:w="0" w:type="dxa"/>
          <w:bottom w:w="0" w:type="dxa"/>
          <w:right w:w="0" w:type="dxa"/>
        </w:tblCellMar>
      </w:tblPr>
      <w:tr>
        <w:trPr>
          <w:trHeight w:val="222"/>
        </w:trPr>
        <w:tc>
          <w:tcPr>
            <w:tcW w:w="1700" w:type="dxa"/>
            <w:vAlign w:val="bottom"/>
            <w:vMerge w:val="restart"/>
          </w:tcPr>
          <w:p>
            <w:pPr>
              <w:spacing w:after="0"/>
              <w:rPr>
                <w:sz w:val="20"/>
                <w:szCs w:val="20"/>
                <w:color w:val="auto"/>
              </w:rPr>
            </w:pPr>
            <w:r>
              <w:rPr>
                <w:rFonts w:ascii="Arial" w:cs="Arial" w:eastAsia="Arial" w:hAnsi="Arial"/>
                <w:sz w:val="18"/>
                <w:szCs w:val="18"/>
                <w:color w:val="0000FF"/>
              </w:rPr>
              <w:t>See Remark 1</w:t>
            </w:r>
          </w:p>
        </w:tc>
        <w:tc>
          <w:tcPr>
            <w:tcW w:w="3200" w:type="dxa"/>
            <w:vAlign w:val="bottom"/>
          </w:tcPr>
          <w:p>
            <w:pPr>
              <w:ind w:left="7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54"/>
        </w:trPr>
        <w:tc>
          <w:tcPr>
            <w:tcW w:w="1700" w:type="dxa"/>
            <w:vAlign w:val="bottom"/>
            <w:vMerge w:val="continue"/>
          </w:tcPr>
          <w:p>
            <w:pPr>
              <w:spacing w:after="0"/>
              <w:rPr>
                <w:sz w:val="4"/>
                <w:szCs w:val="4"/>
                <w:color w:val="auto"/>
              </w:rPr>
            </w:pPr>
          </w:p>
        </w:tc>
        <w:tc>
          <w:tcPr>
            <w:tcW w:w="3200" w:type="dxa"/>
            <w:vAlign w:val="bottom"/>
            <w:vMerge w:val="restart"/>
          </w:tcPr>
          <w:p>
            <w:pPr>
              <w:ind w:left="104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36"/>
        </w:trPr>
        <w:tc>
          <w:tcPr>
            <w:tcW w:w="1700" w:type="dxa"/>
            <w:vAlign w:val="bottom"/>
          </w:tcPr>
          <w:p>
            <w:pPr>
              <w:spacing w:after="0"/>
              <w:rPr>
                <w:sz w:val="11"/>
                <w:szCs w:val="11"/>
                <w:color w:val="auto"/>
              </w:rPr>
            </w:pPr>
          </w:p>
        </w:tc>
        <w:tc>
          <w:tcPr>
            <w:tcW w:w="3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3200" w:type="dxa"/>
            <w:vAlign w:val="bottom"/>
          </w:tcPr>
          <w:p>
            <w:pPr>
              <w:ind w:left="104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6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4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20" w:type="dxa"/>
            <w:vAlign w:val="bottom"/>
            <w:vMerge w:val="continue"/>
          </w:tcPr>
          <w:p>
            <w:pPr>
              <w:spacing w:after="0"/>
              <w:rPr>
                <w:sz w:val="15"/>
                <w:szCs w:val="15"/>
                <w:color w:val="auto"/>
              </w:rPr>
            </w:pPr>
          </w:p>
        </w:tc>
        <w:tc>
          <w:tcPr>
            <w:tcW w:w="104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3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3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0000FF"/>
                <w:w w:val="93"/>
              </w:rPr>
              <w:t>Beacon Bioventures</w:t>
            </w:r>
          </w:p>
        </w:tc>
        <w:tc>
          <w:tcPr>
            <w:tcW w:w="0" w:type="dxa"/>
            <w:vAlign w:val="bottom"/>
          </w:tcPr>
          <w:p>
            <w:pPr>
              <w:spacing w:after="0"/>
              <w:rPr>
                <w:sz w:val="1"/>
                <w:szCs w:val="1"/>
                <w:color w:val="auto"/>
              </w:rPr>
            </w:pPr>
          </w:p>
        </w:tc>
      </w:tr>
      <w:tr>
        <w:trPr>
          <w:trHeight w:val="216"/>
        </w:trPr>
        <w:tc>
          <w:tcPr>
            <w:tcW w:w="3460" w:type="dxa"/>
            <w:vAlign w:val="bottom"/>
          </w:tcPr>
          <w:p>
            <w:pPr>
              <w:ind w:left="60"/>
              <w:spacing w:after="0"/>
              <w:rPr>
                <w:sz w:val="20"/>
                <w:szCs w:val="20"/>
                <w:color w:val="auto"/>
              </w:rPr>
            </w:pPr>
            <w:r>
              <w:rPr>
                <w:rFonts w:ascii="Arial" w:cs="Arial" w:eastAsia="Arial" w:hAnsi="Arial"/>
                <w:sz w:val="18"/>
                <w:szCs w:val="18"/>
                <w:color w:val="0000FF"/>
              </w:rPr>
              <w:t>Series A Convertible Preferred Stock</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1"/>
                <w:szCs w:val="11"/>
                <w:color w:val="008000"/>
              </w:rPr>
              <w:t>(1)</w:t>
            </w:r>
          </w:p>
        </w:tc>
        <w:tc>
          <w:tcPr>
            <w:tcW w:w="1820" w:type="dxa"/>
            <w:vAlign w:val="bottom"/>
          </w:tcPr>
          <w:p>
            <w:pPr>
              <w:ind w:left="460"/>
              <w:spacing w:after="0"/>
              <w:rPr>
                <w:sz w:val="20"/>
                <w:szCs w:val="20"/>
                <w:color w:val="auto"/>
              </w:rPr>
            </w:pPr>
            <w:r>
              <w:rPr>
                <w:rFonts w:ascii="Arial" w:cs="Arial" w:eastAsia="Arial" w:hAnsi="Arial"/>
                <w:sz w:val="18"/>
                <w:szCs w:val="18"/>
                <w:color w:val="0000FF"/>
              </w:rPr>
              <w:t>Common Stock</w:t>
            </w:r>
          </w:p>
        </w:tc>
        <w:tc>
          <w:tcPr>
            <w:tcW w:w="1040" w:type="dxa"/>
            <w:vAlign w:val="bottom"/>
          </w:tcPr>
          <w:p>
            <w:pPr>
              <w:jc w:val="center"/>
              <w:ind w:left="102"/>
              <w:spacing w:after="0"/>
              <w:rPr>
                <w:sz w:val="20"/>
                <w:szCs w:val="20"/>
                <w:color w:val="auto"/>
              </w:rPr>
            </w:pPr>
            <w:r>
              <w:rPr>
                <w:rFonts w:ascii="Arial" w:cs="Arial" w:eastAsia="Arial" w:hAnsi="Arial"/>
                <w:sz w:val="18"/>
                <w:szCs w:val="18"/>
                <w:color w:val="0000FF"/>
                <w:w w:val="87"/>
              </w:rPr>
              <w:t>1,818,181</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Pr>
          <w:p>
            <w:pPr>
              <w:ind w:left="100"/>
              <w:spacing w:after="0"/>
              <w:rPr>
                <w:sz w:val="20"/>
                <w:szCs w:val="20"/>
                <w:color w:val="auto"/>
              </w:rPr>
            </w:pPr>
            <w:r>
              <w:rPr>
                <w:rFonts w:ascii="Arial" w:cs="Arial" w:eastAsia="Arial" w:hAnsi="Arial"/>
                <w:sz w:val="18"/>
                <w:szCs w:val="18"/>
                <w:color w:val="0000FF"/>
              </w:rPr>
              <w:t>Fund III Limited</w:t>
            </w:r>
          </w:p>
        </w:tc>
        <w:tc>
          <w:tcPr>
            <w:tcW w:w="0" w:type="dxa"/>
            <w:vAlign w:val="bottom"/>
          </w:tcPr>
          <w:p>
            <w:pPr>
              <w:spacing w:after="0"/>
              <w:rPr>
                <w:sz w:val="1"/>
                <w:szCs w:val="1"/>
                <w:color w:val="auto"/>
              </w:rPr>
            </w:pPr>
          </w:p>
        </w:tc>
      </w:tr>
      <w:tr>
        <w:trPr>
          <w:trHeight w:val="222"/>
        </w:trPr>
        <w:tc>
          <w:tcPr>
            <w:tcW w:w="3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0000FF"/>
              </w:rPr>
              <w:t>Partnership</w:t>
            </w:r>
          </w:p>
        </w:tc>
        <w:tc>
          <w:tcPr>
            <w:tcW w:w="0" w:type="dxa"/>
            <w:vAlign w:val="bottom"/>
          </w:tcPr>
          <w:p>
            <w:pPr>
              <w:spacing w:after="0"/>
              <w:rPr>
                <w:sz w:val="1"/>
                <w:szCs w:val="1"/>
                <w:color w:val="auto"/>
              </w:rPr>
            </w:pPr>
          </w:p>
        </w:tc>
      </w:tr>
      <w:tr>
        <w:trPr>
          <w:trHeight w:val="63"/>
        </w:trPr>
        <w:tc>
          <w:tcPr>
            <w:tcW w:w="34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0000FF"/>
                <w:w w:val="93"/>
              </w:rPr>
              <w:t>Beacon Bioventures</w:t>
            </w:r>
          </w:p>
        </w:tc>
        <w:tc>
          <w:tcPr>
            <w:tcW w:w="0" w:type="dxa"/>
            <w:vAlign w:val="bottom"/>
          </w:tcPr>
          <w:p>
            <w:pPr>
              <w:spacing w:after="0"/>
              <w:rPr>
                <w:sz w:val="1"/>
                <w:szCs w:val="1"/>
                <w:color w:val="auto"/>
              </w:rPr>
            </w:pPr>
          </w:p>
        </w:tc>
      </w:tr>
      <w:tr>
        <w:trPr>
          <w:trHeight w:val="216"/>
        </w:trPr>
        <w:tc>
          <w:tcPr>
            <w:tcW w:w="3460" w:type="dxa"/>
            <w:vAlign w:val="bottom"/>
          </w:tcPr>
          <w:p>
            <w:pPr>
              <w:ind w:left="60"/>
              <w:spacing w:after="0"/>
              <w:rPr>
                <w:sz w:val="20"/>
                <w:szCs w:val="20"/>
                <w:color w:val="auto"/>
              </w:rPr>
            </w:pPr>
            <w:r>
              <w:rPr>
                <w:rFonts w:ascii="Arial" w:cs="Arial" w:eastAsia="Arial" w:hAnsi="Arial"/>
                <w:sz w:val="18"/>
                <w:szCs w:val="18"/>
                <w:color w:val="0000FF"/>
              </w:rPr>
              <w:t>Series B Convertible Preferred Stock</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1"/>
                <w:szCs w:val="11"/>
                <w:color w:val="008000"/>
              </w:rPr>
              <w:t>(1)</w:t>
            </w:r>
          </w:p>
        </w:tc>
        <w:tc>
          <w:tcPr>
            <w:tcW w:w="1820" w:type="dxa"/>
            <w:vAlign w:val="bottom"/>
          </w:tcPr>
          <w:p>
            <w:pPr>
              <w:ind w:left="460"/>
              <w:spacing w:after="0"/>
              <w:rPr>
                <w:sz w:val="20"/>
                <w:szCs w:val="20"/>
                <w:color w:val="auto"/>
              </w:rPr>
            </w:pPr>
            <w:r>
              <w:rPr>
                <w:rFonts w:ascii="Arial" w:cs="Arial" w:eastAsia="Arial" w:hAnsi="Arial"/>
                <w:sz w:val="18"/>
                <w:szCs w:val="18"/>
                <w:color w:val="0000FF"/>
              </w:rPr>
              <w:t>Common Stock</w:t>
            </w:r>
          </w:p>
        </w:tc>
        <w:tc>
          <w:tcPr>
            <w:tcW w:w="1040" w:type="dxa"/>
            <w:vAlign w:val="bottom"/>
          </w:tcPr>
          <w:p>
            <w:pPr>
              <w:jc w:val="center"/>
              <w:ind w:left="122"/>
              <w:spacing w:after="0"/>
              <w:rPr>
                <w:sz w:val="20"/>
                <w:szCs w:val="20"/>
                <w:color w:val="auto"/>
              </w:rPr>
            </w:pPr>
            <w:r>
              <w:rPr>
                <w:rFonts w:ascii="Arial" w:cs="Arial" w:eastAsia="Arial" w:hAnsi="Arial"/>
                <w:sz w:val="18"/>
                <w:szCs w:val="18"/>
                <w:color w:val="0000FF"/>
                <w:w w:val="86"/>
              </w:rPr>
              <w:t>469,696</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Pr>
          <w:p>
            <w:pPr>
              <w:ind w:left="100"/>
              <w:spacing w:after="0"/>
              <w:rPr>
                <w:sz w:val="20"/>
                <w:szCs w:val="20"/>
                <w:color w:val="auto"/>
              </w:rPr>
            </w:pPr>
            <w:r>
              <w:rPr>
                <w:rFonts w:ascii="Arial" w:cs="Arial" w:eastAsia="Arial" w:hAnsi="Arial"/>
                <w:sz w:val="18"/>
                <w:szCs w:val="18"/>
                <w:color w:val="0000FF"/>
              </w:rPr>
              <w:t>Fund III Limited</w:t>
            </w:r>
          </w:p>
        </w:tc>
        <w:tc>
          <w:tcPr>
            <w:tcW w:w="0" w:type="dxa"/>
            <w:vAlign w:val="bottom"/>
          </w:tcPr>
          <w:p>
            <w:pPr>
              <w:spacing w:after="0"/>
              <w:rPr>
                <w:sz w:val="1"/>
                <w:szCs w:val="1"/>
                <w:color w:val="auto"/>
              </w:rPr>
            </w:pPr>
          </w:p>
        </w:tc>
      </w:tr>
      <w:tr>
        <w:trPr>
          <w:trHeight w:val="222"/>
        </w:trPr>
        <w:tc>
          <w:tcPr>
            <w:tcW w:w="3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0000FF"/>
              </w:rPr>
              <w:t>Partnership</w:t>
            </w:r>
          </w:p>
        </w:tc>
        <w:tc>
          <w:tcPr>
            <w:tcW w:w="0" w:type="dxa"/>
            <w:vAlign w:val="bottom"/>
          </w:tcPr>
          <w:p>
            <w:pPr>
              <w:spacing w:after="0"/>
              <w:rPr>
                <w:sz w:val="1"/>
                <w:szCs w:val="1"/>
                <w:color w:val="auto"/>
              </w:rPr>
            </w:pPr>
          </w:p>
        </w:tc>
      </w:tr>
      <w:tr>
        <w:trPr>
          <w:trHeight w:val="63"/>
        </w:trPr>
        <w:tc>
          <w:tcPr>
            <w:tcW w:w="34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0000FF"/>
                <w:w w:val="93"/>
              </w:rPr>
              <w:t>Beacon Bioventures</w:t>
            </w:r>
          </w:p>
        </w:tc>
        <w:tc>
          <w:tcPr>
            <w:tcW w:w="0" w:type="dxa"/>
            <w:vAlign w:val="bottom"/>
          </w:tcPr>
          <w:p>
            <w:pPr>
              <w:spacing w:after="0"/>
              <w:rPr>
                <w:sz w:val="1"/>
                <w:szCs w:val="1"/>
                <w:color w:val="auto"/>
              </w:rPr>
            </w:pPr>
          </w:p>
        </w:tc>
      </w:tr>
      <w:tr>
        <w:trPr>
          <w:trHeight w:val="216"/>
        </w:trPr>
        <w:tc>
          <w:tcPr>
            <w:tcW w:w="3460" w:type="dxa"/>
            <w:vAlign w:val="bottom"/>
          </w:tcPr>
          <w:p>
            <w:pPr>
              <w:ind w:left="60"/>
              <w:spacing w:after="0"/>
              <w:rPr>
                <w:sz w:val="20"/>
                <w:szCs w:val="20"/>
                <w:color w:val="auto"/>
              </w:rPr>
            </w:pPr>
            <w:r>
              <w:rPr>
                <w:rFonts w:ascii="Arial" w:cs="Arial" w:eastAsia="Arial" w:hAnsi="Arial"/>
                <w:sz w:val="18"/>
                <w:szCs w:val="18"/>
                <w:color w:val="0000FF"/>
              </w:rPr>
              <w:t>Series C Convertible Preferred Stock</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1"/>
                <w:szCs w:val="11"/>
                <w:color w:val="008000"/>
              </w:rPr>
              <w:t>(1)</w:t>
            </w:r>
          </w:p>
        </w:tc>
        <w:tc>
          <w:tcPr>
            <w:tcW w:w="1820" w:type="dxa"/>
            <w:vAlign w:val="bottom"/>
          </w:tcPr>
          <w:p>
            <w:pPr>
              <w:ind w:left="460"/>
              <w:spacing w:after="0"/>
              <w:rPr>
                <w:sz w:val="20"/>
                <w:szCs w:val="20"/>
                <w:color w:val="auto"/>
              </w:rPr>
            </w:pPr>
            <w:r>
              <w:rPr>
                <w:rFonts w:ascii="Arial" w:cs="Arial" w:eastAsia="Arial" w:hAnsi="Arial"/>
                <w:sz w:val="18"/>
                <w:szCs w:val="18"/>
                <w:color w:val="0000FF"/>
              </w:rPr>
              <w:t>Common Stock</w:t>
            </w:r>
          </w:p>
        </w:tc>
        <w:tc>
          <w:tcPr>
            <w:tcW w:w="1040" w:type="dxa"/>
            <w:vAlign w:val="bottom"/>
          </w:tcPr>
          <w:p>
            <w:pPr>
              <w:jc w:val="center"/>
              <w:ind w:left="122"/>
              <w:spacing w:after="0"/>
              <w:rPr>
                <w:sz w:val="20"/>
                <w:szCs w:val="20"/>
                <w:color w:val="auto"/>
              </w:rPr>
            </w:pPr>
            <w:r>
              <w:rPr>
                <w:rFonts w:ascii="Arial" w:cs="Arial" w:eastAsia="Arial" w:hAnsi="Arial"/>
                <w:sz w:val="18"/>
                <w:szCs w:val="18"/>
                <w:color w:val="0000FF"/>
                <w:w w:val="87"/>
              </w:rPr>
              <w:t>87,834</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Pr>
          <w:p>
            <w:pPr>
              <w:ind w:left="100"/>
              <w:spacing w:after="0"/>
              <w:rPr>
                <w:sz w:val="20"/>
                <w:szCs w:val="20"/>
                <w:color w:val="auto"/>
              </w:rPr>
            </w:pPr>
            <w:r>
              <w:rPr>
                <w:rFonts w:ascii="Arial" w:cs="Arial" w:eastAsia="Arial" w:hAnsi="Arial"/>
                <w:sz w:val="18"/>
                <w:szCs w:val="18"/>
                <w:color w:val="0000FF"/>
              </w:rPr>
              <w:t>Fund III Limited</w:t>
            </w:r>
          </w:p>
        </w:tc>
        <w:tc>
          <w:tcPr>
            <w:tcW w:w="0" w:type="dxa"/>
            <w:vAlign w:val="bottom"/>
          </w:tcPr>
          <w:p>
            <w:pPr>
              <w:spacing w:after="0"/>
              <w:rPr>
                <w:sz w:val="1"/>
                <w:szCs w:val="1"/>
                <w:color w:val="auto"/>
              </w:rPr>
            </w:pPr>
          </w:p>
        </w:tc>
      </w:tr>
      <w:tr>
        <w:trPr>
          <w:trHeight w:val="222"/>
        </w:trPr>
        <w:tc>
          <w:tcPr>
            <w:tcW w:w="3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0000FF"/>
              </w:rPr>
              <w:t>Partnership</w:t>
            </w: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Series A, B and C Convertible Preferred Stock are convertible on a 5.5-for-one basis into the number of shares of Common Stock as shown in column 3 at any time at the holder's election, and automatically upon the closing of the Issuer's initial public offering, and have no expiration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00"/>
        <w:spacing w:after="0" w:line="266" w:lineRule="auto"/>
        <w:rPr>
          <w:sz w:val="20"/>
          <w:szCs w:val="20"/>
          <w:color w:val="auto"/>
        </w:rPr>
      </w:pPr>
      <w:r>
        <w:rPr>
          <w:rFonts w:ascii="Arial" w:cs="Arial" w:eastAsia="Arial" w:hAnsi="Arial"/>
          <w:sz w:val="12"/>
          <w:szCs w:val="12"/>
          <w:color w:val="008000"/>
        </w:rPr>
        <w:t>Remark 1: Edward C. Johnson 3d is a Director and the Chairman of FMR LLC and Abigail P. Johnson is a Director, the Vice Chairman and the President of FMR LLC. 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Edward C. Johnson 3d and Abigail P. Johnson is c/o FMR LLC, 245 Summer Street, Boston, MA 02110. Remark 2: Beacon Bioventures Advisors Fund III Limited Partnership is the general partner of Beacon Bioventures Fund III Limited Partnership. Beacon Bioventures Advisors Fund III Limited Partnership is solely managed by Impresa Management LLC, its general partner and investment manager. Impresa Management LLC is owned, directly or indirectly, by various shareholders and employees of FMR LLC, including certain members of the family of Edward C. Johnson 3d.</w:t>
      </w:r>
    </w:p>
    <w:p>
      <w:pPr>
        <w:spacing w:after="0" w:line="4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Scott C. Goebel, Duly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874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987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authorized under Powers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287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 by and on behalf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112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FMR LLC and its direct and</w:t>
      </w:r>
      <w:r>
        <w:rPr>
          <w:sz w:val="20"/>
          <w:szCs w:val="20"/>
          <w:color w:val="auto"/>
        </w:rPr>
        <w:tab/>
      </w:r>
      <w:r>
        <w:rPr>
          <w:rFonts w:ascii="Arial" w:cs="Arial" w:eastAsia="Arial" w:hAnsi="Arial"/>
          <w:sz w:val="15"/>
          <w:szCs w:val="15"/>
          <w:color w:val="0000FF"/>
        </w:rPr>
        <w:t>04/29/2015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indirect subsidiaries, Edward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973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 Johnson 3d and Abigail 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915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915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Johnson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51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1" Type="http://schemas.openxmlformats.org/officeDocument/2006/relationships/hyperlink" Target="http://www.sec.gov/cgi-bin/browse-edgar?action=getcompany&amp;CIK=0000315066" TargetMode="External"/><Relationship Id="rId12"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2019-12-09T03:25:29Z</dcterms:created>
  <dcterms:modified xsi:type="dcterms:W3CDTF">2019-12-09T03:25:29Z</dcterms:modified>
</cp:coreProperties>
</file>