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 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ind w:right="5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Marion Dorsch, Ph.D. as Chief Scientific Officer</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November 9, 2016, Blueprint Medicines Corporation (the “Company”) entered into an employment agreement with Marion Dorsch, Ph.D. pursuant to which Dr. Dorsch will serve as Chief Scientific Officer of the Company, effective November 21, 2016 (the “Effective Date”). Dr. Dorsch will succeed Christoph Lengauer, Ph.D., MBA, who will transition to the role of Executive Vice President effective as of the Effective Date.</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Prior to joining the Company, Dr. Dorsch, age 51, served as Vice President of Biology at Agios Pharmaceuticals, Inc. (“Agios”). In this role, she was responsible for novel target validation, drug discovery, and biomarker strategy across Agios’ cancer, rare genetic diseases and immuno-oncology portfolios. During her tenure at Agios, Dr. Dorsch contributed to the successful advancement of several molecules targeting defined genetic lesions into clinical trials. Prior to joining Agios, Dr. Dorsch was the Director of Cancer Biology at Sanofi Oncology, where she oversaw drug discovery efforts. Earlier in her career, Dr. Dorsch served as research project leader for sonidegib (Odomzo</w:t>
      </w:r>
      <w:r>
        <w:rPr>
          <w:rFonts w:ascii="Arial" w:cs="Arial" w:eastAsia="Arial" w:hAnsi="Arial"/>
          <w:sz w:val="7"/>
          <w:szCs w:val="7"/>
          <w:color w:val="auto"/>
        </w:rPr>
        <w:t>®</w:t>
      </w:r>
      <w:r>
        <w:rPr>
          <w:rFonts w:ascii="Arial" w:cs="Arial" w:eastAsia="Arial" w:hAnsi="Arial"/>
          <w:sz w:val="16"/>
          <w:szCs w:val="16"/>
          <w:color w:val="auto"/>
        </w:rPr>
        <w:t>), now approved in the United States and European Union for the treatment of locally advanced basal cell carcinoma, at the Novartis Institutes for Biomedical Research and also worked in Inflammation Discovery at Millennium Pharmaceuticals, Inc. Dr. Dorsch received her Ph.D. in Tumor Immunology from the Free University of Berlin, Germany and was a postdoctoral fellow at Columbia University in New York.</w:t>
      </w:r>
    </w:p>
    <w:p>
      <w:pPr>
        <w:spacing w:after="0" w:line="167"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Dr. Dorsch’s employment agreement provides for “at will” employment. Pursuant to the terms of her employment agreement, Dr. Dorsch is entitled to an annual base salary of $355,000 and will receive an initial sign-on bonus of $150,000 upon the commencement of her employment with the Company. Dr. Dorsch is also eligible for an annual performance bonus targeted at 35% of her base salary (commencing with a pro-rated bonus for 2016). Pursuant to the terms of her employment agreement, Dr. Dorsch will also be granted a stock option, effective as of the Effective Date, to purchase 110,000 shares of the Company’s common stock at an exercise price per share equal to the closing price of the Company’s common stock on the date of grant. The stock option will have a ten-year term and will vest as to 25% of the shares underlying the stock option on the first anniversary of the commencement of Dr. Dorsch’s employment with the Company and as to an additional 1/48</w:t>
      </w:r>
      <w:r>
        <w:rPr>
          <w:rFonts w:ascii="Arial" w:cs="Arial" w:eastAsia="Arial" w:hAnsi="Arial"/>
          <w:sz w:val="8"/>
          <w:szCs w:val="8"/>
          <w:color w:val="auto"/>
        </w:rPr>
        <w:t>th</w:t>
      </w:r>
      <w:r>
        <w:rPr>
          <w:rFonts w:ascii="Arial" w:cs="Arial" w:eastAsia="Arial" w:hAnsi="Arial"/>
          <w:sz w:val="17"/>
          <w:szCs w:val="17"/>
          <w:color w:val="auto"/>
        </w:rPr>
        <w:t xml:space="preserve"> of the shares underlying the stock option monthly thereafter. Dr. Dorsch is eligible to participate in the employee benefit plans generally available to full-time employees, subject to the terms of those plans. Pursuant to the terms of her employment agreement, if Dr. Dorsch’s employment is terminated by us without cause (as defined in her employment agreement) or by Dr. Dorsch for good reason (as defined in her employment agreement), and subject to Dr. Dorsch’s execution of a release of potential claims against us, Dr. Dorsch will be entitled to receive: (i) a lump sum in cash in an amount equal to 12 months of base salary and (ii) a monthly cash payment for 12 months for medical and dental benefits or Dr. Dorsch’s COBRA health continuation period, whichever ends earlier. However, in the event that Dr. Dorsch’s employment is terminated by us without cause, or Dr. Dorsch terminates her employment with us for good reason, in either case within 12 months following the occurrence of a sale event (as defined in her employment agreement), in lieu of the severance payments and benefits described in the preceding sentence and subject to Dr. Dorsch’s execution of a release of potential claims against us, Dr. Dorsch will be entitled to receive: (i) a lump sum in cash in an amount equal to the sum of 12 months of Dr. Dorsch’s base salary then in effect plus Dr. Dorsch’s target annual incentive compensation for the year in which the termination occurs, (ii) a monthly cash payment for 12 months for medical and dental benefits or Dr. Dorsch’s COBRA health continuation period, whichever ends earlier, and (iii) full and immediate vesting and exercisability of all time-based stock options and other time-based stock-based awards held by Dr. Dorsch.</w:t>
      </w:r>
    </w:p>
    <w:p>
      <w:pPr>
        <w:spacing w:after="0" w:line="18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connection with Dr. Dorsch’s appointment as Chief Scientific Officer, Dr. Dorsch will enter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Dr. Dorsch for some expenses, including attorneys’ fees, judgments, fines and settlement amounts incurred by her in any action or proceeding arising out of her service as one of our officers. Dr. Dorsch entered into a Non-Competition, Non-Solicitation, Confidentiality and Assignment Agreement, effective as of the Effective Date, that contains, among other things, non-competition and non-solicitation provisions that apply during the term of Dr. Dorsch’s employment and for 12 months thereafter.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0"/>
          </w:cols>
          <w:pgMar w:left="1320" w:top="121" w:right="1319" w:bottom="1440" w:gutter="0" w:footer="0" w:header="0"/>
        </w:sectPr>
      </w:pPr>
    </w:p>
    <w:bookmarkStart w:id="2" w:name="page3"/>
    <w:bookmarkEnd w:id="2"/>
    <w:p>
      <w:pPr>
        <w:ind w:right="140" w:firstLine="648"/>
        <w:spacing w:after="0" w:line="264" w:lineRule="auto"/>
        <w:rPr>
          <w:sz w:val="20"/>
          <w:szCs w:val="20"/>
          <w:color w:val="auto"/>
        </w:rPr>
      </w:pPr>
      <w:r>
        <w:rPr>
          <w:rFonts w:ascii="Arial" w:cs="Arial" w:eastAsia="Arial" w:hAnsi="Arial"/>
          <w:sz w:val="18"/>
          <w:szCs w:val="18"/>
          <w:color w:val="auto"/>
        </w:rPr>
        <w:t>Dr. Dorsch has no family relationship with any of the executive officers or directors of the Company. There are no arrangements or understandings between Dr. Dorsch and any other person pursuant to which she was appointed as an officer of the Company.</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foregoing description of the employment agreement with Dr. Dorsch is qualified in its entirety by reference to the complete text of such agreement, a copy of which is attached as Exhibit 10.1 to this Current Report on Form 8-K.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of Christoph Lengauer, Ph.D., MBA from Chief Scientific Officer to Executive Vice President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November 9, 2016, the Company also entered into a first amendment to employment agreement with Dr. Lengauer pursuant to which Dr. Lengauer shall transition from the role of Chief Scientific Officer into the role of Executive Vice President effective as of the Effective Date. In this role, Dr. Lengauer will drive an integrated approach to progressing the Company’s portfolio of investigational drugs. Pursuant to the terms of the amendment, Dr. Lengauer will devote 100% of his full working time and efforts to the business and affairs of the Company through December 31, 2016, and effective as of January 1, 2017, Dr. Lengauer will devote 60% of his full working time and efforts to the business and affairs of the Company and Dr. Lengauer’s annual base salary will be reduced to $258,000.</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foregoing description of the first amendment to employment agreement with Dr. Lengauer is qualified in its entirety by reference to the complete text of such amendment, a copy of which is attached as Exhibit 10.2 to this Current Report on Form 8-K.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copy of the Company’s press release announcing Dr. Dorsch’s appointment as Chief Scientific Officer and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Lengauer’s transition to Executive Vice President is attached as Exhibit 99.1 to this Current Report on Form 8-K.</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768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3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7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4"/>
              </w:rPr>
              <w:t>Employment Agreement, dated November 9, 2016, by and between Blueprint Medicines Corporation</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and Marion Dorsch</w:t>
            </w:r>
          </w:p>
        </w:tc>
      </w:tr>
      <w:tr>
        <w:trPr>
          <w:trHeight w:val="216"/>
        </w:trPr>
        <w:tc>
          <w:tcPr>
            <w:tcW w:w="132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w w:val="97"/>
              </w:rPr>
              <w:t>First Amendment to Employment Agreement, dated November 9, 2016, by and between Blueprint</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Medicines Corporation and Christoph Lengauer</w:t>
            </w:r>
          </w:p>
        </w:tc>
      </w:tr>
      <w:tr>
        <w:trPr>
          <w:trHeight w:val="230"/>
        </w:trPr>
        <w:tc>
          <w:tcPr>
            <w:tcW w:w="1320" w:type="dxa"/>
            <w:vAlign w:val="bottom"/>
            <w:gridSpan w:val="2"/>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November 14,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5" w:right="1299" w:bottom="1440" w:gutter="0" w:footer="0" w:header="0"/>
        </w:sectPr>
      </w:pPr>
    </w:p>
    <w:bookmarkStart w:id="3" w:name="page4"/>
    <w:bookmarkEnd w:id="3"/>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580" w:type="dxa"/>
            <w:vAlign w:val="bottom"/>
            <w:gridSpan w:val="2"/>
          </w:tcPr>
          <w:p>
            <w:pPr>
              <w:ind w:left="138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260" w:type="dxa"/>
            <w:vAlign w:val="bottom"/>
          </w:tcPr>
          <w:p>
            <w:pPr>
              <w:spacing w:after="0"/>
              <w:rPr>
                <w:sz w:val="20"/>
                <w:szCs w:val="20"/>
                <w:color w:val="auto"/>
              </w:rPr>
            </w:pPr>
            <w:r>
              <w:rPr>
                <w:rFonts w:ascii="Arial" w:cs="Arial" w:eastAsia="Arial" w:hAnsi="Arial"/>
                <w:sz w:val="18"/>
                <w:szCs w:val="18"/>
                <w:color w:val="auto"/>
              </w:rPr>
              <w:t>Date: November 14, 2016</w:t>
            </w:r>
          </w:p>
        </w:tc>
        <w:tc>
          <w:tcPr>
            <w:tcW w:w="5580" w:type="dxa"/>
            <w:vAlign w:val="bottom"/>
            <w:gridSpan w:val="2"/>
          </w:tcPr>
          <w:p>
            <w:pPr>
              <w:ind w:left="1380"/>
              <w:spacing w:after="0"/>
              <w:rPr>
                <w:sz w:val="20"/>
                <w:szCs w:val="20"/>
                <w:color w:val="auto"/>
              </w:rPr>
            </w:pPr>
            <w:r>
              <w:rPr>
                <w:rFonts w:ascii="Arial" w:cs="Arial" w:eastAsia="Arial" w:hAnsi="Arial"/>
                <w:sz w:val="18"/>
                <w:szCs w:val="18"/>
                <w:color w:val="auto"/>
              </w:rPr>
              <w:t>By: /s/ Jeffrey W.</w:t>
            </w:r>
          </w:p>
        </w:tc>
      </w:tr>
      <w:tr>
        <w:trPr>
          <w:trHeight w:val="230"/>
        </w:trPr>
        <w:tc>
          <w:tcPr>
            <w:tcW w:w="3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39"/>
          </w:cols>
          <w:pgMar w:left="1320" w:top="12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ind w:left="234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3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7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4"/>
              </w:rPr>
              <w:t>Employment Agreement, dated November 9, 2016, by and between Blueprint Medicines Corporation</w:t>
            </w:r>
          </w:p>
        </w:tc>
      </w:tr>
      <w:tr>
        <w:trPr>
          <w:trHeight w:val="216"/>
        </w:trPr>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and Marion Dorsch</w:t>
            </w:r>
          </w:p>
        </w:tc>
      </w:tr>
      <w:tr>
        <w:trPr>
          <w:trHeight w:val="216"/>
        </w:trPr>
        <w:tc>
          <w:tcPr>
            <w:tcW w:w="1320" w:type="dxa"/>
            <w:vAlign w:val="bottom"/>
          </w:tcPr>
          <w:p>
            <w:pPr>
              <w:ind w:left="1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w w:val="97"/>
              </w:rPr>
              <w:t>First Amendment to Employment Agreement, dated November 9, 2016, by and between Blueprint</w:t>
            </w:r>
          </w:p>
        </w:tc>
      </w:tr>
      <w:tr>
        <w:trPr>
          <w:trHeight w:val="216"/>
        </w:trPr>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Medicines Corporation and Christoph Lengauer</w:t>
            </w:r>
          </w:p>
        </w:tc>
      </w:tr>
      <w:tr>
        <w:trPr>
          <w:trHeight w:val="230"/>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November 14, 2016</w:t>
            </w:r>
          </w:p>
        </w:tc>
      </w:tr>
      <w:tr>
        <w:trPr>
          <w:trHeight w:val="932"/>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ind w:left="2980"/>
              <w:spacing w:after="0"/>
              <w:rPr>
                <w:sz w:val="20"/>
                <w:szCs w:val="20"/>
                <w:color w:val="auto"/>
              </w:rPr>
            </w:pPr>
            <w:r>
              <w:rPr>
                <w:rFonts w:ascii="Arial" w:cs="Arial" w:eastAsia="Arial" w:hAnsi="Arial"/>
                <w:sz w:val="18"/>
                <w:szCs w:val="18"/>
                <w:color w:val="auto"/>
              </w:rPr>
              <w:t>5</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jc w:val="both"/>
        <w:ind w:left="80" w:right="760" w:firstLine="649"/>
        <w:spacing w:after="0" w:line="328" w:lineRule="auto"/>
        <w:rPr>
          <w:sz w:val="20"/>
          <w:szCs w:val="20"/>
          <w:color w:val="auto"/>
        </w:rPr>
      </w:pPr>
      <w:r>
        <w:rPr>
          <w:rFonts w:ascii="Arial" w:cs="Arial" w:eastAsia="Arial" w:hAnsi="Arial"/>
          <w:sz w:val="19"/>
          <w:szCs w:val="19"/>
          <w:color w:val="auto"/>
        </w:rPr>
        <w:t>This Employment Agreement (“Agreement”) is dated as of November 9, 2016, between Blueprint Medicines Corporation, a Delaware corporation (the “Company”), and Marion Dorsch (the “Executive”).</w:t>
      </w:r>
    </w:p>
    <w:p>
      <w:pPr>
        <w:spacing w:after="0" w:line="132" w:lineRule="exact"/>
        <w:rPr>
          <w:sz w:val="20"/>
          <w:szCs w:val="20"/>
          <w:color w:val="auto"/>
        </w:rPr>
      </w:pPr>
    </w:p>
    <w:p>
      <w:pPr>
        <w:ind w:left="60" w:right="220" w:firstLine="655"/>
        <w:spacing w:after="0" w:line="251" w:lineRule="auto"/>
        <w:rPr>
          <w:sz w:val="20"/>
          <w:szCs w:val="20"/>
          <w:color w:val="auto"/>
        </w:rPr>
      </w:pPr>
      <w:r>
        <w:rPr>
          <w:rFonts w:ascii="Arial" w:cs="Arial" w:eastAsia="Arial" w:hAnsi="Arial"/>
          <w:sz w:val="22"/>
          <w:szCs w:val="22"/>
          <w:color w:val="auto"/>
        </w:rPr>
        <w:t>WHEREAS, the Company desires to employ the Executive and the Executive desires to be employed by the Company on the terms and conditions contained herein.</w:t>
      </w:r>
    </w:p>
    <w:p>
      <w:pPr>
        <w:spacing w:after="0" w:line="200" w:lineRule="exact"/>
        <w:rPr>
          <w:sz w:val="20"/>
          <w:szCs w:val="20"/>
          <w:color w:val="auto"/>
        </w:rPr>
      </w:pPr>
    </w:p>
    <w:p>
      <w:pPr>
        <w:jc w:val="both"/>
        <w:ind w:left="60" w:firstLine="643"/>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13" w:lineRule="exact"/>
        <w:rPr>
          <w:sz w:val="20"/>
          <w:szCs w:val="20"/>
          <w:color w:val="auto"/>
        </w:rPr>
      </w:pPr>
    </w:p>
    <w:p>
      <w:pPr>
        <w:ind w:left="1300" w:hanging="586"/>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right="240" w:firstLine="1311"/>
        <w:spacing w:after="0"/>
        <w:tabs>
          <w:tab w:leader="none" w:pos="1998" w:val="left"/>
        </w:tabs>
        <w:numPr>
          <w:ilvl w:val="3"/>
          <w:numId w:val="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commence on the Executive’s first day of employment, which shall be November 21, 2016 (the “Start Date”), and continue until terminated in accordance with the provisions of Section 3 (the “Term”).</w:t>
      </w:r>
    </w:p>
    <w:p>
      <w:pPr>
        <w:spacing w:after="0" w:line="213" w:lineRule="exact"/>
        <w:rPr>
          <w:rFonts w:ascii="Arial" w:cs="Arial" w:eastAsia="Arial" w:hAnsi="Arial"/>
          <w:sz w:val="22"/>
          <w:szCs w:val="22"/>
          <w:color w:val="auto"/>
        </w:rPr>
      </w:pPr>
    </w:p>
    <w:p>
      <w:pPr>
        <w:ind w:left="20" w:right="120" w:firstLine="1311"/>
        <w:spacing w:after="0" w:line="246" w:lineRule="auto"/>
        <w:tabs>
          <w:tab w:leader="none" w:pos="2010" w:val="left"/>
        </w:tabs>
        <w:numPr>
          <w:ilvl w:val="3"/>
          <w:numId w:val="2"/>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Chief Scientific Officer of the Company, and shall have such duties as are consistent with such position. The Executive shall report to the Chief Executive Officer of the Company (the “CEO”).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207" w:lineRule="exact"/>
        <w:rPr>
          <w:rFonts w:ascii="Arial" w:cs="Arial" w:eastAsia="Arial" w:hAnsi="Arial"/>
          <w:sz w:val="21"/>
          <w:szCs w:val="21"/>
          <w:color w:val="auto"/>
        </w:rPr>
      </w:pPr>
    </w:p>
    <w:p>
      <w:pPr>
        <w:ind w:left="1260" w:hanging="591"/>
        <w:spacing w:after="0"/>
        <w:tabs>
          <w:tab w:leader="none" w:pos="12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0" w:firstLine="1312"/>
        <w:spacing w:after="0" w:line="282" w:lineRule="auto"/>
        <w:tabs>
          <w:tab w:leader="none" w:pos="1977" w:val="left"/>
        </w:tabs>
        <w:numPr>
          <w:ilvl w:val="2"/>
          <w:numId w:val="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annual base salary shall be $355,000. The Executive’s base salary shall be re-determined annually by the Board or the Compensation Committee of the Board and shall be subject to increase but not decrease while Executive is serving in the Chief Scientific Officer role. The annual base salary in effect at any given time is referred to herein as “Base Salary.” The Base Salary shall be payable in a manner that is consistent with the Company’s usual payroll practices for senior executives.</w:t>
      </w:r>
    </w:p>
    <w:p>
      <w:pPr>
        <w:spacing w:after="0" w:line="174" w:lineRule="exact"/>
        <w:rPr>
          <w:rFonts w:ascii="Arial" w:cs="Arial" w:eastAsia="Arial" w:hAnsi="Arial"/>
          <w:sz w:val="19"/>
          <w:szCs w:val="19"/>
          <w:color w:val="auto"/>
        </w:rPr>
      </w:pPr>
    </w:p>
    <w:p>
      <w:pPr>
        <w:ind w:firstLine="1299"/>
        <w:spacing w:after="0" w:line="282" w:lineRule="auto"/>
        <w:tabs>
          <w:tab w:leader="none" w:pos="1977" w:val="left"/>
        </w:tabs>
        <w:numPr>
          <w:ilvl w:val="2"/>
          <w:numId w:val="3"/>
        </w:numPr>
        <w:rPr>
          <w:rFonts w:ascii="Arial" w:cs="Arial" w:eastAsia="Arial" w:hAnsi="Arial"/>
          <w:sz w:val="19"/>
          <w:szCs w:val="19"/>
          <w:color w:val="auto"/>
        </w:rPr>
      </w:pPr>
      <w:r>
        <w:rPr>
          <w:rFonts w:ascii="Arial" w:cs="Arial" w:eastAsia="Arial" w:hAnsi="Arial"/>
          <w:sz w:val="19"/>
          <w:szCs w:val="19"/>
          <w:u w:val="single" w:color="auto"/>
          <w:color w:val="auto"/>
        </w:rPr>
        <w:t>Sign On Bonus</w:t>
      </w:r>
      <w:r>
        <w:rPr>
          <w:rFonts w:ascii="Arial" w:cs="Arial" w:eastAsia="Arial" w:hAnsi="Arial"/>
          <w:sz w:val="19"/>
          <w:szCs w:val="19"/>
          <w:color w:val="auto"/>
        </w:rPr>
        <w:t>. Executive shall receive a one-time sign on bonus of $150,000 (the “Sign On Bonus”). This payment shall be subject to legally required tax withholdings. Executive agrees that if she terminates her employment within 12 months of the Start Date, for any reason, and regardless of whether Executive has Good Reason (as defined in this Agreement) to terminate her employment, Executive shall repay the entire Sign On Bonus in accordance with the Company’s policies then in effect concerning such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476250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42" w:right="919" w:bottom="1440" w:gutter="0" w:footer="0" w:header="0"/>
        </w:sectPr>
      </w:pPr>
    </w:p>
    <w:bookmarkStart w:id="6" w:name="page7"/>
    <w:bookmarkEnd w:id="6"/>
    <w:p>
      <w:pPr>
        <w:ind w:left="-420" w:firstLine="1299"/>
        <w:spacing w:after="0" w:line="274" w:lineRule="auto"/>
        <w:tabs>
          <w:tab w:leader="none" w:pos="1545"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In connection with the commencement of the Executive’s employment, Executive shall be granted an option to purchase 110,000 shares of the Company’s common stock (the “Option”). The date of the grant and the exercise price shall be determined by using the closing price on the Start Date (the “Vesting Commencement Date”). The Option award shall be subject to the terms and conditions of the Company’s then-current stock option plan and form of stock option agreement. The Options shall vest as follows: 25 percent of the shares shall vest and become exercisable on the first anniversary of the Vesting Commencement Date; thereafter, the remaining 75 percent of the shares shall vest and become exercisable in 36 equal monthly installments at the end of each month following the anniversary of the Vesting Commencement Date. Vesting shall be contingent upon Executive’s continued full-time employment with the Company.</w:t>
      </w:r>
    </w:p>
    <w:p>
      <w:pPr>
        <w:spacing w:after="0" w:line="185" w:lineRule="exact"/>
        <w:rPr>
          <w:rFonts w:ascii="Arial" w:cs="Arial" w:eastAsia="Arial" w:hAnsi="Arial"/>
          <w:sz w:val="19"/>
          <w:szCs w:val="19"/>
          <w:color w:val="auto"/>
        </w:rPr>
      </w:pPr>
    </w:p>
    <w:p>
      <w:pPr>
        <w:ind w:left="-420" w:right="40" w:firstLine="1299"/>
        <w:spacing w:after="0" w:line="246" w:lineRule="auto"/>
        <w:tabs>
          <w:tab w:leader="none" w:pos="1557" w:val="left"/>
        </w:tabs>
        <w:numPr>
          <w:ilvl w:val="1"/>
          <w:numId w:val="4"/>
        </w:numPr>
        <w:rPr>
          <w:rFonts w:ascii="Arial" w:cs="Arial" w:eastAsia="Arial" w:hAnsi="Arial"/>
          <w:sz w:val="21"/>
          <w:szCs w:val="21"/>
          <w:color w:val="auto"/>
        </w:rPr>
      </w:pPr>
      <w:r>
        <w:rPr>
          <w:rFonts w:ascii="Arial" w:cs="Arial" w:eastAsia="Arial" w:hAnsi="Arial"/>
          <w:sz w:val="21"/>
          <w:szCs w:val="21"/>
          <w:u w:val="single" w:color="auto"/>
          <w:color w:val="auto"/>
        </w:rPr>
        <w:t>Incentive Compensation</w:t>
      </w:r>
      <w:r>
        <w:rPr>
          <w:rFonts w:ascii="Arial" w:cs="Arial" w:eastAsia="Arial" w:hAnsi="Arial"/>
          <w:sz w:val="21"/>
          <w:szCs w:val="21"/>
          <w:color w:val="auto"/>
        </w:rPr>
        <w:t>. During the Term, the Executive shall be eligible to receive cash incentive compensation as determined by the Board or the Compensation Committee of the Board from time to time. Executive’s target annual incentive compensation shall be 35 percent of her Base Salary (the “Target Incentive Compensation”). The Board shall weigh its bonus determination as follows: 75 percent on Company performance and 25 percent on Executive’s individual performance. To earn incentive compensation, the Executive must be employed by the Company on the day such incentive compensation is paid. Due to the timing of the Start Date within the calendar year, for the year 2016 the Executive shall not be eligible to receive pro-rated incentive compensation.</w:t>
      </w:r>
    </w:p>
    <w:p>
      <w:pPr>
        <w:spacing w:after="0" w:line="207" w:lineRule="exact"/>
        <w:rPr>
          <w:rFonts w:ascii="Arial" w:cs="Arial" w:eastAsia="Arial" w:hAnsi="Arial"/>
          <w:sz w:val="21"/>
          <w:szCs w:val="21"/>
          <w:color w:val="auto"/>
        </w:rPr>
      </w:pPr>
    </w:p>
    <w:p>
      <w:pPr>
        <w:ind w:left="-360" w:right="320" w:firstLine="1285"/>
        <w:spacing w:after="0" w:line="297" w:lineRule="auto"/>
        <w:tabs>
          <w:tab w:leader="none" w:pos="1596" w:val="left"/>
        </w:tabs>
        <w:numPr>
          <w:ilvl w:val="3"/>
          <w:numId w:val="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executive officers.</w:t>
      </w:r>
    </w:p>
    <w:p>
      <w:pPr>
        <w:spacing w:after="0" w:line="161" w:lineRule="exact"/>
        <w:rPr>
          <w:rFonts w:ascii="Arial" w:cs="Arial" w:eastAsia="Arial" w:hAnsi="Arial"/>
          <w:sz w:val="19"/>
          <w:szCs w:val="19"/>
          <w:color w:val="auto"/>
        </w:rPr>
      </w:pPr>
    </w:p>
    <w:p>
      <w:pPr>
        <w:ind w:left="-380" w:right="40" w:firstLine="1299"/>
        <w:spacing w:after="0"/>
        <w:tabs>
          <w:tab w:leader="none" w:pos="1561" w:val="left"/>
        </w:tabs>
        <w:numPr>
          <w:ilvl w:val="3"/>
          <w:numId w:val="4"/>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subject to the terms of such plans.</w:t>
      </w:r>
    </w:p>
    <w:p>
      <w:pPr>
        <w:spacing w:after="0" w:line="213" w:lineRule="exact"/>
        <w:rPr>
          <w:rFonts w:ascii="Arial" w:cs="Arial" w:eastAsia="Arial" w:hAnsi="Arial"/>
          <w:sz w:val="22"/>
          <w:szCs w:val="22"/>
          <w:color w:val="auto"/>
        </w:rPr>
      </w:pPr>
    </w:p>
    <w:p>
      <w:pPr>
        <w:ind w:left="-380" w:right="480" w:firstLine="1292"/>
        <w:spacing w:after="0" w:line="251" w:lineRule="auto"/>
        <w:tabs>
          <w:tab w:leader="none" w:pos="1597" w:val="left"/>
        </w:tabs>
        <w:numPr>
          <w:ilvl w:val="3"/>
          <w:numId w:val="4"/>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accrue paid vacation in accordance with the Company’s applicable policy.</w:t>
      </w:r>
    </w:p>
    <w:p>
      <w:pPr>
        <w:spacing w:after="0" w:line="200" w:lineRule="exact"/>
        <w:rPr>
          <w:rFonts w:ascii="Arial" w:cs="Arial" w:eastAsia="Arial" w:hAnsi="Arial"/>
          <w:sz w:val="22"/>
          <w:szCs w:val="22"/>
          <w:color w:val="auto"/>
        </w:rPr>
      </w:pPr>
    </w:p>
    <w:p>
      <w:pPr>
        <w:ind w:left="-380" w:right="120" w:firstLine="642"/>
        <w:spacing w:after="0" w:line="251" w:lineRule="auto"/>
        <w:tabs>
          <w:tab w:leader="none" w:pos="86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200" w:lineRule="exact"/>
        <w:rPr>
          <w:rFonts w:ascii="Arial" w:cs="Arial" w:eastAsia="Arial" w:hAnsi="Arial"/>
          <w:sz w:val="22"/>
          <w:szCs w:val="22"/>
          <w:color w:val="auto"/>
        </w:rPr>
      </w:pPr>
    </w:p>
    <w:p>
      <w:pPr>
        <w:ind w:left="1580" w:hanging="680"/>
        <w:spacing w:after="0"/>
        <w:tabs>
          <w:tab w:leader="none" w:pos="1580" w:val="left"/>
        </w:tabs>
        <w:numPr>
          <w:ilvl w:val="2"/>
          <w:numId w:val="5"/>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her death.</w:t>
      </w:r>
    </w:p>
    <w:p>
      <w:pPr>
        <w:spacing w:after="0" w:line="233" w:lineRule="exact"/>
        <w:rPr>
          <w:rFonts w:ascii="Arial" w:cs="Arial" w:eastAsia="Arial" w:hAnsi="Arial"/>
          <w:sz w:val="22"/>
          <w:szCs w:val="22"/>
          <w:color w:val="auto"/>
        </w:rPr>
      </w:pPr>
    </w:p>
    <w:p>
      <w:pPr>
        <w:ind w:left="-400" w:firstLine="1300"/>
        <w:spacing w:after="0" w:line="279" w:lineRule="auto"/>
        <w:tabs>
          <w:tab w:leader="none" w:pos="1578" w:val="left"/>
        </w:tabs>
        <w:numPr>
          <w:ilvl w:val="2"/>
          <w:numId w:val="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w:t>
      </w:r>
    </w:p>
    <w:p>
      <w:pPr>
        <w:spacing w:after="0" w:line="371" w:lineRule="exact"/>
        <w:rPr>
          <w:rFonts w:ascii="Arial" w:cs="Arial" w:eastAsia="Arial" w:hAnsi="Arial"/>
          <w:sz w:val="19"/>
          <w:szCs w:val="19"/>
          <w:color w:val="auto"/>
        </w:rPr>
      </w:pPr>
    </w:p>
    <w:p>
      <w:pPr>
        <w:ind w:left="4460" w:hanging="160"/>
        <w:spacing w:after="0"/>
        <w:tabs>
          <w:tab w:leader="none" w:pos="4460" w:val="left"/>
        </w:tabs>
        <w:numPr>
          <w:ilvl w:val="5"/>
          <w:numId w:val="5"/>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78740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348" w:right="959" w:bottom="1440" w:gutter="0" w:footer="0" w:header="0"/>
        </w:sectPr>
      </w:pPr>
    </w:p>
    <w:bookmarkStart w:id="7" w:name="page8"/>
    <w:bookmarkEnd w:id="7"/>
    <w:p>
      <w:pPr>
        <w:spacing w:after="0" w:line="245" w:lineRule="auto"/>
        <w:rPr>
          <w:sz w:val="20"/>
          <w:szCs w:val="20"/>
          <w:color w:val="auto"/>
        </w:rPr>
      </w:pPr>
      <w:r>
        <w:rPr>
          <w:rFonts w:ascii="Arial" w:cs="Arial" w:eastAsia="Arial" w:hAnsi="Arial"/>
          <w:sz w:val="21"/>
          <w:szCs w:val="21"/>
          <w:color w:val="auto"/>
        </w:rPr>
        <w:t xml:space="preserve">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 l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the Americans with Disabilities Act, 42 U.S.C. §12101 </w:t>
      </w:r>
      <w:r>
        <w:rPr>
          <w:rFonts w:ascii="Arial" w:cs="Arial" w:eastAsia="Arial" w:hAnsi="Arial"/>
          <w:sz w:val="21"/>
          <w:szCs w:val="21"/>
          <w:i w:val="1"/>
          <w:iCs w:val="1"/>
          <w:color w:val="auto"/>
        </w:rPr>
        <w:t>et seq.</w:t>
      </w:r>
    </w:p>
    <w:p>
      <w:pPr>
        <w:spacing w:after="0" w:line="212" w:lineRule="exact"/>
        <w:rPr>
          <w:sz w:val="20"/>
          <w:szCs w:val="20"/>
          <w:color w:val="auto"/>
        </w:rPr>
      </w:pPr>
    </w:p>
    <w:p>
      <w:pPr>
        <w:ind w:left="-20" w:right="120" w:firstLine="1294"/>
        <w:spacing w:after="0" w:line="270" w:lineRule="auto"/>
        <w:tabs>
          <w:tab w:leader="none" w:pos="1951"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20" w:right="60" w:firstLine="1305"/>
        <w:spacing w:after="0" w:line="236" w:lineRule="auto"/>
        <w:tabs>
          <w:tab w:leader="none" w:pos="2003" w:val="left"/>
        </w:tabs>
        <w:numPr>
          <w:ilvl w:val="2"/>
          <w:numId w:val="6"/>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Without Cause</w:t>
      </w:r>
      <w:r>
        <w:rPr>
          <w:rFonts w:ascii="Arial" w:cs="Arial" w:eastAsia="Arial" w:hAnsi="Arial"/>
          <w:sz w:val="22"/>
          <w:szCs w:val="22"/>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214" w:lineRule="exact"/>
        <w:rPr>
          <w:rFonts w:ascii="Arial" w:cs="Arial" w:eastAsia="Arial" w:hAnsi="Arial"/>
          <w:sz w:val="22"/>
          <w:szCs w:val="22"/>
          <w:color w:val="auto"/>
        </w:rPr>
      </w:pPr>
    </w:p>
    <w:p>
      <w:pPr>
        <w:ind w:left="20" w:right="100" w:firstLine="1292"/>
        <w:spacing w:after="0" w:line="279" w:lineRule="auto"/>
        <w:tabs>
          <w:tab w:leader="none" w:pos="1991"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(ii) a material diminution in the Executive’s Base Salary and/or Target Incentive Compensation (unless such diminution is in</w:t>
      </w:r>
    </w:p>
    <w:p>
      <w:pPr>
        <w:spacing w:after="0" w:line="371" w:lineRule="exact"/>
        <w:rPr>
          <w:rFonts w:ascii="Arial" w:cs="Arial" w:eastAsia="Arial" w:hAnsi="Arial"/>
          <w:sz w:val="19"/>
          <w:szCs w:val="19"/>
          <w:color w:val="auto"/>
        </w:rPr>
      </w:pPr>
    </w:p>
    <w:p>
      <w:pPr>
        <w:ind w:left="4860" w:hanging="160"/>
        <w:spacing w:after="0"/>
        <w:tabs>
          <w:tab w:leader="none" w:pos="4860" w:val="left"/>
        </w:tabs>
        <w:numPr>
          <w:ilvl w:val="3"/>
          <w:numId w:val="6"/>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1040" w:top="348" w:right="959" w:bottom="1440" w:gutter="0" w:footer="0" w:header="0"/>
        </w:sectPr>
      </w:pPr>
    </w:p>
    <w:bookmarkStart w:id="8" w:name="page9"/>
    <w:bookmarkEnd w:id="8"/>
    <w:p>
      <w:pPr>
        <w:ind w:left="7"/>
        <w:spacing w:after="0"/>
        <w:rPr>
          <w:sz w:val="20"/>
          <w:szCs w:val="20"/>
          <w:color w:val="auto"/>
        </w:rPr>
      </w:pPr>
      <w:r>
        <w:rPr>
          <w:rFonts w:ascii="Arial" w:cs="Arial" w:eastAsia="Arial" w:hAnsi="Arial"/>
          <w:sz w:val="19"/>
          <w:szCs w:val="19"/>
          <w:color w:val="auto"/>
        </w:rPr>
        <w:t>connection with a proportional reduction in compensation to all or substantially all of the Company’s employees);</w:t>
      </w:r>
    </w:p>
    <w:p>
      <w:pPr>
        <w:spacing w:after="0" w:line="43" w:lineRule="exact"/>
        <w:rPr>
          <w:sz w:val="20"/>
          <w:szCs w:val="20"/>
          <w:color w:val="auto"/>
        </w:rPr>
      </w:pPr>
    </w:p>
    <w:p>
      <w:pPr>
        <w:ind w:left="7" w:hanging="7"/>
        <w:spacing w:after="0" w:line="272" w:lineRule="auto"/>
        <w:tabs>
          <w:tab w:leader="none" w:pos="385" w:val="left"/>
        </w:tabs>
        <w:numPr>
          <w:ilvl w:val="0"/>
          <w:numId w:val="7"/>
        </w:numPr>
        <w:rPr>
          <w:rFonts w:ascii="Arial" w:cs="Arial" w:eastAsia="Arial" w:hAnsi="Arial"/>
          <w:sz w:val="19"/>
          <w:szCs w:val="19"/>
          <w:color w:val="auto"/>
        </w:rPr>
      </w:pPr>
      <w:r>
        <w:rPr>
          <w:rFonts w:ascii="Arial" w:cs="Arial" w:eastAsia="Arial" w:hAnsi="Arial"/>
          <w:sz w:val="19"/>
          <w:szCs w:val="19"/>
          <w:color w:val="auto"/>
        </w:rPr>
        <w:t>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184" w:lineRule="exact"/>
        <w:rPr>
          <w:rFonts w:ascii="Arial" w:cs="Arial" w:eastAsia="Arial" w:hAnsi="Arial"/>
          <w:sz w:val="19"/>
          <w:szCs w:val="19"/>
          <w:color w:val="auto"/>
        </w:rPr>
      </w:pPr>
    </w:p>
    <w:p>
      <w:pPr>
        <w:ind w:left="7" w:right="80" w:firstLine="1301"/>
        <w:spacing w:after="0" w:line="236" w:lineRule="auto"/>
        <w:tabs>
          <w:tab w:leader="none" w:pos="1964" w:val="left"/>
        </w:tabs>
        <w:numPr>
          <w:ilvl w:val="2"/>
          <w:numId w:val="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214" w:lineRule="exact"/>
        <w:rPr>
          <w:rFonts w:ascii="Arial" w:cs="Arial" w:eastAsia="Arial" w:hAnsi="Arial"/>
          <w:sz w:val="22"/>
          <w:szCs w:val="22"/>
          <w:color w:val="auto"/>
        </w:rPr>
      </w:pPr>
    </w:p>
    <w:p>
      <w:pPr>
        <w:ind w:left="7" w:firstLine="1301"/>
        <w:spacing w:after="0" w:line="244" w:lineRule="auto"/>
        <w:tabs>
          <w:tab w:leader="none" w:pos="2000" w:val="left"/>
        </w:tabs>
        <w:numPr>
          <w:ilvl w:val="3"/>
          <w:numId w:val="7"/>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216" w:lineRule="exact"/>
        <w:rPr>
          <w:rFonts w:ascii="Arial" w:cs="Arial" w:eastAsia="Arial" w:hAnsi="Arial"/>
          <w:sz w:val="21"/>
          <w:szCs w:val="21"/>
          <w:color w:val="auto"/>
        </w:rPr>
      </w:pPr>
    </w:p>
    <w:p>
      <w:pPr>
        <w:ind w:left="1227" w:hanging="600"/>
        <w:spacing w:after="0"/>
        <w:tabs>
          <w:tab w:leader="none" w:pos="1227"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 w:right="20" w:firstLine="1288"/>
        <w:spacing w:after="0" w:line="275" w:lineRule="auto"/>
        <w:tabs>
          <w:tab w:leader="none" w:pos="1948" w:val="left"/>
        </w:tabs>
        <w:numPr>
          <w:ilvl w:val="2"/>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2(e)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4847" w:hanging="160"/>
        <w:spacing w:after="0"/>
        <w:tabs>
          <w:tab w:leader="none" w:pos="4847" w:val="left"/>
        </w:tabs>
        <w:numPr>
          <w:ilvl w:val="4"/>
          <w:numId w:val="8"/>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78740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7"/>
          </w:cols>
          <w:pgMar w:left="1053" w:top="348" w:right="919" w:bottom="1440" w:gutter="0" w:footer="0" w:header="0"/>
        </w:sectPr>
      </w:pPr>
    </w:p>
    <w:bookmarkStart w:id="9" w:name="page10"/>
    <w:bookmarkEnd w:id="9"/>
    <w:p>
      <w:pPr>
        <w:ind w:left="-20" w:firstLine="1289"/>
        <w:spacing w:after="0" w:line="246" w:lineRule="auto"/>
        <w:tabs>
          <w:tab w:leader="none" w:pos="1961"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 or by the Executive with Good Reason</w:t>
      </w:r>
      <w:r>
        <w:rPr>
          <w:rFonts w:ascii="Arial" w:cs="Arial" w:eastAsia="Arial" w:hAnsi="Arial"/>
          <w:sz w:val="21"/>
          <w:szCs w:val="21"/>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207" w:lineRule="exact"/>
        <w:rPr>
          <w:rFonts w:ascii="Arial" w:cs="Arial" w:eastAsia="Arial" w:hAnsi="Arial"/>
          <w:sz w:val="21"/>
          <w:szCs w:val="21"/>
          <w:color w:val="auto"/>
        </w:rPr>
      </w:pPr>
    </w:p>
    <w:p>
      <w:pPr>
        <w:ind w:left="600" w:right="940" w:firstLine="1298"/>
        <w:spacing w:after="0" w:line="251" w:lineRule="auto"/>
        <w:tabs>
          <w:tab w:leader="none" w:pos="2532" w:val="left"/>
        </w:tabs>
        <w:numPr>
          <w:ilvl w:val="1"/>
          <w:numId w:val="9"/>
        </w:numPr>
        <w:rPr>
          <w:rFonts w:ascii="Arial" w:cs="Arial" w:eastAsia="Arial" w:hAnsi="Arial"/>
          <w:sz w:val="22"/>
          <w:szCs w:val="22"/>
          <w:color w:val="424242"/>
        </w:rPr>
      </w:pPr>
      <w:r>
        <w:rPr>
          <w:rFonts w:ascii="Arial" w:cs="Arial" w:eastAsia="Arial" w:hAnsi="Arial"/>
          <w:sz w:val="22"/>
          <w:szCs w:val="22"/>
          <w:color w:val="auto"/>
        </w:rPr>
        <w:t>the Company shall pay the Executive an amount equal to one (1) times the Executive’s Base Salary (the “Severance Amount “); and</w:t>
      </w:r>
    </w:p>
    <w:p>
      <w:pPr>
        <w:spacing w:after="0" w:line="200" w:lineRule="exact"/>
        <w:rPr>
          <w:sz w:val="20"/>
          <w:szCs w:val="20"/>
          <w:color w:val="auto"/>
        </w:rPr>
      </w:pPr>
    </w:p>
    <w:p>
      <w:pPr>
        <w:ind w:left="580" w:right="80" w:firstLine="1305"/>
        <w:spacing w:after="0" w:line="235" w:lineRule="auto"/>
        <w:tabs>
          <w:tab w:leader="none" w:pos="2573" w:val="left"/>
        </w:tabs>
        <w:numPr>
          <w:ilvl w:val="0"/>
          <w:numId w:val="10"/>
        </w:numPr>
        <w:rPr>
          <w:rFonts w:ascii="Arial" w:cs="Arial" w:eastAsia="Arial" w:hAnsi="Arial"/>
          <w:sz w:val="22"/>
          <w:szCs w:val="22"/>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215" w:lineRule="exact"/>
        <w:rPr>
          <w:sz w:val="20"/>
          <w:szCs w:val="20"/>
          <w:color w:val="auto"/>
        </w:rPr>
      </w:pPr>
    </w:p>
    <w:p>
      <w:pPr>
        <w:ind w:left="20" w:right="40" w:firstLine="19"/>
        <w:spacing w:after="0" w:line="277"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80" w:lineRule="exact"/>
        <w:rPr>
          <w:sz w:val="20"/>
          <w:szCs w:val="20"/>
          <w:color w:val="auto"/>
        </w:rPr>
      </w:pPr>
    </w:p>
    <w:p>
      <w:pPr>
        <w:ind w:right="120" w:firstLine="6"/>
        <w:spacing w:after="0" w:line="279" w:lineRule="auto"/>
        <w:rPr>
          <w:sz w:val="20"/>
          <w:szCs w:val="20"/>
          <w:color w:val="auto"/>
        </w:rPr>
      </w:pPr>
      <w:r>
        <w:rPr>
          <w:rFonts w:ascii="Arial" w:cs="Arial" w:eastAsia="Arial" w:hAnsi="Arial"/>
          <w:sz w:val="19"/>
          <w:szCs w:val="19"/>
          <w:color w:val="auto"/>
        </w:rPr>
        <w:t>The receipt of any severance payments or benefits pursuant to Section 4 will be subject to the Executive not violating the Restrictive Covenant Agreement (as defined below), the terms of which are hereby incorporated by reference. In the event the Executive breaches the Restrictive Covenant Agreement, in addition to all other legal and equitable remedies, the Company shall have the right to terminate or suspend all continuing payments and benefits to which the Executive may otherwise be entitled pursuant to Section 4 without affecting the Executive’s release or the Executive’s obligations under the Separation Agreement and Release</w:t>
      </w:r>
    </w:p>
    <w:p>
      <w:pPr>
        <w:spacing w:after="0" w:line="178" w:lineRule="exact"/>
        <w:rPr>
          <w:sz w:val="20"/>
          <w:szCs w:val="20"/>
          <w:color w:val="auto"/>
        </w:rPr>
      </w:pPr>
    </w:p>
    <w:p>
      <w:pPr>
        <w:ind w:left="-20" w:right="40" w:firstLine="658"/>
        <w:spacing w:after="0" w:line="282" w:lineRule="auto"/>
        <w:tabs>
          <w:tab w:leader="none" w:pos="1231"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These provisions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w:t>
      </w:r>
    </w:p>
    <w:p>
      <w:pPr>
        <w:spacing w:after="0" w:line="368" w:lineRule="exact"/>
        <w:rPr>
          <w:rFonts w:ascii="Arial" w:cs="Arial" w:eastAsia="Arial" w:hAnsi="Arial"/>
          <w:sz w:val="19"/>
          <w:szCs w:val="19"/>
          <w:color w:val="auto"/>
        </w:rPr>
      </w:pPr>
    </w:p>
    <w:p>
      <w:pPr>
        <w:ind w:left="4860" w:hanging="160"/>
        <w:spacing w:after="0"/>
        <w:tabs>
          <w:tab w:leader="none" w:pos="48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0"/>
          </w:cols>
          <w:pgMar w:left="1040" w:top="348" w:right="9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constituting a Sale Event. These provisions shall terminate and be of no further force or effect beginning twelve</w:t>
      </w:r>
    </w:p>
    <w:p>
      <w:pPr>
        <w:spacing w:after="0" w:line="43" w:lineRule="exact"/>
        <w:rPr>
          <w:sz w:val="20"/>
          <w:szCs w:val="20"/>
          <w:color w:val="auto"/>
        </w:rPr>
      </w:pPr>
    </w:p>
    <w:p>
      <w:pPr>
        <w:ind w:left="420" w:hanging="418"/>
        <w:spacing w:after="0"/>
        <w:tabs>
          <w:tab w:leader="none" w:pos="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months after the occurrence of a Sale Event.</w:t>
      </w:r>
    </w:p>
    <w:p>
      <w:pPr>
        <w:spacing w:after="0" w:line="215" w:lineRule="exact"/>
        <w:rPr>
          <w:rFonts w:ascii="Arial" w:cs="Arial" w:eastAsia="Arial" w:hAnsi="Arial"/>
          <w:sz w:val="22"/>
          <w:szCs w:val="22"/>
          <w:color w:val="auto"/>
        </w:rPr>
      </w:pPr>
    </w:p>
    <w:p>
      <w:pPr>
        <w:ind w:left="-20" w:firstLine="1308"/>
        <w:spacing w:after="0" w:line="236" w:lineRule="auto"/>
        <w:tabs>
          <w:tab w:leader="none" w:pos="1951"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Sale Event</w:t>
      </w:r>
      <w:r>
        <w:rPr>
          <w:rFonts w:ascii="Arial" w:cs="Arial" w:eastAsia="Arial" w:hAnsi="Arial"/>
          <w:sz w:val="22"/>
          <w:szCs w:val="22"/>
          <w:color w:val="auto"/>
        </w:rPr>
        <w:t>. During the Term, if within twelve (12) months after a Sale Event,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214" w:lineRule="exact"/>
        <w:rPr>
          <w:rFonts w:ascii="Arial" w:cs="Arial" w:eastAsia="Arial" w:hAnsi="Arial"/>
          <w:sz w:val="22"/>
          <w:szCs w:val="22"/>
          <w:color w:val="auto"/>
        </w:rPr>
      </w:pPr>
    </w:p>
    <w:p>
      <w:pPr>
        <w:ind w:left="620" w:right="220" w:firstLine="1300"/>
        <w:spacing w:after="0" w:line="238" w:lineRule="auto"/>
        <w:tabs>
          <w:tab w:leader="none" w:pos="2556" w:val="left"/>
        </w:tabs>
        <w:numPr>
          <w:ilvl w:val="2"/>
          <w:numId w:val="12"/>
        </w:numPr>
        <w:rPr>
          <w:rFonts w:ascii="Arial" w:cs="Arial" w:eastAsia="Arial" w:hAnsi="Arial"/>
          <w:sz w:val="22"/>
          <w:szCs w:val="22"/>
          <w:color w:val="424242"/>
        </w:rPr>
      </w:pPr>
      <w:r>
        <w:rPr>
          <w:rFonts w:ascii="Arial" w:cs="Arial" w:eastAsia="Arial" w:hAnsi="Arial"/>
          <w:sz w:val="22"/>
          <w:szCs w:val="22"/>
          <w:color w:val="auto"/>
        </w:rPr>
        <w:t>the Company shall pay the Executive a lump sum in cash in an amount equal to the sum of (A) one (1) times the Executive’s current Base Salary (or the Executive’s Base Salary in effect immediately prior to the Sale Event, if higher) plus (B) one (1) times the Executive’s Target Incentive Compensation; and</w:t>
      </w:r>
    </w:p>
    <w:p>
      <w:pPr>
        <w:spacing w:after="0" w:line="212" w:lineRule="exact"/>
        <w:rPr>
          <w:sz w:val="20"/>
          <w:szCs w:val="20"/>
          <w:color w:val="auto"/>
        </w:rPr>
      </w:pPr>
    </w:p>
    <w:p>
      <w:pPr>
        <w:jc w:val="both"/>
        <w:ind w:left="600" w:right="100" w:firstLine="1306"/>
        <w:spacing w:after="0" w:line="235" w:lineRule="auto"/>
        <w:tabs>
          <w:tab w:leader="none" w:pos="2595" w:val="left"/>
        </w:tabs>
        <w:numPr>
          <w:ilvl w:val="0"/>
          <w:numId w:val="13"/>
        </w:numPr>
        <w:rPr>
          <w:rFonts w:ascii="Arial" w:cs="Arial" w:eastAsia="Arial" w:hAnsi="Arial"/>
          <w:sz w:val="22"/>
          <w:szCs w:val="22"/>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215" w:lineRule="exact"/>
        <w:rPr>
          <w:rFonts w:ascii="Arial" w:cs="Arial" w:eastAsia="Arial" w:hAnsi="Arial"/>
          <w:sz w:val="22"/>
          <w:szCs w:val="22"/>
          <w:color w:val="424242"/>
        </w:rPr>
      </w:pPr>
    </w:p>
    <w:p>
      <w:pPr>
        <w:ind w:left="640" w:right="20" w:firstLine="1307"/>
        <w:spacing w:after="0" w:line="279" w:lineRule="auto"/>
        <w:tabs>
          <w:tab w:leader="none" w:pos="2632" w:val="left"/>
        </w:tabs>
        <w:numPr>
          <w:ilvl w:val="1"/>
          <w:numId w:val="13"/>
        </w:numPr>
        <w:rPr>
          <w:rFonts w:ascii="Arial" w:cs="Arial" w:eastAsia="Arial" w:hAnsi="Arial"/>
          <w:sz w:val="18"/>
          <w:szCs w:val="18"/>
          <w:color w:val="424242"/>
        </w:rPr>
      </w:pPr>
      <w:r>
        <w:rPr>
          <w:rFonts w:ascii="Arial" w:cs="Arial" w:eastAsia="Arial" w:hAnsi="Arial"/>
          <w:sz w:val="19"/>
          <w:szCs w:val="19"/>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Start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78"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212" w:lineRule="exact"/>
        <w:rPr>
          <w:sz w:val="20"/>
          <w:szCs w:val="20"/>
          <w:color w:val="auto"/>
        </w:rPr>
      </w:pPr>
    </w:p>
    <w:p>
      <w:pPr>
        <w:ind w:left="1960" w:hanging="682"/>
        <w:spacing w:after="0"/>
        <w:tabs>
          <w:tab w:leader="none" w:pos="19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20" w:firstLine="1289"/>
        <w:spacing w:after="0" w:line="279" w:lineRule="auto"/>
        <w:tabs>
          <w:tab w:leader="none" w:pos="2531" w:val="left"/>
        </w:tabs>
        <w:numPr>
          <w:ilvl w:val="1"/>
          <w:numId w:val="14"/>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2800 of the Internal Revenue Code of 1986, as amended (the “Code”) and the applicable regulations thereunder (the “Aggregate Payments”), would be subject to the excise tax imposed by Section 4999 of the Code, then the</w:t>
      </w:r>
    </w:p>
    <w:p>
      <w:pPr>
        <w:spacing w:after="0" w:line="371" w:lineRule="exact"/>
        <w:rPr>
          <w:rFonts w:ascii="Arial" w:cs="Arial" w:eastAsia="Arial" w:hAnsi="Arial"/>
          <w:sz w:val="19"/>
          <w:szCs w:val="19"/>
          <w:color w:val="auto"/>
        </w:rPr>
      </w:pPr>
    </w:p>
    <w:p>
      <w:pPr>
        <w:ind w:left="4880" w:hanging="160"/>
        <w:spacing w:after="0"/>
        <w:tabs>
          <w:tab w:leader="none" w:pos="4880" w:val="left"/>
        </w:tabs>
        <w:numPr>
          <w:ilvl w:val="2"/>
          <w:numId w:val="14"/>
        </w:numPr>
        <w:rPr>
          <w:rFonts w:ascii="Arial" w:cs="Arial" w:eastAsia="Arial" w:hAnsi="Arial"/>
          <w:sz w:val="20"/>
          <w:szCs w:val="20"/>
          <w:color w:val="auto"/>
        </w:rPr>
      </w:pPr>
      <w:r>
        <w:rPr>
          <w:rFonts w:ascii="Arial" w:cs="Arial" w:eastAsia="Arial" w:hAnsi="Arial"/>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78740</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48" w:right="919" w:bottom="1440" w:gutter="0" w:footer="0" w:header="0"/>
        </w:sectPr>
      </w:pPr>
    </w:p>
    <w:bookmarkStart w:id="11" w:name="page12"/>
    <w:bookmarkEnd w:id="11"/>
    <w:p>
      <w:pPr>
        <w:ind w:left="200" w:right="20"/>
        <w:spacing w:after="0" w:line="272" w:lineRule="auto"/>
        <w:rPr>
          <w:sz w:val="20"/>
          <w:szCs w:val="20"/>
          <w:color w:val="auto"/>
        </w:rPr>
      </w:pPr>
      <w:r>
        <w:rPr>
          <w:rFonts w:ascii="Arial" w:cs="Arial" w:eastAsia="Arial" w:hAnsi="Arial"/>
          <w:sz w:val="19"/>
          <w:szCs w:val="19"/>
          <w:color w:val="auto"/>
        </w:rPr>
        <w:t>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2800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§1.2800-1, Q&amp;A-24(b) or (c) shall be reduced before any amounts that are subject to calculation under Treas. Reg. §1.2800-1, Q&amp;A- 24(b) or (c).</w:t>
      </w:r>
    </w:p>
    <w:p>
      <w:pPr>
        <w:spacing w:after="0" w:line="189" w:lineRule="exact"/>
        <w:rPr>
          <w:sz w:val="20"/>
          <w:szCs w:val="20"/>
          <w:color w:val="auto"/>
        </w:rPr>
      </w:pPr>
    </w:p>
    <w:p>
      <w:pPr>
        <w:ind w:left="160" w:firstLine="1296"/>
        <w:spacing w:after="0" w:line="275" w:lineRule="auto"/>
        <w:tabs>
          <w:tab w:leader="none" w:pos="2120" w:val="left"/>
        </w:tabs>
        <w:numPr>
          <w:ilvl w:val="1"/>
          <w:numId w:val="15"/>
        </w:numPr>
        <w:rPr>
          <w:rFonts w:ascii="Arial" w:cs="Arial" w:eastAsia="Arial" w:hAnsi="Arial"/>
          <w:sz w:val="19"/>
          <w:szCs w:val="19"/>
          <w:color w:val="auto"/>
        </w:rPr>
      </w:pPr>
      <w:r>
        <w:rPr>
          <w:rFonts w:ascii="Arial" w:cs="Arial" w:eastAsia="Arial" w:hAnsi="Arial"/>
          <w:sz w:val="19"/>
          <w:szCs w:val="19"/>
          <w:color w:val="auto"/>
        </w:rPr>
        <w:t>For purposes of this Section S(b),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5" w:lineRule="exact"/>
        <w:rPr>
          <w:rFonts w:ascii="Arial" w:cs="Arial" w:eastAsia="Arial" w:hAnsi="Arial"/>
          <w:sz w:val="19"/>
          <w:szCs w:val="19"/>
          <w:color w:val="auto"/>
        </w:rPr>
      </w:pPr>
    </w:p>
    <w:p>
      <w:pPr>
        <w:ind w:left="160" w:right="220" w:firstLine="1296"/>
        <w:spacing w:after="0" w:line="279" w:lineRule="auto"/>
        <w:tabs>
          <w:tab w:leader="none" w:pos="2205"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77" w:lineRule="exact"/>
        <w:rPr>
          <w:rFonts w:ascii="Arial" w:cs="Arial" w:eastAsia="Arial" w:hAnsi="Arial"/>
          <w:sz w:val="19"/>
          <w:szCs w:val="19"/>
          <w:color w:val="auto"/>
        </w:rPr>
      </w:pPr>
    </w:p>
    <w:p>
      <w:pPr>
        <w:ind w:left="-360" w:right="80" w:firstLine="1290"/>
        <w:spacing w:after="0" w:line="245" w:lineRule="auto"/>
        <w:tabs>
          <w:tab w:leader="none" w:pos="1567" w:val="left"/>
        </w:tabs>
        <w:numPr>
          <w:ilvl w:val="0"/>
          <w:numId w:val="16"/>
        </w:numPr>
        <w:rPr>
          <w:rFonts w:ascii="Arial" w:cs="Arial" w:eastAsia="Arial" w:hAnsi="Arial"/>
          <w:sz w:val="20"/>
          <w:szCs w:val="20"/>
          <w:color w:val="auto"/>
        </w:rPr>
      </w:pPr>
      <w:r>
        <w:rPr>
          <w:rFonts w:ascii="Arial" w:cs="Arial" w:eastAsia="Arial" w:hAnsi="Arial"/>
          <w:sz w:val="21"/>
          <w:szCs w:val="21"/>
          <w:u w:val="single" w:color="auto"/>
          <w:color w:val="auto"/>
        </w:rPr>
        <w:t>Sale Event Definition</w:t>
      </w:r>
      <w:r>
        <w:rPr>
          <w:rFonts w:ascii="Arial" w:cs="Arial" w:eastAsia="Arial" w:hAnsi="Arial"/>
          <w:sz w:val="21"/>
          <w:szCs w:val="21"/>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4460" w:hanging="160"/>
        <w:spacing w:after="0"/>
        <w:tabs>
          <w:tab w:leader="none" w:pos="4460" w:val="left"/>
        </w:tabs>
        <w:numPr>
          <w:ilvl w:val="2"/>
          <w:numId w:val="16"/>
        </w:numPr>
        <w:rPr>
          <w:rFonts w:ascii="Arial" w:cs="Arial" w:eastAsia="Arial" w:hAnsi="Arial"/>
          <w:sz w:val="20"/>
          <w:szCs w:val="20"/>
          <w:color w:val="auto"/>
        </w:rPr>
      </w:pPr>
      <w:r>
        <w:rPr>
          <w:rFonts w:ascii="Arial" w:cs="Arial" w:eastAsia="Arial" w:hAnsi="Arial"/>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78740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48" w:right="919" w:bottom="1440" w:gutter="0" w:footer="0" w:header="0"/>
        </w:sectPr>
      </w:pPr>
    </w:p>
    <w:bookmarkStart w:id="12" w:name="page13"/>
    <w:bookmarkEnd w:id="12"/>
    <w:p>
      <w:pPr>
        <w:ind w:left="40" w:right="140"/>
        <w:spacing w:after="0" w:line="251" w:lineRule="auto"/>
        <w:rPr>
          <w:sz w:val="20"/>
          <w:szCs w:val="20"/>
          <w:color w:val="auto"/>
        </w:rPr>
      </w:pPr>
      <w:r>
        <w:rPr>
          <w:rFonts w:ascii="Arial" w:cs="Arial" w:eastAsia="Arial" w:hAnsi="Arial"/>
          <w:sz w:val="22"/>
          <w:szCs w:val="22"/>
          <w:color w:val="auto"/>
        </w:rPr>
        <w:t>voting power of the Company or any successor entity immediately upon completion of the transaction other than as a result of the acquisition of securities directly from the Company.</w:t>
      </w:r>
    </w:p>
    <w:p>
      <w:pPr>
        <w:spacing w:after="0" w:line="200"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209" w:lineRule="exact"/>
        <w:rPr>
          <w:sz w:val="20"/>
          <w:szCs w:val="20"/>
          <w:color w:val="auto"/>
        </w:rPr>
      </w:pPr>
    </w:p>
    <w:p>
      <w:pPr>
        <w:ind w:left="1220" w:hanging="589"/>
        <w:spacing w:after="0"/>
        <w:tabs>
          <w:tab w:leader="none" w:pos="122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firstLine="1293"/>
        <w:spacing w:after="0" w:line="272" w:lineRule="auto"/>
        <w:tabs>
          <w:tab w:leader="none" w:pos="1941" w:val="left"/>
        </w:tabs>
        <w:numPr>
          <w:ilvl w:val="1"/>
          <w:numId w:val="17"/>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40" w:right="80" w:firstLine="1290"/>
        <w:spacing w:after="0" w:line="275" w:lineRule="auto"/>
        <w:tabs>
          <w:tab w:leader="none" w:pos="2020" w:val="left"/>
        </w:tabs>
        <w:numPr>
          <w:ilvl w:val="3"/>
          <w:numId w:val="17"/>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5" w:lineRule="exact"/>
        <w:rPr>
          <w:rFonts w:ascii="Arial" w:cs="Arial" w:eastAsia="Arial" w:hAnsi="Arial"/>
          <w:sz w:val="19"/>
          <w:szCs w:val="19"/>
          <w:color w:val="auto"/>
        </w:rPr>
      </w:pPr>
    </w:p>
    <w:p>
      <w:pPr>
        <w:ind w:left="20" w:right="120" w:firstLine="1285"/>
        <w:spacing w:after="0"/>
        <w:tabs>
          <w:tab w:leader="none" w:pos="1975" w:val="left"/>
        </w:tabs>
        <w:numPr>
          <w:ilvl w:val="2"/>
          <w:numId w:val="17"/>
        </w:numPr>
        <w:rPr>
          <w:rFonts w:ascii="Arial" w:cs="Arial" w:eastAsia="Arial" w:hAnsi="Arial"/>
          <w:sz w:val="22"/>
          <w:szCs w:val="22"/>
          <w:color w:val="auto"/>
        </w:rPr>
      </w:pPr>
      <w:r>
        <w:rPr>
          <w:rFonts w:ascii="Arial" w:cs="Arial" w:eastAsia="Arial" w:hAnsi="Arial"/>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4860" w:hanging="160"/>
        <w:spacing w:after="0"/>
        <w:tabs>
          <w:tab w:leader="none" w:pos="4860" w:val="left"/>
        </w:tabs>
        <w:numPr>
          <w:ilvl w:val="4"/>
          <w:numId w:val="17"/>
        </w:numPr>
        <w:rPr>
          <w:rFonts w:ascii="Arial" w:cs="Arial" w:eastAsia="Arial" w:hAnsi="Arial"/>
          <w:sz w:val="20"/>
          <w:szCs w:val="20"/>
          <w:color w:val="auto"/>
        </w:rPr>
      </w:pPr>
      <w:r>
        <w:rPr>
          <w:rFonts w:ascii="Arial" w:cs="Arial" w:eastAsia="Arial" w:hAnsi="Arial"/>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1040" w:top="348" w:right="919" w:bottom="1440" w:gutter="0" w:footer="0" w:header="0"/>
        </w:sectPr>
      </w:pPr>
    </w:p>
    <w:bookmarkStart w:id="13" w:name="page14"/>
    <w:bookmarkEnd w:id="13"/>
    <w:p>
      <w:pPr>
        <w:ind w:left="40" w:right="800"/>
        <w:spacing w:after="0" w:line="238" w:lineRule="auto"/>
        <w:rPr>
          <w:sz w:val="20"/>
          <w:szCs w:val="20"/>
          <w:color w:val="auto"/>
        </w:rPr>
      </w:pPr>
      <w:r>
        <w:rPr>
          <w:rFonts w:ascii="Arial" w:cs="Arial" w:eastAsia="Arial" w:hAnsi="Arial"/>
          <w:sz w:val="22"/>
          <w:szCs w:val="22"/>
          <w:color w:val="auto"/>
        </w:rPr>
        <w:t>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l(h).</w:t>
      </w:r>
    </w:p>
    <w:p>
      <w:pPr>
        <w:spacing w:after="0" w:line="212" w:lineRule="exact"/>
        <w:rPr>
          <w:sz w:val="20"/>
          <w:szCs w:val="20"/>
          <w:color w:val="auto"/>
        </w:rPr>
      </w:pPr>
    </w:p>
    <w:p>
      <w:pPr>
        <w:ind w:left="20" w:firstLine="1298"/>
        <w:spacing w:after="0" w:line="246" w:lineRule="auto"/>
        <w:tabs>
          <w:tab w:leader="none" w:pos="1993" w:val="left"/>
        </w:tabs>
        <w:numPr>
          <w:ilvl w:val="1"/>
          <w:numId w:val="18"/>
        </w:numPr>
        <w:rPr>
          <w:rFonts w:ascii="Arial" w:cs="Arial" w:eastAsia="Arial" w:hAnsi="Arial"/>
          <w:sz w:val="21"/>
          <w:szCs w:val="21"/>
          <w:color w:val="auto"/>
        </w:rPr>
      </w:pPr>
      <w:r>
        <w:rPr>
          <w:rFonts w:ascii="Arial" w:cs="Arial" w:eastAsia="Arial" w:hAnsi="Arial"/>
          <w:sz w:val="21"/>
          <w:szCs w:val="21"/>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J.409A-2(b)(2).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7" w:lineRule="exact"/>
        <w:rPr>
          <w:rFonts w:ascii="Arial" w:cs="Arial" w:eastAsia="Arial" w:hAnsi="Arial"/>
          <w:sz w:val="21"/>
          <w:szCs w:val="21"/>
          <w:color w:val="auto"/>
        </w:rPr>
      </w:pPr>
    </w:p>
    <w:p>
      <w:pPr>
        <w:ind w:left="1980" w:hanging="681"/>
        <w:spacing w:after="0"/>
        <w:tabs>
          <w:tab w:leader="none" w:pos="19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w:t>
      </w:r>
    </w:p>
    <w:p>
      <w:pPr>
        <w:spacing w:after="0" w:line="8" w:lineRule="exact"/>
        <w:rPr>
          <w:sz w:val="20"/>
          <w:szCs w:val="20"/>
          <w:color w:val="auto"/>
        </w:rPr>
      </w:pPr>
    </w:p>
    <w:p>
      <w:pPr>
        <w:ind w:right="500" w:firstLine="12"/>
        <w:spacing w:after="0" w:line="234" w:lineRule="auto"/>
        <w:rPr>
          <w:sz w:val="20"/>
          <w:szCs w:val="20"/>
          <w:color w:val="auto"/>
        </w:rPr>
      </w:pPr>
      <w:r>
        <w:rPr>
          <w:rFonts w:ascii="Arial" w:cs="Arial" w:eastAsia="Arial" w:hAnsi="Arial"/>
          <w:sz w:val="22"/>
          <w:szCs w:val="22"/>
          <w:color w:val="auto"/>
        </w:rPr>
        <w:t>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14" w:lineRule="exact"/>
        <w:rPr>
          <w:sz w:val="20"/>
          <w:szCs w:val="20"/>
          <w:color w:val="auto"/>
        </w:rPr>
      </w:pPr>
    </w:p>
    <w:p>
      <w:pPr>
        <w:ind w:left="40" w:right="100" w:firstLine="669"/>
        <w:spacing w:after="0" w:line="238" w:lineRule="auto"/>
        <w:tabs>
          <w:tab w:leader="none" w:pos="131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Executive agrees to the terms of the Non-Solicitation, Confidentiality and Assignment Agreement, dated as of the Start Date, by and between the Company and the Executive (the “Restrictive Covenant Agreement”), the terms of which are hereby incorporated by reference as material terms of this Agreement.</w:t>
      </w:r>
    </w:p>
    <w:p>
      <w:pPr>
        <w:spacing w:after="0" w:line="212" w:lineRule="exact"/>
        <w:rPr>
          <w:rFonts w:ascii="Arial" w:cs="Arial" w:eastAsia="Arial" w:hAnsi="Arial"/>
          <w:sz w:val="22"/>
          <w:szCs w:val="22"/>
          <w:color w:val="auto"/>
        </w:rPr>
      </w:pPr>
    </w:p>
    <w:p>
      <w:pPr>
        <w:ind w:left="60" w:right="100" w:firstLine="662"/>
        <w:spacing w:after="0" w:line="271" w:lineRule="auto"/>
        <w:tabs>
          <w:tab w:leader="none" w:pos="1309" w:val="left"/>
        </w:tabs>
        <w:numPr>
          <w:ilvl w:val="2"/>
          <w:numId w:val="20"/>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92" w:lineRule="exact"/>
        <w:rPr>
          <w:rFonts w:ascii="Arial" w:cs="Arial" w:eastAsia="Arial" w:hAnsi="Arial"/>
          <w:sz w:val="19"/>
          <w:szCs w:val="19"/>
          <w:color w:val="auto"/>
        </w:rPr>
      </w:pPr>
    </w:p>
    <w:p>
      <w:pPr>
        <w:ind w:left="20" w:right="680" w:firstLine="676"/>
        <w:spacing w:after="0" w:line="251" w:lineRule="auto"/>
        <w:tabs>
          <w:tab w:leader="none" w:pos="1281"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 To the extent that any court action is permitted consistent with or to enforce Section 8 of this Agreement, the parties hereby consent to the jurisdiction of</w:t>
      </w:r>
    </w:p>
    <w:p>
      <w:pPr>
        <w:spacing w:after="0" w:line="393" w:lineRule="exact"/>
        <w:rPr>
          <w:rFonts w:ascii="Arial" w:cs="Arial" w:eastAsia="Arial" w:hAnsi="Arial"/>
          <w:sz w:val="22"/>
          <w:szCs w:val="22"/>
          <w:color w:val="auto"/>
        </w:rPr>
      </w:pPr>
    </w:p>
    <w:p>
      <w:pPr>
        <w:ind w:left="4880" w:hanging="160"/>
        <w:spacing w:after="0"/>
        <w:tabs>
          <w:tab w:leader="none" w:pos="4880" w:val="left"/>
        </w:tabs>
        <w:numPr>
          <w:ilvl w:val="3"/>
          <w:numId w:val="21"/>
        </w:numPr>
        <w:rPr>
          <w:rFonts w:ascii="Arial" w:cs="Arial" w:eastAsia="Arial" w:hAnsi="Arial"/>
          <w:sz w:val="20"/>
          <w:szCs w:val="20"/>
          <w:color w:val="auto"/>
        </w:rPr>
      </w:pPr>
      <w:r>
        <w:rPr>
          <w:rFonts w:ascii="Arial" w:cs="Arial" w:eastAsia="Arial" w:hAnsi="Arial"/>
          <w:sz w:val="20"/>
          <w:szCs w:val="2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78740</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48" w:right="919" w:bottom="1440" w:gutter="0" w:footer="0" w:header="0"/>
        </w:sectPr>
      </w:pPr>
    </w:p>
    <w:bookmarkStart w:id="14" w:name="page15"/>
    <w:bookmarkEnd w:id="14"/>
    <w:p>
      <w:pPr>
        <w:ind w:right="100"/>
        <w:spacing w:after="0" w:line="287" w:lineRule="auto"/>
        <w:rPr>
          <w:sz w:val="20"/>
          <w:szCs w:val="20"/>
          <w:color w:val="auto"/>
        </w:rPr>
      </w:pPr>
      <w:r>
        <w:rPr>
          <w:rFonts w:ascii="Arial" w:cs="Arial" w:eastAsia="Arial" w:hAnsi="Arial"/>
          <w:sz w:val="19"/>
          <w:szCs w:val="19"/>
          <w:color w:val="auto"/>
        </w:rPr>
        <w:t>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0" w:lineRule="exact"/>
        <w:rPr>
          <w:sz w:val="20"/>
          <w:szCs w:val="20"/>
          <w:color w:val="auto"/>
        </w:rPr>
      </w:pPr>
    </w:p>
    <w:p>
      <w:pPr>
        <w:jc w:val="both"/>
        <w:ind w:right="260" w:firstLine="676"/>
        <w:spacing w:after="0" w:line="238" w:lineRule="auto"/>
        <w:tabs>
          <w:tab w:leader="none" w:pos="1369"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the subject matter hereof and supersedes all other prior agreements between the parties concerning such subject matter; provided that the Restrictive Covenant Agreement is expressly preserved and incorporated by reference herein.</w:t>
      </w:r>
    </w:p>
    <w:p>
      <w:pPr>
        <w:spacing w:after="0" w:line="212" w:lineRule="exact"/>
        <w:rPr>
          <w:rFonts w:ascii="Arial" w:cs="Arial" w:eastAsia="Arial" w:hAnsi="Arial"/>
          <w:sz w:val="22"/>
          <w:szCs w:val="22"/>
          <w:color w:val="auto"/>
        </w:rPr>
      </w:pPr>
    </w:p>
    <w:p>
      <w:pPr>
        <w:ind w:right="80" w:firstLine="663"/>
        <w:spacing w:after="0" w:line="274" w:lineRule="auto"/>
        <w:tabs>
          <w:tab w:leader="none" w:pos="1361"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All payments made by the Company to the Executive under this Agreement shall be net of any tax or other amounts required to be withheld by the Company under applicable law.</w:t>
      </w:r>
    </w:p>
    <w:p>
      <w:pPr>
        <w:spacing w:after="0" w:line="177" w:lineRule="exact"/>
        <w:rPr>
          <w:rFonts w:ascii="Arial" w:cs="Arial" w:eastAsia="Arial" w:hAnsi="Arial"/>
          <w:sz w:val="21"/>
          <w:szCs w:val="21"/>
          <w:color w:val="auto"/>
        </w:rPr>
      </w:pPr>
    </w:p>
    <w:p>
      <w:pPr>
        <w:ind w:left="60" w:right="40" w:firstLine="688"/>
        <w:spacing w:after="0" w:line="248" w:lineRule="auto"/>
        <w:tabs>
          <w:tab w:leader="none" w:pos="1449" w:val="left"/>
        </w:tabs>
        <w:numPr>
          <w:ilvl w:val="4"/>
          <w:numId w:val="23"/>
        </w:numPr>
        <w:rPr>
          <w:rFonts w:ascii="Arial" w:cs="Arial" w:eastAsia="Arial" w:hAnsi="Arial"/>
          <w:sz w:val="21"/>
          <w:szCs w:val="21"/>
          <w:color w:val="auto"/>
        </w:rPr>
      </w:pPr>
      <w:r>
        <w:rPr>
          <w:rFonts w:ascii="Arial" w:cs="Arial" w:eastAsia="Arial" w:hAnsi="Arial"/>
          <w:sz w:val="21"/>
          <w:szCs w:val="21"/>
          <w:u w:val="single" w:color="auto"/>
          <w:color w:val="auto"/>
        </w:rPr>
        <w:t>Successor to the Executive</w:t>
      </w:r>
      <w:r>
        <w:rPr>
          <w:rFonts w:ascii="Arial" w:cs="Arial" w:eastAsia="Arial" w:hAnsi="Arial"/>
          <w:sz w:val="21"/>
          <w:szCs w:val="21"/>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her under this Agreement, the Company shall continue such payments to the Executive’s beneficiary designated in writing to the Company prior to her death (or to her estate, if the Executive fails to make such designation).</w:t>
      </w:r>
    </w:p>
    <w:p>
      <w:pPr>
        <w:spacing w:after="0" w:line="204" w:lineRule="exact"/>
        <w:rPr>
          <w:rFonts w:ascii="Arial" w:cs="Arial" w:eastAsia="Arial" w:hAnsi="Arial"/>
          <w:sz w:val="21"/>
          <w:szCs w:val="21"/>
          <w:color w:val="auto"/>
        </w:rPr>
      </w:pPr>
    </w:p>
    <w:p>
      <w:pPr>
        <w:ind w:left="60" w:firstLine="681"/>
        <w:spacing w:after="0" w:line="235" w:lineRule="auto"/>
        <w:tabs>
          <w:tab w:leader="none" w:pos="1443" w:val="left"/>
        </w:tabs>
        <w:numPr>
          <w:ilvl w:val="4"/>
          <w:numId w:val="23"/>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15" w:lineRule="exact"/>
        <w:rPr>
          <w:rFonts w:ascii="Arial" w:cs="Arial" w:eastAsia="Arial" w:hAnsi="Arial"/>
          <w:sz w:val="22"/>
          <w:szCs w:val="22"/>
          <w:color w:val="auto"/>
        </w:rPr>
      </w:pPr>
    </w:p>
    <w:p>
      <w:pPr>
        <w:ind w:left="40" w:right="340" w:firstLine="681"/>
        <w:spacing w:after="0"/>
        <w:tabs>
          <w:tab w:leader="none" w:pos="1416" w:val="left"/>
        </w:tabs>
        <w:numPr>
          <w:ilvl w:val="3"/>
          <w:numId w:val="23"/>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213" w:lineRule="exact"/>
        <w:rPr>
          <w:rFonts w:ascii="Arial" w:cs="Arial" w:eastAsia="Arial" w:hAnsi="Arial"/>
          <w:sz w:val="22"/>
          <w:szCs w:val="22"/>
          <w:color w:val="auto"/>
        </w:rPr>
      </w:pPr>
    </w:p>
    <w:p>
      <w:pPr>
        <w:ind w:left="40" w:right="240" w:firstLine="668"/>
        <w:spacing w:after="0" w:line="252" w:lineRule="auto"/>
        <w:tabs>
          <w:tab w:leader="none" w:pos="1416" w:val="left"/>
        </w:tabs>
        <w:numPr>
          <w:ilvl w:val="2"/>
          <w:numId w:val="23"/>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1" w:lineRule="exact"/>
        <w:rPr>
          <w:rFonts w:ascii="Arial" w:cs="Arial" w:eastAsia="Arial" w:hAnsi="Arial"/>
          <w:sz w:val="21"/>
          <w:szCs w:val="21"/>
          <w:color w:val="auto"/>
        </w:rPr>
      </w:pPr>
    </w:p>
    <w:p>
      <w:pPr>
        <w:ind w:left="40" w:right="120" w:firstLine="662"/>
        <w:spacing w:after="0" w:line="238" w:lineRule="auto"/>
        <w:tabs>
          <w:tab w:leader="none" w:pos="1409" w:val="left"/>
        </w:tabs>
        <w:numPr>
          <w:ilvl w:val="2"/>
          <w:numId w:val="2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4820" w:hanging="170"/>
        <w:spacing w:after="0"/>
        <w:tabs>
          <w:tab w:leader="none" w:pos="4820" w:val="left"/>
        </w:tabs>
        <w:numPr>
          <w:ilvl w:val="5"/>
          <w:numId w:val="23"/>
        </w:numPr>
        <w:rPr>
          <w:rFonts w:ascii="Arial" w:cs="Arial" w:eastAsia="Arial" w:hAnsi="Arial"/>
          <w:sz w:val="20"/>
          <w:szCs w:val="20"/>
          <w:color w:val="auto"/>
        </w:rPr>
      </w:pPr>
      <w:r>
        <w:rPr>
          <w:rFonts w:ascii="Arial" w:cs="Arial" w:eastAsia="Arial" w:hAnsi="Arial"/>
          <w:sz w:val="20"/>
          <w:szCs w:val="2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1040" w:top="348" w:right="919" w:bottom="1440" w:gutter="0" w:footer="0" w:header="0"/>
        </w:sectPr>
      </w:pPr>
    </w:p>
    <w:bookmarkStart w:id="15" w:name="page16"/>
    <w:bookmarkEnd w:id="15"/>
    <w:p>
      <w:pPr>
        <w:ind w:left="40"/>
        <w:spacing w:after="0"/>
        <w:rPr>
          <w:sz w:val="20"/>
          <w:szCs w:val="20"/>
          <w:color w:val="auto"/>
        </w:rPr>
      </w:pPr>
      <w:r>
        <w:rPr>
          <w:rFonts w:ascii="Arial" w:cs="Arial" w:eastAsia="Arial" w:hAnsi="Arial"/>
          <w:sz w:val="22"/>
          <w:szCs w:val="22"/>
          <w:color w:val="auto"/>
        </w:rPr>
        <w:t>writing with the Company or, in the case of the Company, at its main offices, attention of the Board.</w:t>
      </w:r>
    </w:p>
    <w:p>
      <w:pPr>
        <w:spacing w:after="0" w:line="233" w:lineRule="exact"/>
        <w:rPr>
          <w:sz w:val="20"/>
          <w:szCs w:val="20"/>
          <w:color w:val="auto"/>
        </w:rPr>
      </w:pPr>
    </w:p>
    <w:p>
      <w:pPr>
        <w:ind w:left="40" w:right="220" w:firstLine="649"/>
        <w:spacing w:after="0" w:line="251" w:lineRule="auto"/>
        <w:tabs>
          <w:tab w:leader="none" w:pos="1397" w:val="left"/>
        </w:tabs>
        <w:numPr>
          <w:ilvl w:val="2"/>
          <w:numId w:val="2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200" w:lineRule="exact"/>
        <w:rPr>
          <w:rFonts w:ascii="Arial" w:cs="Arial" w:eastAsia="Arial" w:hAnsi="Arial"/>
          <w:sz w:val="22"/>
          <w:szCs w:val="22"/>
          <w:color w:val="auto"/>
        </w:rPr>
      </w:pPr>
    </w:p>
    <w:p>
      <w:pPr>
        <w:ind w:left="20" w:right="20" w:firstLine="669"/>
        <w:spacing w:after="0" w:line="236" w:lineRule="auto"/>
        <w:tabs>
          <w:tab w:leader="none" w:pos="1396" w:val="left"/>
        </w:tabs>
        <w:numPr>
          <w:ilvl w:val="2"/>
          <w:numId w:val="2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214" w:lineRule="exact"/>
        <w:rPr>
          <w:rFonts w:ascii="Arial" w:cs="Arial" w:eastAsia="Arial" w:hAnsi="Arial"/>
          <w:sz w:val="22"/>
          <w:szCs w:val="22"/>
          <w:color w:val="auto"/>
        </w:rPr>
      </w:pPr>
    </w:p>
    <w:p>
      <w:pPr>
        <w:ind w:right="20" w:firstLine="676"/>
        <w:spacing w:after="0"/>
        <w:tabs>
          <w:tab w:leader="none" w:pos="1369"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213" w:lineRule="exact"/>
        <w:rPr>
          <w:rFonts w:ascii="Arial" w:cs="Arial" w:eastAsia="Arial" w:hAnsi="Arial"/>
          <w:sz w:val="22"/>
          <w:szCs w:val="22"/>
          <w:color w:val="auto"/>
        </w:rPr>
      </w:pPr>
    </w:p>
    <w:p>
      <w:pPr>
        <w:ind w:firstLine="638"/>
        <w:spacing w:after="0" w:line="282" w:lineRule="auto"/>
        <w:tabs>
          <w:tab w:leader="none" w:pos="134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Successor to the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1040" w:top="348" w:right="919" w:bottom="1440" w:gutter="0" w:footer="0" w:header="0"/>
        </w:sectPr>
      </w:pPr>
    </w:p>
    <w:bookmarkStart w:id="16" w:name="page17"/>
    <w:bookmarkEnd w:id="16"/>
    <w:p>
      <w:pPr>
        <w:ind w:right="440"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BLUEPRINT MEDICINES CORPORATION</w:t>
      </w:r>
    </w:p>
    <w:p>
      <w:pPr>
        <w:spacing w:after="0" w:line="229"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26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426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26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Marion Dorsch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7620</wp:posOffset>
            </wp:positionV>
            <wp:extent cx="3190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Marion Dorsch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8" w:right="9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10.2</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233" w:lineRule="exact"/>
        <w:rPr>
          <w:sz w:val="20"/>
          <w:szCs w:val="20"/>
          <w:color w:val="auto"/>
        </w:rPr>
      </w:pPr>
    </w:p>
    <w:p>
      <w:pPr>
        <w:ind w:right="300" w:firstLine="648"/>
        <w:spacing w:after="0" w:line="237" w:lineRule="auto"/>
        <w:rPr>
          <w:sz w:val="20"/>
          <w:szCs w:val="20"/>
          <w:color w:val="auto"/>
        </w:rPr>
      </w:pPr>
      <w:r>
        <w:rPr>
          <w:rFonts w:ascii="Arial" w:cs="Arial" w:eastAsia="Arial" w:hAnsi="Arial"/>
          <w:sz w:val="22"/>
          <w:szCs w:val="22"/>
          <w:color w:val="auto"/>
        </w:rPr>
        <w:t>This First Amendment to Employment Agreement (this “</w:t>
      </w:r>
      <w:r>
        <w:rPr>
          <w:rFonts w:ascii="Arial" w:cs="Arial" w:eastAsia="Arial" w:hAnsi="Arial"/>
          <w:sz w:val="22"/>
          <w:szCs w:val="22"/>
          <w:b w:val="1"/>
          <w:bCs w:val="1"/>
          <w:color w:val="auto"/>
        </w:rPr>
        <w:t>First Amendment</w:t>
      </w:r>
      <w:r>
        <w:rPr>
          <w:rFonts w:ascii="Arial" w:cs="Arial" w:eastAsia="Arial" w:hAnsi="Arial"/>
          <w:sz w:val="22"/>
          <w:szCs w:val="22"/>
          <w:color w:val="auto"/>
        </w:rPr>
        <w:t>”) is dated as of November 9, 2016, between Blueprint Medicines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Christoph Lengauer (the “</w:t>
      </w:r>
      <w:r>
        <w:rPr>
          <w:rFonts w:ascii="Arial" w:cs="Arial" w:eastAsia="Arial" w:hAnsi="Arial"/>
          <w:sz w:val="22"/>
          <w:szCs w:val="22"/>
          <w:b w:val="1"/>
          <w:bCs w:val="1"/>
          <w:color w:val="auto"/>
        </w:rPr>
        <w:t>Executive</w:t>
      </w:r>
      <w:r>
        <w:rPr>
          <w:rFonts w:ascii="Arial" w:cs="Arial" w:eastAsia="Arial" w:hAnsi="Arial"/>
          <w:sz w:val="22"/>
          <w:szCs w:val="22"/>
          <w:color w:val="auto"/>
        </w:rPr>
        <w:t>”). Capitalized terms used and not defined herein shall have the meanings ascribed to such terms in the Employment Agreement (as defined herein). This First Amendment shall be effective as of November 21, 2016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216" w:lineRule="exact"/>
        <w:rPr>
          <w:sz w:val="20"/>
          <w:szCs w:val="20"/>
          <w:color w:val="auto"/>
        </w:rPr>
      </w:pPr>
    </w:p>
    <w:p>
      <w:pPr>
        <w:ind w:right="840" w:firstLine="648"/>
        <w:spacing w:after="0" w:line="251" w:lineRule="auto"/>
        <w:rPr>
          <w:sz w:val="20"/>
          <w:szCs w:val="20"/>
          <w:color w:val="auto"/>
        </w:rPr>
      </w:pPr>
      <w:r>
        <w:rPr>
          <w:rFonts w:ascii="Arial" w:cs="Arial" w:eastAsia="Arial" w:hAnsi="Arial"/>
          <w:sz w:val="22"/>
          <w:szCs w:val="22"/>
          <w:color w:val="auto"/>
        </w:rPr>
        <w:t>WHEREAS, the Company and the Executive are parties to the Employment Agreement dated as of November 6, 2015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and</w:t>
      </w:r>
    </w:p>
    <w:p>
      <w:pPr>
        <w:spacing w:after="0" w:line="17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WHEREAS, the Company and the Executive desire to amend the Employment Agreement as set forth below in connection with Executive’s mutually agreed-upon transition to a new employment role at the Company;</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for good and valuable consideration, the receipt of which is hereby confirmed,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Executive agree that the Employment Agreement is amended as follows:</w:t>
      </w:r>
    </w:p>
    <w:p>
      <w:pPr>
        <w:spacing w:after="0" w:line="215" w:lineRule="exact"/>
        <w:rPr>
          <w:sz w:val="20"/>
          <w:szCs w:val="20"/>
          <w:color w:val="auto"/>
        </w:rPr>
      </w:pPr>
    </w:p>
    <w:p>
      <w:pPr>
        <w:ind w:left="1240" w:hanging="592"/>
        <w:spacing w:after="0"/>
        <w:tabs>
          <w:tab w:leader="none" w:pos="12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Section 1(b) of the Employment Agreement shall be amended and restated as follows: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Commencing on the Effective Date, the Executive shall no longer serve as the</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Company’s Chief Scientific Officer but, instead, shall transition into the role of Executive Vice</w:t>
      </w:r>
    </w:p>
    <w:p>
      <w:pPr>
        <w:ind w:left="640"/>
        <w:spacing w:after="0"/>
        <w:rPr>
          <w:sz w:val="20"/>
          <w:szCs w:val="20"/>
          <w:color w:val="auto"/>
        </w:rPr>
      </w:pPr>
      <w:r>
        <w:rPr>
          <w:rFonts w:ascii="Arial" w:cs="Arial" w:eastAsia="Arial" w:hAnsi="Arial"/>
          <w:sz w:val="19"/>
          <w:szCs w:val="19"/>
          <w:color w:val="auto"/>
        </w:rPr>
        <w:t>President. As Executive Vice President, Executive shall perform services for the Company as determined by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Company’s Chief Executive Officer (“CEO”). The Executive acknowledges and agrees that his role as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Executive Vice President may change from time to time, and such changes shall not constitute “Good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Reason” as defined herein unless they constitute a material diminution in the Executive’s responsibilities,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authority or duties as Executive Vice President in the aggregate. As Executive Vice President, the Executive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shall devote one hundred percent (100%) of his full working time and efforts to the business and affairs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Company through and including December 31, 2016 and effective as of January 1, 2017, the Executive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will devote sixty percent (60%) of his full working time and efforts to the business and affairs of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Company. After January 1, 2017, the Executive may engage in outside professional activities including by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serving on other boards of directors, provided such activities do not pose a conflict of interest and are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approved in advance by the Board of Directors of the Company (the “Board”). The Executive may also</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engage in religious, charitable, or other community activities as long as such services and activities do not</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materially interfere with the Executive’s performance of his duties to the Company as provided in this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510540</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4" w:right="919" w:bottom="1440" w:gutter="0" w:footer="0" w:header="0"/>
        </w:sectPr>
      </w:pPr>
    </w:p>
    <w:bookmarkStart w:id="18" w:name="page19"/>
    <w:bookmarkEnd w:id="18"/>
    <w:p>
      <w:pPr>
        <w:ind w:left="1240" w:hanging="592"/>
        <w:spacing w:after="0"/>
        <w:tabs>
          <w:tab w:leader="none" w:pos="12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2(a) of the Employment Agreement shall be amended and restated as follows:</w:t>
      </w:r>
    </w:p>
    <w:p>
      <w:pPr>
        <w:spacing w:after="0" w:line="233" w:lineRule="exact"/>
        <w:rPr>
          <w:sz w:val="20"/>
          <w:szCs w:val="20"/>
          <w:color w:val="auto"/>
        </w:rPr>
      </w:pPr>
    </w:p>
    <w:p>
      <w:pPr>
        <w:ind w:left="640" w:right="100"/>
        <w:spacing w:after="0" w:line="279" w:lineRule="auto"/>
        <w:rPr>
          <w:sz w:val="20"/>
          <w:szCs w:val="20"/>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Executive’s annual base salary shall be $430,000 until January 1, 2017 when the Executive’s annual base salary shall be reduced to $258,000.13 (the “Base Salary”). The Executive’s base salary shall be re-determined annually by the Board or the Compensation Committee and shall be subject to increase but not decrease while serving in the role as Executive Vice President. The annual base salary in effect at any given time is referred to herein as “Base Salary.” The Base Salary shall be payable in a manner that is consistent with the Company’s usual payroll practices for senior executives.</w:t>
      </w:r>
    </w:p>
    <w:p>
      <w:pPr>
        <w:spacing w:after="0" w:line="178" w:lineRule="exact"/>
        <w:rPr>
          <w:sz w:val="20"/>
          <w:szCs w:val="20"/>
          <w:color w:val="auto"/>
        </w:rPr>
      </w:pPr>
    </w:p>
    <w:p>
      <w:pPr>
        <w:ind w:left="1240" w:hanging="592"/>
        <w:spacing w:after="0"/>
        <w:tabs>
          <w:tab w:leader="none" w:pos="12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2(e) of the Employment Agreement shall be amended and restated as follows:</w:t>
      </w:r>
    </w:p>
    <w:p>
      <w:pPr>
        <w:spacing w:after="0" w:line="233" w:lineRule="exact"/>
        <w:rPr>
          <w:sz w:val="20"/>
          <w:szCs w:val="20"/>
          <w:color w:val="auto"/>
        </w:rPr>
      </w:pPr>
    </w:p>
    <w:p>
      <w:pPr>
        <w:ind w:left="640" w:right="560"/>
        <w:spacing w:after="0" w:line="328" w:lineRule="auto"/>
        <w:rPr>
          <w:sz w:val="20"/>
          <w:szCs w:val="20"/>
          <w:color w:val="auto"/>
        </w:rPr>
      </w:pPr>
      <w:r>
        <w:rPr>
          <w:rFonts w:ascii="Arial" w:cs="Arial" w:eastAsia="Arial" w:hAnsi="Arial"/>
          <w:sz w:val="19"/>
          <w:szCs w:val="19"/>
          <w:u w:val="single" w:color="auto"/>
          <w:color w:val="auto"/>
        </w:rPr>
        <w:t>Vacations</w:t>
      </w:r>
      <w:r>
        <w:rPr>
          <w:rFonts w:ascii="Arial" w:cs="Arial" w:eastAsia="Arial" w:hAnsi="Arial"/>
          <w:sz w:val="19"/>
          <w:szCs w:val="19"/>
          <w:color w:val="auto"/>
        </w:rPr>
        <w:t>. Commencing on January 1, 2017, the Executive shall be entitled to accrue paid vacation in accordance with the Company’s applicable policy, pro-rated based on his part-time status.</w:t>
      </w:r>
    </w:p>
    <w:p>
      <w:pPr>
        <w:spacing w:after="0" w:line="132" w:lineRule="exact"/>
        <w:rPr>
          <w:sz w:val="20"/>
          <w:szCs w:val="20"/>
          <w:color w:val="auto"/>
        </w:rPr>
      </w:pPr>
    </w:p>
    <w:p>
      <w:pPr>
        <w:ind w:left="1240" w:hanging="592"/>
        <w:spacing w:after="0"/>
        <w:tabs>
          <w:tab w:leader="none" w:pos="12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second sentence of Section 3(d) of the Employment Agreement shall be amended and restated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ind w:left="640" w:right="20"/>
        <w:spacing w:after="0" w:line="245" w:lineRule="auto"/>
        <w:rPr>
          <w:sz w:val="20"/>
          <w:szCs w:val="20"/>
          <w:color w:val="auto"/>
        </w:rPr>
      </w:pPr>
      <w:r>
        <w:rPr>
          <w:rFonts w:ascii="Arial" w:cs="Arial" w:eastAsia="Arial" w:hAnsi="Arial"/>
          <w:sz w:val="21"/>
          <w:szCs w:val="21"/>
          <w:color w:val="auto"/>
        </w:rPr>
        <w:t>For purposes of this Agreement, “Good Reason” shall mean that the Executive has complied with the “Good Reason Process” (hereinafter defined) following the occurrence of any of the following events without the Executive’s express written consent: (i) subject to Section 1(b) of this Agreement,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w:t>
      </w:r>
    </w:p>
    <w:p>
      <w:pPr>
        <w:spacing w:after="0" w:line="212" w:lineRule="exact"/>
        <w:rPr>
          <w:sz w:val="20"/>
          <w:szCs w:val="20"/>
          <w:color w:val="auto"/>
        </w:rPr>
      </w:pPr>
    </w:p>
    <w:p>
      <w:pPr>
        <w:ind w:firstLine="648"/>
        <w:spacing w:after="0" w:line="234" w:lineRule="auto"/>
        <w:tabs>
          <w:tab w:leader="none" w:pos="123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Executive hereby gives his express written consent in this First Amendment for the changes described herein. Accordingly, the Executive acknowledges and agrees that the changes described herein shall not be the basis of a “Good Reason” trigger as defined in the Employment Agreement, and therefore Executive shall not be eligible to resign for Good Reason as a result of any such changes or in connection with the negotiation, execution and delivery of this First Amendment and shall not be eligible to receive the Severance Amount and monthly COBRA cash payment as detailed in Section 4(b) of the Employment Agreement based on such a resignation.</w:t>
      </w:r>
    </w:p>
    <w:p>
      <w:pPr>
        <w:spacing w:after="0" w:line="191" w:lineRule="exact"/>
        <w:rPr>
          <w:rFonts w:ascii="Arial" w:cs="Arial" w:eastAsia="Arial" w:hAnsi="Arial"/>
          <w:sz w:val="22"/>
          <w:szCs w:val="22"/>
          <w:color w:val="auto"/>
        </w:rPr>
      </w:pPr>
    </w:p>
    <w:p>
      <w:pPr>
        <w:ind w:right="440" w:firstLine="648"/>
        <w:spacing w:after="0"/>
        <w:tabs>
          <w:tab w:leader="none" w:pos="123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4980" w:hanging="180"/>
        <w:spacing w:after="0"/>
        <w:tabs>
          <w:tab w:leader="none" w:pos="49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9" w:name="page20"/>
    <w:bookmarkEnd w:id="19"/>
    <w:p>
      <w:pPr>
        <w:ind w:left="-140" w:right="360" w:firstLine="648"/>
        <w:spacing w:after="0" w:line="252" w:lineRule="auto"/>
        <w:tabs>
          <w:tab w:leader="none" w:pos="1099"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Executive hereby reaffirms his obligations under the terms of the Non-Solicitation, Non-Competition, Confidentiality and Assignment Agreement, dated as of November 25, 2011, by and between the Company and the Executive (the “</w:t>
      </w:r>
      <w:r>
        <w:rPr>
          <w:rFonts w:ascii="Arial" w:cs="Arial" w:eastAsia="Arial" w:hAnsi="Arial"/>
          <w:sz w:val="21"/>
          <w:szCs w:val="21"/>
          <w:b w:val="1"/>
          <w:bCs w:val="1"/>
          <w:color w:val="auto"/>
        </w:rPr>
        <w:t>Restrictive Covenant Agreement</w:t>
      </w:r>
      <w:r>
        <w:rPr>
          <w:rFonts w:ascii="Arial" w:cs="Arial" w:eastAsia="Arial" w:hAnsi="Arial"/>
          <w:sz w:val="21"/>
          <w:szCs w:val="21"/>
          <w:color w:val="auto"/>
        </w:rPr>
        <w:t>”), the terms of which are hereby are incorporated by reference as material terms of this First Amendment.</w:t>
      </w:r>
    </w:p>
    <w:p>
      <w:pPr>
        <w:spacing w:after="0" w:line="174" w:lineRule="exact"/>
        <w:rPr>
          <w:rFonts w:ascii="Arial" w:cs="Arial" w:eastAsia="Arial" w:hAnsi="Arial"/>
          <w:sz w:val="21"/>
          <w:szCs w:val="21"/>
          <w:color w:val="auto"/>
        </w:rPr>
      </w:pPr>
    </w:p>
    <w:p>
      <w:pPr>
        <w:ind w:left="-140" w:firstLine="648"/>
        <w:spacing w:after="0" w:line="282" w:lineRule="auto"/>
        <w:tabs>
          <w:tab w:leader="none" w:pos="110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47" w:lineRule="exact"/>
        <w:rPr>
          <w:rFonts w:ascii="Arial" w:cs="Arial" w:eastAsia="Arial" w:hAnsi="Arial"/>
          <w:sz w:val="19"/>
          <w:szCs w:val="19"/>
          <w:color w:val="auto"/>
        </w:rPr>
      </w:pPr>
    </w:p>
    <w:p>
      <w:pPr>
        <w:ind w:left="-140" w:right="320" w:firstLine="648"/>
        <w:spacing w:after="0" w:line="282" w:lineRule="auto"/>
        <w:tabs>
          <w:tab w:leader="none" w:pos="1103"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Except as amended hereby, the Employment Agreement remains in full force and effect and the Employment Agreement, as amended, represents the entire agreement among Executive and the Company, and there are no other agreements, written or oral, relating to the subject matter hereof. All references in the Employment Agreement to “this Agreement” (including “hereof”, “herein” and similar words or phrases) shall mean the Employment Agreement, as amended by this First Amendment.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on following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76200</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80"/>
          </w:cols>
          <w:pgMar w:left="1060" w:top="361" w:right="1059" w:bottom="1440" w:gutter="0" w:footer="0" w:header="0"/>
        </w:sectPr>
      </w:pPr>
    </w:p>
    <w:bookmarkStart w:id="20" w:name="page21"/>
    <w:bookmarkEnd w:id="20"/>
    <w:p>
      <w:pPr>
        <w:ind w:right="20" w:firstLine="648"/>
        <w:spacing w:after="0" w:line="251" w:lineRule="auto"/>
        <w:rPr>
          <w:sz w:val="20"/>
          <w:szCs w:val="20"/>
          <w:color w:val="auto"/>
        </w:rPr>
      </w:pPr>
      <w:r>
        <w:rPr>
          <w:rFonts w:ascii="Arial" w:cs="Arial" w:eastAsia="Arial" w:hAnsi="Arial"/>
          <w:sz w:val="22"/>
          <w:szCs w:val="22"/>
          <w:color w:val="auto"/>
        </w:rPr>
        <w:t>IN WITNESS WHEREOF, the undersigned have executed this First Amendment as of the date and year first above written.</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BLUEPRINT MEDICINES CORPORATION</w:t>
      </w:r>
    </w:p>
    <w:p>
      <w:pPr>
        <w:spacing w:after="0" w:line="229"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30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Christoph Lengauer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7620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Christoph Lengauer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510540</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21" w:name="page22"/>
    <w:bookmarkEnd w:id="21"/>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724025"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0" w:right="199" w:firstLine="17"/>
        <w:spacing w:after="0" w:line="323" w:lineRule="auto"/>
        <w:rPr>
          <w:sz w:val="20"/>
          <w:szCs w:val="20"/>
          <w:color w:val="auto"/>
        </w:rPr>
      </w:pPr>
      <w:r>
        <w:rPr>
          <w:rFonts w:ascii="Arial" w:cs="Arial" w:eastAsia="Arial" w:hAnsi="Arial"/>
          <w:sz w:val="18"/>
          <w:szCs w:val="18"/>
          <w:b w:val="1"/>
          <w:bCs w:val="1"/>
          <w:color w:val="auto"/>
        </w:rPr>
        <w:t>Blueprint Medicines Announces Appointment of Marion Dorsch, Ph.D. as Chief Scientific Officer and the Transition of Christoph Lengauer, Ph.D., MBA, to a Newly Created Executive Vice President Role</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 Effective November 21, 2016 --</w:t>
      </w:r>
    </w:p>
    <w:p>
      <w:pPr>
        <w:spacing w:after="0" w:line="229" w:lineRule="exact"/>
        <w:rPr>
          <w:sz w:val="20"/>
          <w:szCs w:val="20"/>
          <w:color w:val="auto"/>
        </w:rPr>
      </w:pPr>
    </w:p>
    <w:p>
      <w:pPr>
        <w:jc w:val="both"/>
        <w:ind w:left="160" w:right="139"/>
        <w:spacing w:after="0" w:line="242" w:lineRule="auto"/>
        <w:rPr>
          <w:sz w:val="20"/>
          <w:szCs w:val="20"/>
          <w:color w:val="auto"/>
        </w:rPr>
      </w:pPr>
      <w:r>
        <w:rPr>
          <w:rFonts w:ascii="Arial" w:cs="Arial" w:eastAsia="Arial" w:hAnsi="Arial"/>
          <w:sz w:val="20"/>
          <w:szCs w:val="20"/>
          <w:color w:val="auto"/>
        </w:rPr>
        <w:t>CAMBRIDGE, Mass., November 14, 2016 – Blueprint Medicines Corporation (NASDAQ: BPMC), a leader in discovering and developing targeted kinase medicines for patients with genomically defined diseases, today announced that Marion Dorsch, Ph.D., will succeed Christoph Lengauer, Ph.D., MBA, as Chief Scientific Officer, effective November 21, 2016. Dr. Dorsch will join the executive management team and will be responsible for setting the scientific strategy and priorities for Blueprint Medicines, as well as overseeing day-to-day research operations. Dr. Lengauer will transition to the role of Executive Vice President where he will drive an integrated approach to progressing Blueprint Medicines’ portfolio of investigational drugs.</w:t>
      </w:r>
    </w:p>
    <w:p>
      <w:pPr>
        <w:spacing w:after="0" w:line="211" w:lineRule="exact"/>
        <w:rPr>
          <w:sz w:val="20"/>
          <w:szCs w:val="20"/>
          <w:color w:val="auto"/>
        </w:rPr>
      </w:pPr>
    </w:p>
    <w:p>
      <w:pPr>
        <w:ind w:left="160" w:right="199"/>
        <w:spacing w:after="0" w:line="274" w:lineRule="auto"/>
        <w:rPr>
          <w:sz w:val="20"/>
          <w:szCs w:val="20"/>
          <w:color w:val="auto"/>
        </w:rPr>
      </w:pPr>
      <w:r>
        <w:rPr>
          <w:rFonts w:ascii="Arial" w:cs="Arial" w:eastAsia="Arial" w:hAnsi="Arial"/>
          <w:sz w:val="18"/>
          <w:szCs w:val="18"/>
          <w:color w:val="auto"/>
        </w:rPr>
        <w:t>“I am delighted to welcome Marion to Blueprint. She is a seasoned leader with a deep understanding of human biology and a wealth of experience identifying novel drug targets for cancer and rare genetic diseases, including significant experience in cancer immunology,” said Jeff Albers, Chief Executive Officer of Blueprint Medicines. “Her expertise driving drug discovery across both internal and partnered programs will be invaluable as we continue to explore the vast potential of kinase therapies. I am thrilled to have someone of Marion’s caliber and experience join our team, and I look forward to her contributions as we expand our efforts to improve the lives of patients who need new treatment options.”</w:t>
      </w:r>
    </w:p>
    <w:p>
      <w:pPr>
        <w:spacing w:after="0" w:line="183" w:lineRule="exact"/>
        <w:rPr>
          <w:sz w:val="20"/>
          <w:szCs w:val="20"/>
          <w:color w:val="auto"/>
        </w:rPr>
      </w:pPr>
    </w:p>
    <w:p>
      <w:pPr>
        <w:ind w:left="160" w:right="179"/>
        <w:spacing w:after="0" w:line="243" w:lineRule="auto"/>
        <w:rPr>
          <w:sz w:val="20"/>
          <w:szCs w:val="20"/>
          <w:color w:val="auto"/>
        </w:rPr>
      </w:pPr>
      <w:r>
        <w:rPr>
          <w:rFonts w:ascii="Arial" w:cs="Arial" w:eastAsia="Arial" w:hAnsi="Arial"/>
          <w:sz w:val="20"/>
          <w:szCs w:val="20"/>
          <w:color w:val="auto"/>
        </w:rPr>
        <w:t>“Christoph’s passion, vision and insights have been critical to Blueprint Medicines’ success to date, and I look forward to him bringing that same energy to his new role where he will continue to be a catalyst in the company’s success,” continued Mr. Albers. “Christoph is renowned throughout the industry as an expert in precision medicine, and in his new position, Christoph will continue to inform our strategy as well as drive an integrated approach to moving our compounds from discovery through development at a critical time for Blueprint as we progress our broad pipeline.”</w:t>
      </w:r>
    </w:p>
    <w:p>
      <w:pPr>
        <w:spacing w:after="0" w:line="210" w:lineRule="exact"/>
        <w:rPr>
          <w:sz w:val="20"/>
          <w:szCs w:val="20"/>
          <w:color w:val="auto"/>
        </w:rPr>
      </w:pPr>
    </w:p>
    <w:p>
      <w:pPr>
        <w:ind w:left="160" w:right="179"/>
        <w:spacing w:after="0" w:line="309" w:lineRule="auto"/>
        <w:rPr>
          <w:sz w:val="20"/>
          <w:szCs w:val="20"/>
          <w:color w:val="auto"/>
        </w:rPr>
      </w:pPr>
      <w:r>
        <w:rPr>
          <w:rFonts w:ascii="Arial" w:cs="Arial" w:eastAsia="Arial" w:hAnsi="Arial"/>
          <w:sz w:val="16"/>
          <w:szCs w:val="16"/>
          <w:color w:val="auto"/>
        </w:rPr>
        <w:t>Dr. Dorsch joins Blueprint Medicines from Agios Pharmaceuticals, Inc. (Agios) where she served as Vice President of Biology. In this role, she was responsible for novel target validation, drug discovery, and biomarker strategy across Agios’ cancer, rare genetic diseases and immuno-oncology portfolios. During her tenure at Agios, Dr. Dorsch contributed to the successful advancement of several molecules targeting defined genetic lesions into clinical trials. Prior to joining Agios, Dr. Dorsch was the Director of Cancer Biology at Sanofi Oncology, where she oversaw drug discovery efforts. Earlier in her career, Dr. Dorsch served as research project leader for sonidegib (Odomzo), now approved in the U.S. and EU for the treatment of locally advanced basal cell carcinoma, at the Novartis Institutes for Biomedical Research and also worked in Inflammation Discovery at Millennium Pharmaceuticals. Dr. Dorsch received her Ph.D. in Biology from the Free University of Berlin, Germany and was a postdoctoral fellow at Columbia University in New York.</w:t>
      </w:r>
    </w:p>
    <w:p>
      <w:pPr>
        <w:spacing w:after="0" w:line="394" w:lineRule="exact"/>
        <w:rPr>
          <w:sz w:val="20"/>
          <w:szCs w:val="20"/>
          <w:color w:val="auto"/>
        </w:rPr>
      </w:pPr>
    </w:p>
    <w:p>
      <w:pPr>
        <w:ind w:left="160" w:right="179"/>
        <w:spacing w:after="0" w:line="282" w:lineRule="auto"/>
        <w:rPr>
          <w:sz w:val="20"/>
          <w:szCs w:val="20"/>
          <w:color w:val="auto"/>
        </w:rPr>
      </w:pPr>
      <w:r>
        <w:rPr>
          <w:rFonts w:ascii="Arial" w:cs="Arial" w:eastAsia="Arial" w:hAnsi="Arial"/>
          <w:sz w:val="18"/>
          <w:szCs w:val="18"/>
          <w:color w:val="auto"/>
        </w:rPr>
        <w:t>“I am thrilled to join Blueprint Medicines at this exciting time,” said Dr. Dorsch. “The company’s novel drug discovery approach has demonstrated a unique ability to target both validated genomic drivers of disease, that have historically proven tough to address scientifically, as well as programs directed towards novel targets resulting from Blueprint’s genomic insights. I believe Blueprint Medicines has multiple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327660</wp:posOffset>
            </wp:positionV>
            <wp:extent cx="554863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160" w:right="419"/>
        <w:spacing w:after="0" w:line="250" w:lineRule="auto"/>
        <w:rPr>
          <w:sz w:val="20"/>
          <w:szCs w:val="20"/>
          <w:color w:val="auto"/>
        </w:rPr>
      </w:pPr>
      <w:r>
        <w:rPr>
          <w:rFonts w:ascii="Arial" w:cs="Arial" w:eastAsia="Arial" w:hAnsi="Arial"/>
          <w:sz w:val="20"/>
          <w:szCs w:val="20"/>
          <w:color w:val="auto"/>
        </w:rPr>
        <w:t>opportunities to expand its pipeline, and I look forward to working with the company’s scientists to further leverage Blueprint’s proprietary compound library to evaluate the role of unexplored kinases in driving disease.”</w:t>
      </w:r>
    </w:p>
    <w:p>
      <w:pPr>
        <w:spacing w:after="0" w:line="200" w:lineRule="exact"/>
        <w:rPr>
          <w:sz w:val="20"/>
          <w:szCs w:val="20"/>
          <w:color w:val="auto"/>
        </w:rPr>
      </w:pPr>
    </w:p>
    <w:p>
      <w:pPr>
        <w:ind w:left="160" w:right="159"/>
        <w:spacing w:after="0" w:line="256" w:lineRule="auto"/>
        <w:rPr>
          <w:sz w:val="20"/>
          <w:szCs w:val="20"/>
          <w:color w:val="auto"/>
        </w:rPr>
      </w:pPr>
      <w:r>
        <w:rPr>
          <w:rFonts w:ascii="Arial" w:cs="Arial" w:eastAsia="Arial" w:hAnsi="Arial"/>
          <w:sz w:val="19"/>
          <w:szCs w:val="19"/>
          <w:color w:val="auto"/>
        </w:rPr>
        <w:t>“Marion and I worked together closely at both Novartis and Sanofi, and I cannot imagine anyone better suited to take on the role of Chief Scientific Officer at Blueprint Medicines. Marion is a talented scientist and an excellent leader, making her the perfect fit to direct and continue to build the science organization. I am personally very excited to have the opportunity to work with Marion again, and believe our complementary contributions will best position Blueprint in its mission to bring transformative medicines to patients,” said Dr. Lengauer. “I am also thrilled to be staying intimately involved with Blueprint in a role that has the unique strategic imperative to integrate cross functional efforts across the exceptional talents throughout Blueprint and to balance our focus between the broad strategic view and day-to-day execution on our exciting pipeline of investigational drugs.”</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ind w:left="160" w:right="139"/>
        <w:spacing w:after="0" w:line="276" w:lineRule="auto"/>
        <w:rPr>
          <w:sz w:val="20"/>
          <w:szCs w:val="20"/>
          <w:color w:val="auto"/>
        </w:rPr>
      </w:pPr>
      <w:r>
        <w:rPr>
          <w:rFonts w:ascii="Arial" w:cs="Arial" w:eastAsia="Arial" w:hAnsi="Arial"/>
          <w:sz w:val="18"/>
          <w:szCs w:val="18"/>
          <w:color w:val="auto"/>
        </w:rPr>
        <w:t>Blueprint Medicines is developing a new generation of targeted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ind w:left="160" w:right="159"/>
        <w:spacing w:after="0" w:line="268"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companion diagnostics for BLU-554 with Ventana Medical Systems, Inc. and for BLU-285 with QIAGEN Manchester Limited;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2016, 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3" w:name="page24"/>
    <w:bookmarkEnd w:id="23"/>
    <w:p>
      <w:pPr>
        <w:ind w:left="160" w:right="219"/>
        <w:spacing w:after="0" w:line="244" w:lineRule="auto"/>
        <w:rPr>
          <w:sz w:val="20"/>
          <w:szCs w:val="20"/>
          <w:color w:val="auto"/>
        </w:rPr>
      </w:pPr>
      <w:r>
        <w:rPr>
          <w:rFonts w:ascii="Arial" w:cs="Arial" w:eastAsia="Arial" w:hAnsi="Arial"/>
          <w:sz w:val="20"/>
          <w:szCs w:val="20"/>
          <w:color w:val="auto"/>
        </w:rPr>
        <w:t>with the Securities and Exchange Commission (SEC) on November 10,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Williams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Blueprint Medicines Corporation</w:t>
      </w: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kwilliams@blueprintmedicines.com</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Rachel Hutman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W2O Group</w:t>
      </w:r>
    </w:p>
    <w:p>
      <w:pPr>
        <w:ind w:left="160"/>
        <w:spacing w:after="0"/>
        <w:rPr>
          <w:sz w:val="20"/>
          <w:szCs w:val="20"/>
          <w:color w:val="auto"/>
        </w:rPr>
      </w:pPr>
      <w:r>
        <w:rPr>
          <w:rFonts w:ascii="Arial" w:cs="Arial" w:eastAsia="Arial" w:hAnsi="Arial"/>
          <w:sz w:val="20"/>
          <w:szCs w:val="20"/>
          <w:color w:val="auto"/>
        </w:rPr>
        <w:t>301-801-5540</w:t>
      </w:r>
    </w:p>
    <w:p>
      <w:pPr>
        <w:ind w:left="160"/>
        <w:spacing w:after="0"/>
        <w:rPr>
          <w:sz w:val="20"/>
          <w:szCs w:val="20"/>
          <w:color w:val="auto"/>
        </w:rPr>
      </w:pPr>
      <w:r>
        <w:rPr>
          <w:rFonts w:ascii="Arial" w:cs="Arial" w:eastAsia="Arial" w:hAnsi="Arial"/>
          <w:sz w:val="20"/>
          <w:szCs w:val="20"/>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789305</wp:posOffset>
            </wp:positionV>
            <wp:extent cx="554863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
    <w:nsid w:val="519B500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
    <w:nsid w:val="431BD7B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5"/>
    </w:lvl>
    <w:lvl w:ilvl="4">
      <w:lvlJc w:val="left"/>
      <w:lvlText w:val="%5"/>
      <w:numFmt w:val="lowerLetter"/>
      <w:start w:val="1"/>
    </w:lvl>
    <w:lvl w:ilvl="5">
      <w:lvlJc w:val="left"/>
      <w:lvlText w:val="-"/>
      <w:numFmt w:val="bullet"/>
      <w:start w:val="1"/>
    </w:lvl>
  </w:abstractNum>
  <w:abstractNum w:abstractNumId="4">
    <w:nsid w:val="3F2DBA3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
      <w:numFmt w:val="bullet"/>
      <w:start w:val="1"/>
    </w:lvl>
  </w:abstractNum>
  <w:abstractNum w:abstractNumId="5">
    <w:nsid w:val="7C83E458"/>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lvl w:ilvl="3">
      <w:lvlJc w:val="left"/>
      <w:lvlText w:val="-"/>
      <w:numFmt w:val="bullet"/>
      <w:start w:val="1"/>
    </w:lvl>
  </w:abstractNum>
  <w:abstractNum w:abstractNumId="6">
    <w:nsid w:val="257130A3"/>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6"/>
    </w:lvl>
    <w:lvl w:ilvl="3">
      <w:lvlJc w:val="left"/>
      <w:lvlText w:val="(%4)"/>
      <w:numFmt w:val="lowerLetter"/>
      <w:start w:val="7"/>
    </w:lvl>
    <w:lvl w:ilvl="4">
      <w:lvlJc w:val="left"/>
      <w:lvlText w:val="-"/>
      <w:numFmt w:val="bullet"/>
      <w:start w:val="1"/>
    </w:lvl>
  </w:abstractNum>
  <w:abstractNum w:abstractNumId="7">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
      <w:numFmt w:val="bullet"/>
      <w:start w:val="1"/>
    </w:lvl>
  </w:abstractNum>
  <w:abstractNum w:abstractNumId="8">
    <w:nsid w:val="436C6125"/>
    <w:multiLevelType w:val="hybridMultilevel"/>
    <w:lvl w:ilvl="0">
      <w:lvlJc w:val="left"/>
      <w:lvlText w:val="(%1)"/>
      <w:numFmt w:val="lowerLetter"/>
      <w:start w:val="2"/>
    </w:lvl>
    <w:lvl w:ilvl="1">
      <w:lvlJc w:val="left"/>
      <w:lvlText w:val="(%2)"/>
      <w:numFmt w:val="lowerLetter"/>
      <w:start w:val="9"/>
    </w:lvl>
  </w:abstractNum>
  <w:abstractNum w:abstractNumId="9">
    <w:nsid w:val="628C895D"/>
    <w:multiLevelType w:val="hybridMultilevel"/>
    <w:lvl w:ilvl="0">
      <w:lvlJc w:val="left"/>
      <w:lvlText w:val="(%1)"/>
      <w:numFmt w:val="lowerRoman"/>
      <w:start w:val="2"/>
    </w:lvl>
  </w:abstractNum>
  <w:abstractNum w:abstractNumId="10">
    <w:nsid w:val="333AB105"/>
    <w:multiLevelType w:val="hybridMultilevel"/>
    <w:lvl w:ilvl="0">
      <w:lvlJc w:val="left"/>
      <w:lvlText w:val="%1."/>
      <w:numFmt w:val="decimal"/>
      <w:start w:val="5"/>
    </w:lvl>
    <w:lvl w:ilvl="1">
      <w:lvlJc w:val="left"/>
      <w:lvlText w:val="-"/>
      <w:numFmt w:val="bullet"/>
      <w:start w:val="1"/>
    </w:lvl>
  </w:abstractNum>
  <w:abstractNum w:abstractNumId="11">
    <w:nsid w:val="721DA317"/>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12">
    <w:nsid w:val="2443A858"/>
    <w:multiLevelType w:val="hybridMultilevel"/>
    <w:lvl w:ilvl="0">
      <w:lvlJc w:val="left"/>
      <w:lvlText w:val="(%1)"/>
      <w:numFmt w:val="lowerRoman"/>
      <w:start w:val="2"/>
    </w:lvl>
    <w:lvl w:ilvl="1">
      <w:lvlJc w:val="left"/>
      <w:lvlText w:val="(%2)"/>
      <w:numFmt w:val="lowerRoman"/>
      <w:start w:val="3"/>
    </w:lvl>
  </w:abstractNum>
  <w:abstractNum w:abstractNumId="13">
    <w:nsid w:val="2D1D5AE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
    <w:nsid w:val="6763845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5">
    <w:nsid w:val="75A2A8D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6">
    <w:nsid w:val="8EDBDA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2"/>
    </w:lvl>
    <w:lvl w:ilvl="4">
      <w:lvlJc w:val="left"/>
      <w:lvlText w:val="-"/>
      <w:numFmt w:val="bullet"/>
      <w:start w:val="1"/>
    </w:lvl>
  </w:abstractNum>
  <w:abstractNum w:abstractNumId="17">
    <w:nsid w:val="79838CB2"/>
    <w:multiLevelType w:val="hybridMultilevel"/>
    <w:lvl w:ilvl="0">
      <w:lvlJc w:val="left"/>
      <w:lvlText w:val="%1"/>
      <w:numFmt w:val="lowerLetter"/>
      <w:start w:val="1"/>
    </w:lvl>
    <w:lvl w:ilvl="1">
      <w:lvlJc w:val="left"/>
      <w:lvlText w:val="(%2)"/>
      <w:numFmt w:val="lowerLetter"/>
      <w:start w:val="4"/>
    </w:lvl>
  </w:abstractNum>
  <w:abstractNum w:abstractNumId="18">
    <w:nsid w:val="4353D0CD"/>
    <w:multiLevelType w:val="hybridMultilevel"/>
    <w:lvl w:ilvl="0">
      <w:lvlJc w:val="left"/>
      <w:lvlText w:val="(%1)"/>
      <w:numFmt w:val="lowerLetter"/>
      <w:start w:val="5"/>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lvl w:ilvl="3">
      <w:lvlJc w:val="left"/>
      <w:lvlText w:val="-"/>
      <w:numFmt w:val="bullet"/>
      <w:start w:val="1"/>
    </w:lvl>
  </w:abstractNum>
  <w:abstractNum w:abstractNumId="20">
    <w:nsid w:val="189A769B"/>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lvl w:ilvl="3">
      <w:lvlJc w:val="left"/>
      <w:lvlText w:val="-"/>
      <w:numFmt w:val="bullet"/>
      <w:start w:val="1"/>
    </w:lvl>
  </w:abstractNum>
  <w:abstractNum w:abstractNumId="21">
    <w:nsid w:val="54E49EB4"/>
    <w:multiLevelType w:val="hybridMultilevel"/>
    <w:lvl w:ilvl="0">
      <w:lvlJc w:val="left"/>
      <w:lvlText w:val="%1"/>
      <w:numFmt w:val="decimal"/>
      <w:start w:val="1"/>
    </w:lvl>
    <w:lvl w:ilvl="1">
      <w:lvlJc w:val="left"/>
      <w:lvlText w:val="%2."/>
      <w:numFmt w:val="decimal"/>
      <w:start w:val="10"/>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
      <w:numFmt w:val="bullet"/>
      <w:start w:val="1"/>
    </w:lvl>
  </w:abstractNum>
  <w:abstractNum w:abstractNumId="22">
    <w:nsid w:val="71F32454"/>
    <w:multiLevelType w:val="hybridMultilevel"/>
    <w:lvl w:ilvl="0">
      <w:lvlJc w:val="left"/>
      <w:lvlText w:val="%1."/>
      <w:numFmt w:val="decimal"/>
      <w:start w:val="11"/>
    </w:lvl>
    <w:lvl w:ilvl="1">
      <w:lvlJc w:val="left"/>
      <w:lvlText w:val="%2"/>
      <w:numFmt w:val="decimal"/>
      <w:start w:val="1"/>
    </w:lvl>
    <w:lvl w:ilvl="2">
      <w:lvlJc w:val="left"/>
      <w:lvlText w:val="%3."/>
      <w:numFmt w:val="decimal"/>
      <w:start w:val="14"/>
    </w:lvl>
    <w:lvl w:ilvl="3">
      <w:lvlJc w:val="left"/>
      <w:lvlText w:val="%4."/>
      <w:numFmt w:val="decimal"/>
      <w:start w:val="13"/>
    </w:lvl>
    <w:lvl w:ilvl="4">
      <w:lvlJc w:val="left"/>
      <w:lvlText w:val="%5."/>
      <w:numFmt w:val="decimal"/>
      <w:start w:val="12"/>
    </w:lvl>
    <w:lvl w:ilvl="5">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7"/>
    </w:lvl>
  </w:abstractNum>
  <w:abstractNum w:abstractNumId="24">
    <w:nsid w:val="836C40E"/>
    <w:multiLevelType w:val="hybridMultilevel"/>
    <w:lvl w:ilvl="0">
      <w:lvlJc w:val="left"/>
      <w:lvlText w:val="%1"/>
      <w:numFmt w:val="decimal"/>
      <w:start w:val="1"/>
    </w:lvl>
    <w:lvl w:ilvl="1">
      <w:lvlJc w:val="left"/>
      <w:lvlText w:val="%2."/>
      <w:numFmt w:val="decimal"/>
      <w:start w:val="19"/>
    </w:lvl>
    <w:lvl w:ilvl="2">
      <w:lvlJc w:val="left"/>
      <w:lvlText w:val="%3"/>
      <w:numFmt w:val="decimal"/>
      <w:start w:val="1"/>
    </w:lvl>
  </w:abstractNum>
  <w:abstractNum w:abstractNumId="25">
    <w:nsid w:val="2901D82"/>
    <w:multiLevelType w:val="hybridMultilevel"/>
    <w:lvl w:ilvl="0">
      <w:lvlJc w:val="left"/>
      <w:lvlText w:val="%1."/>
      <w:numFmt w:val="decimal"/>
      <w:start w:val="20"/>
    </w:lvl>
    <w:lvl w:ilvl="1">
      <w:lvlJc w:val="left"/>
      <w:lvlText w:val="%2"/>
      <w:numFmt w:val="decimal"/>
      <w:start w:val="1"/>
    </w:lvl>
    <w:lvl w:ilvl="2">
      <w:lvlJc w:val="left"/>
      <w:lvlText w:val="%3"/>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3"/>
    </w:lvl>
  </w:abstractNum>
  <w:abstractNum w:abstractNumId="29">
    <w:nsid w:val="7C3DBD3D"/>
    <w:multiLevelType w:val="hybridMultilevel"/>
    <w:lvl w:ilvl="0">
      <w:lvlJc w:val="left"/>
      <w:lvlText w:val="%1."/>
      <w:numFmt w:val="decimal"/>
      <w:start w:val="4"/>
    </w:lvl>
  </w:abstractNum>
  <w:abstractNum w:abstractNumId="30">
    <w:nsid w:val="737B8DDC"/>
    <w:multiLevelType w:val="hybridMultilevel"/>
    <w:lvl w:ilvl="0">
      <w:lvlJc w:val="left"/>
      <w:lvlText w:val="%1."/>
      <w:numFmt w:val="decimal"/>
      <w:start w:val="5"/>
    </w:lvl>
    <w:lvl w:ilvl="1">
      <w:lvlJc w:val="left"/>
      <w:lvlText w:val="-"/>
      <w:numFmt w:val="bullet"/>
      <w:start w:val="1"/>
    </w:lvl>
  </w:abstractNum>
  <w:abstractNum w:abstractNumId="31">
    <w:nsid w:val="6CEAF08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2019-12-09T00:26:44Z</dcterms:created>
  <dcterms:modified xsi:type="dcterms:W3CDTF">2019-12-09T00:26:44Z</dcterms:modified>
</cp:coreProperties>
</file>