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287"/>
        </w:trPr>
        <w:tc>
          <w:tcPr>
            <w:tcW w:w="1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60" w:type="dxa"/>
            <w:vAlign w:val="bottom"/>
            <w:gridSpan w:val="2"/>
          </w:tcPr>
          <w:p>
            <w:pPr>
              <w:jc w:val="center"/>
              <w:ind w:right="1620"/>
              <w:spacing w:after="0"/>
              <w:rPr>
                <w:sz w:val="20"/>
                <w:szCs w:val="20"/>
                <w:color w:val="auto"/>
              </w:rPr>
            </w:pPr>
            <w:r>
              <w:rPr>
                <w:rFonts w:ascii="Arial" w:cs="Arial" w:eastAsia="Arial" w:hAnsi="Arial"/>
                <w:sz w:val="25"/>
                <w:szCs w:val="25"/>
                <w:b w:val="1"/>
                <w:bCs w:val="1"/>
                <w:color w:val="auto"/>
              </w:rPr>
              <w:t>UNITED STATES</w:t>
            </w:r>
          </w:p>
        </w:tc>
      </w:tr>
      <w:tr>
        <w:trPr>
          <w:trHeight w:val="298"/>
        </w:trPr>
        <w:tc>
          <w:tcPr>
            <w:tcW w:w="1560" w:type="dxa"/>
            <w:vAlign w:val="bottom"/>
          </w:tcPr>
          <w:p>
            <w:pPr>
              <w:spacing w:after="0"/>
              <w:rPr>
                <w:sz w:val="24"/>
                <w:szCs w:val="24"/>
                <w:color w:val="auto"/>
              </w:rPr>
            </w:pPr>
          </w:p>
        </w:tc>
        <w:tc>
          <w:tcPr>
            <w:tcW w:w="5660" w:type="dxa"/>
            <w:vAlign w:val="bottom"/>
            <w:gridSpan w:val="3"/>
          </w:tcPr>
          <w:p>
            <w:pPr>
              <w:jc w:val="center"/>
              <w:ind w:left="90"/>
              <w:spacing w:after="0"/>
              <w:rPr>
                <w:sz w:val="20"/>
                <w:szCs w:val="20"/>
                <w:color w:val="auto"/>
              </w:rPr>
            </w:pPr>
            <w:r>
              <w:rPr>
                <w:rFonts w:ascii="Arial" w:cs="Arial" w:eastAsia="Arial" w:hAnsi="Arial"/>
                <w:sz w:val="25"/>
                <w:szCs w:val="25"/>
                <w:b w:val="1"/>
                <w:bCs w:val="1"/>
                <w:color w:val="auto"/>
              </w:rPr>
              <w:t>SECURITIES AND EXCHANGE COMMISSION</w:t>
            </w:r>
          </w:p>
        </w:tc>
      </w:tr>
      <w:tr>
        <w:trPr>
          <w:trHeight w:val="219"/>
        </w:trPr>
        <w:tc>
          <w:tcPr>
            <w:tcW w:w="1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860" w:type="dxa"/>
            <w:vAlign w:val="bottom"/>
            <w:gridSpan w:val="2"/>
          </w:tcPr>
          <w:p>
            <w:pPr>
              <w:jc w:val="center"/>
              <w:ind w:right="1620"/>
              <w:spacing w:after="0"/>
              <w:rPr>
                <w:sz w:val="20"/>
                <w:szCs w:val="20"/>
                <w:color w:val="auto"/>
              </w:rPr>
            </w:pPr>
            <w:r>
              <w:rPr>
                <w:rFonts w:ascii="Arial" w:cs="Arial" w:eastAsia="Arial" w:hAnsi="Arial"/>
                <w:sz w:val="17"/>
                <w:szCs w:val="17"/>
                <w:b w:val="1"/>
                <w:bCs w:val="1"/>
                <w:color w:val="auto"/>
                <w:w w:val="91"/>
              </w:rPr>
              <w:t>Washington, D.C. 20549</w:t>
            </w:r>
          </w:p>
        </w:tc>
      </w:tr>
      <w:tr>
        <w:trPr>
          <w:trHeight w:val="78"/>
        </w:trPr>
        <w:tc>
          <w:tcPr>
            <w:tcW w:w="15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r>
      <w:tr>
        <w:trPr>
          <w:trHeight w:val="383"/>
        </w:trPr>
        <w:tc>
          <w:tcPr>
            <w:tcW w:w="1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60" w:type="dxa"/>
            <w:vAlign w:val="bottom"/>
            <w:gridSpan w:val="2"/>
          </w:tcPr>
          <w:p>
            <w:pPr>
              <w:jc w:val="center"/>
              <w:ind w:right="1600"/>
              <w:spacing w:after="0"/>
              <w:rPr>
                <w:sz w:val="20"/>
                <w:szCs w:val="20"/>
                <w:color w:val="auto"/>
              </w:rPr>
            </w:pPr>
            <w:r>
              <w:rPr>
                <w:rFonts w:ascii="Arial" w:cs="Arial" w:eastAsia="Arial" w:hAnsi="Arial"/>
                <w:sz w:val="25"/>
                <w:szCs w:val="25"/>
                <w:b w:val="1"/>
                <w:bCs w:val="1"/>
                <w:color w:val="auto"/>
                <w:w w:val="99"/>
              </w:rPr>
              <w:t>SCHEDULE 14A</w:t>
            </w:r>
          </w:p>
        </w:tc>
      </w:tr>
      <w:tr>
        <w:trPr>
          <w:trHeight w:val="200"/>
        </w:trPr>
        <w:tc>
          <w:tcPr>
            <w:tcW w:w="1560" w:type="dxa"/>
            <w:vAlign w:val="bottom"/>
          </w:tcPr>
          <w:p>
            <w:pPr>
              <w:spacing w:after="0"/>
              <w:rPr>
                <w:sz w:val="17"/>
                <w:szCs w:val="17"/>
                <w:color w:val="auto"/>
              </w:rPr>
            </w:pPr>
          </w:p>
        </w:tc>
        <w:tc>
          <w:tcPr>
            <w:tcW w:w="5660" w:type="dxa"/>
            <w:vAlign w:val="bottom"/>
            <w:gridSpan w:val="3"/>
          </w:tcPr>
          <w:p>
            <w:pPr>
              <w:jc w:val="center"/>
              <w:ind w:left="110"/>
              <w:spacing w:after="0"/>
              <w:rPr>
                <w:sz w:val="20"/>
                <w:szCs w:val="20"/>
                <w:color w:val="auto"/>
              </w:rPr>
            </w:pPr>
            <w:r>
              <w:rPr>
                <w:rFonts w:ascii="Arial" w:cs="Arial" w:eastAsia="Arial" w:hAnsi="Arial"/>
                <w:sz w:val="17"/>
                <w:szCs w:val="17"/>
                <w:b w:val="1"/>
                <w:bCs w:val="1"/>
                <w:color w:val="auto"/>
                <w:w w:val="89"/>
              </w:rPr>
              <w:t>Proxy Statement Pursuant to Section 14(a) of the</w:t>
            </w:r>
          </w:p>
        </w:tc>
      </w:tr>
      <w:tr>
        <w:trPr>
          <w:trHeight w:val="191"/>
        </w:trPr>
        <w:tc>
          <w:tcPr>
            <w:tcW w:w="1560" w:type="dxa"/>
            <w:vAlign w:val="bottom"/>
          </w:tcPr>
          <w:p>
            <w:pPr>
              <w:spacing w:after="0"/>
              <w:rPr>
                <w:sz w:val="16"/>
                <w:szCs w:val="16"/>
                <w:color w:val="auto"/>
              </w:rPr>
            </w:pPr>
          </w:p>
        </w:tc>
        <w:tc>
          <w:tcPr>
            <w:tcW w:w="5660" w:type="dxa"/>
            <w:vAlign w:val="bottom"/>
            <w:gridSpan w:val="3"/>
          </w:tcPr>
          <w:p>
            <w:pPr>
              <w:jc w:val="center"/>
              <w:ind w:left="90"/>
              <w:spacing w:after="0" w:line="191" w:lineRule="exact"/>
              <w:rPr>
                <w:sz w:val="20"/>
                <w:szCs w:val="20"/>
                <w:color w:val="auto"/>
              </w:rPr>
            </w:pPr>
            <w:r>
              <w:rPr>
                <w:rFonts w:ascii="Arial" w:cs="Arial" w:eastAsia="Arial" w:hAnsi="Arial"/>
                <w:sz w:val="17"/>
                <w:szCs w:val="17"/>
                <w:b w:val="1"/>
                <w:bCs w:val="1"/>
                <w:color w:val="auto"/>
                <w:w w:val="88"/>
              </w:rPr>
              <w:t>Securities Exchange Act of 1934</w:t>
            </w:r>
          </w:p>
        </w:tc>
      </w:tr>
      <w:tr>
        <w:trPr>
          <w:trHeight w:val="219"/>
        </w:trPr>
        <w:tc>
          <w:tcPr>
            <w:tcW w:w="1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860" w:type="dxa"/>
            <w:vAlign w:val="bottom"/>
            <w:gridSpan w:val="2"/>
          </w:tcPr>
          <w:p>
            <w:pPr>
              <w:jc w:val="center"/>
              <w:ind w:right="1600"/>
              <w:spacing w:after="0"/>
              <w:rPr>
                <w:sz w:val="20"/>
                <w:szCs w:val="20"/>
                <w:color w:val="auto"/>
              </w:rPr>
            </w:pPr>
            <w:r>
              <w:rPr>
                <w:rFonts w:ascii="Arial" w:cs="Arial" w:eastAsia="Arial" w:hAnsi="Arial"/>
                <w:sz w:val="17"/>
                <w:szCs w:val="17"/>
                <w:b w:val="1"/>
                <w:bCs w:val="1"/>
                <w:color w:val="auto"/>
                <w:w w:val="94"/>
              </w:rPr>
              <w:t>(Amendment No. )</w:t>
            </w:r>
          </w:p>
        </w:tc>
      </w:tr>
      <w:tr>
        <w:trPr>
          <w:trHeight w:val="77"/>
        </w:trPr>
        <w:tc>
          <w:tcPr>
            <w:tcW w:w="15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r>
      <w:tr>
        <w:trPr>
          <w:trHeight w:val="244"/>
        </w:trPr>
        <w:tc>
          <w:tcPr>
            <w:tcW w:w="1560" w:type="dxa"/>
            <w:vAlign w:val="bottom"/>
          </w:tcPr>
          <w:p>
            <w:pPr>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tc>
        <w:tc>
          <w:tcPr>
            <w:tcW w:w="5660" w:type="dxa"/>
            <w:vAlign w:val="bottom"/>
            <w:gridSpan w:val="3"/>
          </w:tcPr>
          <w:p>
            <w:pPr>
              <w:ind w:left="680"/>
              <w:spacing w:after="0" w:line="150" w:lineRule="exact"/>
              <w:rPr>
                <w:sz w:val="20"/>
                <w:szCs w:val="20"/>
                <w:color w:val="auto"/>
              </w:rPr>
            </w:pP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tc>
      </w:tr>
      <w:tr>
        <w:trPr>
          <w:trHeight w:val="187"/>
        </w:trPr>
        <w:tc>
          <w:tcPr>
            <w:tcW w:w="1560" w:type="dxa"/>
            <w:vAlign w:val="bottom"/>
          </w:tcPr>
          <w:p>
            <w:pPr>
              <w:spacing w:after="0"/>
              <w:rPr>
                <w:sz w:val="20"/>
                <w:szCs w:val="20"/>
                <w:color w:val="auto"/>
              </w:rPr>
            </w:pPr>
            <w:r>
              <w:rPr>
                <w:rFonts w:ascii="Arial" w:cs="Arial" w:eastAsia="Arial" w:hAnsi="Arial"/>
                <w:sz w:val="13"/>
                <w:szCs w:val="13"/>
                <w:color w:val="auto"/>
                <w:w w:val="98"/>
              </w:rPr>
              <w:t>Check the appropriate box:</w:t>
            </w:r>
          </w:p>
        </w:tc>
        <w:tc>
          <w:tcPr>
            <w:tcW w:w="18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20" w:type="dxa"/>
            <w:vAlign w:val="bottom"/>
          </w:tcPr>
          <w:p>
            <w:pPr>
              <w:spacing w:after="0"/>
              <w:rPr>
                <w:sz w:val="16"/>
                <w:szCs w:val="16"/>
                <w:color w:val="auto"/>
              </w:rPr>
            </w:pPr>
          </w:p>
        </w:tc>
      </w:tr>
    </w:tbl>
    <w:p>
      <w:pPr>
        <w:spacing w:after="0" w:line="10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3060700</wp:posOffset>
            </wp:positionH>
            <wp:positionV relativeFrom="page">
              <wp:posOffset>304165</wp:posOffset>
            </wp:positionV>
            <wp:extent cx="142684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6845" cy="6985"/>
                    </a:xfrm>
                    <a:prstGeom prst="rect">
                      <a:avLst/>
                    </a:prstGeom>
                    <a:noFill/>
                  </pic:spPr>
                </pic:pic>
              </a:graphicData>
            </a:graphic>
          </wp:anchor>
        </w:drawing>
      </w:r>
    </w:p>
    <w:p>
      <w:pPr>
        <w:ind w:left="480" w:hanging="454"/>
        <w:spacing w:after="0"/>
        <w:tabs>
          <w:tab w:leader="none" w:pos="48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79" w:lineRule="exact"/>
        <w:rPr>
          <w:rFonts w:ascii="MS PGothic" w:cs="MS PGothic" w:eastAsia="MS PGothic" w:hAnsi="MS PGothic"/>
          <w:sz w:val="13"/>
          <w:szCs w:val="13"/>
          <w:color w:val="auto"/>
        </w:rPr>
      </w:pPr>
    </w:p>
    <w:p>
      <w:pPr>
        <w:ind w:left="480" w:hanging="454"/>
        <w:spacing w:after="0" w:line="150" w:lineRule="exact"/>
        <w:tabs>
          <w:tab w:leader="none" w:pos="4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Confidential, for Use of the Commission Only (as permitted by Rule 14a</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6(e)(2))</w:t>
      </w:r>
    </w:p>
    <w:p>
      <w:pPr>
        <w:spacing w:after="0" w:line="87" w:lineRule="exact"/>
        <w:rPr>
          <w:rFonts w:ascii="MS PGothic" w:cs="MS PGothic" w:eastAsia="MS PGothic" w:hAnsi="MS PGothic"/>
          <w:sz w:val="13"/>
          <w:szCs w:val="13"/>
          <w:color w:val="auto"/>
        </w:rPr>
      </w:pPr>
    </w:p>
    <w:p>
      <w:pPr>
        <w:ind w:left="480" w:hanging="454"/>
        <w:spacing w:after="0"/>
        <w:tabs>
          <w:tab w:leader="none" w:pos="48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Definitive Proxy Statement</w:t>
      </w:r>
    </w:p>
    <w:p>
      <w:pPr>
        <w:spacing w:after="0" w:line="84"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Additional Materials</w:t>
      </w:r>
    </w:p>
    <w:p>
      <w:pPr>
        <w:spacing w:after="0" w:line="84" w:lineRule="exact"/>
        <w:rPr>
          <w:sz w:val="24"/>
          <w:szCs w:val="24"/>
          <w:color w:val="auto"/>
        </w:rPr>
      </w:pPr>
    </w:p>
    <w:p>
      <w:pPr>
        <w:ind w:left="480" w:hanging="454"/>
        <w:spacing w:after="0" w:line="150" w:lineRule="exact"/>
        <w:tabs>
          <w:tab w:leader="none" w:pos="48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§240.14a</w:t>
      </w:r>
      <w:r>
        <w:rPr>
          <w:rFonts w:ascii="MS PGothic" w:cs="MS PGothic" w:eastAsia="MS PGothic" w:hAnsi="MS PGothic"/>
          <w:sz w:val="13"/>
          <w:szCs w:val="13"/>
          <w:color w:val="auto"/>
        </w:rPr>
        <w:t>‑</w:t>
      </w:r>
      <w:r>
        <w:rPr>
          <w:rFonts w:ascii="Arial" w:cs="Arial" w:eastAsia="Arial" w:hAnsi="Arial"/>
          <w:sz w:val="13"/>
          <w:szCs w:val="13"/>
          <w:color w:val="auto"/>
        </w:rPr>
        <w:t>12</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BLUEPRINT MEDICINES CORPORATION</w:t>
      </w:r>
    </w:p>
    <w:p>
      <w:pPr>
        <w:spacing w:after="0" w:line="39" w:lineRule="exact"/>
        <w:rPr>
          <w:sz w:val="24"/>
          <w:szCs w:val="24"/>
          <w:color w:val="auto"/>
        </w:rPr>
      </w:pPr>
    </w:p>
    <w:p>
      <w:pPr>
        <w:ind w:left="2680"/>
        <w:spacing w:after="0"/>
        <w:rPr>
          <w:sz w:val="20"/>
          <w:szCs w:val="20"/>
          <w:color w:val="auto"/>
        </w:rPr>
      </w:pPr>
      <w:r>
        <w:rPr>
          <w:rFonts w:ascii="Arial" w:cs="Arial" w:eastAsia="Arial" w:hAnsi="Arial"/>
          <w:sz w:val="13"/>
          <w:szCs w:val="13"/>
          <w:b w:val="1"/>
          <w:bCs w:val="1"/>
          <w:color w:val="auto"/>
        </w:rPr>
        <w:t>(Name of Registrant as Specified in its Certificate of Incorporation)</w:t>
      </w:r>
    </w:p>
    <w:p>
      <w:pPr>
        <w:spacing w:after="0" w:line="38" w:lineRule="exact"/>
        <w:rPr>
          <w:sz w:val="24"/>
          <w:szCs w:val="24"/>
          <w:color w:val="auto"/>
        </w:rPr>
      </w:pPr>
    </w:p>
    <w:p>
      <w:pPr>
        <w:ind w:left="250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56" w:lineRule="exact"/>
        <w:rPr>
          <w:sz w:val="24"/>
          <w:szCs w:val="24"/>
          <w:color w:val="auto"/>
        </w:rPr>
      </w:pPr>
    </w:p>
    <w:p>
      <w:pPr>
        <w:ind w:left="20"/>
        <w:spacing w:after="0"/>
        <w:rPr>
          <w:sz w:val="20"/>
          <w:szCs w:val="20"/>
          <w:color w:val="auto"/>
        </w:rPr>
      </w:pPr>
      <w:r>
        <w:rPr>
          <w:rFonts w:ascii="Arial" w:cs="Arial" w:eastAsia="Arial" w:hAnsi="Arial"/>
          <w:sz w:val="13"/>
          <w:szCs w:val="13"/>
          <w:color w:val="auto"/>
        </w:rPr>
        <w:t>Payment of Filing Fee (Check the appropriate box):</w:t>
      </w:r>
    </w:p>
    <w:p>
      <w:pPr>
        <w:spacing w:after="0" w:line="116" w:lineRule="exact"/>
        <w:rPr>
          <w:sz w:val="24"/>
          <w:szCs w:val="24"/>
          <w:color w:val="auto"/>
        </w:rPr>
      </w:pPr>
    </w:p>
    <w:p>
      <w:pPr>
        <w:ind w:left="440" w:hanging="414"/>
        <w:spacing w:after="0"/>
        <w:tabs>
          <w:tab w:leader="none" w:pos="44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137" w:lineRule="exact"/>
        <w:rPr>
          <w:sz w:val="24"/>
          <w:szCs w:val="24"/>
          <w:color w:val="auto"/>
        </w:rPr>
      </w:pPr>
    </w:p>
    <w:p>
      <w:pPr>
        <w:ind w:left="440" w:hanging="414"/>
        <w:spacing w:after="0" w:line="150" w:lineRule="exact"/>
        <w:tabs>
          <w:tab w:leader="none" w:pos="440"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Fee computed on table below per Exchange Act Rules 14a</w:t>
      </w:r>
      <w:r>
        <w:rPr>
          <w:rFonts w:ascii="MS PGothic" w:cs="MS PGothic" w:eastAsia="MS PGothic" w:hAnsi="MS PGothic"/>
          <w:sz w:val="13"/>
          <w:szCs w:val="13"/>
          <w:color w:val="auto"/>
        </w:rPr>
        <w:t>‑</w:t>
      </w:r>
      <w:r>
        <w:rPr>
          <w:rFonts w:ascii="Arial" w:cs="Arial" w:eastAsia="Arial" w:hAnsi="Arial"/>
          <w:sz w:val="13"/>
          <w:szCs w:val="13"/>
          <w:color w:val="auto"/>
        </w:rPr>
        <w:t>6(i)(1) and 0</w:t>
      </w:r>
      <w:r>
        <w:rPr>
          <w:rFonts w:ascii="MS PGothic" w:cs="MS PGothic" w:eastAsia="MS PGothic" w:hAnsi="MS PGothic"/>
          <w:sz w:val="13"/>
          <w:szCs w:val="13"/>
          <w:color w:val="auto"/>
        </w:rPr>
        <w:t>‑</w:t>
      </w:r>
      <w:r>
        <w:rPr>
          <w:rFonts w:ascii="Arial" w:cs="Arial" w:eastAsia="Arial" w:hAnsi="Arial"/>
          <w:sz w:val="13"/>
          <w:szCs w:val="13"/>
          <w:color w:val="auto"/>
        </w:rPr>
        <w:t>11.</w:t>
      </w:r>
    </w:p>
    <w:p>
      <w:pPr>
        <w:spacing w:after="0" w:line="83" w:lineRule="exact"/>
        <w:rPr>
          <w:rFonts w:ascii="MS PGothic" w:cs="MS PGothic" w:eastAsia="MS PGothic" w:hAnsi="MS PGothic"/>
          <w:sz w:val="13"/>
          <w:szCs w:val="13"/>
          <w:color w:val="auto"/>
        </w:rPr>
      </w:pPr>
    </w:p>
    <w:p>
      <w:pPr>
        <w:ind w:left="860" w:hanging="421"/>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179" w:lineRule="exact"/>
        <w:rPr>
          <w:rFonts w:ascii="Arial" w:cs="Arial" w:eastAsia="Arial" w:hAnsi="Arial"/>
          <w:sz w:val="13"/>
          <w:szCs w:val="13"/>
          <w:color w:val="auto"/>
        </w:rPr>
      </w:pPr>
    </w:p>
    <w:p>
      <w:pPr>
        <w:ind w:left="860" w:hanging="421"/>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179" w:lineRule="exact"/>
        <w:rPr>
          <w:rFonts w:ascii="Arial" w:cs="Arial" w:eastAsia="Arial" w:hAnsi="Arial"/>
          <w:sz w:val="13"/>
          <w:szCs w:val="13"/>
          <w:color w:val="auto"/>
        </w:rPr>
      </w:pPr>
    </w:p>
    <w:p>
      <w:pPr>
        <w:ind w:left="860" w:right="59" w:hanging="421"/>
        <w:spacing w:after="0" w:line="161" w:lineRule="exact"/>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w:t>
      </w:r>
      <w:r>
        <w:rPr>
          <w:rFonts w:ascii="MS PGothic" w:cs="MS PGothic" w:eastAsia="MS PGothic" w:hAnsi="MS PGothic"/>
          <w:sz w:val="13"/>
          <w:szCs w:val="13"/>
          <w:color w:val="auto"/>
        </w:rPr>
        <w:t>‑</w:t>
      </w:r>
      <w:r>
        <w:rPr>
          <w:rFonts w:ascii="Arial" w:cs="Arial" w:eastAsia="Arial" w:hAnsi="Arial"/>
          <w:sz w:val="13"/>
          <w:szCs w:val="13"/>
          <w:color w:val="auto"/>
        </w:rPr>
        <w:t>11 (set forth the amount on which the filing fee is calculated and state how it was determined):</w:t>
      </w:r>
    </w:p>
    <w:p>
      <w:pPr>
        <w:spacing w:after="0" w:line="156" w:lineRule="exact"/>
        <w:rPr>
          <w:rFonts w:ascii="Arial" w:cs="Arial" w:eastAsia="Arial" w:hAnsi="Arial"/>
          <w:sz w:val="13"/>
          <w:szCs w:val="13"/>
          <w:color w:val="auto"/>
        </w:rPr>
      </w:pPr>
    </w:p>
    <w:p>
      <w:pPr>
        <w:ind w:left="860" w:hanging="421"/>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179" w:lineRule="exact"/>
        <w:rPr>
          <w:rFonts w:ascii="Arial" w:cs="Arial" w:eastAsia="Arial" w:hAnsi="Arial"/>
          <w:sz w:val="13"/>
          <w:szCs w:val="13"/>
          <w:color w:val="auto"/>
        </w:rPr>
      </w:pPr>
    </w:p>
    <w:p>
      <w:pPr>
        <w:ind w:left="860" w:hanging="421"/>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179" w:lineRule="exact"/>
        <w:rPr>
          <w:rFonts w:ascii="Arial" w:cs="Arial" w:eastAsia="Arial" w:hAnsi="Arial"/>
          <w:sz w:val="13"/>
          <w:szCs w:val="13"/>
          <w:color w:val="auto"/>
        </w:rPr>
      </w:pPr>
    </w:p>
    <w:p>
      <w:pPr>
        <w:ind w:left="440" w:hanging="414"/>
        <w:spacing w:after="0"/>
        <w:tabs>
          <w:tab w:leader="none" w:pos="440"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Fee paid previously with preliminary materials:</w:t>
      </w:r>
    </w:p>
    <w:p>
      <w:pPr>
        <w:spacing w:after="0" w:line="19" w:lineRule="exact"/>
        <w:rPr>
          <w:rFonts w:ascii="MS PGothic" w:cs="MS PGothic" w:eastAsia="MS PGothic" w:hAnsi="MS PGothic"/>
          <w:sz w:val="13"/>
          <w:szCs w:val="13"/>
          <w:color w:val="auto"/>
        </w:rPr>
      </w:pPr>
    </w:p>
    <w:p>
      <w:pPr>
        <w:ind w:left="440" w:right="119" w:hanging="414"/>
        <w:spacing w:after="0" w:line="156" w:lineRule="exact"/>
        <w:tabs>
          <w:tab w:leader="none" w:pos="440"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Check box if any part of the fee is offset as provided by Exchange Act Rule 0</w:t>
      </w:r>
      <w:r>
        <w:rPr>
          <w:rFonts w:ascii="MS PGothic" w:cs="MS PGothic" w:eastAsia="MS PGothic" w:hAnsi="MS PGothic"/>
          <w:sz w:val="13"/>
          <w:szCs w:val="13"/>
          <w:color w:val="auto"/>
        </w:rPr>
        <w:t>‑</w:t>
      </w:r>
      <w:r>
        <w:rPr>
          <w:rFonts w:ascii="Arial" w:cs="Arial" w:eastAsia="Arial" w:hAnsi="Arial"/>
          <w:sz w:val="13"/>
          <w:szCs w:val="13"/>
          <w:color w:val="auto"/>
        </w:rPr>
        <w:t>11(a)(2) and identify the filing for which the offsetting fee was paid previously. Identify the previous filing by registration statement number, or the Form or Schedule and the date of its filing.</w:t>
      </w:r>
    </w:p>
    <w:p>
      <w:pPr>
        <w:spacing w:after="0" w:line="72" w:lineRule="exact"/>
        <w:rPr>
          <w:rFonts w:ascii="MS PGothic" w:cs="MS PGothic" w:eastAsia="MS PGothic" w:hAnsi="MS PGothic"/>
          <w:sz w:val="13"/>
          <w:szCs w:val="13"/>
          <w:color w:val="auto"/>
        </w:rPr>
      </w:pPr>
    </w:p>
    <w:p>
      <w:pPr>
        <w:ind w:left="840" w:hanging="401"/>
        <w:spacing w:after="0"/>
        <w:tabs>
          <w:tab w:leader="none" w:pos="840" w:val="left"/>
        </w:tabs>
        <w:numPr>
          <w:ilvl w:val="1"/>
          <w:numId w:val="5"/>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179" w:lineRule="exact"/>
        <w:rPr>
          <w:rFonts w:ascii="Arial" w:cs="Arial" w:eastAsia="Arial" w:hAnsi="Arial"/>
          <w:sz w:val="13"/>
          <w:szCs w:val="13"/>
          <w:color w:val="auto"/>
        </w:rPr>
      </w:pPr>
    </w:p>
    <w:p>
      <w:pPr>
        <w:ind w:left="840" w:hanging="401"/>
        <w:spacing w:after="0"/>
        <w:tabs>
          <w:tab w:leader="none" w:pos="840" w:val="left"/>
        </w:tabs>
        <w:numPr>
          <w:ilvl w:val="1"/>
          <w:numId w:val="5"/>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179" w:lineRule="exact"/>
        <w:rPr>
          <w:rFonts w:ascii="Arial" w:cs="Arial" w:eastAsia="Arial" w:hAnsi="Arial"/>
          <w:sz w:val="13"/>
          <w:szCs w:val="13"/>
          <w:color w:val="auto"/>
        </w:rPr>
      </w:pPr>
    </w:p>
    <w:p>
      <w:pPr>
        <w:ind w:left="840" w:hanging="401"/>
        <w:spacing w:after="0"/>
        <w:tabs>
          <w:tab w:leader="none" w:pos="840" w:val="left"/>
        </w:tabs>
        <w:numPr>
          <w:ilvl w:val="1"/>
          <w:numId w:val="5"/>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253" w:lineRule="exact"/>
        <w:rPr>
          <w:rFonts w:ascii="Arial" w:cs="Arial" w:eastAsia="Arial" w:hAnsi="Arial"/>
          <w:sz w:val="13"/>
          <w:szCs w:val="13"/>
          <w:color w:val="auto"/>
        </w:rPr>
      </w:pPr>
    </w:p>
    <w:p>
      <w:pPr>
        <w:ind w:left="840" w:hanging="401"/>
        <w:spacing w:after="0"/>
        <w:tabs>
          <w:tab w:leader="none" w:pos="840" w:val="left"/>
        </w:tabs>
        <w:numPr>
          <w:ilvl w:val="1"/>
          <w:numId w:val="5"/>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530860</wp:posOffset>
            </wp:positionH>
            <wp:positionV relativeFrom="paragraph">
              <wp:posOffset>64135</wp:posOffset>
            </wp:positionV>
            <wp:extent cx="516953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9535" cy="6985"/>
                    </a:xfrm>
                    <a:prstGeom prst="rect">
                      <a:avLst/>
                    </a:prstGeom>
                    <a:noFill/>
                  </pic:spPr>
                </pic:pic>
              </a:graphicData>
            </a:graphic>
          </wp:anchor>
        </w:drawing>
        <w:drawing>
          <wp:anchor simplePos="0" relativeHeight="251657728" behindDoc="1" locked="0" layoutInCell="0" allowOverlap="1">
            <wp:simplePos x="0" y="0"/>
            <wp:positionH relativeFrom="column">
              <wp:posOffset>530860</wp:posOffset>
            </wp:positionH>
            <wp:positionV relativeFrom="paragraph">
              <wp:posOffset>-191135</wp:posOffset>
            </wp:positionV>
            <wp:extent cx="516953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9535" cy="6985"/>
                    </a:xfrm>
                    <a:prstGeom prst="rect">
                      <a:avLst/>
                    </a:prstGeom>
                    <a:noFill/>
                  </pic:spPr>
                </pic:pic>
              </a:graphicData>
            </a:graphic>
          </wp:anchor>
        </w:drawing>
        <w:drawing>
          <wp:anchor simplePos="0" relativeHeight="251657728" behindDoc="1" locked="0" layoutInCell="0" allowOverlap="1">
            <wp:simplePos x="0" y="0"/>
            <wp:positionH relativeFrom="column">
              <wp:posOffset>530860</wp:posOffset>
            </wp:positionH>
            <wp:positionV relativeFrom="paragraph">
              <wp:posOffset>-399415</wp:posOffset>
            </wp:positionV>
            <wp:extent cx="51695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9535" cy="6985"/>
                    </a:xfrm>
                    <a:prstGeom prst="rect">
                      <a:avLst/>
                    </a:prstGeom>
                    <a:noFill/>
                  </pic:spPr>
                </pic:pic>
              </a:graphicData>
            </a:graphic>
          </wp:anchor>
        </w:drawing>
        <w:drawing>
          <wp:anchor simplePos="0" relativeHeight="251657728" behindDoc="1" locked="0" layoutInCell="0" allowOverlap="1">
            <wp:simplePos x="0" y="0"/>
            <wp:positionH relativeFrom="column">
              <wp:posOffset>530860</wp:posOffset>
            </wp:positionH>
            <wp:positionV relativeFrom="paragraph">
              <wp:posOffset>-608330</wp:posOffset>
            </wp:positionV>
            <wp:extent cx="516953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9535" cy="698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-1167130</wp:posOffset>
            </wp:positionV>
            <wp:extent cx="51492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9215" cy="698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-1375410</wp:posOffset>
            </wp:positionV>
            <wp:extent cx="51492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9215" cy="698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-1584325</wp:posOffset>
            </wp:positionV>
            <wp:extent cx="51492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9215" cy="698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-1887220</wp:posOffset>
            </wp:positionV>
            <wp:extent cx="514921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9215" cy="698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-2096135</wp:posOffset>
            </wp:positionV>
            <wp:extent cx="514921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9215" cy="698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750570</wp:posOffset>
            </wp:positionV>
            <wp:extent cx="568071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80710" cy="20320"/>
                    </a:xfrm>
                    <a:prstGeom prst="rect">
                      <a:avLst/>
                    </a:prstGeom>
                    <a:noFill/>
                  </pic:spPr>
                </pic:pic>
              </a:graphicData>
            </a:graphic>
          </wp:anchor>
        </w:drawing>
      </w:r>
    </w:p>
    <w:p>
      <w:pPr>
        <w:sectPr>
          <w:pgSz w:w="11900" w:h="16838" w:orient="portrait"/>
          <w:cols w:equalWidth="0" w:num="1">
            <w:col w:w="9019"/>
          </w:cols>
          <w:pgMar w:left="1440" w:top="541"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449580</wp:posOffset>
            </wp:positionH>
            <wp:positionV relativeFrom="page">
              <wp:posOffset>5170805</wp:posOffset>
            </wp:positionV>
            <wp:extent cx="665035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50355" cy="20320"/>
                    </a:xfrm>
                    <a:prstGeom prst="rect">
                      <a:avLst/>
                    </a:prstGeom>
                    <a:noFill/>
                  </pic:spPr>
                </pic:pic>
              </a:graphicData>
            </a:graphic>
          </wp:anchor>
        </w:drawing>
        <w:drawing>
          <wp:anchor simplePos="0" relativeHeight="251657728" behindDoc="1" locked="0" layoutInCell="0" allowOverlap="1">
            <wp:simplePos x="0" y="0"/>
            <wp:positionH relativeFrom="page">
              <wp:posOffset>509905</wp:posOffset>
            </wp:positionH>
            <wp:positionV relativeFrom="page">
              <wp:posOffset>304165</wp:posOffset>
            </wp:positionV>
            <wp:extent cx="6603365" cy="42741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603365" cy="4274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449580</wp:posOffset>
            </wp:positionH>
            <wp:positionV relativeFrom="page">
              <wp:posOffset>5062855</wp:posOffset>
            </wp:positionV>
            <wp:extent cx="665035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50355" cy="20320"/>
                    </a:xfrm>
                    <a:prstGeom prst="rect">
                      <a:avLst/>
                    </a:prstGeom>
                    <a:noFill/>
                  </pic:spPr>
                </pic:pic>
              </a:graphicData>
            </a:graphic>
          </wp:anchor>
        </w:drawing>
        <w:drawing>
          <wp:anchor simplePos="0" relativeHeight="251657728" behindDoc="1" locked="0" layoutInCell="0" allowOverlap="1">
            <wp:simplePos x="0" y="0"/>
            <wp:positionH relativeFrom="page">
              <wp:posOffset>509905</wp:posOffset>
            </wp:positionH>
            <wp:positionV relativeFrom="page">
              <wp:posOffset>196850</wp:posOffset>
            </wp:positionV>
            <wp:extent cx="6603365" cy="4274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603365" cy="4274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449580</wp:posOffset>
            </wp:positionH>
            <wp:positionV relativeFrom="page">
              <wp:posOffset>5062855</wp:posOffset>
            </wp:positionV>
            <wp:extent cx="665035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50355" cy="20320"/>
                    </a:xfrm>
                    <a:prstGeom prst="rect">
                      <a:avLst/>
                    </a:prstGeom>
                    <a:noFill/>
                  </pic:spPr>
                </pic:pic>
              </a:graphicData>
            </a:graphic>
          </wp:anchor>
        </w:drawing>
        <w:drawing>
          <wp:anchor simplePos="0" relativeHeight="251657728" behindDoc="1" locked="0" layoutInCell="0" allowOverlap="1">
            <wp:simplePos x="0" y="0"/>
            <wp:positionH relativeFrom="page">
              <wp:posOffset>509905</wp:posOffset>
            </wp:positionH>
            <wp:positionV relativeFrom="page">
              <wp:posOffset>196850</wp:posOffset>
            </wp:positionV>
            <wp:extent cx="6603365" cy="42741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603365" cy="4274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449580</wp:posOffset>
            </wp:positionH>
            <wp:positionV relativeFrom="page">
              <wp:posOffset>5015865</wp:posOffset>
            </wp:positionV>
            <wp:extent cx="665035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50355" cy="20320"/>
                    </a:xfrm>
                    <a:prstGeom prst="rect">
                      <a:avLst/>
                    </a:prstGeom>
                    <a:noFill/>
                  </pic:spPr>
                </pic:pic>
              </a:graphicData>
            </a:graphic>
          </wp:anchor>
        </w:drawing>
        <w:drawing>
          <wp:anchor simplePos="0" relativeHeight="251657728" behindDoc="1" locked="0" layoutInCell="0" allowOverlap="1">
            <wp:simplePos x="0" y="0"/>
            <wp:positionH relativeFrom="page">
              <wp:posOffset>509905</wp:posOffset>
            </wp:positionH>
            <wp:positionV relativeFrom="page">
              <wp:posOffset>196850</wp:posOffset>
            </wp:positionV>
            <wp:extent cx="6603365" cy="4274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603365" cy="42741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2020-04-29T15:29:53Z</dcterms:created>
  <dcterms:modified xsi:type="dcterms:W3CDTF">2020-04-29T15:29:53Z</dcterms:modified>
</cp:coreProperties>
</file>