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8" w:type="dxa"/>
        <w:tblCellMar>
          <w:top w:w="0" w:type="dxa"/>
          <w:left w:w="0" w:type="dxa"/>
          <w:bottom w:w="0" w:type="dxa"/>
          <w:right w:w="0" w:type="dxa"/>
        </w:tblCellMar>
      </w:tblPr>
      <w:tr>
        <w:trPr>
          <w:trHeight w:val="271"/>
        </w:trPr>
        <w:tc>
          <w:tcPr>
            <w:tcW w:w="164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4100" w:type="dxa"/>
            <w:vAlign w:val="bottom"/>
            <w:gridSpan w:val="2"/>
          </w:tcPr>
          <w:p>
            <w:pPr>
              <w:jc w:val="center"/>
              <w:ind w:right="880"/>
              <w:spacing w:after="0"/>
              <w:rPr>
                <w:sz w:val="20"/>
                <w:szCs w:val="20"/>
                <w:color w:val="auto"/>
              </w:rPr>
            </w:pPr>
            <w:r>
              <w:rPr>
                <w:rFonts w:ascii="Arial" w:cs="Arial" w:eastAsia="Arial" w:hAnsi="Arial"/>
                <w:sz w:val="23"/>
                <w:szCs w:val="23"/>
                <w:b w:val="1"/>
                <w:bCs w:val="1"/>
                <w:color w:val="auto"/>
                <w:w w:val="99"/>
              </w:rPr>
              <w:t>UNITED STATES</w:t>
            </w:r>
          </w:p>
        </w:tc>
      </w:tr>
      <w:tr>
        <w:trPr>
          <w:trHeight w:val="282"/>
        </w:trPr>
        <w:tc>
          <w:tcPr>
            <w:tcW w:w="1640" w:type="dxa"/>
            <w:vAlign w:val="bottom"/>
          </w:tcPr>
          <w:p>
            <w:pPr>
              <w:spacing w:after="0"/>
              <w:rPr>
                <w:sz w:val="24"/>
                <w:szCs w:val="24"/>
                <w:color w:val="auto"/>
              </w:rPr>
            </w:pPr>
          </w:p>
        </w:tc>
        <w:tc>
          <w:tcPr>
            <w:tcW w:w="6060" w:type="dxa"/>
            <w:vAlign w:val="bottom"/>
            <w:gridSpan w:val="3"/>
          </w:tcPr>
          <w:p>
            <w:pPr>
              <w:jc w:val="center"/>
              <w:ind w:left="993"/>
              <w:spacing w:after="0"/>
              <w:rPr>
                <w:sz w:val="20"/>
                <w:szCs w:val="20"/>
                <w:color w:val="auto"/>
              </w:rPr>
            </w:pPr>
            <w:r>
              <w:rPr>
                <w:rFonts w:ascii="Arial" w:cs="Arial" w:eastAsia="Arial" w:hAnsi="Arial"/>
                <w:sz w:val="23"/>
                <w:szCs w:val="23"/>
                <w:b w:val="1"/>
                <w:bCs w:val="1"/>
                <w:color w:val="auto"/>
              </w:rPr>
              <w:t>SECURITIES AND EXCHANGE COMMISSION</w:t>
            </w:r>
          </w:p>
        </w:tc>
      </w:tr>
      <w:tr>
        <w:trPr>
          <w:trHeight w:val="187"/>
        </w:trPr>
        <w:tc>
          <w:tcPr>
            <w:tcW w:w="16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410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4"/>
              </w:rPr>
              <w:t>Washington, D.C. 20549</w:t>
            </w:r>
          </w:p>
        </w:tc>
      </w:tr>
      <w:tr>
        <w:trPr>
          <w:trHeight w:val="90"/>
        </w:trPr>
        <w:tc>
          <w:tcPr>
            <w:tcW w:w="16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220" w:type="dxa"/>
            <w:vAlign w:val="bottom"/>
            <w:tcBorders>
              <w:bottom w:val="single" w:sz="8" w:color="auto"/>
            </w:tcBorders>
          </w:tcPr>
          <w:p>
            <w:pPr>
              <w:spacing w:after="0"/>
              <w:rPr>
                <w:sz w:val="7"/>
                <w:szCs w:val="7"/>
                <w:color w:val="auto"/>
              </w:rPr>
            </w:pPr>
          </w:p>
        </w:tc>
        <w:tc>
          <w:tcPr>
            <w:tcW w:w="880" w:type="dxa"/>
            <w:vAlign w:val="bottom"/>
          </w:tcPr>
          <w:p>
            <w:pPr>
              <w:spacing w:after="0"/>
              <w:rPr>
                <w:sz w:val="7"/>
                <w:szCs w:val="7"/>
                <w:color w:val="auto"/>
              </w:rPr>
            </w:pPr>
          </w:p>
        </w:tc>
      </w:tr>
      <w:tr>
        <w:trPr>
          <w:trHeight w:val="361"/>
        </w:trPr>
        <w:tc>
          <w:tcPr>
            <w:tcW w:w="16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100" w:type="dxa"/>
            <w:vAlign w:val="bottom"/>
            <w:gridSpan w:val="2"/>
          </w:tcPr>
          <w:p>
            <w:pPr>
              <w:jc w:val="center"/>
              <w:ind w:right="860"/>
              <w:spacing w:after="0"/>
              <w:rPr>
                <w:sz w:val="20"/>
                <w:szCs w:val="20"/>
                <w:color w:val="auto"/>
              </w:rPr>
            </w:pPr>
            <w:r>
              <w:rPr>
                <w:rFonts w:ascii="Arial" w:cs="Arial" w:eastAsia="Arial" w:hAnsi="Arial"/>
                <w:sz w:val="23"/>
                <w:szCs w:val="23"/>
                <w:b w:val="1"/>
                <w:bCs w:val="1"/>
                <w:color w:val="auto"/>
                <w:w w:val="98"/>
              </w:rPr>
              <w:t>SCHEDULE 14A</w:t>
            </w:r>
          </w:p>
        </w:tc>
      </w:tr>
      <w:tr>
        <w:trPr>
          <w:trHeight w:val="297"/>
        </w:trPr>
        <w:tc>
          <w:tcPr>
            <w:tcW w:w="16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10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2"/>
              </w:rPr>
              <w:t>Proxy Statement Pursuant to Section 14(a) of the</w:t>
            </w:r>
          </w:p>
        </w:tc>
      </w:tr>
      <w:tr>
        <w:trPr>
          <w:trHeight w:val="173"/>
        </w:trPr>
        <w:tc>
          <w:tcPr>
            <w:tcW w:w="16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410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1"/>
              </w:rPr>
              <w:t>Securities Exchange Act of 1934</w:t>
            </w:r>
          </w:p>
        </w:tc>
      </w:tr>
      <w:tr>
        <w:trPr>
          <w:trHeight w:val="187"/>
        </w:trPr>
        <w:tc>
          <w:tcPr>
            <w:tcW w:w="16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410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rPr>
              <w:t>(Amendment No.  )</w:t>
            </w:r>
          </w:p>
        </w:tc>
      </w:tr>
      <w:tr>
        <w:trPr>
          <w:trHeight w:val="88"/>
        </w:trPr>
        <w:tc>
          <w:tcPr>
            <w:tcW w:w="16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220" w:type="dxa"/>
            <w:vAlign w:val="bottom"/>
            <w:tcBorders>
              <w:bottom w:val="single" w:sz="8" w:color="auto"/>
            </w:tcBorders>
          </w:tcPr>
          <w:p>
            <w:pPr>
              <w:spacing w:after="0"/>
              <w:rPr>
                <w:sz w:val="7"/>
                <w:szCs w:val="7"/>
                <w:color w:val="auto"/>
              </w:rPr>
            </w:pPr>
          </w:p>
        </w:tc>
        <w:tc>
          <w:tcPr>
            <w:tcW w:w="880" w:type="dxa"/>
            <w:vAlign w:val="bottom"/>
          </w:tcPr>
          <w:p>
            <w:pPr>
              <w:spacing w:after="0"/>
              <w:rPr>
                <w:sz w:val="7"/>
                <w:szCs w:val="7"/>
                <w:color w:val="auto"/>
              </w:rPr>
            </w:pPr>
          </w:p>
        </w:tc>
      </w:tr>
      <w:tr>
        <w:trPr>
          <w:trHeight w:val="232"/>
        </w:trPr>
        <w:tc>
          <w:tcPr>
            <w:tcW w:w="1640" w:type="dxa"/>
            <w:vAlign w:val="bottom"/>
          </w:tcPr>
          <w:p>
            <w:pPr>
              <w:spacing w:after="0" w:line="138" w:lineRule="exact"/>
              <w:rPr>
                <w:sz w:val="20"/>
                <w:szCs w:val="20"/>
                <w:color w:val="auto"/>
              </w:rPr>
            </w:pPr>
            <w:r>
              <w:rPr>
                <w:rFonts w:ascii="Arial" w:cs="Arial" w:eastAsia="Arial" w:hAnsi="Arial"/>
                <w:sz w:val="12"/>
                <w:szCs w:val="12"/>
                <w:color w:val="auto"/>
              </w:rPr>
              <w:t xml:space="preserve">Filed by the Registrant </w:t>
            </w:r>
            <w:r>
              <w:rPr>
                <w:rFonts w:ascii="MS PGothic" w:cs="MS PGothic" w:eastAsia="MS PGothic" w:hAnsi="MS PGothic"/>
                <w:sz w:val="12"/>
                <w:szCs w:val="12"/>
                <w:color w:val="auto"/>
              </w:rPr>
              <w:t>☒</w:t>
            </w:r>
          </w:p>
        </w:tc>
        <w:tc>
          <w:tcPr>
            <w:tcW w:w="6060" w:type="dxa"/>
            <w:vAlign w:val="bottom"/>
            <w:gridSpan w:val="3"/>
          </w:tcPr>
          <w:p>
            <w:pPr>
              <w:ind w:left="380"/>
              <w:spacing w:after="0" w:line="138" w:lineRule="exact"/>
              <w:rPr>
                <w:sz w:val="20"/>
                <w:szCs w:val="20"/>
                <w:color w:val="auto"/>
              </w:rPr>
            </w:pPr>
            <w:r>
              <w:rPr>
                <w:rFonts w:ascii="Arial" w:cs="Arial" w:eastAsia="Arial" w:hAnsi="Arial"/>
                <w:sz w:val="12"/>
                <w:szCs w:val="12"/>
                <w:color w:val="auto"/>
              </w:rPr>
              <w:t xml:space="preserve">Filed by a Party other than the Registrant </w:t>
            </w:r>
            <w:r>
              <w:rPr>
                <w:rFonts w:ascii="MS PGothic" w:cs="MS PGothic" w:eastAsia="MS PGothic" w:hAnsi="MS PGothic"/>
                <w:sz w:val="12"/>
                <w:szCs w:val="12"/>
                <w:color w:val="auto"/>
              </w:rPr>
              <w:t>☐</w:t>
            </w:r>
          </w:p>
        </w:tc>
      </w:tr>
      <w:tr>
        <w:trPr>
          <w:trHeight w:val="205"/>
        </w:trPr>
        <w:tc>
          <w:tcPr>
            <w:tcW w:w="1640" w:type="dxa"/>
            <w:vAlign w:val="bottom"/>
          </w:tcPr>
          <w:p>
            <w:pPr>
              <w:spacing w:after="0"/>
              <w:rPr>
                <w:sz w:val="20"/>
                <w:szCs w:val="20"/>
                <w:color w:val="auto"/>
              </w:rPr>
            </w:pPr>
            <w:r>
              <w:rPr>
                <w:rFonts w:ascii="Arial" w:cs="Arial" w:eastAsia="Arial" w:hAnsi="Arial"/>
                <w:sz w:val="12"/>
                <w:szCs w:val="12"/>
                <w:color w:val="auto"/>
              </w:rPr>
              <w:t>Check the appropriate box:</w:t>
            </w:r>
          </w:p>
        </w:tc>
        <w:tc>
          <w:tcPr>
            <w:tcW w:w="196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880" w:type="dxa"/>
            <w:vAlign w:val="bottom"/>
          </w:tcPr>
          <w:p>
            <w:pPr>
              <w:spacing w:after="0"/>
              <w:rPr>
                <w:sz w:val="17"/>
                <w:szCs w:val="17"/>
                <w:color w:val="auto"/>
              </w:rPr>
            </w:pPr>
          </w:p>
        </w:tc>
      </w:tr>
    </w:tbl>
    <w:p>
      <w:pPr>
        <w:spacing w:after="0" w:line="7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2759075</wp:posOffset>
            </wp:positionH>
            <wp:positionV relativeFrom="page">
              <wp:posOffset>144145</wp:posOffset>
            </wp:positionV>
            <wp:extent cx="204406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44065" cy="6985"/>
                    </a:xfrm>
                    <a:prstGeom prst="rect">
                      <a:avLst/>
                    </a:prstGeom>
                    <a:noFill/>
                  </pic:spPr>
                </pic:pic>
              </a:graphicData>
            </a:graphic>
          </wp:anchor>
        </w:drawing>
      </w:r>
    </w:p>
    <w:p>
      <w:pPr>
        <w:ind w:left="848" w:hanging="598"/>
        <w:spacing w:after="0"/>
        <w:tabs>
          <w:tab w:leader="none" w:pos="8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Preliminary Proxy Statement</w:t>
      </w:r>
    </w:p>
    <w:p>
      <w:pPr>
        <w:spacing w:after="0" w:line="87" w:lineRule="exact"/>
        <w:rPr>
          <w:rFonts w:ascii="MS PGothic" w:cs="MS PGothic" w:eastAsia="MS PGothic" w:hAnsi="MS PGothic"/>
          <w:sz w:val="12"/>
          <w:szCs w:val="12"/>
          <w:color w:val="auto"/>
        </w:rPr>
      </w:pPr>
    </w:p>
    <w:p>
      <w:pPr>
        <w:ind w:left="848" w:hanging="598"/>
        <w:spacing w:after="0"/>
        <w:tabs>
          <w:tab w:leader="none" w:pos="848" w:val="left"/>
        </w:tabs>
        <w:numPr>
          <w:ilvl w:val="0"/>
          <w:numId w:val="1"/>
        </w:numPr>
        <w:rPr>
          <w:rFonts w:ascii="MS PGothic" w:cs="MS PGothic" w:eastAsia="MS PGothic" w:hAnsi="MS PGothic"/>
          <w:sz w:val="12"/>
          <w:szCs w:val="12"/>
          <w:color w:val="auto"/>
        </w:rPr>
      </w:pPr>
      <w:r>
        <w:rPr>
          <w:rFonts w:ascii="Arial" w:cs="Arial" w:eastAsia="Arial" w:hAnsi="Arial"/>
          <w:sz w:val="12"/>
          <w:szCs w:val="12"/>
          <w:b w:val="1"/>
          <w:bCs w:val="1"/>
          <w:color w:val="auto"/>
        </w:rPr>
        <w:t>Confidential, for Use of the Commission Only (as permitted by Rule 14a-6(e)(2))</w:t>
      </w:r>
    </w:p>
    <w:p>
      <w:pPr>
        <w:spacing w:after="0" w:line="91" w:lineRule="exact"/>
        <w:rPr>
          <w:rFonts w:ascii="MS PGothic" w:cs="MS PGothic" w:eastAsia="MS PGothic" w:hAnsi="MS PGothic"/>
          <w:sz w:val="12"/>
          <w:szCs w:val="12"/>
          <w:color w:val="auto"/>
        </w:rPr>
      </w:pPr>
    </w:p>
    <w:p>
      <w:pPr>
        <w:ind w:left="848" w:hanging="598"/>
        <w:spacing w:after="0"/>
        <w:tabs>
          <w:tab w:leader="none" w:pos="8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Definitive Proxy Statement</w:t>
      </w:r>
    </w:p>
    <w:p>
      <w:pPr>
        <w:spacing w:after="0" w:line="90" w:lineRule="exact"/>
        <w:rPr>
          <w:sz w:val="24"/>
          <w:szCs w:val="24"/>
          <w:color w:val="auto"/>
        </w:rPr>
      </w:pPr>
    </w:p>
    <w:p>
      <w:pPr>
        <w:ind w:left="848" w:hanging="598"/>
        <w:spacing w:after="0"/>
        <w:tabs>
          <w:tab w:leader="none" w:pos="848" w:val="left"/>
        </w:tabs>
        <w:numPr>
          <w:ilvl w:val="0"/>
          <w:numId w:val="2"/>
        </w:numPr>
        <w:rPr>
          <w:rFonts w:ascii="MS PGothic" w:cs="MS PGothic" w:eastAsia="MS PGothic" w:hAnsi="MS PGothic"/>
          <w:sz w:val="12"/>
          <w:szCs w:val="12"/>
          <w:color w:val="auto"/>
        </w:rPr>
      </w:pPr>
      <w:r>
        <w:rPr>
          <w:rFonts w:ascii="Arial" w:cs="Arial" w:eastAsia="Arial" w:hAnsi="Arial"/>
          <w:sz w:val="12"/>
          <w:szCs w:val="12"/>
          <w:color w:val="auto"/>
        </w:rPr>
        <w:t>Definitive Additional Materials</w:t>
      </w:r>
    </w:p>
    <w:p>
      <w:pPr>
        <w:spacing w:after="0" w:line="90" w:lineRule="exact"/>
        <w:rPr>
          <w:sz w:val="24"/>
          <w:szCs w:val="24"/>
          <w:color w:val="auto"/>
        </w:rPr>
      </w:pPr>
    </w:p>
    <w:p>
      <w:pPr>
        <w:ind w:left="848" w:hanging="598"/>
        <w:spacing w:after="0"/>
        <w:tabs>
          <w:tab w:leader="none" w:pos="848" w:val="left"/>
        </w:tabs>
        <w:numPr>
          <w:ilvl w:val="0"/>
          <w:numId w:val="3"/>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§240.14a-12</w:t>
      </w:r>
    </w:p>
    <w:p>
      <w:pPr>
        <w:spacing w:after="0" w:line="141" w:lineRule="exact"/>
        <w:rPr>
          <w:sz w:val="24"/>
          <w:szCs w:val="24"/>
          <w:color w:val="auto"/>
        </w:rPr>
      </w:pPr>
    </w:p>
    <w:p>
      <w:pPr>
        <w:jc w:val="center"/>
        <w:ind w:right="-187"/>
        <w:spacing w:after="0"/>
        <w:rPr>
          <w:sz w:val="20"/>
          <w:szCs w:val="20"/>
          <w:color w:val="auto"/>
        </w:rPr>
      </w:pPr>
      <w:r>
        <w:rPr>
          <w:rFonts w:ascii="Arial" w:cs="Arial" w:eastAsia="Arial" w:hAnsi="Arial"/>
          <w:sz w:val="29"/>
          <w:szCs w:val="29"/>
          <w:b w:val="1"/>
          <w:bCs w:val="1"/>
          <w:color w:val="auto"/>
        </w:rPr>
        <w:t>BLUEPRINT MEDICINES CORPORATION</w:t>
      </w:r>
    </w:p>
    <w:p>
      <w:pPr>
        <w:spacing w:after="0" w:line="25" w:lineRule="exact"/>
        <w:rPr>
          <w:sz w:val="24"/>
          <w:szCs w:val="24"/>
          <w:color w:val="auto"/>
        </w:rPr>
      </w:pPr>
    </w:p>
    <w:p>
      <w:pPr>
        <w:jc w:val="center"/>
        <w:ind w:right="-187"/>
        <w:spacing w:after="0"/>
        <w:rPr>
          <w:sz w:val="20"/>
          <w:szCs w:val="20"/>
          <w:color w:val="auto"/>
        </w:rPr>
      </w:pPr>
      <w:r>
        <w:rPr>
          <w:rFonts w:ascii="Arial" w:cs="Arial" w:eastAsia="Arial" w:hAnsi="Arial"/>
          <w:sz w:val="12"/>
          <w:szCs w:val="12"/>
          <w:b w:val="1"/>
          <w:bCs w:val="1"/>
          <w:color w:val="auto"/>
        </w:rPr>
        <w:t>(Name of Registrant as Specified in Its certificate of incorporation)</w:t>
      </w:r>
    </w:p>
    <w:p>
      <w:pPr>
        <w:spacing w:after="0" w:line="35" w:lineRule="exact"/>
        <w:rPr>
          <w:sz w:val="24"/>
          <w:szCs w:val="24"/>
          <w:color w:val="auto"/>
        </w:rPr>
      </w:pPr>
    </w:p>
    <w:p>
      <w:pPr>
        <w:jc w:val="center"/>
        <w:ind w:right="-187"/>
        <w:spacing w:after="0"/>
        <w:rPr>
          <w:sz w:val="20"/>
          <w:szCs w:val="20"/>
          <w:color w:val="auto"/>
        </w:rPr>
      </w:pPr>
      <w:r>
        <w:rPr>
          <w:rFonts w:ascii="Arial" w:cs="Arial" w:eastAsia="Arial" w:hAnsi="Arial"/>
          <w:sz w:val="12"/>
          <w:szCs w:val="12"/>
          <w:b w:val="1"/>
          <w:bCs w:val="1"/>
          <w:color w:val="auto"/>
        </w:rPr>
        <w:t>(Name of Person(s) Filing Proxy Statement, if Other Than the Registrant)</w:t>
      </w:r>
    </w:p>
    <w:p>
      <w:pPr>
        <w:spacing w:after="0" w:line="157" w:lineRule="exact"/>
        <w:rPr>
          <w:sz w:val="24"/>
          <w:szCs w:val="24"/>
          <w:color w:val="auto"/>
        </w:rPr>
      </w:pPr>
    </w:p>
    <w:p>
      <w:pPr>
        <w:ind w:left="8"/>
        <w:spacing w:after="0"/>
        <w:rPr>
          <w:sz w:val="20"/>
          <w:szCs w:val="20"/>
          <w:color w:val="auto"/>
        </w:rPr>
      </w:pPr>
      <w:r>
        <w:rPr>
          <w:rFonts w:ascii="Arial" w:cs="Arial" w:eastAsia="Arial" w:hAnsi="Arial"/>
          <w:sz w:val="12"/>
          <w:szCs w:val="12"/>
          <w:color w:val="auto"/>
        </w:rPr>
        <w:t>Payment of Filing Fee (Check the appropriate box):</w:t>
      </w:r>
    </w:p>
    <w:p>
      <w:pPr>
        <w:spacing w:after="0" w:line="46" w:lineRule="exact"/>
        <w:rPr>
          <w:sz w:val="24"/>
          <w:szCs w:val="24"/>
          <w:color w:val="auto"/>
        </w:rPr>
      </w:pPr>
    </w:p>
    <w:p>
      <w:pPr>
        <w:ind w:left="728" w:hanging="728"/>
        <w:spacing w:after="0"/>
        <w:tabs>
          <w:tab w:leader="none" w:pos="728" w:val="left"/>
        </w:tabs>
        <w:numPr>
          <w:ilvl w:val="0"/>
          <w:numId w:val="4"/>
        </w:numPr>
        <w:rPr>
          <w:rFonts w:ascii="MS PGothic" w:cs="MS PGothic" w:eastAsia="MS PGothic" w:hAnsi="MS PGothic"/>
          <w:sz w:val="12"/>
          <w:szCs w:val="12"/>
          <w:color w:val="auto"/>
        </w:rPr>
      </w:pPr>
      <w:r>
        <w:rPr>
          <w:rFonts w:ascii="Arial" w:cs="Arial" w:eastAsia="Arial" w:hAnsi="Arial"/>
          <w:sz w:val="12"/>
          <w:szCs w:val="12"/>
          <w:color w:val="auto"/>
        </w:rPr>
        <w:t>No fee required.</w:t>
      </w:r>
    </w:p>
    <w:p>
      <w:pPr>
        <w:spacing w:after="0" w:line="144" w:lineRule="exact"/>
        <w:rPr>
          <w:sz w:val="24"/>
          <w:szCs w:val="24"/>
          <w:color w:val="auto"/>
        </w:rPr>
      </w:pPr>
    </w:p>
    <w:p>
      <w:pPr>
        <w:ind w:left="728" w:hanging="728"/>
        <w:spacing w:after="0"/>
        <w:tabs>
          <w:tab w:leader="none" w:pos="728" w:val="left"/>
        </w:tabs>
        <w:numPr>
          <w:ilvl w:val="0"/>
          <w:numId w:val="5"/>
        </w:numPr>
        <w:rPr>
          <w:rFonts w:ascii="MS PGothic" w:cs="MS PGothic" w:eastAsia="MS PGothic" w:hAnsi="MS PGothic"/>
          <w:sz w:val="12"/>
          <w:szCs w:val="12"/>
          <w:color w:val="auto"/>
        </w:rPr>
      </w:pPr>
      <w:r>
        <w:rPr>
          <w:rFonts w:ascii="Arial" w:cs="Arial" w:eastAsia="Arial" w:hAnsi="Arial"/>
          <w:sz w:val="12"/>
          <w:szCs w:val="12"/>
          <w:color w:val="auto"/>
        </w:rPr>
        <w:t>Fee computed on table below per Exchange Act Rules 14a-6(i)(1) and 0-11.</w:t>
      </w:r>
    </w:p>
    <w:p>
      <w:pPr>
        <w:spacing w:after="0" w:line="143" w:lineRule="exact"/>
        <w:rPr>
          <w:rFonts w:ascii="MS PGothic" w:cs="MS PGothic" w:eastAsia="MS PGothic" w:hAnsi="MS PGothic"/>
          <w:sz w:val="12"/>
          <w:szCs w:val="12"/>
          <w:color w:val="auto"/>
        </w:rPr>
      </w:pPr>
    </w:p>
    <w:p>
      <w:pPr>
        <w:ind w:left="1328" w:hanging="591"/>
        <w:spacing w:after="0"/>
        <w:tabs>
          <w:tab w:leader="none" w:pos="1328" w:val="left"/>
        </w:tabs>
        <w:numPr>
          <w:ilvl w:val="1"/>
          <w:numId w:val="5"/>
        </w:numPr>
        <w:rPr>
          <w:rFonts w:ascii="Arial" w:cs="Arial" w:eastAsia="Arial" w:hAnsi="Arial"/>
          <w:sz w:val="12"/>
          <w:szCs w:val="12"/>
          <w:color w:val="auto"/>
        </w:rPr>
      </w:pPr>
      <w:r>
        <w:rPr>
          <w:rFonts w:ascii="Arial" w:cs="Arial" w:eastAsia="Arial" w:hAnsi="Arial"/>
          <w:sz w:val="12"/>
          <w:szCs w:val="12"/>
          <w:color w:val="auto"/>
        </w:rPr>
        <w:t>Title of each class of securities to which transaction applies:</w:t>
      </w:r>
    </w:p>
    <w:p>
      <w:pPr>
        <w:spacing w:after="0" w:line="284" w:lineRule="exact"/>
        <w:rPr>
          <w:rFonts w:ascii="Arial" w:cs="Arial" w:eastAsia="Arial" w:hAnsi="Arial"/>
          <w:sz w:val="12"/>
          <w:szCs w:val="12"/>
          <w:color w:val="auto"/>
        </w:rPr>
      </w:pPr>
    </w:p>
    <w:p>
      <w:pPr>
        <w:ind w:left="1328" w:hanging="591"/>
        <w:spacing w:after="0"/>
        <w:tabs>
          <w:tab w:leader="none" w:pos="1328" w:val="left"/>
        </w:tabs>
        <w:numPr>
          <w:ilvl w:val="1"/>
          <w:numId w:val="5"/>
        </w:numPr>
        <w:rPr>
          <w:rFonts w:ascii="Arial" w:cs="Arial" w:eastAsia="Arial" w:hAnsi="Arial"/>
          <w:sz w:val="12"/>
          <w:szCs w:val="12"/>
          <w:color w:val="auto"/>
        </w:rPr>
      </w:pPr>
      <w:r>
        <w:rPr>
          <w:rFonts w:ascii="Arial" w:cs="Arial" w:eastAsia="Arial" w:hAnsi="Arial"/>
          <w:sz w:val="12"/>
          <w:szCs w:val="12"/>
          <w:color w:val="auto"/>
        </w:rPr>
        <w:t>Aggregate number of securities to which transaction applies:</w:t>
      </w:r>
    </w:p>
    <w:p>
      <w:pPr>
        <w:spacing w:after="0" w:line="284" w:lineRule="exact"/>
        <w:rPr>
          <w:rFonts w:ascii="Arial" w:cs="Arial" w:eastAsia="Arial" w:hAnsi="Arial"/>
          <w:sz w:val="12"/>
          <w:szCs w:val="12"/>
          <w:color w:val="auto"/>
        </w:rPr>
      </w:pPr>
    </w:p>
    <w:p>
      <w:pPr>
        <w:ind w:left="1328" w:hanging="591"/>
        <w:spacing w:after="0"/>
        <w:tabs>
          <w:tab w:leader="none" w:pos="1328" w:val="left"/>
        </w:tabs>
        <w:numPr>
          <w:ilvl w:val="1"/>
          <w:numId w:val="5"/>
        </w:numPr>
        <w:rPr>
          <w:rFonts w:ascii="Arial" w:cs="Arial" w:eastAsia="Arial" w:hAnsi="Arial"/>
          <w:sz w:val="10"/>
          <w:szCs w:val="10"/>
          <w:color w:val="auto"/>
        </w:rPr>
      </w:pPr>
      <w:r>
        <w:rPr>
          <w:rFonts w:ascii="Arial" w:cs="Arial" w:eastAsia="Arial" w:hAnsi="Arial"/>
          <w:sz w:val="10"/>
          <w:szCs w:val="10"/>
          <w:color w:val="auto"/>
        </w:rPr>
        <w:t>Per unit price or other underlying value of transaction computed pursuant to Exchange Act Rule 0-11 (set forth the amount on which the filing fee is calculated and state how it was determined):</w:t>
      </w:r>
    </w:p>
    <w:p>
      <w:pPr>
        <w:spacing w:after="0" w:line="307" w:lineRule="exact"/>
        <w:rPr>
          <w:rFonts w:ascii="Arial" w:cs="Arial" w:eastAsia="Arial" w:hAnsi="Arial"/>
          <w:sz w:val="10"/>
          <w:szCs w:val="10"/>
          <w:color w:val="auto"/>
        </w:rPr>
      </w:pPr>
    </w:p>
    <w:p>
      <w:pPr>
        <w:ind w:left="1328" w:hanging="591"/>
        <w:spacing w:after="0"/>
        <w:tabs>
          <w:tab w:leader="none" w:pos="1328" w:val="left"/>
        </w:tabs>
        <w:numPr>
          <w:ilvl w:val="1"/>
          <w:numId w:val="5"/>
        </w:numPr>
        <w:rPr>
          <w:rFonts w:ascii="Arial" w:cs="Arial" w:eastAsia="Arial" w:hAnsi="Arial"/>
          <w:sz w:val="12"/>
          <w:szCs w:val="12"/>
          <w:color w:val="auto"/>
        </w:rPr>
      </w:pPr>
      <w:r>
        <w:rPr>
          <w:rFonts w:ascii="Arial" w:cs="Arial" w:eastAsia="Arial" w:hAnsi="Arial"/>
          <w:sz w:val="12"/>
          <w:szCs w:val="12"/>
          <w:color w:val="auto"/>
        </w:rPr>
        <w:t>Proposed maximum aggregate value of transaction</w:t>
      </w:r>
    </w:p>
    <w:p>
      <w:pPr>
        <w:spacing w:after="0" w:line="284" w:lineRule="exact"/>
        <w:rPr>
          <w:rFonts w:ascii="Arial" w:cs="Arial" w:eastAsia="Arial" w:hAnsi="Arial"/>
          <w:sz w:val="12"/>
          <w:szCs w:val="12"/>
          <w:color w:val="auto"/>
        </w:rPr>
      </w:pPr>
    </w:p>
    <w:p>
      <w:pPr>
        <w:ind w:left="1328" w:hanging="591"/>
        <w:spacing w:after="0"/>
        <w:tabs>
          <w:tab w:leader="none" w:pos="1328" w:val="left"/>
        </w:tabs>
        <w:numPr>
          <w:ilvl w:val="1"/>
          <w:numId w:val="5"/>
        </w:numPr>
        <w:rPr>
          <w:rFonts w:ascii="Arial" w:cs="Arial" w:eastAsia="Arial" w:hAnsi="Arial"/>
          <w:sz w:val="12"/>
          <w:szCs w:val="12"/>
          <w:color w:val="auto"/>
        </w:rPr>
      </w:pPr>
      <w:r>
        <w:rPr>
          <w:rFonts w:ascii="Arial" w:cs="Arial" w:eastAsia="Arial" w:hAnsi="Arial"/>
          <w:sz w:val="12"/>
          <w:szCs w:val="12"/>
          <w:color w:val="auto"/>
        </w:rPr>
        <w:t>Total fee paid:</w:t>
      </w:r>
    </w:p>
    <w:p>
      <w:pPr>
        <w:spacing w:after="0" w:line="230" w:lineRule="exact"/>
        <w:rPr>
          <w:rFonts w:ascii="Arial" w:cs="Arial" w:eastAsia="Arial" w:hAnsi="Arial"/>
          <w:sz w:val="12"/>
          <w:szCs w:val="12"/>
          <w:color w:val="auto"/>
        </w:rPr>
      </w:pPr>
    </w:p>
    <w:p>
      <w:pPr>
        <w:ind w:left="728" w:hanging="728"/>
        <w:spacing w:after="0"/>
        <w:tabs>
          <w:tab w:leader="none" w:pos="728" w:val="left"/>
        </w:tabs>
        <w:numPr>
          <w:ilvl w:val="0"/>
          <w:numId w:val="5"/>
        </w:numPr>
        <w:rPr>
          <w:rFonts w:ascii="MS PGothic" w:cs="MS PGothic" w:eastAsia="MS PGothic" w:hAnsi="MS PGothic"/>
          <w:sz w:val="12"/>
          <w:szCs w:val="12"/>
          <w:color w:val="auto"/>
        </w:rPr>
      </w:pPr>
      <w:r>
        <w:rPr>
          <w:rFonts w:ascii="Arial" w:cs="Arial" w:eastAsia="Arial" w:hAnsi="Arial"/>
          <w:sz w:val="12"/>
          <w:szCs w:val="12"/>
          <w:color w:val="auto"/>
        </w:rPr>
        <w:t>Fee paid previously with preliminary materials:</w:t>
      </w:r>
    </w:p>
    <w:p>
      <w:pPr>
        <w:spacing w:after="0" w:line="143" w:lineRule="exact"/>
        <w:rPr>
          <w:rFonts w:ascii="MS PGothic" w:cs="MS PGothic" w:eastAsia="MS PGothic" w:hAnsi="MS PGothic"/>
          <w:sz w:val="12"/>
          <w:szCs w:val="12"/>
          <w:color w:val="auto"/>
        </w:rPr>
      </w:pPr>
    </w:p>
    <w:p>
      <w:pPr>
        <w:ind w:left="728" w:right="280" w:hanging="728"/>
        <w:spacing w:after="0" w:line="231" w:lineRule="auto"/>
        <w:tabs>
          <w:tab w:leader="none" w:pos="728" w:val="left"/>
        </w:tabs>
        <w:numPr>
          <w:ilvl w:val="0"/>
          <w:numId w:val="5"/>
        </w:numPr>
        <w:rPr>
          <w:rFonts w:ascii="MS PGothic" w:cs="MS PGothic" w:eastAsia="MS PGothic" w:hAnsi="MS PGothic"/>
          <w:sz w:val="12"/>
          <w:szCs w:val="12"/>
          <w:color w:val="auto"/>
        </w:rPr>
      </w:pPr>
      <w:r>
        <w:rPr>
          <w:rFonts w:ascii="Arial" w:cs="Arial" w:eastAsia="Arial" w:hAnsi="Arial"/>
          <w:sz w:val="12"/>
          <w:szCs w:val="12"/>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13" w:lineRule="exact"/>
        <w:rPr>
          <w:rFonts w:ascii="MS PGothic" w:cs="MS PGothic" w:eastAsia="MS PGothic" w:hAnsi="MS PGothic"/>
          <w:sz w:val="12"/>
          <w:szCs w:val="12"/>
          <w:color w:val="auto"/>
        </w:rPr>
      </w:pPr>
    </w:p>
    <w:p>
      <w:pPr>
        <w:ind w:left="1328" w:hanging="591"/>
        <w:spacing w:after="0"/>
        <w:tabs>
          <w:tab w:leader="none" w:pos="1328" w:val="left"/>
        </w:tabs>
        <w:numPr>
          <w:ilvl w:val="1"/>
          <w:numId w:val="5"/>
        </w:numPr>
        <w:rPr>
          <w:rFonts w:ascii="Arial" w:cs="Arial" w:eastAsia="Arial" w:hAnsi="Arial"/>
          <w:sz w:val="12"/>
          <w:szCs w:val="12"/>
          <w:color w:val="auto"/>
        </w:rPr>
      </w:pPr>
      <w:r>
        <w:rPr>
          <w:rFonts w:ascii="Arial" w:cs="Arial" w:eastAsia="Arial" w:hAnsi="Arial"/>
          <w:sz w:val="12"/>
          <w:szCs w:val="12"/>
          <w:color w:val="auto"/>
        </w:rPr>
        <w:t>Amount previously paid:</w:t>
      </w:r>
    </w:p>
    <w:p>
      <w:pPr>
        <w:spacing w:after="0" w:line="284" w:lineRule="exact"/>
        <w:rPr>
          <w:rFonts w:ascii="Arial" w:cs="Arial" w:eastAsia="Arial" w:hAnsi="Arial"/>
          <w:sz w:val="12"/>
          <w:szCs w:val="12"/>
          <w:color w:val="auto"/>
        </w:rPr>
      </w:pPr>
    </w:p>
    <w:p>
      <w:pPr>
        <w:ind w:left="1328" w:hanging="591"/>
        <w:spacing w:after="0"/>
        <w:tabs>
          <w:tab w:leader="none" w:pos="1328" w:val="left"/>
        </w:tabs>
        <w:numPr>
          <w:ilvl w:val="1"/>
          <w:numId w:val="5"/>
        </w:numPr>
        <w:rPr>
          <w:rFonts w:ascii="Arial" w:cs="Arial" w:eastAsia="Arial" w:hAnsi="Arial"/>
          <w:sz w:val="12"/>
          <w:szCs w:val="12"/>
          <w:color w:val="auto"/>
        </w:rPr>
      </w:pPr>
      <w:r>
        <w:rPr>
          <w:rFonts w:ascii="Arial" w:cs="Arial" w:eastAsia="Arial" w:hAnsi="Arial"/>
          <w:sz w:val="12"/>
          <w:szCs w:val="12"/>
          <w:color w:val="auto"/>
        </w:rPr>
        <w:t>Form, Schedule or Registration Statement No.:</w:t>
      </w:r>
    </w:p>
    <w:p>
      <w:pPr>
        <w:spacing w:after="0" w:line="284" w:lineRule="exact"/>
        <w:rPr>
          <w:rFonts w:ascii="Arial" w:cs="Arial" w:eastAsia="Arial" w:hAnsi="Arial"/>
          <w:sz w:val="12"/>
          <w:szCs w:val="12"/>
          <w:color w:val="auto"/>
        </w:rPr>
      </w:pPr>
    </w:p>
    <w:p>
      <w:pPr>
        <w:ind w:left="1328" w:hanging="591"/>
        <w:spacing w:after="0"/>
        <w:tabs>
          <w:tab w:leader="none" w:pos="1328" w:val="left"/>
        </w:tabs>
        <w:numPr>
          <w:ilvl w:val="1"/>
          <w:numId w:val="5"/>
        </w:numPr>
        <w:rPr>
          <w:rFonts w:ascii="Arial" w:cs="Arial" w:eastAsia="Arial" w:hAnsi="Arial"/>
          <w:sz w:val="12"/>
          <w:szCs w:val="12"/>
          <w:color w:val="auto"/>
        </w:rPr>
      </w:pPr>
      <w:r>
        <w:rPr>
          <w:rFonts w:ascii="Arial" w:cs="Arial" w:eastAsia="Arial" w:hAnsi="Arial"/>
          <w:sz w:val="12"/>
          <w:szCs w:val="12"/>
          <w:color w:val="auto"/>
        </w:rPr>
        <w:t>Filing Party:</w:t>
      </w:r>
    </w:p>
    <w:p>
      <w:pPr>
        <w:spacing w:after="0" w:line="284" w:lineRule="exact"/>
        <w:rPr>
          <w:rFonts w:ascii="Arial" w:cs="Arial" w:eastAsia="Arial" w:hAnsi="Arial"/>
          <w:sz w:val="12"/>
          <w:szCs w:val="12"/>
          <w:color w:val="auto"/>
        </w:rPr>
      </w:pPr>
    </w:p>
    <w:p>
      <w:pPr>
        <w:ind w:left="1328" w:hanging="591"/>
        <w:spacing w:after="0"/>
        <w:tabs>
          <w:tab w:leader="none" w:pos="1328" w:val="left"/>
        </w:tabs>
        <w:numPr>
          <w:ilvl w:val="1"/>
          <w:numId w:val="5"/>
        </w:numPr>
        <w:rPr>
          <w:rFonts w:ascii="Arial" w:cs="Arial" w:eastAsia="Arial" w:hAnsi="Arial"/>
          <w:sz w:val="12"/>
          <w:szCs w:val="12"/>
          <w:color w:val="auto"/>
        </w:rPr>
      </w:pPr>
      <w:r>
        <w:rPr>
          <w:rFonts w:ascii="Arial" w:cs="Arial" w:eastAsia="Arial" w:hAnsi="Arial"/>
          <w:sz w:val="12"/>
          <w:szCs w:val="12"/>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848995</wp:posOffset>
            </wp:positionH>
            <wp:positionV relativeFrom="paragraph">
              <wp:posOffset>-1356995</wp:posOffset>
            </wp:positionV>
            <wp:extent cx="578040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80405" cy="6985"/>
                    </a:xfrm>
                    <a:prstGeom prst="rect">
                      <a:avLst/>
                    </a:prstGeom>
                    <a:noFill/>
                  </pic:spPr>
                </pic:pic>
              </a:graphicData>
            </a:graphic>
          </wp:anchor>
        </w:drawing>
        <w:drawing>
          <wp:anchor simplePos="0" relativeHeight="251657728" behindDoc="1" locked="0" layoutInCell="0" allowOverlap="1">
            <wp:simplePos x="0" y="0"/>
            <wp:positionH relativeFrom="column">
              <wp:posOffset>848995</wp:posOffset>
            </wp:positionH>
            <wp:positionV relativeFrom="paragraph">
              <wp:posOffset>-1625600</wp:posOffset>
            </wp:positionV>
            <wp:extent cx="578040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80405" cy="6985"/>
                    </a:xfrm>
                    <a:prstGeom prst="rect">
                      <a:avLst/>
                    </a:prstGeom>
                    <a:noFill/>
                  </pic:spPr>
                </pic:pic>
              </a:graphicData>
            </a:graphic>
          </wp:anchor>
        </w:drawing>
        <w:drawing>
          <wp:anchor simplePos="0" relativeHeight="251657728" behindDoc="1" locked="0" layoutInCell="0" allowOverlap="1">
            <wp:simplePos x="0" y="0"/>
            <wp:positionH relativeFrom="column">
              <wp:posOffset>848995</wp:posOffset>
            </wp:positionH>
            <wp:positionV relativeFrom="paragraph">
              <wp:posOffset>-1894205</wp:posOffset>
            </wp:positionV>
            <wp:extent cx="578040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80405" cy="6985"/>
                    </a:xfrm>
                    <a:prstGeom prst="rect">
                      <a:avLst/>
                    </a:prstGeom>
                    <a:noFill/>
                  </pic:spPr>
                </pic:pic>
              </a:graphicData>
            </a:graphic>
          </wp:anchor>
        </w:drawing>
        <w:drawing>
          <wp:anchor simplePos="0" relativeHeight="251657728" behindDoc="1" locked="0" layoutInCell="0" allowOverlap="1">
            <wp:simplePos x="0" y="0"/>
            <wp:positionH relativeFrom="column">
              <wp:posOffset>848995</wp:posOffset>
            </wp:positionH>
            <wp:positionV relativeFrom="paragraph">
              <wp:posOffset>-2162175</wp:posOffset>
            </wp:positionV>
            <wp:extent cx="578040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80405" cy="6985"/>
                    </a:xfrm>
                    <a:prstGeom prst="rect">
                      <a:avLst/>
                    </a:prstGeom>
                    <a:noFill/>
                  </pic:spPr>
                </pic:pic>
              </a:graphicData>
            </a:graphic>
          </wp:anchor>
        </w:drawing>
        <w:drawing>
          <wp:anchor simplePos="0" relativeHeight="251657728" behindDoc="1" locked="0" layoutInCell="0" allowOverlap="1">
            <wp:simplePos x="0" y="0"/>
            <wp:positionH relativeFrom="column">
              <wp:posOffset>848995</wp:posOffset>
            </wp:positionH>
            <wp:positionV relativeFrom="paragraph">
              <wp:posOffset>-2430780</wp:posOffset>
            </wp:positionV>
            <wp:extent cx="578040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80405" cy="6985"/>
                    </a:xfrm>
                    <a:prstGeom prst="rect">
                      <a:avLst/>
                    </a:prstGeom>
                    <a:noFill/>
                  </pic:spPr>
                </pic:pic>
              </a:graphicData>
            </a:graphic>
          </wp:anchor>
        </w:drawing>
        <w:drawing>
          <wp:anchor simplePos="0" relativeHeight="251657728" behindDoc="1" locked="0" layoutInCell="0" allowOverlap="1">
            <wp:simplePos x="0" y="0"/>
            <wp:positionH relativeFrom="column">
              <wp:posOffset>848995</wp:posOffset>
            </wp:positionH>
            <wp:positionV relativeFrom="paragraph">
              <wp:posOffset>100965</wp:posOffset>
            </wp:positionV>
            <wp:extent cx="578040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80405" cy="6985"/>
                    </a:xfrm>
                    <a:prstGeom prst="rect">
                      <a:avLst/>
                    </a:prstGeom>
                    <a:noFill/>
                  </pic:spPr>
                </pic:pic>
              </a:graphicData>
            </a:graphic>
          </wp:anchor>
        </w:drawing>
        <w:drawing>
          <wp:anchor simplePos="0" relativeHeight="251657728" behindDoc="1" locked="0" layoutInCell="0" allowOverlap="1">
            <wp:simplePos x="0" y="0"/>
            <wp:positionH relativeFrom="column">
              <wp:posOffset>848995</wp:posOffset>
            </wp:positionH>
            <wp:positionV relativeFrom="paragraph">
              <wp:posOffset>-166370</wp:posOffset>
            </wp:positionV>
            <wp:extent cx="578040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80405" cy="6985"/>
                    </a:xfrm>
                    <a:prstGeom prst="rect">
                      <a:avLst/>
                    </a:prstGeom>
                    <a:noFill/>
                  </pic:spPr>
                </pic:pic>
              </a:graphicData>
            </a:graphic>
          </wp:anchor>
        </w:drawing>
        <w:drawing>
          <wp:anchor simplePos="0" relativeHeight="251657728" behindDoc="1" locked="0" layoutInCell="0" allowOverlap="1">
            <wp:simplePos x="0" y="0"/>
            <wp:positionH relativeFrom="column">
              <wp:posOffset>848995</wp:posOffset>
            </wp:positionH>
            <wp:positionV relativeFrom="paragraph">
              <wp:posOffset>-434975</wp:posOffset>
            </wp:positionV>
            <wp:extent cx="578040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80405" cy="6985"/>
                    </a:xfrm>
                    <a:prstGeom prst="rect">
                      <a:avLst/>
                    </a:prstGeom>
                    <a:noFill/>
                  </pic:spPr>
                </pic:pic>
              </a:graphicData>
            </a:graphic>
          </wp:anchor>
        </w:drawing>
        <w:drawing>
          <wp:anchor simplePos="0" relativeHeight="251657728" behindDoc="1" locked="0" layoutInCell="0" allowOverlap="1">
            <wp:simplePos x="0" y="0"/>
            <wp:positionH relativeFrom="column">
              <wp:posOffset>848995</wp:posOffset>
            </wp:positionH>
            <wp:positionV relativeFrom="paragraph">
              <wp:posOffset>-703580</wp:posOffset>
            </wp:positionV>
            <wp:extent cx="578040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80405"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541655</wp:posOffset>
            </wp:positionV>
            <wp:extent cx="6626860" cy="139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26860" cy="13970"/>
                    </a:xfrm>
                    <a:prstGeom prst="rect">
                      <a:avLst/>
                    </a:prstGeom>
                    <a:noFill/>
                  </pic:spPr>
                </pic:pic>
              </a:graphicData>
            </a:graphic>
          </wp:anchor>
        </w:drawing>
      </w:r>
    </w:p>
    <w:p>
      <w:pPr>
        <w:sectPr>
          <w:pgSz w:w="11900" w:h="16838" w:orient="portrait"/>
          <w:cols w:equalWidth="0" w:num="1">
            <w:col w:w="10268"/>
          </w:cols>
          <w:pgMar w:left="732" w:top="298" w:right="89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391795</wp:posOffset>
            </wp:positionH>
            <wp:positionV relativeFrom="page">
              <wp:posOffset>212725</wp:posOffset>
            </wp:positionV>
            <wp:extent cx="6812915" cy="4720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12915" cy="4720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391795</wp:posOffset>
            </wp:positionH>
            <wp:positionV relativeFrom="page">
              <wp:posOffset>198755</wp:posOffset>
            </wp:positionV>
            <wp:extent cx="6812915" cy="4720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12915" cy="4720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391795</wp:posOffset>
            </wp:positionH>
            <wp:positionV relativeFrom="page">
              <wp:posOffset>198755</wp:posOffset>
            </wp:positionV>
            <wp:extent cx="6812915" cy="4720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12915" cy="4720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391795</wp:posOffset>
            </wp:positionH>
            <wp:positionV relativeFrom="page">
              <wp:posOffset>198755</wp:posOffset>
            </wp:positionV>
            <wp:extent cx="6812915" cy="46177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12915" cy="46177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2019-12-08T09:56:04Z</dcterms:created>
  <dcterms:modified xsi:type="dcterms:W3CDTF">2019-12-08T09:56:04Z</dcterms:modified>
</cp:coreProperties>
</file>