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13, 2015</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544" w:right="279" w:bottom="117" w:gutter="0" w:footer="0" w:header="0"/>
        </w:sectPr>
      </w:pPr>
    </w:p>
    <w:p>
      <w:pPr>
        <w:spacing w:after="0" w:line="205" w:lineRule="exact"/>
        <w:rPr>
          <w:sz w:val="24"/>
          <w:szCs w:val="24"/>
          <w:color w:val="auto"/>
        </w:rPr>
      </w:pPr>
    </w:p>
    <w:p>
      <w:pPr>
        <w:ind w:left="13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460"/>
          </w:cols>
          <w:pgMar w:left="240" w:top="544" w:right="279" w:bottom="117"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215 First Street</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02142</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60"/>
          </w:cols>
          <w:pgMar w:left="240" w:top="544" w:right="279" w:bottom="117" w:gutter="0" w:footer="0" w:header="0"/>
          <w:type w:val="continuous"/>
        </w:sectPr>
      </w:pP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right="180" w:firstLine="716"/>
        <w:spacing w:after="0" w:line="264" w:lineRule="auto"/>
        <w:rPr>
          <w:sz w:val="20"/>
          <w:szCs w:val="20"/>
          <w:color w:val="auto"/>
        </w:rPr>
      </w:pPr>
      <w:r>
        <w:rPr>
          <w:rFonts w:ascii="Arial" w:cs="Arial" w:eastAsia="Arial" w:hAnsi="Arial"/>
          <w:sz w:val="18"/>
          <w:szCs w:val="18"/>
          <w:color w:val="auto"/>
        </w:rPr>
        <w:t>As previously reported, on August 5, 2015, Kyle D. Kuvalanka gave notice of his intention to resign from Blueprint Medicines Corporation (the “Company”), effective September 18, 2015 (the “Resignation Date”), and ceased serving as the Chief Business Officer, Principal Financial and Accounting Officer and Treasurer of the Company effective August 11, 2015.</w:t>
      </w:r>
    </w:p>
    <w:p>
      <w:pPr>
        <w:spacing w:after="0" w:line="181" w:lineRule="exact"/>
        <w:rPr>
          <w:sz w:val="24"/>
          <w:szCs w:val="24"/>
          <w:color w:val="auto"/>
        </w:rPr>
      </w:pPr>
    </w:p>
    <w:p>
      <w:pPr>
        <w:ind w:firstLine="716"/>
        <w:spacing w:after="0" w:line="270" w:lineRule="auto"/>
        <w:rPr>
          <w:sz w:val="20"/>
          <w:szCs w:val="20"/>
          <w:color w:val="auto"/>
        </w:rPr>
      </w:pPr>
      <w:r>
        <w:rPr>
          <w:rFonts w:ascii="Arial" w:cs="Arial" w:eastAsia="Arial" w:hAnsi="Arial"/>
          <w:sz w:val="17"/>
          <w:szCs w:val="17"/>
          <w:color w:val="auto"/>
        </w:rPr>
        <w:t>In connection with his resignation, on August 13, 2015, Mr. Kuvalanka entered into a Resignation Agreement (the “Resignation Agreement”) with the Company. The Resignation Agreement is subject to a revocation period in accordance with law and will become effective on August 20, 2015. The Resignation Agreement provides that Mr. Kuvalanka will be entitled to (i) continued employment by the Company in the role of Senior Advisor during the period beginning on August 11, 2015 and ending on the Resignation Date (the “Transition Period”), (ii) continued base salary pay during the Transition Period, (iii) continued participation in the Company’s fringe benefits, and (iv) continued vesting of any outstanding equity awards during the Transition Period. In addition, Mr. Kuvalanka will receive a lump-sum payment of $119,831.25, less applicable withholdings and deductions. The Company’s obligation to make such payment to Mr. Kuvalanka is conditioned on his compliance with the terms and conditions of his Resignation Agreement. The Resignation Agreement also includes a general release from Mr. Kuvalanka in favor of the Company. A copy of the Resignation Agreement will be filed as an exhibit to the Company’s Quarterly Report on Form 10-Q for the fiscal quarter ended September 30, 2015.</w:t>
      </w:r>
    </w:p>
    <w:p>
      <w:pPr>
        <w:spacing w:after="0" w:line="18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foregoing description the Resignation Agreement is qualified in its entirety by reference to the full text of such exhibit.</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4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4"/>
          <w:szCs w:val="24"/>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19, 2015</w:t>
      </w:r>
      <w:r>
        <w:rPr>
          <w:sz w:val="20"/>
          <w:szCs w:val="20"/>
          <w:color w:val="auto"/>
        </w:rPr>
        <w:tab/>
      </w:r>
      <w:r>
        <w:rPr>
          <w:rFonts w:ascii="Arial" w:cs="Arial" w:eastAsia="Arial" w:hAnsi="Arial"/>
          <w:sz w:val="18"/>
          <w:szCs w:val="18"/>
          <w:b w:val="1"/>
          <w:bCs w:val="1"/>
          <w:color w:val="auto"/>
        </w:rPr>
        <w:t>BLUEPRINT MEDICINES CORPORATION</w:t>
      </w:r>
    </w:p>
    <w:p>
      <w:pPr>
        <w:sectPr>
          <w:pgSz w:w="11900" w:h="16838" w:orient="portrait"/>
          <w:cols w:equalWidth="0" w:num="1">
            <w:col w:w="11380"/>
          </w:cols>
          <w:pgMar w:left="240" w:top="544" w:right="279" w:bottom="117" w:gutter="0" w:footer="0" w:header="0"/>
          <w:type w:val="continuous"/>
        </w:sectPr>
      </w:pPr>
    </w:p>
    <w:bookmarkStart w:id="1" w:name="page2"/>
    <w:bookmarkEnd w:id="1"/>
    <w:p>
      <w:pPr>
        <w:ind w:left="4520"/>
        <w:spacing w:after="0"/>
        <w:tabs>
          <w:tab w:leader="none" w:pos="4980" w:val="left"/>
        </w:tabs>
        <w:rPr>
          <w:sz w:val="20"/>
          <w:szCs w:val="20"/>
          <w:color w:val="auto"/>
        </w:rPr>
      </w:pPr>
      <w:r>
        <w:rPr>
          <w:rFonts w:ascii="Arial" w:cs="Arial" w:eastAsia="Arial" w:hAnsi="Arial"/>
          <w:sz w:val="18"/>
          <w:szCs w:val="18"/>
          <w:color w:val="auto"/>
        </w:rPr>
        <w:t>By:</w:t>
        <w:tab/>
        <w:t>/s/ Jeffrey W. Albers</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Chief Executive Officer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2019-12-09T05:48:05Z</dcterms:created>
  <dcterms:modified xsi:type="dcterms:W3CDTF">2019-12-09T05:48:05Z</dcterms:modified>
</cp:coreProperties>
</file>