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27"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55880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75565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1380" w:hanging="950"/>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380" w:hanging="950"/>
        <w:spacing w:after="0"/>
        <w:tabs>
          <w:tab w:leader="none" w:pos="1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3280"/>
        <w:spacing w:after="0"/>
        <w:tabs>
          <w:tab w:leader="none" w:pos="60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3329305</wp:posOffset>
            </wp:positionH>
            <wp:positionV relativeFrom="paragraph">
              <wp:posOffset>-6985</wp:posOffset>
            </wp:positionV>
            <wp:extent cx="1083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331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60325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BLUEPRINT MEDICINES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60325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3" w:lineRule="exact"/>
        <w:rPr>
          <w:sz w:val="24"/>
          <w:szCs w:val="24"/>
          <w:color w:val="auto"/>
        </w:rPr>
      </w:pPr>
    </w:p>
    <w:tbl>
      <w:tblPr>
        <w:tblLayout w:type="fixed"/>
        <w:tblInd w:w="1380" w:type="dxa"/>
        <w:tblCellMar>
          <w:top w:w="0" w:type="dxa"/>
          <w:left w:w="0" w:type="dxa"/>
          <w:bottom w:w="0" w:type="dxa"/>
          <w:right w:w="0" w:type="dxa"/>
        </w:tblCellMar>
      </w:tblPr>
      <w:tr>
        <w:trPr>
          <w:trHeight w:val="193"/>
        </w:trPr>
        <w:tc>
          <w:tcPr>
            <w:tcW w:w="4220" w:type="dxa"/>
            <w:vAlign w:val="bottom"/>
          </w:tcPr>
          <w:p>
            <w:pPr>
              <w:jc w:val="center"/>
              <w:ind w:right="1599"/>
              <w:spacing w:after="0"/>
              <w:rPr>
                <w:sz w:val="20"/>
                <w:szCs w:val="20"/>
                <w:color w:val="auto"/>
              </w:rPr>
            </w:pPr>
            <w:r>
              <w:rPr>
                <w:rFonts w:ascii="Arial" w:cs="Arial" w:eastAsia="Arial" w:hAnsi="Arial"/>
                <w:sz w:val="16"/>
                <w:szCs w:val="16"/>
                <w:b w:val="1"/>
                <w:bCs w:val="1"/>
                <w:color w:val="auto"/>
                <w:w w:val="93"/>
              </w:rPr>
              <w:t>Delaware</w:t>
            </w:r>
          </w:p>
        </w:tc>
        <w:tc>
          <w:tcPr>
            <w:tcW w:w="2900" w:type="dxa"/>
            <w:vAlign w:val="bottom"/>
          </w:tcPr>
          <w:p>
            <w:pPr>
              <w:jc w:val="right"/>
              <w:ind w:right="139"/>
              <w:spacing w:after="0"/>
              <w:rPr>
                <w:sz w:val="20"/>
                <w:szCs w:val="20"/>
                <w:color w:val="auto"/>
              </w:rPr>
            </w:pPr>
            <w:r>
              <w:rPr>
                <w:rFonts w:ascii="Arial" w:cs="Arial" w:eastAsia="Arial" w:hAnsi="Arial"/>
                <w:sz w:val="16"/>
                <w:szCs w:val="16"/>
                <w:b w:val="1"/>
                <w:bCs w:val="1"/>
                <w:color w:val="auto"/>
              </w:rPr>
              <w:t>26-3632015</w:t>
            </w:r>
          </w:p>
        </w:tc>
        <w:tc>
          <w:tcPr>
            <w:tcW w:w="0" w:type="dxa"/>
            <w:vAlign w:val="bottom"/>
          </w:tcPr>
          <w:p>
            <w:pPr>
              <w:spacing w:after="0"/>
              <w:rPr>
                <w:sz w:val="1"/>
                <w:szCs w:val="1"/>
                <w:color w:val="auto"/>
              </w:rPr>
            </w:pPr>
          </w:p>
        </w:tc>
      </w:tr>
      <w:tr>
        <w:trPr>
          <w:trHeight w:val="162"/>
        </w:trPr>
        <w:tc>
          <w:tcPr>
            <w:tcW w:w="4220" w:type="dxa"/>
            <w:vAlign w:val="bottom"/>
          </w:tcPr>
          <w:p>
            <w:pPr>
              <w:jc w:val="center"/>
              <w:ind w:right="1639"/>
              <w:spacing w:after="0" w:line="162" w:lineRule="exact"/>
              <w:rPr>
                <w:sz w:val="20"/>
                <w:szCs w:val="20"/>
                <w:color w:val="auto"/>
              </w:rPr>
            </w:pPr>
            <w:r>
              <w:rPr>
                <w:rFonts w:ascii="Arial" w:cs="Arial" w:eastAsia="Arial" w:hAnsi="Arial"/>
                <w:sz w:val="16"/>
                <w:szCs w:val="16"/>
                <w:i w:val="1"/>
                <w:iCs w:val="1"/>
                <w:color w:val="auto"/>
                <w:w w:val="94"/>
              </w:rPr>
              <w:t>(State or other jurisdiction of</w:t>
            </w:r>
          </w:p>
        </w:tc>
        <w:tc>
          <w:tcPr>
            <w:tcW w:w="2900" w:type="dxa"/>
            <w:vAlign w:val="bottom"/>
          </w:tcPr>
          <w:p>
            <w:pPr>
              <w:jc w:val="center"/>
              <w:ind w:left="1619"/>
              <w:spacing w:after="0" w:line="162" w:lineRule="exact"/>
              <w:rPr>
                <w:sz w:val="20"/>
                <w:szCs w:val="20"/>
                <w:color w:val="auto"/>
              </w:rPr>
            </w:pPr>
            <w:r>
              <w:rPr>
                <w:rFonts w:ascii="Arial" w:cs="Arial" w:eastAsia="Arial" w:hAnsi="Arial"/>
                <w:sz w:val="16"/>
                <w:szCs w:val="16"/>
                <w:i w:val="1"/>
                <w:iCs w:val="1"/>
                <w:color w:val="auto"/>
                <w:w w:val="92"/>
              </w:rPr>
              <w:t>(IRS Employer</w:t>
            </w:r>
          </w:p>
        </w:tc>
        <w:tc>
          <w:tcPr>
            <w:tcW w:w="0" w:type="dxa"/>
            <w:vAlign w:val="bottom"/>
          </w:tcPr>
          <w:p>
            <w:pPr>
              <w:spacing w:after="0"/>
              <w:rPr>
                <w:sz w:val="1"/>
                <w:szCs w:val="1"/>
                <w:color w:val="auto"/>
              </w:rPr>
            </w:pPr>
          </w:p>
        </w:tc>
      </w:tr>
      <w:tr>
        <w:trPr>
          <w:trHeight w:val="206"/>
        </w:trPr>
        <w:tc>
          <w:tcPr>
            <w:tcW w:w="4220" w:type="dxa"/>
            <w:vAlign w:val="bottom"/>
          </w:tcPr>
          <w:p>
            <w:pPr>
              <w:jc w:val="center"/>
              <w:ind w:right="1419"/>
              <w:spacing w:after="0"/>
              <w:rPr>
                <w:sz w:val="20"/>
                <w:szCs w:val="20"/>
                <w:color w:val="auto"/>
              </w:rPr>
            </w:pPr>
            <w:r>
              <w:rPr>
                <w:rFonts w:ascii="Arial" w:cs="Arial" w:eastAsia="Arial" w:hAnsi="Arial"/>
                <w:sz w:val="16"/>
                <w:szCs w:val="16"/>
                <w:i w:val="1"/>
                <w:iCs w:val="1"/>
                <w:color w:val="auto"/>
                <w:w w:val="96"/>
              </w:rPr>
              <w:t>incorporation or organization)</w:t>
            </w:r>
          </w:p>
        </w:tc>
        <w:tc>
          <w:tcPr>
            <w:tcW w:w="2900" w:type="dxa"/>
            <w:vAlign w:val="bottom"/>
          </w:tcPr>
          <w:p>
            <w:pPr>
              <w:jc w:val="center"/>
              <w:ind w:left="1619"/>
              <w:spacing w:after="0"/>
              <w:rPr>
                <w:sz w:val="20"/>
                <w:szCs w:val="20"/>
                <w:color w:val="auto"/>
              </w:rPr>
            </w:pPr>
            <w:r>
              <w:rPr>
                <w:rFonts w:ascii="Arial" w:cs="Arial" w:eastAsia="Arial" w:hAnsi="Arial"/>
                <w:sz w:val="16"/>
                <w:szCs w:val="16"/>
                <w:i w:val="1"/>
                <w:iCs w:val="1"/>
                <w:color w:val="auto"/>
                <w:w w:val="96"/>
              </w:rPr>
              <w:t>Identification No.)</w:t>
            </w:r>
          </w:p>
        </w:tc>
        <w:tc>
          <w:tcPr>
            <w:tcW w:w="0" w:type="dxa"/>
            <w:vAlign w:val="bottom"/>
          </w:tcPr>
          <w:p>
            <w:pPr>
              <w:spacing w:after="0"/>
              <w:rPr>
                <w:sz w:val="1"/>
                <w:szCs w:val="1"/>
                <w:color w:val="auto"/>
              </w:rPr>
            </w:pPr>
          </w:p>
        </w:tc>
      </w:tr>
      <w:tr>
        <w:trPr>
          <w:trHeight w:val="290"/>
        </w:trPr>
        <w:tc>
          <w:tcPr>
            <w:tcW w:w="4220" w:type="dxa"/>
            <w:vAlign w:val="bottom"/>
          </w:tcPr>
          <w:p>
            <w:pPr>
              <w:jc w:val="center"/>
              <w:ind w:right="1619"/>
              <w:spacing w:after="0"/>
              <w:rPr>
                <w:sz w:val="20"/>
                <w:szCs w:val="20"/>
                <w:color w:val="auto"/>
              </w:rPr>
            </w:pPr>
            <w:r>
              <w:rPr>
                <w:rFonts w:ascii="Arial" w:cs="Arial" w:eastAsia="Arial" w:hAnsi="Arial"/>
                <w:sz w:val="16"/>
                <w:szCs w:val="16"/>
                <w:b w:val="1"/>
                <w:bCs w:val="1"/>
                <w:color w:val="auto"/>
                <w:w w:val="90"/>
              </w:rPr>
              <w:t>38 Sidney Street, Suite 200</w:t>
            </w:r>
          </w:p>
        </w:tc>
        <w:tc>
          <w:tcPr>
            <w:tcW w:w="2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79"/>
        </w:trPr>
        <w:tc>
          <w:tcPr>
            <w:tcW w:w="4220" w:type="dxa"/>
            <w:vAlign w:val="bottom"/>
          </w:tcPr>
          <w:p>
            <w:pPr>
              <w:jc w:val="center"/>
              <w:ind w:right="1399"/>
              <w:spacing w:after="0" w:line="179" w:lineRule="exact"/>
              <w:rPr>
                <w:sz w:val="20"/>
                <w:szCs w:val="20"/>
                <w:color w:val="auto"/>
              </w:rPr>
            </w:pPr>
            <w:r>
              <w:rPr>
                <w:rFonts w:ascii="Arial" w:cs="Arial" w:eastAsia="Arial" w:hAnsi="Arial"/>
                <w:sz w:val="16"/>
                <w:szCs w:val="16"/>
                <w:b w:val="1"/>
                <w:bCs w:val="1"/>
                <w:color w:val="auto"/>
                <w:w w:val="97"/>
              </w:rPr>
              <w:t>Cambridge, MA</w:t>
            </w: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20" w:type="dxa"/>
            <w:vAlign w:val="bottom"/>
          </w:tcPr>
          <w:p>
            <w:pPr>
              <w:jc w:val="center"/>
              <w:ind w:right="161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2900" w:type="dxa"/>
            <w:vAlign w:val="bottom"/>
          </w:tcPr>
          <w:p>
            <w:pPr>
              <w:jc w:val="center"/>
              <w:ind w:left="1599"/>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bl>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 xml:space="preserve">Registrant’s telephone number, including area code: </w:t>
      </w:r>
      <w:r>
        <w:rPr>
          <w:rFonts w:ascii="Arial" w:cs="Arial" w:eastAsia="Arial" w:hAnsi="Arial"/>
          <w:sz w:val="16"/>
          <w:szCs w:val="16"/>
          <w:b w:val="1"/>
          <w:bCs w:val="1"/>
          <w:color w:val="auto"/>
        </w:rPr>
        <w:t>(617) 374-7580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4460" w:type="dxa"/>
            <w:vAlign w:val="bottom"/>
            <w:gridSpan w:val="3"/>
          </w:tcPr>
          <w:p>
            <w:pPr>
              <w:ind w:left="1420"/>
              <w:spacing w:after="0"/>
              <w:rPr>
                <w:sz w:val="20"/>
                <w:szCs w:val="20"/>
                <w:color w:val="auto"/>
              </w:rPr>
            </w:pPr>
            <w:r>
              <w:rPr>
                <w:rFonts w:ascii="Arial" w:cs="Arial" w:eastAsia="Arial" w:hAnsi="Arial"/>
                <w:sz w:val="16"/>
                <w:szCs w:val="16"/>
                <w:i w:val="1"/>
                <w:iCs w:val="1"/>
                <w:color w:val="auto"/>
              </w:rPr>
              <w:t>Title of Class</w:t>
            </w:r>
          </w:p>
        </w:tc>
        <w:tc>
          <w:tcPr>
            <w:tcW w:w="3640" w:type="dxa"/>
            <w:vAlign w:val="bottom"/>
            <w:gridSpan w:val="3"/>
          </w:tcPr>
          <w:p>
            <w:pPr>
              <w:jc w:val="center"/>
              <w:ind w:right="360"/>
              <w:spacing w:after="0"/>
              <w:rPr>
                <w:sz w:val="20"/>
                <w:szCs w:val="20"/>
                <w:color w:val="auto"/>
              </w:rPr>
            </w:pPr>
            <w:r>
              <w:rPr>
                <w:rFonts w:ascii="Arial" w:cs="Arial" w:eastAsia="Arial" w:hAnsi="Arial"/>
                <w:sz w:val="16"/>
                <w:szCs w:val="16"/>
                <w:i w:val="1"/>
                <w:iCs w:val="1"/>
                <w:color w:val="auto"/>
                <w:w w:val="89"/>
              </w:rPr>
              <w:t>Name of Exchange on Which Registered</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rPr>
              <w:t>Common Stock, par value $0.001 per share</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gridSpan w:val="6"/>
          </w:tcPr>
          <w:p>
            <w:pPr>
              <w:ind w:left="3140"/>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920" w:type="dxa"/>
            <w:vAlign w:val="bottom"/>
            <w:gridSpan w:val="2"/>
          </w:tcPr>
          <w:p>
            <w:pPr>
              <w:spacing w:after="0"/>
              <w:rPr>
                <w:sz w:val="7"/>
                <w:szCs w:val="7"/>
                <w:color w:val="auto"/>
              </w:rPr>
            </w:pPr>
          </w:p>
        </w:tc>
        <w:tc>
          <w:tcPr>
            <w:tcW w:w="2620" w:type="dxa"/>
            <w:vAlign w:val="bottom"/>
            <w:tcBorders>
              <w:bottom w:val="single" w:sz="8" w:color="auto"/>
            </w:tcBorders>
            <w:gridSpan w:val="2"/>
          </w:tcPr>
          <w:p>
            <w:pPr>
              <w:spacing w:after="0"/>
              <w:rPr>
                <w:sz w:val="7"/>
                <w:szCs w:val="7"/>
                <w:color w:val="auto"/>
              </w:rPr>
            </w:pPr>
          </w:p>
        </w:tc>
        <w:tc>
          <w:tcPr>
            <w:tcW w:w="1560" w:type="dxa"/>
            <w:vAlign w:val="bottom"/>
            <w:gridSpan w:val="2"/>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vMerge w:val="restart"/>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6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4"/>
        </w:trPr>
        <w:tc>
          <w:tcPr>
            <w:tcW w:w="8100" w:type="dxa"/>
            <w:vAlign w:val="bottom"/>
            <w:gridSpan w:val="6"/>
          </w:tcPr>
          <w:p>
            <w:pPr>
              <w:ind w:left="34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00" w:type="dxa"/>
            <w:vAlign w:val="bottom"/>
          </w:tcPr>
          <w:p>
            <w:pPr>
              <w:spacing w:after="0"/>
              <w:rPr>
                <w:sz w:val="20"/>
                <w:szCs w:val="20"/>
                <w:color w:val="auto"/>
              </w:rPr>
            </w:pPr>
            <w:r>
              <w:rPr>
                <w:rFonts w:ascii="Arial" w:cs="Arial" w:eastAsia="Arial" w:hAnsi="Arial"/>
                <w:sz w:val="16"/>
                <w:szCs w:val="16"/>
                <w:color w:val="auto"/>
              </w:rPr>
              <w:t>Yes</w:t>
            </w:r>
          </w:p>
        </w:tc>
        <w:tc>
          <w:tcPr>
            <w:tcW w:w="5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100" w:type="dxa"/>
            <w:vAlign w:val="bottom"/>
            <w:gridSpan w:val="6"/>
          </w:tcPr>
          <w:p>
            <w:pPr>
              <w:ind w:left="3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00" w:type="dxa"/>
            <w:vAlign w:val="bottom"/>
          </w:tcPr>
          <w:p>
            <w:pPr>
              <w:ind w:left="160"/>
              <w:spacing w:after="0"/>
              <w:rPr>
                <w:sz w:val="20"/>
                <w:szCs w:val="20"/>
                <w:color w:val="auto"/>
              </w:rPr>
            </w:pPr>
            <w:r>
              <w:rPr>
                <w:rFonts w:ascii="Arial" w:cs="Arial" w:eastAsia="Arial" w:hAnsi="Arial"/>
                <w:sz w:val="16"/>
                <w:szCs w:val="16"/>
                <w:color w:val="auto"/>
                <w:w w:val="79"/>
              </w:rPr>
              <w:t>Yes</w:t>
            </w:r>
          </w:p>
        </w:tc>
        <w:tc>
          <w:tcPr>
            <w:tcW w:w="58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ind w:left="20" w:right="200" w:firstLine="324"/>
        <w:spacing w:after="0" w:line="17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20" w:firstLine="324"/>
        <w:spacing w:after="0" w:line="17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jc w:val="both"/>
        <w:ind w:left="20" w:right="120" w:firstLine="324"/>
        <w:spacing w:after="0" w:line="176"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ind w:left="20" w:right="160" w:firstLine="324"/>
        <w:spacing w:after="0" w:line="24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340" w:type="dxa"/>
        <w:tblCellMar>
          <w:top w:w="0" w:type="dxa"/>
          <w:left w:w="0" w:type="dxa"/>
          <w:bottom w:w="0" w:type="dxa"/>
          <w:right w:w="0" w:type="dxa"/>
        </w:tblCellMar>
      </w:tblPr>
      <w:tr>
        <w:trPr>
          <w:trHeight w:val="159"/>
        </w:trPr>
        <w:tc>
          <w:tcPr>
            <w:tcW w:w="2140" w:type="dxa"/>
            <w:vAlign w:val="bottom"/>
          </w:tcPr>
          <w:p>
            <w:pPr>
              <w:ind w:left="40"/>
              <w:spacing w:after="0" w:line="15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2260" w:type="dxa"/>
            <w:vAlign w:val="bottom"/>
          </w:tcPr>
          <w:p>
            <w:pPr>
              <w:ind w:left="340"/>
              <w:spacing w:after="0" w:line="15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200" w:type="dxa"/>
            <w:vAlign w:val="bottom"/>
          </w:tcPr>
          <w:p>
            <w:pPr>
              <w:jc w:val="center"/>
              <w:ind w:right="239"/>
              <w:spacing w:after="0" w:line="159" w:lineRule="exact"/>
              <w:rPr>
                <w:sz w:val="20"/>
                <w:szCs w:val="20"/>
                <w:color w:val="auto"/>
              </w:rPr>
            </w:pPr>
            <w:r>
              <w:rPr>
                <w:rFonts w:ascii="Arial" w:cs="Arial" w:eastAsia="Arial" w:hAnsi="Arial"/>
                <w:sz w:val="16"/>
                <w:szCs w:val="16"/>
                <w:color w:val="auto"/>
                <w:w w:val="95"/>
              </w:rPr>
              <w:t xml:space="preserve">Non-accelerated filer </w:t>
            </w:r>
            <w:r>
              <w:rPr>
                <w:rFonts w:ascii="MS PGothic" w:cs="MS PGothic" w:eastAsia="MS PGothic" w:hAnsi="MS PGothic"/>
                <w:sz w:val="16"/>
                <w:szCs w:val="16"/>
                <w:color w:val="auto"/>
                <w:w w:val="95"/>
              </w:rPr>
              <w:t>☑</w:t>
            </w:r>
          </w:p>
        </w:tc>
        <w:tc>
          <w:tcPr>
            <w:tcW w:w="2080" w:type="dxa"/>
            <w:vAlign w:val="bottom"/>
          </w:tcPr>
          <w:p>
            <w:pPr>
              <w:ind w:left="80"/>
              <w:spacing w:after="0" w:line="159" w:lineRule="exact"/>
              <w:rPr>
                <w:sz w:val="20"/>
                <w:szCs w:val="20"/>
                <w:color w:val="auto"/>
              </w:rPr>
            </w:pPr>
            <w:r>
              <w:rPr>
                <w:rFonts w:ascii="Arial" w:cs="Arial" w:eastAsia="Arial" w:hAnsi="Arial"/>
                <w:sz w:val="16"/>
                <w:szCs w:val="16"/>
                <w:color w:val="auto"/>
                <w:w w:val="93"/>
              </w:rPr>
              <w:t xml:space="preserve">Smaller reporting company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0" w:type="dxa"/>
            <w:vAlign w:val="bottom"/>
          </w:tcPr>
          <w:p>
            <w:pPr>
              <w:jc w:val="center"/>
              <w:ind w:right="239"/>
              <w:spacing w:after="0" w:line="162" w:lineRule="exact"/>
              <w:rPr>
                <w:sz w:val="20"/>
                <w:szCs w:val="20"/>
                <w:color w:val="auto"/>
              </w:rPr>
            </w:pPr>
            <w:r>
              <w:rPr>
                <w:rFonts w:ascii="Arial" w:cs="Arial" w:eastAsia="Arial" w:hAnsi="Arial"/>
                <w:sz w:val="16"/>
                <w:szCs w:val="16"/>
                <w:color w:val="auto"/>
                <w:w w:val="93"/>
              </w:rPr>
              <w:t>(Do not check if a</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200" w:type="dxa"/>
            <w:vAlign w:val="bottom"/>
          </w:tcPr>
          <w:p>
            <w:pPr>
              <w:jc w:val="center"/>
              <w:ind w:right="239"/>
              <w:spacing w:after="0" w:line="159" w:lineRule="exact"/>
              <w:rPr>
                <w:sz w:val="20"/>
                <w:szCs w:val="20"/>
                <w:color w:val="auto"/>
              </w:rPr>
            </w:pPr>
            <w:r>
              <w:rPr>
                <w:rFonts w:ascii="Arial" w:cs="Arial" w:eastAsia="Arial" w:hAnsi="Arial"/>
                <w:sz w:val="16"/>
                <w:szCs w:val="16"/>
                <w:color w:val="auto"/>
                <w:w w:val="92"/>
              </w:rPr>
              <w:t>smaller reporting company)</w:t>
            </w:r>
          </w:p>
        </w:tc>
        <w:tc>
          <w:tcPr>
            <w:tcW w:w="208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7"/>
        </w:trPr>
        <w:tc>
          <w:tcPr>
            <w:tcW w:w="7600" w:type="dxa"/>
            <w:vAlign w:val="bottom"/>
            <w:gridSpan w:val="3"/>
          </w:tcPr>
          <w:p>
            <w:pPr>
              <w:spacing w:after="0" w:line="184" w:lineRule="exact"/>
              <w:rPr>
                <w:sz w:val="20"/>
                <w:szCs w:val="20"/>
                <w:color w:val="auto"/>
              </w:rPr>
            </w:pPr>
            <w:r>
              <w:rPr>
                <w:rFonts w:ascii="Arial" w:cs="Arial" w:eastAsia="Arial" w:hAnsi="Arial"/>
                <w:sz w:val="16"/>
                <w:szCs w:val="16"/>
                <w:color w:val="auto"/>
                <w:w w:val="94"/>
              </w:rPr>
              <w:t xml:space="preserve">Indicate by check mark whether the registrant is a shell company (as defined in Rule 12b-2 of the Act). Yes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No</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jc w:val="both"/>
        <w:ind w:left="20" w:right="300" w:firstLine="324"/>
        <w:spacing w:after="0" w:line="224" w:lineRule="auto"/>
        <w:rPr>
          <w:sz w:val="20"/>
          <w:szCs w:val="20"/>
          <w:color w:val="auto"/>
        </w:rPr>
      </w:pPr>
      <w:r>
        <w:rPr>
          <w:rFonts w:ascii="Arial" w:cs="Arial" w:eastAsia="Arial" w:hAnsi="Arial"/>
          <w:sz w:val="16"/>
          <w:szCs w:val="16"/>
          <w:color w:val="auto"/>
        </w:rPr>
        <w:t>As of June 30, 2015, the aggregate market value of the voting and non-voting common equity held by non-affiliates of the registrant, based on the last reported sales price for the registrant’s common stock, par value $0.001 per share, on the NASDAQ Global Select Market on such date, was approximately $389,520,000.</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Number of shares of the registrant’s common stock, par value $0.001 per share, outstanding on February 29, 2016: 27,201,271</w:t>
      </w:r>
    </w:p>
    <w:p>
      <w:pPr>
        <w:spacing w:after="0" w:line="15"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8" w:lineRule="exact"/>
        <w:rPr>
          <w:sz w:val="24"/>
          <w:szCs w:val="24"/>
          <w:color w:val="auto"/>
        </w:rPr>
      </w:pPr>
    </w:p>
    <w:p>
      <w:pPr>
        <w:jc w:val="both"/>
        <w:ind w:left="20" w:right="60" w:firstLine="324"/>
        <w:spacing w:after="0" w:line="229" w:lineRule="auto"/>
        <w:rPr>
          <w:sz w:val="20"/>
          <w:szCs w:val="20"/>
          <w:color w:val="auto"/>
        </w:rPr>
      </w:pPr>
      <w:r>
        <w:rPr>
          <w:rFonts w:ascii="Arial" w:cs="Arial" w:eastAsia="Arial" w:hAnsi="Arial"/>
          <w:sz w:val="16"/>
          <w:szCs w:val="16"/>
          <w:color w:val="auto"/>
        </w:rPr>
        <w:t>Portions of the registrant’s definitive proxy statement for its 2016 Annual Meeting of Stockholders, which the registrant intends to file with the Securities and Exchange Commission pursuant to Regulation 14A within 120 days after the end of the registrant’s fiscal year ended December 31, 2015,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40" w:top="220" w:right="7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1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040" w:type="dxa"/>
            <w:vAlign w:val="bottom"/>
            <w:gridSpan w:val="11"/>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325"/>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6720" w:type="dxa"/>
            <w:vAlign w:val="bottom"/>
            <w:gridSpan w:val="25"/>
          </w:tcPr>
          <w:p>
            <w:pPr>
              <w:spacing w:after="0"/>
              <w:rPr>
                <w:sz w:val="24"/>
                <w:szCs w:val="24"/>
                <w:color w:val="auto"/>
              </w:rPr>
            </w:pPr>
          </w:p>
        </w:tc>
        <w:tc>
          <w:tcPr>
            <w:tcW w:w="380" w:type="dxa"/>
            <w:vAlign w:val="bottom"/>
          </w:tcPr>
          <w:p>
            <w:pPr>
              <w:jc w:val="center"/>
              <w:ind w:left="1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Item1A.</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60" w:type="dxa"/>
            <w:vAlign w:val="bottom"/>
            <w:gridSpan w:val="2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38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1B.</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EE"/>
            </w:tcBorders>
            <w:gridSpan w:val="3"/>
          </w:tcPr>
          <w:p>
            <w:pPr>
              <w:spacing w:after="0" w:line="15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Unresolved</w:t>
              </w:r>
            </w:hyperlink>
          </w:p>
        </w:tc>
        <w:tc>
          <w:tcPr>
            <w:tcW w:w="6460" w:type="dxa"/>
            <w:vAlign w:val="bottom"/>
            <w:gridSpan w:val="23"/>
          </w:tcPr>
          <w:p>
            <w:pPr>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Staff Comments</w:t>
              </w:r>
            </w:hyperlink>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Properties</w:t>
              </w:r>
            </w:hyperlink>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7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vMerge w:val="restart"/>
          </w:tcPr>
          <w:p>
            <w:pPr>
              <w:jc w:val="center"/>
              <w:ind w:left="111"/>
              <w:spacing w:after="0" w:line="17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line="20" w:lineRule="exact"/>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gridSpan w:val="26"/>
          </w:tcPr>
          <w:p>
            <w:pPr>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Legal Proceedings</w:t>
              </w:r>
            </w:hyperlink>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7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vMerge w:val="restart"/>
          </w:tcPr>
          <w:p>
            <w:pPr>
              <w:jc w:val="center"/>
              <w:ind w:left="111"/>
              <w:spacing w:after="0" w:line="17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line="20" w:lineRule="exact"/>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gridSpan w:val="26"/>
          </w:tcPr>
          <w:p>
            <w:pPr>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ind w:right="20"/>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w:t>
              </w:r>
            </w:hyperlink>
          </w:p>
        </w:tc>
        <w:tc>
          <w:tcPr>
            <w:tcW w:w="402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380" w:type="dxa"/>
            <w:vAlign w:val="bottom"/>
            <w:gridSpan w:val="27"/>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Market for Registrant’s Common Equity, Related Stockholder Matters and Issuer Purchases of Equity</w:t>
              </w:r>
            </w:hyperlink>
          </w:p>
        </w:tc>
        <w:tc>
          <w:tcPr>
            <w:tcW w:w="380" w:type="dxa"/>
            <w:vAlign w:val="bottom"/>
          </w:tcPr>
          <w:p>
            <w:pPr>
              <w:jc w:val="center"/>
              <w:ind w:left="111"/>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32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78">
              <w:r>
                <w:rPr>
                  <w:rFonts w:ascii="Arial" w:cs="Arial" w:eastAsia="Arial" w:hAnsi="Arial"/>
                  <w:sz w:val="18"/>
                  <w:szCs w:val="18"/>
                  <w:color w:val="0000EE"/>
                </w:rPr>
                <w:t>Securities</w:t>
              </w:r>
            </w:hyperlink>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EE"/>
            </w:tcBorders>
            <w:gridSpan w:val="2"/>
          </w:tcPr>
          <w:p>
            <w:pPr>
              <w:spacing w:after="0" w:line="15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Selected</w:t>
              </w:r>
            </w:hyperlink>
          </w:p>
        </w:tc>
        <w:tc>
          <w:tcPr>
            <w:tcW w:w="6640" w:type="dxa"/>
            <w:vAlign w:val="bottom"/>
            <w:gridSpan w:val="24"/>
          </w:tcPr>
          <w:p>
            <w:pPr>
              <w:spacing w:after="0" w:line="156" w:lineRule="exact"/>
              <w:rPr>
                <w:rFonts w:ascii="Arial" w:cs="Arial" w:eastAsia="Arial" w:hAnsi="Arial"/>
                <w:sz w:val="18"/>
                <w:szCs w:val="18"/>
                <w:color w:val="0000EE"/>
              </w:rPr>
            </w:pPr>
            <w:hyperlink w:anchor="page80">
              <w:r>
                <w:rPr>
                  <w:rFonts w:ascii="Arial" w:cs="Arial" w:eastAsia="Arial" w:hAnsi="Arial"/>
                  <w:sz w:val="18"/>
                  <w:szCs w:val="18"/>
                  <w:color w:val="0000EE"/>
                </w:rPr>
                <w:t>Financial Data</w:t>
              </w:r>
            </w:hyperlink>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7.</w:t>
            </w:r>
          </w:p>
        </w:tc>
        <w:tc>
          <w:tcPr>
            <w:tcW w:w="20" w:type="dxa"/>
            <w:vAlign w:val="bottom"/>
          </w:tcPr>
          <w:p>
            <w:pPr>
              <w:spacing w:after="0"/>
              <w:rPr>
                <w:sz w:val="13"/>
                <w:szCs w:val="13"/>
                <w:color w:val="auto"/>
              </w:rPr>
            </w:pPr>
          </w:p>
        </w:tc>
        <w:tc>
          <w:tcPr>
            <w:tcW w:w="1720" w:type="dxa"/>
            <w:vAlign w:val="bottom"/>
            <w:tcBorders>
              <w:top w:val="single" w:sz="8" w:color="0000EE"/>
            </w:tcBorders>
            <w:gridSpan w:val="6"/>
          </w:tcPr>
          <w:p>
            <w:pPr>
              <w:spacing w:after="0" w:line="156" w:lineRule="exact"/>
              <w:rPr>
                <w:rFonts w:ascii="Arial" w:cs="Arial" w:eastAsia="Arial" w:hAnsi="Arial"/>
                <w:sz w:val="18"/>
                <w:szCs w:val="18"/>
                <w:color w:val="0000EE"/>
                <w:w w:val="80"/>
              </w:rPr>
            </w:pPr>
            <w:hyperlink w:anchor="page81">
              <w:r>
                <w:rPr>
                  <w:rFonts w:ascii="Arial" w:cs="Arial" w:eastAsia="Arial" w:hAnsi="Arial"/>
                  <w:sz w:val="18"/>
                  <w:szCs w:val="18"/>
                  <w:color w:val="0000EE"/>
                  <w:w w:val="80"/>
                </w:rPr>
                <w:t>Management’s Discussion</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560" w:type="dxa"/>
            <w:vAlign w:val="bottom"/>
            <w:gridSpan w:val="18"/>
          </w:tcPr>
          <w:p>
            <w:pPr>
              <w:ind w:left="140"/>
              <w:spacing w:after="0" w:line="156" w:lineRule="exact"/>
              <w:rPr>
                <w:rFonts w:ascii="Arial" w:cs="Arial" w:eastAsia="Arial" w:hAnsi="Arial"/>
                <w:sz w:val="18"/>
                <w:szCs w:val="18"/>
                <w:color w:val="0000EE"/>
              </w:rPr>
            </w:pPr>
            <w:hyperlink w:anchor="page81">
              <w:r>
                <w:rPr>
                  <w:rFonts w:ascii="Arial" w:cs="Arial" w:eastAsia="Arial" w:hAnsi="Arial"/>
                  <w:sz w:val="18"/>
                  <w:szCs w:val="18"/>
                  <w:color w:val="0000EE"/>
                </w:rPr>
                <w:t>and Analysis of Financial Condition and Results of Operations</w:t>
              </w:r>
            </w:hyperlink>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7A.</w:t>
            </w:r>
          </w:p>
        </w:tc>
        <w:tc>
          <w:tcPr>
            <w:tcW w:w="20" w:type="dxa"/>
            <w:vAlign w:val="bottom"/>
          </w:tcPr>
          <w:p>
            <w:pPr>
              <w:spacing w:after="0"/>
              <w:rPr>
                <w:sz w:val="13"/>
                <w:szCs w:val="13"/>
                <w:color w:val="auto"/>
              </w:rPr>
            </w:pPr>
          </w:p>
        </w:tc>
        <w:tc>
          <w:tcPr>
            <w:tcW w:w="648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Quantitative and Qualitative Disclosures About Market Risk.</w:t>
              </w:r>
            </w:hyperlink>
          </w:p>
        </w:tc>
        <w:tc>
          <w:tcPr>
            <w:tcW w:w="8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8.</w:t>
            </w:r>
          </w:p>
        </w:tc>
        <w:tc>
          <w:tcPr>
            <w:tcW w:w="20" w:type="dxa"/>
            <w:vAlign w:val="bottom"/>
          </w:tcPr>
          <w:p>
            <w:pPr>
              <w:spacing w:after="0"/>
              <w:rPr>
                <w:sz w:val="13"/>
                <w:szCs w:val="13"/>
                <w:color w:val="auto"/>
              </w:rPr>
            </w:pPr>
          </w:p>
        </w:tc>
        <w:tc>
          <w:tcPr>
            <w:tcW w:w="440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Financial Statements and Supplementary Data</w:t>
              </w:r>
            </w:hyperlink>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9.</w:t>
            </w:r>
          </w:p>
        </w:tc>
        <w:tc>
          <w:tcPr>
            <w:tcW w:w="20" w:type="dxa"/>
            <w:vAlign w:val="bottom"/>
          </w:tcPr>
          <w:p>
            <w:pPr>
              <w:spacing w:after="0"/>
              <w:rPr>
                <w:sz w:val="13"/>
                <w:szCs w:val="13"/>
                <w:color w:val="auto"/>
              </w:rPr>
            </w:pPr>
          </w:p>
        </w:tc>
        <w:tc>
          <w:tcPr>
            <w:tcW w:w="3340" w:type="dxa"/>
            <w:vAlign w:val="bottom"/>
            <w:tcBorders>
              <w:top w:val="single" w:sz="8" w:color="0000EE"/>
            </w:tcBorders>
            <w:gridSpan w:val="16"/>
          </w:tcPr>
          <w:p>
            <w:pPr>
              <w:spacing w:after="0" w:line="15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Change in and Disagreements with Accountants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8"/>
          </w:tcPr>
          <w:p>
            <w:pPr>
              <w:ind w:left="120"/>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on Accounting and Financial Disclosure.</w:t>
              </w:r>
            </w:hyperlink>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9A.</w:t>
            </w:r>
          </w:p>
        </w:tc>
        <w:tc>
          <w:tcPr>
            <w:tcW w:w="20" w:type="dxa"/>
            <w:vAlign w:val="bottom"/>
          </w:tcPr>
          <w:p>
            <w:pPr>
              <w:spacing w:after="0"/>
              <w:rPr>
                <w:sz w:val="13"/>
                <w:szCs w:val="13"/>
                <w:color w:val="auto"/>
              </w:rPr>
            </w:pPr>
          </w:p>
        </w:tc>
        <w:tc>
          <w:tcPr>
            <w:tcW w:w="6460" w:type="dxa"/>
            <w:vAlign w:val="bottom"/>
            <w:tcBorders>
              <w:top w:val="single" w:sz="8" w:color="0000EE"/>
            </w:tcBorders>
            <w:gridSpan w:val="23"/>
          </w:tcPr>
          <w:p>
            <w:pPr>
              <w:spacing w:after="0" w:line="156" w:lineRule="exact"/>
              <w:rPr>
                <w:rFonts w:ascii="Arial" w:cs="Arial" w:eastAsia="Arial" w:hAnsi="Arial"/>
                <w:sz w:val="18"/>
                <w:szCs w:val="18"/>
                <w:color w:val="0000EE"/>
              </w:rPr>
            </w:pPr>
            <w:hyperlink w:anchor="page96">
              <w:r>
                <w:rPr>
                  <w:rFonts w:ascii="Arial" w:cs="Arial" w:eastAsia="Arial" w:hAnsi="Arial"/>
                  <w:sz w:val="18"/>
                  <w:szCs w:val="18"/>
                  <w:color w:val="0000EE"/>
                </w:rPr>
                <w:t>Controls and Procedures</w:t>
              </w:r>
            </w:hyperlink>
          </w:p>
        </w:tc>
        <w:tc>
          <w:tcPr>
            <w:tcW w:w="8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9B.</w:t>
            </w:r>
          </w:p>
        </w:tc>
        <w:tc>
          <w:tcPr>
            <w:tcW w:w="20" w:type="dxa"/>
            <w:vAlign w:val="bottom"/>
          </w:tcPr>
          <w:p>
            <w:pPr>
              <w:spacing w:after="0"/>
              <w:rPr>
                <w:sz w:val="13"/>
                <w:szCs w:val="13"/>
                <w:color w:val="auto"/>
              </w:rPr>
            </w:pPr>
          </w:p>
        </w:tc>
        <w:tc>
          <w:tcPr>
            <w:tcW w:w="178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40" w:type="dxa"/>
            <w:vAlign w:val="bottom"/>
            <w:gridSpan w:val="2"/>
          </w:tcPr>
          <w:p>
            <w:pPr>
              <w:spacing w:after="0"/>
              <w:rPr>
                <w:sz w:val="13"/>
                <w:szCs w:val="13"/>
                <w:color w:val="auto"/>
              </w:rPr>
            </w:pPr>
          </w:p>
        </w:tc>
        <w:tc>
          <w:tcPr>
            <w:tcW w:w="8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18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398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2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380" w:type="dxa"/>
            <w:vAlign w:val="bottom"/>
          </w:tcPr>
          <w:p>
            <w:pPr>
              <w:jc w:val="center"/>
              <w:ind w:left="111"/>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1360" w:type="dxa"/>
            <w:vAlign w:val="bottom"/>
            <w:gridSpan w:val="2"/>
          </w:tcPr>
          <w:p>
            <w:pPr>
              <w:spacing w:after="0"/>
              <w:rPr>
                <w:sz w:val="13"/>
                <w:szCs w:val="13"/>
                <w:color w:val="auto"/>
              </w:rPr>
            </w:pPr>
          </w:p>
        </w:tc>
        <w:tc>
          <w:tcPr>
            <w:tcW w:w="18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12.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99">
              <w:r>
                <w:rPr>
                  <w:rFonts w:ascii="Arial" w:cs="Arial" w:eastAsia="Arial" w:hAnsi="Arial"/>
                  <w:sz w:val="18"/>
                  <w:szCs w:val="18"/>
                  <w:color w:val="0000EE"/>
                </w:rPr>
                <w:t>Security Ownership of</w:t>
              </w:r>
            </w:hyperlink>
          </w:p>
        </w:tc>
        <w:tc>
          <w:tcPr>
            <w:tcW w:w="5560" w:type="dxa"/>
            <w:vAlign w:val="bottom"/>
            <w:gridSpan w:val="18"/>
          </w:tcPr>
          <w:p>
            <w:pPr>
              <w:spacing w:after="0" w:line="15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Beneficial Owners and Management and Related Stockholder Matters</w:t>
              </w:r>
            </w:hyperlink>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80" w:type="dxa"/>
            <w:vAlign w:val="bottom"/>
            <w:gridSpan w:val="2"/>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8"/>
                <w:szCs w:val="18"/>
                <w:color w:val="auto"/>
              </w:rPr>
              <w:t>Item 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1920" w:type="dxa"/>
            <w:vAlign w:val="bottom"/>
            <w:gridSpan w:val="5"/>
          </w:tcPr>
          <w:p>
            <w:pPr>
              <w:spacing w:after="0"/>
              <w:rPr>
                <w:sz w:val="13"/>
                <w:szCs w:val="13"/>
                <w:color w:val="auto"/>
              </w:rPr>
            </w:pPr>
          </w:p>
        </w:tc>
        <w:tc>
          <w:tcPr>
            <w:tcW w:w="380" w:type="dxa"/>
            <w:vAlign w:val="bottom"/>
          </w:tcPr>
          <w:p>
            <w:pPr>
              <w:jc w:val="center"/>
              <w:ind w:left="111"/>
              <w:spacing w:after="0" w:line="15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99">
              <w:r>
                <w:rPr>
                  <w:rFonts w:ascii="Arial" w:cs="Arial" w:eastAsia="Arial" w:hAnsi="Arial"/>
                  <w:sz w:val="18"/>
                  <w:szCs w:val="18"/>
                  <w:b w:val="1"/>
                  <w:bCs w:val="1"/>
                  <w:color w:val="0000EE"/>
                  <w:w w:val="98"/>
                </w:rPr>
                <w:t>PART IV</w:t>
              </w:r>
            </w:hyperlink>
          </w:p>
        </w:tc>
        <w:tc>
          <w:tcPr>
            <w:tcW w:w="400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2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and Financial Statement Schedules</w:t>
              </w:r>
            </w:hyperlink>
          </w:p>
        </w:tc>
        <w:tc>
          <w:tcPr>
            <w:tcW w:w="380" w:type="dxa"/>
            <w:vAlign w:val="bottom"/>
          </w:tcPr>
          <w:p>
            <w:pPr>
              <w:jc w:val="center"/>
              <w:ind w:left="111"/>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770"/>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subsidiary, Blueprint Medicines Security Corporation.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360" w:firstLine="648"/>
        <w:spacing w:after="0" w:line="214"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forward-looking statements in this Annual Report on Form 10-K include, but are not limited to, statements</w:t>
      </w: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060" w:right="180" w:hanging="85"/>
        <w:spacing w:after="0" w:line="23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BLU-285 and BLU-554, and our research and development programs;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drug candidates and technology;</w:t>
      </w:r>
    </w:p>
    <w:p>
      <w:pPr>
        <w:spacing w:after="0" w:line="207" w:lineRule="exact"/>
        <w:rPr>
          <w:rFonts w:ascii="Arial" w:cs="Arial" w:eastAsia="Arial" w:hAnsi="Arial"/>
          <w:sz w:val="16"/>
          <w:szCs w:val="16"/>
          <w:color w:val="auto"/>
        </w:rPr>
      </w:pPr>
    </w:p>
    <w:p>
      <w:pPr>
        <w:ind w:left="1060" w:right="120" w:hanging="85"/>
        <w:spacing w:after="0" w:line="23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96" w:lineRule="exact"/>
        <w:rPr>
          <w:rFonts w:ascii="Arial" w:cs="Arial" w:eastAsia="Arial" w:hAnsi="Arial"/>
          <w:sz w:val="17"/>
          <w:szCs w:val="17"/>
          <w:color w:val="auto"/>
        </w:rPr>
      </w:pPr>
    </w:p>
    <w:p>
      <w:pPr>
        <w:ind w:left="1060" w:right="180" w:hanging="85"/>
        <w:spacing w:after="0" w:line="23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collaboration with Alexion Pharma Holding and our ability to enter into other strategic arrangements;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grant funding;</w:t>
      </w:r>
    </w:p>
    <w:p>
      <w:pPr>
        <w:spacing w:after="0" w:line="184" w:lineRule="exact"/>
        <w:rPr>
          <w:rFonts w:ascii="Arial" w:cs="Arial" w:eastAsia="Arial" w:hAnsi="Arial"/>
          <w:sz w:val="18"/>
          <w:szCs w:val="18"/>
          <w:color w:val="auto"/>
        </w:rPr>
      </w:pPr>
    </w:p>
    <w:p>
      <w:pPr>
        <w:ind w:left="1200" w:hanging="22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85"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179" w:lineRule="exact"/>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One of our lead drug candidates is BLU-285, which targets KIT Exon 17 mutants and PDGFRα D842V, abnormally active receptor tyrosine kinase mutants that are drivers of cancer and proliferative disorders. BLU-285 is currently being developed for patients with systemic mastocytosis, or SM,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6"/>
          <w:szCs w:val="16"/>
          <w:color w:val="auto"/>
        </w:rPr>
        <w:t>‑</w:t>
      </w:r>
      <w:r>
        <w:rPr>
          <w:rFonts w:ascii="Arial" w:cs="Arial" w:eastAsia="Arial" w:hAnsi="Arial"/>
          <w:sz w:val="16"/>
          <w:szCs w:val="16"/>
          <w:color w:val="auto"/>
        </w:rPr>
        <w:t>554, which targets FGFR4, a kinase that is aberrantly activated and is a driver of disease in a defined subset of patients with hepatocellular carcinoma, or HCC, the most common type of liver cancer. Both drug candidates have demonstrated proof of concept in pre-clinical models.</w:t>
      </w:r>
    </w:p>
    <w:p>
      <w:pPr>
        <w:spacing w:after="0" w:line="17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In June 2015, July 2015 and September 2015, respectively, the U.S. Food and Drug Administration, or FDA, accepted our Investigational New Drug, or IND, applications for BLU-554 for the treatment of advanced HCC and cholangiocarcinoma, a rare form of cancer that affects the bile ducts, BLU-285 for the treatment of unresectable, treatment-resistant GIST and BLU-285 for the treatment of advanced SM. We have initiated dose-escalation Phase 1 clinical trials for each of these indications and are currently enrolling patients in each of these clinical trials. We expect preliminary data for each of these Phase 1 clinical trials to be available by the end of 2016. In September 2015, the FDA granted orphan drug designation to BLU-554 for the treatment of HCC, and in January 2016, the FDA granted orphan drug designation to BLU-285 for the treatment of GIST and SM.</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are also developing BLU-667, a drug candidate that targets RET, a receptor tyrosine kinase that can become abnormally activated by mutations or translocations, which occurs when a portion of the gene that encodes RET is joined to part of another gene to encode a fusion protein, and RET resistant mutants that we predict will arise from treatment with first generation therapies. 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 RET is a driver of disease in non-small cell lung cancer and cancers of the thyroid, and our research suggests that RET may be a driver of disease in subsets of colon and breast cancer. In pre-clinical studies, BLU6864, a structurally related compound that we identified in the course of developing BLU-667, induced tumor regression in disease models driven by the primary RET fusion and a predicted secondary on-target resistance mutation. We plan to initiate 28-day Good Laboratory Practice, or GLP, toxicology studies for BLU-667 in the first half of 2016 with the goal of identifying the dose limiting toxicity and anticipated first-in-human dose for BLU-667. We plan to file an IND for BLU-667 by the end of 2016.</w:t>
      </w:r>
    </w:p>
    <w:p>
      <w:pPr>
        <w:spacing w:after="0" w:line="170" w:lineRule="exact"/>
        <w:rPr>
          <w:sz w:val="20"/>
          <w:szCs w:val="20"/>
          <w:color w:val="auto"/>
        </w:rPr>
      </w:pPr>
    </w:p>
    <w:p>
      <w:pPr>
        <w:ind w:right="220" w:firstLine="648"/>
        <w:spacing w:after="0" w:line="212" w:lineRule="auto"/>
        <w:rPr>
          <w:sz w:val="20"/>
          <w:szCs w:val="20"/>
          <w:color w:val="auto"/>
        </w:rPr>
      </w:pPr>
      <w:r>
        <w:rPr>
          <w:rFonts w:ascii="Arial" w:cs="Arial" w:eastAsia="Arial" w:hAnsi="Arial"/>
          <w:sz w:val="18"/>
          <w:szCs w:val="18"/>
          <w:color w:val="auto"/>
        </w:rPr>
        <w:t>In addition, we have identified predicted resistance mutations in the neurotrophic tyrosine receptor kinase, or NTRK, some of which have recently been clinically observed by others. NTRK is believed to be a driver of disease in a broad set of cancers. We have nominated two development candidates for potential clinical development as inhibitors of NTRK and predicted NTRK resistant mutants. Leveraging our novel target discovery engine, we also have initiated efforts for a discovery program for an undisclosed kinase target and plan to nominate two more programs by the end of 2016, including at least one program focused on kinases as therapeutic targets in cancer immunotherapy, also referred to as immunokinases.</w:t>
      </w:r>
    </w:p>
    <w:p>
      <w:pPr>
        <w:spacing w:after="0" w:line="165" w:lineRule="exact"/>
        <w:rPr>
          <w:sz w:val="20"/>
          <w:szCs w:val="20"/>
          <w:color w:val="auto"/>
        </w:rPr>
      </w:pPr>
    </w:p>
    <w:p>
      <w:pPr>
        <w:ind w:right="240" w:firstLine="648"/>
        <w:spacing w:after="0" w:line="194" w:lineRule="exact"/>
        <w:rPr>
          <w:sz w:val="20"/>
          <w:szCs w:val="20"/>
          <w:color w:val="auto"/>
        </w:rPr>
      </w:pPr>
      <w:r>
        <w:rPr>
          <w:rFonts w:ascii="Arial" w:cs="Arial" w:eastAsia="Arial" w:hAnsi="Arial"/>
          <w:sz w:val="16"/>
          <w:szCs w:val="16"/>
          <w:color w:val="auto"/>
        </w:rPr>
        <w:t>Approved kinase drugs, such as imatinib, have demonstrated significant benefit to patients, and small molecule kinase drugs achieved over $17 billion in 2014 sales. Despite this success, there is room for further improvement in kinase drug discovery and development. Many of the approved drugs are multi</w:t>
      </w:r>
      <w:r>
        <w:rPr>
          <w:rFonts w:ascii="MS PGothic" w:cs="MS PGothic" w:eastAsia="MS PGothic" w:hAnsi="MS PGothic"/>
          <w:sz w:val="16"/>
          <w:szCs w:val="16"/>
          <w:color w:val="auto"/>
        </w:rPr>
        <w:t>‑</w:t>
      </w:r>
      <w:r>
        <w:rPr>
          <w:rFonts w:ascii="Arial" w:cs="Arial" w:eastAsia="Arial" w:hAnsi="Arial"/>
          <w:sz w:val="16"/>
          <w:szCs w:val="16"/>
          <w:color w:val="auto"/>
        </w:rPr>
        <w:t>kinase inhibitors that are not selective for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disease drivers. This results in off</w:t>
      </w:r>
      <w:r>
        <w:rPr>
          <w:rFonts w:ascii="MS PGothic" w:cs="MS PGothic" w:eastAsia="MS PGothic" w:hAnsi="MS PGothic"/>
          <w:sz w:val="16"/>
          <w:szCs w:val="16"/>
          <w:color w:val="auto"/>
        </w:rPr>
        <w:t>‑</w:t>
      </w:r>
      <w:r>
        <w:rPr>
          <w:rFonts w:ascii="Arial" w:cs="Arial" w:eastAsia="Arial" w:hAnsi="Arial"/>
          <w:sz w:val="16"/>
          <w:szCs w:val="16"/>
          <w:color w:val="auto"/>
        </w:rPr>
        <w:t>target toxicities that limit dose levels and target inhibition, thereby reducing efficacy. Further, patients who initially respond to a targeted kinase treatment often relapse due to the development of resistance mutations. Finally, as of December 31, 2015, kinase drugs approved by the FDA are only directed at less than five percent of the 518 kinases that constitute the kinome. For many of the known kinases, there is a strong link between genetic alterations in a kinase and disease, including specific forms of cancer and rare genetic diseases. However, the function of the majority of the kinome is still unknown. Taken together, this represents a substantial opportunity for developing novel and transformative drugs for cancer, rare genetic diseases and other disease areas, including cancer immunotherapy.</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8"/>
          <w:szCs w:val="18"/>
          <w:color w:val="auto"/>
        </w:rPr>
        <w:t>To capitalize on the kinase opportunity, we built a platform that integrates a novel target discovery engine and a proprietary compound library. Our novel target discovery engine, which was developed entirely in</w:t>
      </w:r>
      <w:r>
        <w:rPr>
          <w:rFonts w:ascii="MS PGothic" w:cs="MS PGothic" w:eastAsia="MS PGothic" w:hAnsi="MS PGothic"/>
          <w:sz w:val="18"/>
          <w:szCs w:val="18"/>
          <w:color w:val="auto"/>
        </w:rPr>
        <w:t>‑</w:t>
      </w:r>
      <w:r>
        <w:rPr>
          <w:rFonts w:ascii="Arial" w:cs="Arial" w:eastAsia="Arial" w:hAnsi="Arial"/>
          <w:sz w:val="18"/>
          <w:szCs w:val="18"/>
          <w:color w:val="auto"/>
        </w:rPr>
        <w:t>house,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w:t>
      </w:r>
      <w:r>
        <w:rPr>
          <w:rFonts w:ascii="MS PGothic" w:cs="MS PGothic" w:eastAsia="MS PGothic" w:hAnsi="MS PGothic"/>
          <w:sz w:val="18"/>
          <w:szCs w:val="18"/>
          <w:color w:val="auto"/>
        </w:rPr>
        <w:t>‑</w:t>
      </w:r>
      <w:r>
        <w:rPr>
          <w:rFonts w:ascii="Arial" w:cs="Arial" w:eastAsia="Arial" w:hAnsi="Arial"/>
          <w:sz w:val="18"/>
          <w:szCs w:val="18"/>
          <w:color w:val="auto"/>
        </w:rPr>
        <w:t>house by Blueprint Medicines’ scientists as kinase inhibitors and enriched for drug</w:t>
      </w:r>
      <w:r>
        <w:rPr>
          <w:rFonts w:ascii="MS PGothic" w:cs="MS PGothic" w:eastAsia="MS PGothic" w:hAnsi="MS PGothic"/>
          <w:sz w:val="18"/>
          <w:szCs w:val="18"/>
          <w:color w:val="auto"/>
        </w:rPr>
        <w:t>‑</w:t>
      </w:r>
      <w:r>
        <w:rPr>
          <w:rFonts w:ascii="Arial" w:cs="Arial" w:eastAsia="Arial" w:hAnsi="Arial"/>
          <w:sz w:val="18"/>
          <w:szCs w:val="18"/>
          <w:color w:val="auto"/>
        </w:rPr>
        <w:t>like properties. We do not owe any royalties or other fees to any parties associated with our novel target discovery engine and our proprietary compound library. Using this platform, we have produced a drug pipeline of several promising drug candidates that target genomically defined patient subsets. We believe that our strategy will allow us to deliver transformative drugs to patients while building a fully-integrated biopharmaceutical company.</w:t>
      </w:r>
    </w:p>
    <w:p>
      <w:pPr>
        <w:spacing w:after="0" w:line="169"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Our two lead programs targeting KIT Exon 17 and FGFR4 provide strong evidence of the power of our proprietary compound library. These targets have been well characterized in the scientific literature as disease drivers, but have been challenging to inhibit selectively with small molecules. Our RET program provides evidence of the strength of our novel target discovery engine and proprietary compound library. Leveraging our expertise in structural and cell biology, we predicted future resistance mutations resulting from treatment with drugs with RET inhibitory activity and have crafted drug candidates that will be effective against RET and predicted RET resistant mutants.</w:t>
      </w:r>
    </w:p>
    <w:p>
      <w:pPr>
        <w:spacing w:after="0" w:line="165"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BLU</w:t>
      </w:r>
      <w:r>
        <w:rPr>
          <w:rFonts w:ascii="MS PGothic" w:cs="MS PGothic" w:eastAsia="MS PGothic" w:hAnsi="MS PGothic"/>
          <w:sz w:val="18"/>
          <w:szCs w:val="18"/>
          <w:color w:val="auto"/>
        </w:rPr>
        <w:t>‑</w:t>
      </w:r>
      <w:r>
        <w:rPr>
          <w:rFonts w:ascii="Arial" w:cs="Arial" w:eastAsia="Arial" w:hAnsi="Arial"/>
          <w:sz w:val="18"/>
          <w:szCs w:val="18"/>
          <w:color w:val="auto"/>
        </w:rPr>
        <w:t>285 is an orally available, potent and selective inhibitor of mutations in KIT Exon 17, which encodes a portion of the tyrosine kinase domain. BLU</w:t>
      </w:r>
      <w:r>
        <w:rPr>
          <w:rFonts w:ascii="MS PGothic" w:cs="MS PGothic" w:eastAsia="MS PGothic" w:hAnsi="MS PGothic"/>
          <w:sz w:val="18"/>
          <w:szCs w:val="18"/>
          <w:color w:val="auto"/>
        </w:rPr>
        <w:t>‑</w:t>
      </w:r>
      <w:r>
        <w:rPr>
          <w:rFonts w:ascii="Arial" w:cs="Arial" w:eastAsia="Arial" w:hAnsi="Arial"/>
          <w:sz w:val="18"/>
          <w:szCs w:val="18"/>
          <w:color w:val="auto"/>
        </w:rPr>
        <w:t>285 also potently and selectively inhibits the PDGFRα D842V mutation. Due to the high degree of structural similarity of the kinase domains of KIT and PDGFRα, BLU</w:t>
      </w:r>
      <w:r>
        <w:rPr>
          <w:rFonts w:ascii="MS PGothic" w:cs="MS PGothic" w:eastAsia="MS PGothic" w:hAnsi="MS PGothic"/>
          <w:sz w:val="18"/>
          <w:szCs w:val="18"/>
          <w:color w:val="auto"/>
        </w:rPr>
        <w:t>‑</w:t>
      </w:r>
      <w:r>
        <w:rPr>
          <w:rFonts w:ascii="Arial" w:cs="Arial" w:eastAsia="Arial" w:hAnsi="Arial"/>
          <w:sz w:val="18"/>
          <w:szCs w:val="18"/>
          <w:color w:val="auto"/>
        </w:rPr>
        <w:t>285 is able to inhibit both KIT Exon 17 mutants and the PDGFRα D842V mutant with minimal inhibition of other kinases. BLU</w:t>
      </w:r>
      <w:r>
        <w:rPr>
          <w:rFonts w:ascii="MS PGothic" w:cs="MS PGothic" w:eastAsia="MS PGothic" w:hAnsi="MS PGothic"/>
          <w:sz w:val="18"/>
          <w:szCs w:val="18"/>
          <w:color w:val="auto"/>
        </w:rPr>
        <w:t>‑</w:t>
      </w:r>
      <w:r>
        <w:rPr>
          <w:rFonts w:ascii="Arial" w:cs="Arial" w:eastAsia="Arial" w:hAnsi="Arial"/>
          <w:sz w:val="18"/>
          <w:szCs w:val="18"/>
          <w:color w:val="auto"/>
        </w:rPr>
        <w:t>285 is a highly targeted therapeutic candidate for genomically</w:t>
      </w:r>
      <w:r>
        <w:rPr>
          <w:rFonts w:ascii="MS PGothic" w:cs="MS PGothic" w:eastAsia="MS PGothic" w:hAnsi="MS PGothic"/>
          <w:sz w:val="18"/>
          <w:szCs w:val="18"/>
          <w:color w:val="auto"/>
        </w:rPr>
        <w:t>‑</w:t>
      </w:r>
      <w:r>
        <w:rPr>
          <w:rFonts w:ascii="Arial" w:cs="Arial" w:eastAsia="Arial" w:hAnsi="Arial"/>
          <w:sz w:val="18"/>
          <w:szCs w:val="18"/>
          <w:color w:val="auto"/>
        </w:rPr>
        <w:t>selected patients with diseases driven by these mutations, including SM and GIST, which are KIT and PDGFRα mediated diseases.</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Imatinib, an inhibitor of KIT and PDGFRα, which is a driver in a subset of GIST, is marketed by a competitor and approved for the treatment of SM and GIST, validating KIT and PDGFRα as therapeutic targets in these diseases. However, a meaningful percentage of patients harbor mutations in KIT and PDGFRα that are not targeted by imatinib and fail to respond to treatment with the drug. We plan to initially develop BLU</w:t>
      </w:r>
      <w:r>
        <w:rPr>
          <w:rFonts w:ascii="MS PGothic" w:cs="MS PGothic" w:eastAsia="MS PGothic" w:hAnsi="MS PGothic"/>
          <w:sz w:val="16"/>
          <w:szCs w:val="16"/>
          <w:color w:val="auto"/>
        </w:rPr>
        <w:t>‑</w:t>
      </w:r>
      <w:r>
        <w:rPr>
          <w:rFonts w:ascii="Arial" w:cs="Arial" w:eastAsia="Arial" w:hAnsi="Arial"/>
          <w:sz w:val="16"/>
          <w:szCs w:val="16"/>
          <w:color w:val="auto"/>
        </w:rPr>
        <w:t>285 for targeted patient populations that harbor these mutations and currently lack adequate treatments. BLU</w:t>
      </w:r>
      <w:r>
        <w:rPr>
          <w:rFonts w:ascii="MS PGothic" w:cs="MS PGothic" w:eastAsia="MS PGothic" w:hAnsi="MS PGothic"/>
          <w:sz w:val="16"/>
          <w:szCs w:val="16"/>
          <w:color w:val="auto"/>
        </w:rPr>
        <w:t>‑</w:t>
      </w:r>
      <w:r>
        <w:rPr>
          <w:rFonts w:ascii="Arial" w:cs="Arial" w:eastAsia="Arial" w:hAnsi="Arial"/>
          <w:sz w:val="16"/>
          <w:szCs w:val="16"/>
          <w:color w:val="auto"/>
        </w:rPr>
        <w:t>285 has shown significant tumor regression in pre-clinical models of SM and GIST, which we believe to be highly predictive of clinical response. In July 2015 and September 2015, respectively, the FDA accepted our IND applications for BLU-285 for the treatment of unresectable, treatment-resistant GIST and BLU-285 for the treatment of advanced SM. We have initiated dose-escalation Phase 1 clinical trials for each of these indications. Once the maximum tolerated dose, or MTD, is reached, or a recommended dose is established, we will evaluate whether to open expansion cohorts in selected patient subsets for each of these Phase 1 clinical trials.</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BLU</w:t>
      </w:r>
      <w:r>
        <w:rPr>
          <w:rFonts w:ascii="MS PGothic" w:cs="MS PGothic" w:eastAsia="MS PGothic" w:hAnsi="MS PGothic"/>
          <w:sz w:val="17"/>
          <w:szCs w:val="17"/>
          <w:color w:val="auto"/>
        </w:rPr>
        <w:t>‑</w:t>
      </w:r>
      <w:r>
        <w:rPr>
          <w:rFonts w:ascii="Arial" w:cs="Arial" w:eastAsia="Arial" w:hAnsi="Arial"/>
          <w:sz w:val="17"/>
          <w:szCs w:val="17"/>
          <w:color w:val="auto"/>
        </w:rPr>
        <w:t>554 is an orally available, potent, selective and irreversible inhibitor of the kinase FGFR4. FGFR4 has historically been a challenging target to drug selectively given the closely related paralogs, proteins encoded by closely related genes, namely FGFR1</w:t>
      </w:r>
      <w:r>
        <w:rPr>
          <w:rFonts w:ascii="MS PGothic" w:cs="MS PGothic" w:eastAsia="MS PGothic" w:hAnsi="MS PGothic"/>
          <w:sz w:val="17"/>
          <w:szCs w:val="17"/>
          <w:color w:val="auto"/>
        </w:rPr>
        <w:t>‑</w:t>
      </w:r>
      <w:r>
        <w:rPr>
          <w:rFonts w:ascii="Arial" w:cs="Arial" w:eastAsia="Arial" w:hAnsi="Arial"/>
          <w:sz w:val="17"/>
          <w:szCs w:val="17"/>
          <w:color w:val="auto"/>
        </w:rPr>
        <w:t>3. Aberrantly active FGFR4 signaling is a driver of disease in a subset of patients with hepatocellular carcinoma, or HCC, a disease with high unmet need and no approved genomically</w:t>
      </w:r>
      <w:r>
        <w:rPr>
          <w:rFonts w:ascii="MS PGothic" w:cs="MS PGothic" w:eastAsia="MS PGothic" w:hAnsi="MS PGothic"/>
          <w:sz w:val="17"/>
          <w:szCs w:val="17"/>
          <w:color w:val="auto"/>
        </w:rPr>
        <w:t>‑</w:t>
      </w:r>
      <w:r>
        <w:rPr>
          <w:rFonts w:ascii="Arial" w:cs="Arial" w:eastAsia="Arial" w:hAnsi="Arial"/>
          <w:sz w:val="17"/>
          <w:szCs w:val="17"/>
          <w:color w:val="auto"/>
        </w:rPr>
        <w:t>targeted therapies. We plan to initially develop BLU</w:t>
      </w:r>
      <w:r>
        <w:rPr>
          <w:rFonts w:ascii="MS PGothic" w:cs="MS PGothic" w:eastAsia="MS PGothic" w:hAnsi="MS PGothic"/>
          <w:sz w:val="17"/>
          <w:szCs w:val="17"/>
          <w:color w:val="auto"/>
        </w:rPr>
        <w:t>‑</w:t>
      </w:r>
      <w:r>
        <w:rPr>
          <w:rFonts w:ascii="Arial" w:cs="Arial" w:eastAsia="Arial" w:hAnsi="Arial"/>
          <w:sz w:val="17"/>
          <w:szCs w:val="17"/>
          <w:color w:val="auto"/>
        </w:rPr>
        <w:t>554 for a genomically defined patient population within HCC with aberrantly active FGFR4 signaling. BLU</w:t>
      </w:r>
      <w:r>
        <w:rPr>
          <w:rFonts w:ascii="MS PGothic" w:cs="MS PGothic" w:eastAsia="MS PGothic" w:hAnsi="MS PGothic"/>
          <w:sz w:val="17"/>
          <w:szCs w:val="17"/>
          <w:color w:val="auto"/>
        </w:rPr>
        <w:t>‑</w:t>
      </w:r>
      <w:r>
        <w:rPr>
          <w:rFonts w:ascii="Arial" w:cs="Arial" w:eastAsia="Arial" w:hAnsi="Arial"/>
          <w:sz w:val="17"/>
          <w:szCs w:val="17"/>
          <w:color w:val="auto"/>
        </w:rPr>
        <w:t>554 has shown significant anti</w:t>
      </w:r>
      <w:r>
        <w:rPr>
          <w:rFonts w:ascii="MS PGothic" w:cs="MS PGothic" w:eastAsia="MS PGothic" w:hAnsi="MS PGothic"/>
          <w:sz w:val="17"/>
          <w:szCs w:val="17"/>
          <w:color w:val="auto"/>
        </w:rPr>
        <w:t>‑</w:t>
      </w:r>
      <w:r>
        <w:rPr>
          <w:rFonts w:ascii="Arial" w:cs="Arial" w:eastAsia="Arial" w:hAnsi="Arial"/>
          <w:sz w:val="17"/>
          <w:szCs w:val="17"/>
          <w:color w:val="auto"/>
        </w:rPr>
        <w:t>tumor activity in several different pre-clinical models of HCC with aberrantly active FGFR4 signaling. In June 2015, the FDA accepted our IND application for BLU-554 for the treatment of advanced HCC and cholangiocarcinoma. We have initiated a dose-escalation Phase 1 clinical trial for this indication. Once the MTD is reached, or a recommended dose is established, we will evaluate whether to open expansion cohorts in selected patient subsets for this Phase 1 clinical trial.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BLU-667 is an orally available, potent and selective inhibitor of the kinase RET and predicted RET resistant mutants. RET is a driver of disease in non-small cell lung cancer and cancers of the thyroid, and our research suggests that RET may be a driver of disease in subsets of colon and breast cancer. By leveraging our proprietary compound library, we identified BLU-667, which selectively inhibits not only RET but also the RET resistant mutants. In pre-clinical studies, BLU6864, a structurally related compound that we identified in the course of developing BLU-667, induced tumor regression in disease models driven by the primary RET fusion and a predicted secondary on-target resistance mutation. We plan to initiate 28-day GLP toxicology studies for BLU-667 in the first half of 2016 with the goal of identifying the dose limiting toxicity and anticipated first-in-human dose for BLU-667. We plan to file an IND for BLU-667 by the end of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89" w:lineRule="exact"/>
        <w:rPr>
          <w:sz w:val="20"/>
          <w:szCs w:val="20"/>
          <w:color w:val="auto"/>
        </w:rPr>
      </w:pPr>
    </w:p>
    <w:p>
      <w:pPr>
        <w:ind w:right="320" w:firstLine="648"/>
        <w:spacing w:after="0" w:line="238" w:lineRule="auto"/>
        <w:rPr>
          <w:sz w:val="20"/>
          <w:szCs w:val="20"/>
          <w:color w:val="auto"/>
        </w:rPr>
      </w:pPr>
      <w:r>
        <w:rPr>
          <w:rFonts w:ascii="Arial" w:cs="Arial" w:eastAsia="Arial" w:hAnsi="Arial"/>
          <w:sz w:val="17"/>
          <w:szCs w:val="17"/>
          <w:color w:val="auto"/>
        </w:rPr>
        <w:t>Blueprint Medicines’ mission is to dramatically improve the lives of patients with genomically defined diseases. Our singular focus is to use our deep understanding of the genetic blueprint of cancer and other diseases driven by the abnormal activation of kinases to craft highly selective medicines aimed at eradicating these diseases.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w:t>
      </w:r>
    </w:p>
    <w:p>
      <w:pPr>
        <w:spacing w:after="0" w:line="189"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We maintain a culture of high integrity that embraces the following guiding principles to provide long</w:t>
      </w:r>
      <w:r>
        <w:rPr>
          <w:rFonts w:ascii="MS PGothic" w:cs="MS PGothic" w:eastAsia="MS PGothic" w:hAnsi="MS PGothic"/>
          <w:sz w:val="18"/>
          <w:szCs w:val="18"/>
          <w:color w:val="auto"/>
        </w:rPr>
        <w:t>‑</w:t>
      </w:r>
      <w:r>
        <w:rPr>
          <w:rFonts w:ascii="Arial" w:cs="Arial" w:eastAsia="Arial" w:hAnsi="Arial"/>
          <w:sz w:val="18"/>
          <w:szCs w:val="18"/>
          <w:color w:val="auto"/>
        </w:rPr>
        <w:t>term benefits to patients and our stakeholders:</w:t>
      </w:r>
    </w:p>
    <w:p>
      <w:pPr>
        <w:spacing w:after="0" w:line="162" w:lineRule="exact"/>
        <w:rPr>
          <w:sz w:val="20"/>
          <w:szCs w:val="20"/>
          <w:color w:val="auto"/>
        </w:rPr>
      </w:pPr>
    </w:p>
    <w:p>
      <w:pPr>
        <w:ind w:left="1080" w:hanging="105"/>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Patients First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Maintaining intense focus on improving patients’ lives.</w:t>
      </w:r>
    </w:p>
    <w:p>
      <w:pPr>
        <w:spacing w:after="0" w:line="184" w:lineRule="exact"/>
        <w:rPr>
          <w:rFonts w:ascii="Arial" w:cs="Arial" w:eastAsia="Arial" w:hAnsi="Arial"/>
          <w:sz w:val="18"/>
          <w:szCs w:val="18"/>
          <w:color w:val="auto"/>
        </w:rPr>
      </w:pPr>
    </w:p>
    <w:p>
      <w:pPr>
        <w:ind w:left="1060" w:right="100" w:hanging="85"/>
        <w:spacing w:after="0" w:line="203" w:lineRule="exact"/>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Thoughtfulness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Exploring creative approaches, daring to make well</w:t>
      </w:r>
      <w:r>
        <w:rPr>
          <w:rFonts w:ascii="MS PGothic" w:cs="MS PGothic" w:eastAsia="MS PGothic" w:hAnsi="MS PGothic"/>
          <w:sz w:val="18"/>
          <w:szCs w:val="18"/>
          <w:color w:val="auto"/>
        </w:rPr>
        <w:t>‑</w:t>
      </w:r>
      <w:r>
        <w:rPr>
          <w:rFonts w:ascii="Arial" w:cs="Arial" w:eastAsia="Arial" w:hAnsi="Arial"/>
          <w:sz w:val="18"/>
          <w:szCs w:val="18"/>
          <w:color w:val="auto"/>
        </w:rPr>
        <w:t>thought</w:t>
      </w:r>
      <w:r>
        <w:rPr>
          <w:rFonts w:ascii="MS PGothic" w:cs="MS PGothic" w:eastAsia="MS PGothic" w:hAnsi="MS PGothic"/>
          <w:sz w:val="18"/>
          <w:szCs w:val="18"/>
          <w:color w:val="auto"/>
        </w:rPr>
        <w:t>‑</w:t>
      </w:r>
      <w:r>
        <w:rPr>
          <w:rFonts w:ascii="Arial" w:cs="Arial" w:eastAsia="Arial" w:hAnsi="Arial"/>
          <w:sz w:val="18"/>
          <w:szCs w:val="18"/>
          <w:color w:val="auto"/>
        </w:rPr>
        <w:t>out decisions and owning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outcomes.</w:t>
      </w:r>
    </w:p>
    <w:p>
      <w:pPr>
        <w:spacing w:after="0" w:line="161" w:lineRule="exact"/>
        <w:rPr>
          <w:rFonts w:ascii="Arial" w:cs="Arial" w:eastAsia="Arial" w:hAnsi="Arial"/>
          <w:sz w:val="18"/>
          <w:szCs w:val="18"/>
          <w:color w:val="auto"/>
        </w:rPr>
      </w:pPr>
    </w:p>
    <w:p>
      <w:pPr>
        <w:ind w:left="1060" w:right="300" w:hanging="85"/>
        <w:spacing w:after="0" w:line="23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Trust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collaboration and cooperation, building and maintaining a cohesive team that has mutual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different viewpoints and talents.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Optimism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Pursuing transformative therapies that we believe will make a difference.</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Urgency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Solving complex problems rapidly, with attention and care.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Our goal is to become a fully-integrated biopharmaceutical company capable of delivering transformative drugs to patients. The key tenets of our strategy include the following:</w:t>
      </w:r>
    </w:p>
    <w:p>
      <w:pPr>
        <w:spacing w:after="0" w:line="162" w:lineRule="exact"/>
        <w:rPr>
          <w:sz w:val="20"/>
          <w:szCs w:val="20"/>
          <w:color w:val="auto"/>
        </w:rPr>
      </w:pPr>
    </w:p>
    <w:p>
      <w:pPr>
        <w:ind w:left="1060" w:right="40" w:hanging="85"/>
        <w:spacing w:after="0" w:line="179" w:lineRule="exact"/>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Rapidly advance our lead drug candidates, BLU</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285 and BLU</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554, through clinical development.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initiated dose-escalation Phase 1 clinical trials for BLU-285 for the treatment of unresectable, treatment-resistant GIST, BLU-285 for the treatment of advanced SM and BLU-554 for the treatment of advanced HCC and cholangiocarcinoma, and we are currently enrolling patients in each of these clinical trials. In addition, in September 2015, the FDA granted orphan drug designation to BLU-554 for the treatment of HCC, and in January 2016, the FDA granted orphan drug designation to BLU-285 for the treatment of GIST and SM. In addition, we are working with physicians and patient advocacy groups to rapidly identify and enroll patients most likely to respond to our therapies. For some of our drug candidates, in order to select patients most likely to respond to our therapies and rapidly confirm mechanistic and clinical proof of concept, we may seek to develop companion diagnostics or assays to measure target engagement and pathway modulation, which are confirmation that a drug binds to its intended protein target </w:t>
      </w:r>
      <w:r>
        <w:rPr>
          <w:rFonts w:ascii="Arial" w:cs="Arial" w:eastAsia="Arial" w:hAnsi="Arial"/>
          <w:sz w:val="16"/>
          <w:szCs w:val="16"/>
          <w:i w:val="1"/>
          <w:iCs w:val="1"/>
          <w:color w:val="auto"/>
        </w:rPr>
        <w:t>in vivo</w:t>
      </w:r>
      <w:r>
        <w:rPr>
          <w:rFonts w:ascii="Arial" w:cs="Arial" w:eastAsia="Arial" w:hAnsi="Arial"/>
          <w:sz w:val="16"/>
          <w:szCs w:val="16"/>
          <w:color w:val="auto"/>
        </w:rPr>
        <w:t>, and we may develop measures of early response. We expect these approaches may enable earlier determination of clinical activity, allow for clear decision points for the clinical and regulatory development of our drug candidates and, for any of our drug candidates that receive marketing approval, improve patient care by identifying patients who will benefit from the therapy. With early and encouraging clinical results, we plan to apply for fast track designation and breakthrough therapy designation which, if granted, are intended to accelerate clinical development and expedite regulatory review and approval.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line="223"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pipeline of kinase drugs for patients with genomically defined drivers of disease. </w:t>
      </w:r>
      <w:r>
        <w:rPr>
          <w:rFonts w:ascii="Arial" w:cs="Arial" w:eastAsia="Arial" w:hAnsi="Arial"/>
          <w:sz w:val="17"/>
          <w:szCs w:val="17"/>
          <w:color w:val="auto"/>
        </w:rPr>
        <w:t>We will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our platform to systematically and reproducibly identify kinases that are drivers of diseases in genomically defined patient populations and craft drug candidates that potently and selectively target these kinases. We anticipate filing an IND for BLU-667 for the treatment of RET fusions and predicted RET resistant mutants by the end of 2016. In addition, we have nominated two development candidates for potential clinical development as inhibitors of NTRK and predicted NTRK resistant mutants. We also have initiated efforts for a discovery program for an undisclosed kinase target and plan to nominate two more programs by the end of 2016, including at least one program focused on kinases as therapeutic targets in cancer immunotherapy. Our goal is to file one IND annually on average.</w:t>
      </w:r>
    </w:p>
    <w:p>
      <w:pPr>
        <w:spacing w:after="0" w:line="161" w:lineRule="exact"/>
        <w:rPr>
          <w:rFonts w:ascii="Arial" w:cs="Arial" w:eastAsia="Arial" w:hAnsi="Arial"/>
          <w:sz w:val="17"/>
          <w:szCs w:val="17"/>
          <w:color w:val="auto"/>
        </w:rPr>
      </w:pPr>
    </w:p>
    <w:p>
      <w:pPr>
        <w:ind w:left="1060" w:right="40" w:hanging="85"/>
        <w:spacing w:after="0" w:line="244"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Continuously invest in our proprietary discovery platform to ensure future growth. </w:t>
      </w:r>
      <w:r>
        <w:rPr>
          <w:rFonts w:ascii="Arial" w:cs="Arial" w:eastAsia="Arial" w:hAnsi="Arial"/>
          <w:sz w:val="16"/>
          <w:szCs w:val="16"/>
          <w:color w:val="auto"/>
        </w:rPr>
        <w:t>We plan to enhance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discovery engine to enable new insights into known kinase biology and to identify new kinase drug targets. We are focused on uncovering the potential role of the “kinases of unknown biology,” or KUBs, which constitute the majority of the kinome. We plan to expand our proprietary compound library to cover close to 100% of the kinome and to increase the number of compound families that inhibit each kinase target.</w:t>
      </w:r>
    </w:p>
    <w:p>
      <w:pPr>
        <w:spacing w:after="0" w:line="158" w:lineRule="exact"/>
        <w:rPr>
          <w:rFonts w:ascii="Arial" w:cs="Arial" w:eastAsia="Arial" w:hAnsi="Arial"/>
          <w:sz w:val="16"/>
          <w:szCs w:val="16"/>
          <w:color w:val="auto"/>
        </w:rPr>
      </w:pPr>
    </w:p>
    <w:p>
      <w:pPr>
        <w:ind w:left="1060" w:right="20" w:hanging="85"/>
        <w:spacing w:after="0" w:line="180" w:lineRule="exact"/>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core capabilities that allow us to commercialize our products and evaluate strategic collaborations to maximize value. </w:t>
      </w:r>
      <w:r>
        <w:rPr>
          <w:rFonts w:ascii="Arial" w:cs="Arial" w:eastAsia="Arial" w:hAnsi="Arial"/>
          <w:sz w:val="16"/>
          <w:szCs w:val="16"/>
          <w:color w:val="auto"/>
        </w:rPr>
        <w:t>We currently retain 100% of the commercial rights for all of our oncology</w:t>
      </w:r>
      <w:r>
        <w:rPr>
          <w:rFonts w:ascii="MS PGothic" w:cs="MS PGothic" w:eastAsia="MS PGothic" w:hAnsi="MS PGothic"/>
          <w:sz w:val="16"/>
          <w:szCs w:val="16"/>
          <w:color w:val="auto"/>
        </w:rPr>
        <w:t>‑</w:t>
      </w:r>
      <w:r>
        <w:rPr>
          <w:rFonts w:ascii="Arial" w:cs="Arial" w:eastAsia="Arial" w:hAnsi="Arial"/>
          <w:sz w:val="16"/>
          <w:szCs w:val="16"/>
          <w:color w:val="auto"/>
        </w:rPr>
        <w:t>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we have a rare genetic disease program that is the subject of our collaboration with Alexion Pharma Holding, or Alexion. We believe that therapies for diseases in genomically defined patient populations can often be brought to patients through a focused commercial organization without the need for a commercial partner. If any of our drug candidates receive regulatory approval in the United States, we expect to maximize value by building a focused organization to commercialize our products. For any drug candidates that receive regulatory approval outside the United States, we may commercialize such products on our own or seek one or more strategic partners to commercialize such products. We will continue to evaluate additional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170" w:lineRule="exact"/>
        <w:rPr>
          <w:rFonts w:ascii="Arial" w:cs="Arial" w:eastAsia="Arial" w:hAnsi="Arial"/>
          <w:sz w:val="16"/>
          <w:szCs w:val="16"/>
          <w:color w:val="auto"/>
        </w:rPr>
      </w:pPr>
    </w:p>
    <w:p>
      <w:pPr>
        <w:ind w:left="1060" w:right="60" w:hanging="85"/>
        <w:spacing w:after="0" w:line="182" w:lineRule="exact"/>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Blueprint Medicines’ patient-focused and science-driven culture as we grow our business. </w:t>
      </w:r>
      <w:r>
        <w:rPr>
          <w:rFonts w:ascii="Arial" w:cs="Arial" w:eastAsia="Arial" w:hAnsi="Arial"/>
          <w:sz w:val="16"/>
          <w:szCs w:val="16"/>
          <w:color w:val="auto"/>
        </w:rPr>
        <w:t>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building an entrepreneurial organization that is patient</w:t>
      </w:r>
      <w:r>
        <w:rPr>
          <w:rFonts w:ascii="MS PGothic" w:cs="MS PGothic" w:eastAsia="MS PGothic" w:hAnsi="MS PGothic"/>
          <w:sz w:val="16"/>
          <w:szCs w:val="16"/>
          <w:color w:val="auto"/>
        </w:rPr>
        <w:t>‑</w:t>
      </w:r>
      <w:r>
        <w:rPr>
          <w:rFonts w:ascii="Arial" w:cs="Arial" w:eastAsia="Arial" w:hAnsi="Arial"/>
          <w:sz w:val="16"/>
          <w:szCs w:val="16"/>
          <w:color w:val="auto"/>
        </w:rPr>
        <w:t>focused and science</w:t>
      </w:r>
      <w:r>
        <w:rPr>
          <w:rFonts w:ascii="MS PGothic" w:cs="MS PGothic" w:eastAsia="MS PGothic" w:hAnsi="MS PGothic"/>
          <w:sz w:val="16"/>
          <w:szCs w:val="16"/>
          <w:color w:val="auto"/>
        </w:rPr>
        <w:t>‑</w:t>
      </w:r>
      <w:r>
        <w:rPr>
          <w:rFonts w:ascii="Arial" w:cs="Arial" w:eastAsia="Arial" w:hAnsi="Arial"/>
          <w:sz w:val="16"/>
          <w:szCs w:val="16"/>
          <w:color w:val="auto"/>
        </w:rPr>
        <w:t>driven and fosters a culture of creativity, innovation, hard work and an urgency for efficiently developing treatments to improve the lives of patients who have few, if any, treatment options. As we grow, we intend to continue hiring the most qualified individuals in biology, chemistry, clinical development and business, who fit within our culture and incorporate our entrepreneurial spirit and passion for developing transformative drugs that have the potential to improve patients’ lives. We also intend to continue fostering an environment that encourages tight integration across disciplines to ensure a seamless flow of ideas and information exchange.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 Highly Selective Kinase Drugs for Genomically Defined Diseases</w:t>
      </w:r>
    </w:p>
    <w:p>
      <w:pPr>
        <w:spacing w:after="0" w:line="189"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Kinases are enzymes that function in many signaling pathways to regulate critical cellular functions. Kinase-dependent signaling networks are present in multiple different cell types, including muscle cells and cells of the immune system,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w:t>
      </w:r>
    </w:p>
    <w:p>
      <w:pPr>
        <w:spacing w:after="0" w:line="2" w:lineRule="exact"/>
        <w:rPr>
          <w:sz w:val="20"/>
          <w:szCs w:val="20"/>
          <w:color w:val="auto"/>
        </w:rPr>
      </w:pPr>
    </w:p>
    <w:p>
      <w:pPr>
        <w:ind w:firstLine="3"/>
        <w:spacing w:after="0" w:line="184" w:lineRule="exact"/>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excessive amounts of protein are created due to gene duplication or dysregulation leading to overexpression. There is a strong link between genetic alterations in kinases and disease, including specific forms of cancer and rare genetic diseases. Several kinases have been validated as oncogenes, which are genes that when altered can initiate and maintain cancer growth. Examples of oncogenes are ABL, EGFR, B</w:t>
      </w:r>
      <w:r>
        <w:rPr>
          <w:rFonts w:ascii="MS PGothic" w:cs="MS PGothic" w:eastAsia="MS PGothic" w:hAnsi="MS PGothic"/>
          <w:sz w:val="17"/>
          <w:szCs w:val="17"/>
          <w:color w:val="auto"/>
        </w:rPr>
        <w:t>‑</w:t>
      </w:r>
      <w:r>
        <w:rPr>
          <w:rFonts w:ascii="Arial" w:cs="Arial" w:eastAsia="Arial" w:hAnsi="Arial"/>
          <w:sz w:val="17"/>
          <w:szCs w:val="17"/>
          <w:color w:val="auto"/>
        </w:rPr>
        <w:t>RAF, ALK, BTK and JAK, among many others. Ongoing genomic analyses of tumor data sets continue to identify new roles for kinases as drivers of disease.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firstLine="648"/>
        <w:spacing w:after="0" w:line="194" w:lineRule="exact"/>
        <w:rPr>
          <w:sz w:val="20"/>
          <w:szCs w:val="20"/>
          <w:color w:val="auto"/>
        </w:rPr>
      </w:pPr>
      <w:r>
        <w:rPr>
          <w:rFonts w:ascii="Arial" w:cs="Arial" w:eastAsia="Arial" w:hAnsi="Arial"/>
          <w:sz w:val="17"/>
          <w:szCs w:val="17"/>
          <w:color w:val="auto"/>
        </w:rPr>
        <w:t>As of December 31, 2015, there were 34 FDA</w:t>
      </w:r>
      <w:r>
        <w:rPr>
          <w:rFonts w:ascii="MS PGothic" w:cs="MS PGothic" w:eastAsia="MS PGothic" w:hAnsi="MS PGothic"/>
          <w:sz w:val="17"/>
          <w:szCs w:val="17"/>
          <w:color w:val="auto"/>
        </w:rPr>
        <w:t>‑</w:t>
      </w:r>
      <w:r>
        <w:rPr>
          <w:rFonts w:ascii="Arial" w:cs="Arial" w:eastAsia="Arial" w:hAnsi="Arial"/>
          <w:sz w:val="17"/>
          <w:szCs w:val="17"/>
          <w:color w:val="auto"/>
        </w:rPr>
        <w:t>approved small molecule drugs that target less than five percent of the 518 kinases, of which all but two are indicated for cancer. Kinase inhibition continues to be a fruitful approach for cancer drug development. From 2012 to 2015, 16 of 41 FDA</w:t>
      </w:r>
      <w:r>
        <w:rPr>
          <w:rFonts w:ascii="MS PGothic" w:cs="MS PGothic" w:eastAsia="MS PGothic" w:hAnsi="MS PGothic"/>
          <w:sz w:val="17"/>
          <w:szCs w:val="17"/>
          <w:color w:val="auto"/>
        </w:rPr>
        <w:t>‑</w:t>
      </w:r>
      <w:r>
        <w:rPr>
          <w:rFonts w:ascii="Arial" w:cs="Arial" w:eastAsia="Arial" w:hAnsi="Arial"/>
          <w:sz w:val="17"/>
          <w:szCs w:val="17"/>
          <w:color w:val="auto"/>
        </w:rPr>
        <w:t>approved cancer drugs were kinase inhibitors.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Despite these successes, several opportunities remain in kinase drug discovery and development.</w:t>
      </w:r>
    </w:p>
    <w:p>
      <w:pPr>
        <w:spacing w:after="0" w:line="185" w:lineRule="exact"/>
        <w:rPr>
          <w:sz w:val="20"/>
          <w:szCs w:val="20"/>
          <w:color w:val="auto"/>
        </w:rPr>
      </w:pPr>
    </w:p>
    <w:p>
      <w:pPr>
        <w:ind w:left="1060" w:right="280" w:hanging="85"/>
        <w:spacing w:after="0" w:line="189" w:lineRule="exact"/>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Identifying novel kinase drivers of disease. </w:t>
      </w:r>
      <w:r>
        <w:rPr>
          <w:rFonts w:ascii="Arial" w:cs="Arial" w:eastAsia="Arial" w:hAnsi="Arial"/>
          <w:sz w:val="18"/>
          <w:szCs w:val="18"/>
          <w:color w:val="auto"/>
        </w:rPr>
        <w:t>Very few kinases are the focus of approved drugs. Further,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of the majority of the kinome still remains unexplored. Thus, there is substantial opportunity for developing novel and transformative therapies that target well</w:t>
      </w:r>
      <w:r>
        <w:rPr>
          <w:rFonts w:ascii="MS PGothic" w:cs="MS PGothic" w:eastAsia="MS PGothic" w:hAnsi="MS PGothic"/>
          <w:sz w:val="18"/>
          <w:szCs w:val="18"/>
          <w:color w:val="auto"/>
        </w:rPr>
        <w:t>‑</w:t>
      </w:r>
      <w:r>
        <w:rPr>
          <w:rFonts w:ascii="Arial" w:cs="Arial" w:eastAsia="Arial" w:hAnsi="Arial"/>
          <w:sz w:val="18"/>
          <w:szCs w:val="18"/>
          <w:color w:val="auto"/>
        </w:rPr>
        <w:t>characterized but currently difficult-to-drug kinases as well as KUBs.</w:t>
      </w:r>
    </w:p>
    <w:p>
      <w:pPr>
        <w:spacing w:after="0" w:line="162" w:lineRule="exact"/>
        <w:rPr>
          <w:rFonts w:ascii="Arial" w:cs="Arial" w:eastAsia="Arial" w:hAnsi="Arial"/>
          <w:sz w:val="18"/>
          <w:szCs w:val="18"/>
          <w:color w:val="auto"/>
        </w:rPr>
      </w:pPr>
    </w:p>
    <w:p>
      <w:pPr>
        <w:ind w:left="1060" w:right="20" w:hanging="85"/>
        <w:spacing w:after="0" w:line="184" w:lineRule="exact"/>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Crafting very selective kinase drugs. </w:t>
      </w:r>
      <w:r>
        <w:rPr>
          <w:rFonts w:ascii="Arial" w:cs="Arial" w:eastAsia="Arial" w:hAnsi="Arial"/>
          <w:sz w:val="16"/>
          <w:szCs w:val="16"/>
          <w:color w:val="auto"/>
        </w:rPr>
        <w:t>Due to the high degree of homology between kinases, specific targeting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given kinase can be challenging. Many of the approved kinase drugs inhibit multiple kinases and are referred to as multi</w:t>
      </w:r>
      <w:r>
        <w:rPr>
          <w:rFonts w:ascii="MS PGothic" w:cs="MS PGothic" w:eastAsia="MS PGothic" w:hAnsi="MS PGothic"/>
          <w:sz w:val="16"/>
          <w:szCs w:val="16"/>
          <w:color w:val="auto"/>
        </w:rPr>
        <w:t>‑</w:t>
      </w:r>
      <w:r>
        <w:rPr>
          <w:rFonts w:ascii="Arial" w:cs="Arial" w:eastAsia="Arial" w:hAnsi="Arial"/>
          <w:sz w:val="16"/>
          <w:szCs w:val="16"/>
          <w:color w:val="auto"/>
        </w:rPr>
        <w:t>kinase inhibitors. Due to inhibition of off</w:t>
      </w:r>
      <w:r>
        <w:rPr>
          <w:rFonts w:ascii="MS PGothic" w:cs="MS PGothic" w:eastAsia="MS PGothic" w:hAnsi="MS PGothic"/>
          <w:sz w:val="16"/>
          <w:szCs w:val="16"/>
          <w:color w:val="auto"/>
        </w:rPr>
        <w:t>‑</w:t>
      </w:r>
      <w:r>
        <w:rPr>
          <w:rFonts w:ascii="Arial" w:cs="Arial" w:eastAsia="Arial" w:hAnsi="Arial"/>
          <w:sz w:val="16"/>
          <w:szCs w:val="16"/>
          <w:color w:val="auto"/>
        </w:rPr>
        <w:t>target kinases, these multi</w:t>
      </w:r>
      <w:r>
        <w:rPr>
          <w:rFonts w:ascii="MS PGothic" w:cs="MS PGothic" w:eastAsia="MS PGothic" w:hAnsi="MS PGothic"/>
          <w:sz w:val="16"/>
          <w:szCs w:val="16"/>
          <w:color w:val="auto"/>
        </w:rPr>
        <w:t>‑</w:t>
      </w:r>
      <w:r>
        <w:rPr>
          <w:rFonts w:ascii="Arial" w:cs="Arial" w:eastAsia="Arial" w:hAnsi="Arial"/>
          <w:sz w:val="16"/>
          <w:szCs w:val="16"/>
          <w:color w:val="auto"/>
        </w:rPr>
        <w:t>kinase inhibitors often give rise to severe unwanted effects, which can negatively impact the ability to dose patients at sufficient levels to achieve optimal efficacy. We believe increasing selectivity will minimize off</w:t>
      </w:r>
      <w:r>
        <w:rPr>
          <w:rFonts w:ascii="MS PGothic" w:cs="MS PGothic" w:eastAsia="MS PGothic" w:hAnsi="MS PGothic"/>
          <w:sz w:val="16"/>
          <w:szCs w:val="16"/>
          <w:color w:val="auto"/>
        </w:rPr>
        <w:t>‑</w:t>
      </w:r>
      <w:r>
        <w:rPr>
          <w:rFonts w:ascii="Arial" w:cs="Arial" w:eastAsia="Arial" w:hAnsi="Arial"/>
          <w:sz w:val="16"/>
          <w:szCs w:val="16"/>
          <w:color w:val="auto"/>
        </w:rPr>
        <w:t>target toxicities and will improve efficacy by enabling higher dose levels and greater target inhibition. Further, combination therapies require that the drugs have non</w:t>
      </w:r>
      <w:r>
        <w:rPr>
          <w:rFonts w:ascii="MS PGothic" w:cs="MS PGothic" w:eastAsia="MS PGothic" w:hAnsi="MS PGothic"/>
          <w:sz w:val="16"/>
          <w:szCs w:val="16"/>
          <w:color w:val="auto"/>
        </w:rPr>
        <w:t>‑</w:t>
      </w:r>
      <w:r>
        <w:rPr>
          <w:rFonts w:ascii="Arial" w:cs="Arial" w:eastAsia="Arial" w:hAnsi="Arial"/>
          <w:sz w:val="16"/>
          <w:szCs w:val="16"/>
          <w:color w:val="auto"/>
        </w:rPr>
        <w:t>overlapping toxicities, which could be minimized with more selective agents.</w:t>
      </w:r>
    </w:p>
    <w:p>
      <w:pPr>
        <w:spacing w:after="0" w:line="162" w:lineRule="exact"/>
        <w:rPr>
          <w:rFonts w:ascii="Arial" w:cs="Arial" w:eastAsia="Arial" w:hAnsi="Arial"/>
          <w:sz w:val="16"/>
          <w:szCs w:val="16"/>
          <w:color w:val="auto"/>
        </w:rPr>
      </w:pPr>
    </w:p>
    <w:p>
      <w:pPr>
        <w:ind w:left="1060" w:right="60" w:hanging="85"/>
        <w:spacing w:after="0" w:line="187" w:lineRule="exact"/>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Generating novel chemical matter required to target difficult</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to</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drug kinases. </w:t>
      </w:r>
      <w:r>
        <w:rPr>
          <w:rFonts w:ascii="Arial" w:cs="Arial" w:eastAsia="Arial" w:hAnsi="Arial"/>
          <w:sz w:val="16"/>
          <w:szCs w:val="16"/>
          <w:color w:val="auto"/>
        </w:rPr>
        <w:t>Novel chemical matter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drug kinases in alternate ways.</w:t>
      </w:r>
    </w:p>
    <w:p>
      <w:pPr>
        <w:spacing w:after="0" w:line="162" w:lineRule="exact"/>
        <w:rPr>
          <w:rFonts w:ascii="Arial" w:cs="Arial" w:eastAsia="Arial" w:hAnsi="Arial"/>
          <w:sz w:val="16"/>
          <w:szCs w:val="16"/>
          <w:color w:val="auto"/>
        </w:rPr>
      </w:pPr>
    </w:p>
    <w:p>
      <w:pPr>
        <w:ind w:left="1060" w:right="20" w:hanging="85"/>
        <w:spacing w:after="0" w:line="21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Overcoming resistance mediated by the alteration of kinase targets. </w:t>
      </w:r>
      <w:r>
        <w:rPr>
          <w:rFonts w:ascii="Arial" w:cs="Arial" w:eastAsia="Arial" w:hAnsi="Arial"/>
          <w:sz w:val="18"/>
          <w:szCs w:val="18"/>
          <w:color w:val="auto"/>
        </w:rPr>
        <w:t>Most approved kinase inhibitors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temporary disease control. Patients may relapse due to the emergence of on-target resistance mutations. Novel approaches are needed to predict and inhibit resistant mutants thus providing more durable clinical responses.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189"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Our approach is to systematically and reproducibly identify kinases that are drivers of diseases in genomically defined patient populations and to craft drug candidates with therapeutic windows that provide significant and durable clinical responses to patients. This approach enables us to drug known kinase targets that have been difficult to inhibit selectively and also identify, characterize and drug novel kinase targets. By focusing on diseases in genomically defined patient populations, we believe that we can quickly identify the patients most likely to respond, resulting in a more efficient development path with a greater likelihood of success.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approach is enabled by our drug discovery platform consisting of two pillars:</w:t>
      </w:r>
    </w:p>
    <w:p>
      <w:pPr>
        <w:spacing w:after="0" w:line="185" w:lineRule="exact"/>
        <w:rPr>
          <w:sz w:val="20"/>
          <w:szCs w:val="20"/>
          <w:color w:val="auto"/>
        </w:rPr>
      </w:pPr>
    </w:p>
    <w:p>
      <w:pPr>
        <w:ind w:left="1080" w:hanging="105"/>
        <w:spacing w:after="0" w:line="207" w:lineRule="exact"/>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proprietary, highly</w:t>
      </w:r>
      <w:r>
        <w:rPr>
          <w:rFonts w:ascii="MS PGothic" w:cs="MS PGothic" w:eastAsia="MS PGothic" w:hAnsi="MS PGothic"/>
          <w:sz w:val="18"/>
          <w:szCs w:val="18"/>
          <w:color w:val="auto"/>
        </w:rPr>
        <w:t>‑</w:t>
      </w:r>
      <w:r>
        <w:rPr>
          <w:rFonts w:ascii="Arial" w:cs="Arial" w:eastAsia="Arial" w:hAnsi="Arial"/>
          <w:sz w:val="18"/>
          <w:szCs w:val="18"/>
          <w:color w:val="auto"/>
        </w:rPr>
        <w:t>annotated library of novel compounds; and</w:t>
      </w:r>
    </w:p>
    <w:p>
      <w:pPr>
        <w:spacing w:after="0" w:line="184" w:lineRule="exact"/>
        <w:rPr>
          <w:rFonts w:ascii="Arial" w:cs="Arial" w:eastAsia="Arial" w:hAnsi="Arial"/>
          <w:sz w:val="18"/>
          <w:szCs w:val="18"/>
          <w:color w:val="auto"/>
        </w:rPr>
      </w:pPr>
    </w:p>
    <w:p>
      <w:pPr>
        <w:ind w:left="1060" w:right="60" w:hanging="85"/>
        <w:spacing w:after="0" w:line="23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novel target discovery engine, which is a comprehensive process that interrogates kinase biology from many angles using genomics, structural biology and cell biology.</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proprietary compound library is a unique collection of small molecules designed and developed entirely in</w:t>
      </w:r>
      <w:r>
        <w:rPr>
          <w:rFonts w:ascii="MS PGothic" w:cs="MS PGothic" w:eastAsia="MS PGothic" w:hAnsi="MS PGothic"/>
          <w:sz w:val="16"/>
          <w:szCs w:val="16"/>
          <w:color w:val="auto"/>
        </w:rPr>
        <w:t>‑</w:t>
      </w:r>
      <w:r>
        <w:rPr>
          <w:rFonts w:ascii="Arial" w:cs="Arial" w:eastAsia="Arial" w:hAnsi="Arial"/>
          <w:sz w:val="16"/>
          <w:szCs w:val="16"/>
          <w:color w:val="auto"/>
        </w:rPr>
        <w:t>house by Blueprint Medicines’ scientists as kinase inhibitors and enriched for drug</w:t>
      </w:r>
      <w:r>
        <w:rPr>
          <w:rFonts w:ascii="MS PGothic" w:cs="MS PGothic" w:eastAsia="MS PGothic" w:hAnsi="MS PGothic"/>
          <w:sz w:val="16"/>
          <w:szCs w:val="16"/>
          <w:color w:val="auto"/>
        </w:rPr>
        <w:t>‑</w:t>
      </w:r>
      <w:r>
        <w:rPr>
          <w:rFonts w:ascii="Arial" w:cs="Arial" w:eastAsia="Arial" w:hAnsi="Arial"/>
          <w:sz w:val="16"/>
          <w:szCs w:val="16"/>
          <w:color w:val="auto"/>
        </w:rPr>
        <w:t>like properties. We do not owe royalties or other fees to any parties associated with our novel target discovery engine and our proprietary compound library. This provides high</w:t>
      </w:r>
      <w:r>
        <w:rPr>
          <w:rFonts w:ascii="MS PGothic" w:cs="MS PGothic" w:eastAsia="MS PGothic" w:hAnsi="MS PGothic"/>
          <w:sz w:val="16"/>
          <w:szCs w:val="16"/>
          <w:color w:val="auto"/>
        </w:rPr>
        <w:t>‑</w:t>
      </w:r>
      <w:r>
        <w:rPr>
          <w:rFonts w:ascii="Arial" w:cs="Arial" w:eastAsia="Arial" w:hAnsi="Arial"/>
          <w:sz w:val="16"/>
          <w:szCs w:val="16"/>
          <w:color w:val="auto"/>
        </w:rPr>
        <w:t>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w:t>
      </w:r>
      <w:r>
        <w:rPr>
          <w:rFonts w:ascii="MS PGothic" w:cs="MS PGothic" w:eastAsia="MS PGothic" w:hAnsi="MS PGothic"/>
          <w:sz w:val="16"/>
          <w:szCs w:val="16"/>
          <w:color w:val="auto"/>
        </w:rPr>
        <w:t>‑</w:t>
      </w:r>
      <w:r>
        <w:rPr>
          <w:rFonts w:ascii="Arial" w:cs="Arial" w:eastAsia="Arial" w:hAnsi="Arial"/>
          <w:sz w:val="16"/>
          <w:szCs w:val="16"/>
          <w:color w:val="auto"/>
        </w:rPr>
        <w:t>relevant kinase mutants; the majority of known kinases are targeted by at least one compound family. Thus, this “annotated” compound library provides high</w:t>
      </w:r>
      <w:r>
        <w:rPr>
          <w:rFonts w:ascii="MS PGothic" w:cs="MS PGothic" w:eastAsia="MS PGothic" w:hAnsi="MS PGothic"/>
          <w:sz w:val="16"/>
          <w:szCs w:val="16"/>
          <w:color w:val="auto"/>
        </w:rPr>
        <w:t>‑</w:t>
      </w:r>
      <w:r>
        <w:rPr>
          <w:rFonts w:ascii="Arial" w:cs="Arial" w:eastAsia="Arial" w:hAnsi="Arial"/>
          <w:sz w:val="16"/>
          <w:szCs w:val="16"/>
          <w:color w:val="auto"/>
        </w:rPr>
        <w:t>quality medicinal chemistry starting points that enable quick</w:t>
      </w:r>
      <w:r>
        <w:rPr>
          <w:rFonts w:ascii="MS PGothic" w:cs="MS PGothic" w:eastAsia="MS PGothic" w:hAnsi="MS PGothic"/>
          <w:sz w:val="16"/>
          <w:szCs w:val="16"/>
          <w:color w:val="auto"/>
        </w:rPr>
        <w:t>‑</w:t>
      </w:r>
      <w:r>
        <w:rPr>
          <w:rFonts w:ascii="Arial" w:cs="Arial" w:eastAsia="Arial" w:hAnsi="Arial"/>
          <w:sz w:val="16"/>
          <w:szCs w:val="16"/>
          <w:color w:val="auto"/>
        </w:rPr>
        <w:t>starts to drug discovery programs, avoiding the expense and 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194" w:lineRule="exact"/>
        <w:rPr>
          <w:sz w:val="20"/>
          <w:szCs w:val="20"/>
          <w:color w:val="auto"/>
        </w:rPr>
      </w:pPr>
      <w:r>
        <w:rPr>
          <w:rFonts w:ascii="Arial" w:cs="Arial" w:eastAsia="Arial" w:hAnsi="Arial"/>
          <w:sz w:val="17"/>
          <w:szCs w:val="17"/>
          <w:color w:val="auto"/>
        </w:rPr>
        <w:t>spent running high throughput screens. Notably, our proprietary compound library has yielded high quality chemical starting points for previously difficult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drug kinases. We plan to expand our proprietary compound library to cover close to 100% of the kinome and to increase the number of compound families that inhibit each kinase target.</w:t>
      </w:r>
    </w:p>
    <w:p>
      <w:pPr>
        <w:spacing w:after="0" w:line="161"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We have established a novel target discovery engine, which was developed entirely in</w:t>
      </w:r>
      <w:r>
        <w:rPr>
          <w:rFonts w:ascii="MS PGothic" w:cs="MS PGothic" w:eastAsia="MS PGothic" w:hAnsi="MS PGothic"/>
          <w:sz w:val="18"/>
          <w:szCs w:val="18"/>
          <w:color w:val="auto"/>
        </w:rPr>
        <w:t>‑</w:t>
      </w:r>
      <w:r>
        <w:rPr>
          <w:rFonts w:ascii="Arial" w:cs="Arial" w:eastAsia="Arial" w:hAnsi="Arial"/>
          <w:sz w:val="18"/>
          <w:szCs w:val="18"/>
          <w:color w:val="auto"/>
        </w:rPr>
        <w:t>house under the direction of our chief scientific officer, to provide new insights into the biology of kinases as drivers of disease and to identify new kinase drug targets. There are two aspects to the novel target discovery engine:</w:t>
      </w:r>
    </w:p>
    <w:p>
      <w:pPr>
        <w:spacing w:after="0" w:line="163" w:lineRule="exact"/>
        <w:rPr>
          <w:sz w:val="20"/>
          <w:szCs w:val="20"/>
          <w:color w:val="auto"/>
        </w:rPr>
      </w:pPr>
    </w:p>
    <w:p>
      <w:pPr>
        <w:ind w:left="1060" w:hanging="85"/>
        <w:spacing w:after="0" w:line="187" w:lineRule="exact"/>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Genomics Approach to Identify Novel Kinase Targets. </w:t>
      </w:r>
      <w:r>
        <w:rPr>
          <w:rFonts w:ascii="Arial" w:cs="Arial" w:eastAsia="Arial" w:hAnsi="Arial"/>
          <w:sz w:val="16"/>
          <w:szCs w:val="16"/>
          <w:color w:val="auto"/>
        </w:rPr>
        <w:t>Our high</w:t>
      </w:r>
      <w:r>
        <w:rPr>
          <w:rFonts w:ascii="MS PGothic" w:cs="MS PGothic" w:eastAsia="MS PGothic" w:hAnsi="MS PGothic"/>
          <w:sz w:val="16"/>
          <w:szCs w:val="16"/>
          <w:color w:val="auto"/>
        </w:rPr>
        <w:t>‑</w:t>
      </w:r>
      <w:r>
        <w:rPr>
          <w:rFonts w:ascii="Arial" w:cs="Arial" w:eastAsia="Arial" w:hAnsi="Arial"/>
          <w:sz w:val="16"/>
          <w:szCs w:val="16"/>
          <w:color w:val="auto"/>
        </w:rPr>
        <w:t>capacity computing infrastructure allows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only storage of very 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in 2014.</w:t>
      </w:r>
    </w:p>
    <w:p>
      <w:pPr>
        <w:spacing w:after="0" w:line="162" w:lineRule="exact"/>
        <w:rPr>
          <w:rFonts w:ascii="Arial" w:cs="Arial" w:eastAsia="Arial" w:hAnsi="Arial"/>
          <w:sz w:val="16"/>
          <w:szCs w:val="16"/>
          <w:color w:val="auto"/>
        </w:rPr>
      </w:pPr>
    </w:p>
    <w:p>
      <w:pPr>
        <w:ind w:left="1060" w:right="140" w:hanging="85"/>
        <w:spacing w:after="0" w:line="187" w:lineRule="exact"/>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Cell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Screens to Identify Novel Kinase Targets. </w:t>
      </w:r>
      <w:r>
        <w:rPr>
          <w:rFonts w:ascii="Arial" w:cs="Arial" w:eastAsia="Arial" w:hAnsi="Arial"/>
          <w:sz w:val="18"/>
          <w:szCs w:val="18"/>
          <w:color w:val="auto"/>
        </w:rPr>
        <w:t>In this approach, a subset of the compounds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compound library that exhibit remarkable potency and/or selectivity for one or a few kinases — our “tool compounds” — are used as probes in disease</w:t>
      </w:r>
      <w:r>
        <w:rPr>
          <w:rFonts w:ascii="MS PGothic" w:cs="MS PGothic" w:eastAsia="MS PGothic" w:hAnsi="MS PGothic"/>
          <w:sz w:val="18"/>
          <w:szCs w:val="18"/>
          <w:color w:val="auto"/>
        </w:rPr>
        <w:t>‑</w:t>
      </w:r>
      <w:r>
        <w:rPr>
          <w:rFonts w:ascii="Arial" w:cs="Arial" w:eastAsia="Arial" w:hAnsi="Arial"/>
          <w:sz w:val="18"/>
          <w:szCs w:val="18"/>
          <w:color w:val="auto"/>
        </w:rPr>
        <w:t>relevant cell</w:t>
      </w:r>
      <w:r>
        <w:rPr>
          <w:rFonts w:ascii="MS PGothic" w:cs="MS PGothic" w:eastAsia="MS PGothic" w:hAnsi="MS PGothic"/>
          <w:sz w:val="18"/>
          <w:szCs w:val="18"/>
          <w:color w:val="auto"/>
        </w:rPr>
        <w:t>‑</w:t>
      </w:r>
      <w:r>
        <w:rPr>
          <w:rFonts w:ascii="Arial" w:cs="Arial" w:eastAsia="Arial" w:hAnsi="Arial"/>
          <w:sz w:val="18"/>
          <w:szCs w:val="18"/>
          <w:color w:val="auto"/>
        </w:rPr>
        <w:t>based screens. Many of these tool compounds inhibit KUBs and thus allow us to evaluate potential roles for these relatively unexplored kinases in human disease.</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 defined cancers with a targeted therapy typically results in a significant anti</w:t>
      </w:r>
      <w:r>
        <w:rPr>
          <w:rFonts w:ascii="MS PGothic" w:cs="MS PGothic" w:eastAsia="MS PGothic" w:hAnsi="MS PGothic"/>
          <w:sz w:val="17"/>
          <w:szCs w:val="17"/>
          <w:color w:val="auto"/>
        </w:rPr>
        <w:t>‑</w:t>
      </w:r>
      <w:r>
        <w:rPr>
          <w:rFonts w:ascii="Arial" w:cs="Arial" w:eastAsia="Arial" w:hAnsi="Arial"/>
          <w:sz w:val="17"/>
          <w:szCs w:val="17"/>
          <w:color w:val="auto"/>
        </w:rPr>
        <w:t>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 We have and may continue to form collaborations to track emerging patterns of resistance in the clinic to confirm our predictions. We have used this process of predicting resistance to inform the design of several of our next generation drugs, including BLU-667 for RET fusions and predicted RET resistant mutants. In addition, applying our resistance mutation prediction algorithm, we have predicted resistance mutations in NTRK, some of which have recently been clinically observed by others, and we have nominated two development candidates for potential clinical development as inhibitors of NTRK and predicted NTRK resistant mutants.</w:t>
      </w:r>
    </w:p>
    <w:p>
      <w:pPr>
        <w:spacing w:after="0" w:line="163" w:lineRule="exact"/>
        <w:rPr>
          <w:sz w:val="20"/>
          <w:szCs w:val="20"/>
          <w:color w:val="auto"/>
        </w:rPr>
      </w:pPr>
    </w:p>
    <w:p>
      <w:pPr>
        <w:ind w:right="120" w:firstLine="648"/>
        <w:spacing w:after="0" w:line="180" w:lineRule="exact"/>
        <w:rPr>
          <w:sz w:val="20"/>
          <w:szCs w:val="20"/>
          <w:color w:val="auto"/>
        </w:rPr>
      </w:pPr>
      <w:r>
        <w:rPr>
          <w:rFonts w:ascii="Arial" w:cs="Arial" w:eastAsia="Arial" w:hAnsi="Arial"/>
          <w:sz w:val="17"/>
          <w:szCs w:val="17"/>
          <w:color w:val="auto"/>
        </w:rPr>
        <w:t>Our platform has already yielded a robust pipeline. KIT Exon 17 mutants, while known drivers of disease, historically, were not selectively drugged successfully. We developed BLU</w:t>
      </w:r>
      <w:r>
        <w:rPr>
          <w:rFonts w:ascii="MS PGothic" w:cs="MS PGothic" w:eastAsia="MS PGothic" w:hAnsi="MS PGothic"/>
          <w:sz w:val="17"/>
          <w:szCs w:val="17"/>
          <w:color w:val="auto"/>
        </w:rPr>
        <w:t>‑</w:t>
      </w:r>
      <w:r>
        <w:rPr>
          <w:rFonts w:ascii="Arial" w:cs="Arial" w:eastAsia="Arial" w:hAnsi="Arial"/>
          <w:sz w:val="17"/>
          <w:szCs w:val="17"/>
          <w:color w:val="auto"/>
        </w:rPr>
        <w:t>285 as a selective inhibitor of KIT Exon 17 mutants, an effort facilitated by our proprietary compound library. Aberrant signaling through FGFR4 is a known genomic driver in a subset of HCC patients. This kinase has been difficult to drug selectively due to the close homology of the FGFR family members. We developed BLU</w:t>
      </w:r>
      <w:r>
        <w:rPr>
          <w:rFonts w:ascii="MS PGothic" w:cs="MS PGothic" w:eastAsia="MS PGothic" w:hAnsi="MS PGothic"/>
          <w:sz w:val="17"/>
          <w:szCs w:val="17"/>
          <w:color w:val="auto"/>
        </w:rPr>
        <w:t>‑</w:t>
      </w:r>
      <w:r>
        <w:rPr>
          <w:rFonts w:ascii="Arial" w:cs="Arial" w:eastAsia="Arial" w:hAnsi="Arial"/>
          <w:sz w:val="17"/>
          <w:szCs w:val="17"/>
          <w:color w:val="auto"/>
        </w:rPr>
        <w:t>554 as a selective inhibitor of FGFR4 to address the unmet medical need in this genomically defined HCC patient population. In addition, we applied our resistance mutation prediction algorithm in our RET program to identify mutant forms of the kinase that are resistant to multi</w:t>
      </w:r>
      <w:r>
        <w:rPr>
          <w:rFonts w:ascii="MS PGothic" w:cs="MS PGothic" w:eastAsia="MS PGothic" w:hAnsi="MS PGothic"/>
          <w:sz w:val="17"/>
          <w:szCs w:val="17"/>
          <w:color w:val="auto"/>
        </w:rPr>
        <w:t>‑</w:t>
      </w:r>
      <w:r>
        <w:rPr>
          <w:rFonts w:ascii="Arial" w:cs="Arial" w:eastAsia="Arial" w:hAnsi="Arial"/>
          <w:sz w:val="17"/>
          <w:szCs w:val="17"/>
          <w:color w:val="auto"/>
        </w:rPr>
        <w:t>kinase inhibitors with RET activity. We have developed BLU-667, a potent and selective inhibitor of RET and predicted RET resistant mutants with activity against both the wild</w:t>
      </w:r>
      <w:r>
        <w:rPr>
          <w:rFonts w:ascii="MS PGothic" w:cs="MS PGothic" w:eastAsia="MS PGothic" w:hAnsi="MS PGothic"/>
          <w:sz w:val="17"/>
          <w:szCs w:val="17"/>
          <w:color w:val="auto"/>
        </w:rPr>
        <w:t>‑</w:t>
      </w:r>
      <w:r>
        <w:rPr>
          <w:rFonts w:ascii="Arial" w:cs="Arial" w:eastAsia="Arial" w:hAnsi="Arial"/>
          <w:sz w:val="17"/>
          <w:szCs w:val="17"/>
          <w:color w:val="auto"/>
        </w:rPr>
        <w:t>type and mutant enzymes, another effort that is facilitated by our proprietary compound library. Finally, we are currently using and will continue to use our tool compounds to explore the role of KUBs in human disease with the goal of identifying novel kinase targets.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Programs</w:t>
      </w:r>
    </w:p>
    <w:p>
      <w:pPr>
        <w:spacing w:after="0" w:line="18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We have leveraged our platform to develop a robust drug pipeline of orally available, potent and selective small molecule kinase inhibitors that target genomic drivers in several cancers and a rare genetic disease. We currently own worldwide commercial rights to all of our oncology</w:t>
      </w:r>
      <w:r>
        <w:rPr>
          <w:rFonts w:ascii="MS PGothic" w:cs="MS PGothic" w:eastAsia="MS PGothic" w:hAnsi="MS PGothic"/>
          <w:sz w:val="16"/>
          <w:szCs w:val="16"/>
          <w:color w:val="auto"/>
        </w:rPr>
        <w:t>‑</w:t>
      </w:r>
      <w:r>
        <w:rPr>
          <w:rFonts w:ascii="Arial" w:cs="Arial" w:eastAsia="Arial" w:hAnsi="Arial"/>
          <w:sz w:val="16"/>
          <w:szCs w:val="16"/>
          <w:color w:val="auto"/>
        </w:rPr>
        <w:t>focused drug candidates, and we have a rare genetic disease program that is the subject of our collaboration with Alexion. Our most advanced drug candidates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Drug Candidates</w:t>
            </w: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Initial Diseases</w:t>
            </w: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Genomic Drivers</w:t>
            </w: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6"/>
              </w:rPr>
              <w:t>Stage of Development</w:t>
            </w:r>
          </w:p>
        </w:tc>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Commercial Rights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BLU</w:t>
            </w:r>
            <w:r>
              <w:rPr>
                <w:rFonts w:ascii="MS PGothic" w:cs="MS PGothic" w:eastAsia="MS PGothic" w:hAnsi="MS PGothic"/>
                <w:sz w:val="11"/>
                <w:szCs w:val="11"/>
                <w:color w:val="auto"/>
              </w:rPr>
              <w:t>‑</w:t>
            </w:r>
            <w:r>
              <w:rPr>
                <w:rFonts w:ascii="Arial" w:cs="Arial" w:eastAsia="Arial" w:hAnsi="Arial"/>
                <w:sz w:val="11"/>
                <w:szCs w:val="11"/>
                <w:color w:val="auto"/>
              </w:rPr>
              <w:t>285</w:t>
            </w:r>
          </w:p>
        </w:tc>
        <w:tc>
          <w:tcPr>
            <w:tcW w:w="1840" w:type="dxa"/>
            <w:vAlign w:val="bottom"/>
            <w:shd w:val="clear" w:color="auto" w:fill="CCEEFF"/>
          </w:tcPr>
          <w:p>
            <w:pPr>
              <w:ind w:left="120"/>
              <w:spacing w:after="0" w:line="102" w:lineRule="exact"/>
              <w:rPr>
                <w:sz w:val="20"/>
                <w:szCs w:val="20"/>
                <w:color w:val="auto"/>
              </w:rPr>
            </w:pPr>
            <w:r>
              <w:rPr>
                <w:rFonts w:ascii="Arial" w:cs="Arial" w:eastAsia="Arial" w:hAnsi="Arial"/>
                <w:sz w:val="11"/>
                <w:szCs w:val="11"/>
                <w:color w:val="auto"/>
              </w:rPr>
              <w:t>SM</w:t>
            </w:r>
          </w:p>
        </w:tc>
        <w:tc>
          <w:tcPr>
            <w:tcW w:w="1820" w:type="dxa"/>
            <w:vAlign w:val="bottom"/>
            <w:shd w:val="clear" w:color="auto" w:fill="CCEEFF"/>
          </w:tcPr>
          <w:p>
            <w:pPr>
              <w:ind w:left="160"/>
              <w:spacing w:after="0" w:line="102" w:lineRule="exact"/>
              <w:rPr>
                <w:sz w:val="20"/>
                <w:szCs w:val="20"/>
                <w:color w:val="auto"/>
              </w:rPr>
            </w:pPr>
            <w:r>
              <w:rPr>
                <w:rFonts w:ascii="Arial" w:cs="Arial" w:eastAsia="Arial" w:hAnsi="Arial"/>
                <w:sz w:val="11"/>
                <w:szCs w:val="11"/>
                <w:color w:val="auto"/>
              </w:rPr>
              <w:t>KIT D816V</w:t>
            </w:r>
          </w:p>
        </w:tc>
        <w:tc>
          <w:tcPr>
            <w:tcW w:w="1620" w:type="dxa"/>
            <w:vAlign w:val="bottom"/>
            <w:shd w:val="clear" w:color="auto" w:fill="CCEEFF"/>
          </w:tcPr>
          <w:p>
            <w:pPr>
              <w:ind w:left="100"/>
              <w:spacing w:after="0" w:line="102" w:lineRule="exact"/>
              <w:rPr>
                <w:sz w:val="20"/>
                <w:szCs w:val="20"/>
                <w:color w:val="auto"/>
              </w:rPr>
            </w:pPr>
            <w:r>
              <w:rPr>
                <w:rFonts w:ascii="Arial" w:cs="Arial" w:eastAsia="Arial" w:hAnsi="Arial"/>
                <w:sz w:val="11"/>
                <w:szCs w:val="11"/>
                <w:color w:val="auto"/>
              </w:rPr>
              <w:t>Phase 1 enrolling</w:t>
            </w:r>
          </w:p>
        </w:tc>
        <w:tc>
          <w:tcPr>
            <w:tcW w:w="1520" w:type="dxa"/>
            <w:vAlign w:val="bottom"/>
            <w:shd w:val="clear" w:color="auto" w:fill="CCEEFF"/>
          </w:tcPr>
          <w:p>
            <w:pPr>
              <w:ind w:left="120"/>
              <w:spacing w:after="0" w:line="102" w:lineRule="exact"/>
              <w:rPr>
                <w:sz w:val="20"/>
                <w:szCs w:val="20"/>
                <w:color w:val="auto"/>
              </w:rPr>
            </w:pPr>
            <w:r>
              <w:rPr>
                <w:rFonts w:ascii="Arial" w:cs="Arial" w:eastAsia="Arial" w:hAnsi="Arial"/>
                <w:sz w:val="11"/>
                <w:szCs w:val="11"/>
                <w:color w:val="auto"/>
              </w:rPr>
              <w:t>Blueprint Medicines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(KIT Exon 17 mutants and PDGFRα</w:t>
            </w:r>
          </w:p>
        </w:tc>
        <w:tc>
          <w:tcPr>
            <w:tcW w:w="18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D842V inhibitor)</w:t>
            </w:r>
          </w:p>
        </w:tc>
        <w:tc>
          <w:tcPr>
            <w:tcW w:w="18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40" w:type="dxa"/>
            <w:vAlign w:val="bottom"/>
          </w:tcPr>
          <w:p>
            <w:pPr>
              <w:ind w:left="120"/>
              <w:spacing w:after="0"/>
              <w:rPr>
                <w:sz w:val="20"/>
                <w:szCs w:val="20"/>
                <w:color w:val="auto"/>
              </w:rPr>
            </w:pPr>
            <w:r>
              <w:rPr>
                <w:rFonts w:ascii="Arial" w:cs="Arial" w:eastAsia="Arial" w:hAnsi="Arial"/>
                <w:sz w:val="14"/>
                <w:szCs w:val="14"/>
                <w:color w:val="auto"/>
              </w:rPr>
              <w:t>GIST</w:t>
            </w:r>
          </w:p>
        </w:tc>
        <w:tc>
          <w:tcPr>
            <w:tcW w:w="1820" w:type="dxa"/>
            <w:vAlign w:val="bottom"/>
          </w:tcPr>
          <w:p>
            <w:pPr>
              <w:ind w:left="160"/>
              <w:spacing w:after="0"/>
              <w:rPr>
                <w:sz w:val="20"/>
                <w:szCs w:val="20"/>
                <w:color w:val="auto"/>
              </w:rPr>
            </w:pPr>
            <w:r>
              <w:rPr>
                <w:rFonts w:ascii="Arial" w:cs="Arial" w:eastAsia="Arial" w:hAnsi="Arial"/>
                <w:sz w:val="14"/>
                <w:szCs w:val="14"/>
                <w:color w:val="auto"/>
              </w:rPr>
              <w:t>PDGFRα D842V</w:t>
            </w:r>
          </w:p>
        </w:tc>
        <w:tc>
          <w:tcPr>
            <w:tcW w:w="1620" w:type="dxa"/>
            <w:vAlign w:val="bottom"/>
          </w:tcPr>
          <w:p>
            <w:pPr>
              <w:ind w:left="100"/>
              <w:spacing w:after="0"/>
              <w:rPr>
                <w:sz w:val="20"/>
                <w:szCs w:val="20"/>
                <w:color w:val="auto"/>
              </w:rPr>
            </w:pPr>
            <w:r>
              <w:rPr>
                <w:rFonts w:ascii="Arial" w:cs="Arial" w:eastAsia="Arial" w:hAnsi="Arial"/>
                <w:sz w:val="14"/>
                <w:szCs w:val="14"/>
                <w:color w:val="auto"/>
              </w:rPr>
              <w:t>Phase 1 enrolling</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GIST</w:t>
            </w: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KIT Exon 17 mutants</w:t>
            </w:r>
          </w:p>
        </w:tc>
        <w:tc>
          <w:tcPr>
            <w:tcW w:w="1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Phase 1 enrolling</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2260" w:type="dxa"/>
            <w:vAlign w:val="bottom"/>
          </w:tcPr>
          <w:p>
            <w:pPr>
              <w:spacing w:after="0" w:line="108" w:lineRule="exact"/>
              <w:rPr>
                <w:sz w:val="20"/>
                <w:szCs w:val="20"/>
                <w:color w:val="auto"/>
              </w:rPr>
            </w:pPr>
            <w:r>
              <w:rPr>
                <w:rFonts w:ascii="Arial" w:cs="Arial" w:eastAsia="Arial" w:hAnsi="Arial"/>
                <w:sz w:val="12"/>
                <w:szCs w:val="12"/>
                <w:color w:val="auto"/>
              </w:rPr>
              <w:t>BLU</w:t>
            </w:r>
            <w:r>
              <w:rPr>
                <w:rFonts w:ascii="MS PGothic" w:cs="MS PGothic" w:eastAsia="MS PGothic" w:hAnsi="MS PGothic"/>
                <w:sz w:val="12"/>
                <w:szCs w:val="12"/>
                <w:color w:val="auto"/>
              </w:rPr>
              <w:t>‑</w:t>
            </w:r>
            <w:r>
              <w:rPr>
                <w:rFonts w:ascii="Arial" w:cs="Arial" w:eastAsia="Arial" w:hAnsi="Arial"/>
                <w:sz w:val="12"/>
                <w:szCs w:val="12"/>
                <w:color w:val="auto"/>
              </w:rPr>
              <w:t>554</w:t>
            </w:r>
          </w:p>
        </w:tc>
        <w:tc>
          <w:tcPr>
            <w:tcW w:w="1840" w:type="dxa"/>
            <w:vAlign w:val="bottom"/>
          </w:tcPr>
          <w:p>
            <w:pPr>
              <w:ind w:left="120"/>
              <w:spacing w:after="0" w:line="108" w:lineRule="exact"/>
              <w:rPr>
                <w:sz w:val="20"/>
                <w:szCs w:val="20"/>
                <w:color w:val="auto"/>
              </w:rPr>
            </w:pPr>
            <w:r>
              <w:rPr>
                <w:rFonts w:ascii="Arial" w:cs="Arial" w:eastAsia="Arial" w:hAnsi="Arial"/>
                <w:sz w:val="12"/>
                <w:szCs w:val="12"/>
                <w:color w:val="auto"/>
              </w:rPr>
              <w:t>HCC</w:t>
            </w:r>
          </w:p>
        </w:tc>
        <w:tc>
          <w:tcPr>
            <w:tcW w:w="1820" w:type="dxa"/>
            <w:vAlign w:val="bottom"/>
          </w:tcPr>
          <w:p>
            <w:pPr>
              <w:ind w:left="160"/>
              <w:spacing w:after="0" w:line="108" w:lineRule="exact"/>
              <w:rPr>
                <w:sz w:val="20"/>
                <w:szCs w:val="20"/>
                <w:color w:val="auto"/>
              </w:rPr>
            </w:pPr>
            <w:r>
              <w:rPr>
                <w:rFonts w:ascii="Arial" w:cs="Arial" w:eastAsia="Arial" w:hAnsi="Arial"/>
                <w:sz w:val="12"/>
                <w:szCs w:val="12"/>
                <w:color w:val="auto"/>
              </w:rPr>
              <w:t>Aberrant FGFR4 signaling</w:t>
            </w:r>
          </w:p>
        </w:tc>
        <w:tc>
          <w:tcPr>
            <w:tcW w:w="1620" w:type="dxa"/>
            <w:vAlign w:val="bottom"/>
          </w:tcPr>
          <w:p>
            <w:pPr>
              <w:ind w:left="100"/>
              <w:spacing w:after="0" w:line="108" w:lineRule="exact"/>
              <w:rPr>
                <w:sz w:val="20"/>
                <w:szCs w:val="20"/>
                <w:color w:val="auto"/>
              </w:rPr>
            </w:pPr>
            <w:r>
              <w:rPr>
                <w:rFonts w:ascii="Arial" w:cs="Arial" w:eastAsia="Arial" w:hAnsi="Arial"/>
                <w:sz w:val="12"/>
                <w:szCs w:val="12"/>
                <w:color w:val="auto"/>
              </w:rPr>
              <w:t>Phase 1 enrolling</w:t>
            </w:r>
          </w:p>
        </w:tc>
        <w:tc>
          <w:tcPr>
            <w:tcW w:w="1520" w:type="dxa"/>
            <w:vAlign w:val="bottom"/>
          </w:tcPr>
          <w:p>
            <w:pPr>
              <w:ind w:left="120"/>
              <w:spacing w:after="0" w:line="108" w:lineRule="exact"/>
              <w:rPr>
                <w:sz w:val="20"/>
                <w:szCs w:val="20"/>
                <w:color w:val="auto"/>
              </w:rPr>
            </w:pPr>
            <w:r>
              <w:rPr>
                <w:rFonts w:ascii="Arial" w:cs="Arial" w:eastAsia="Arial" w:hAnsi="Arial"/>
                <w:sz w:val="12"/>
                <w:szCs w:val="12"/>
                <w:color w:val="auto"/>
              </w:rPr>
              <w:t>Blueprint Medicines</w:t>
            </w:r>
          </w:p>
        </w:tc>
        <w:tc>
          <w:tcPr>
            <w:tcW w:w="0" w:type="dxa"/>
            <w:vAlign w:val="bottom"/>
          </w:tcPr>
          <w:p>
            <w:pPr>
              <w:spacing w:after="0"/>
              <w:rPr>
                <w:sz w:val="1"/>
                <w:szCs w:val="1"/>
                <w:color w:val="auto"/>
              </w:rPr>
            </w:pPr>
          </w:p>
        </w:tc>
      </w:tr>
      <w:tr>
        <w:trPr>
          <w:trHeight w:val="182"/>
        </w:trPr>
        <w:tc>
          <w:tcPr>
            <w:tcW w:w="2280" w:type="dxa"/>
            <w:vAlign w:val="bottom"/>
            <w:gridSpan w:val="2"/>
          </w:tcPr>
          <w:p>
            <w:pPr>
              <w:spacing w:after="0"/>
              <w:rPr>
                <w:sz w:val="20"/>
                <w:szCs w:val="20"/>
                <w:color w:val="auto"/>
              </w:rPr>
            </w:pPr>
            <w:r>
              <w:rPr>
                <w:rFonts w:ascii="Arial" w:cs="Arial" w:eastAsia="Arial" w:hAnsi="Arial"/>
                <w:sz w:val="14"/>
                <w:szCs w:val="14"/>
                <w:i w:val="1"/>
                <w:iCs w:val="1"/>
                <w:color w:val="auto"/>
              </w:rPr>
              <w:t>(FGFR4 inhibitor)</w:t>
            </w:r>
          </w:p>
        </w:tc>
        <w:tc>
          <w:tcPr>
            <w:tcW w:w="1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226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BLU-667</w:t>
            </w:r>
          </w:p>
        </w:tc>
        <w:tc>
          <w:tcPr>
            <w:tcW w:w="184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Non</w:t>
            </w:r>
            <w:r>
              <w:rPr>
                <w:rFonts w:ascii="MS PGothic" w:cs="MS PGothic" w:eastAsia="MS PGothic" w:hAnsi="MS PGothic"/>
                <w:sz w:val="12"/>
                <w:szCs w:val="12"/>
                <w:color w:val="auto"/>
              </w:rPr>
              <w:t>‑</w:t>
            </w:r>
            <w:r>
              <w:rPr>
                <w:rFonts w:ascii="Arial" w:cs="Arial" w:eastAsia="Arial" w:hAnsi="Arial"/>
                <w:sz w:val="12"/>
                <w:szCs w:val="12"/>
                <w:color w:val="auto"/>
              </w:rPr>
              <w:t>small cell lung cancer</w:t>
            </w:r>
          </w:p>
        </w:tc>
        <w:tc>
          <w:tcPr>
            <w:tcW w:w="1820" w:type="dxa"/>
            <w:vAlign w:val="bottom"/>
            <w:shd w:val="clear" w:color="auto" w:fill="CCEEFF"/>
          </w:tcPr>
          <w:p>
            <w:pPr>
              <w:ind w:left="160"/>
              <w:spacing w:after="0" w:line="108" w:lineRule="exact"/>
              <w:rPr>
                <w:sz w:val="20"/>
                <w:szCs w:val="20"/>
                <w:color w:val="auto"/>
              </w:rPr>
            </w:pPr>
            <w:r>
              <w:rPr>
                <w:rFonts w:ascii="Arial" w:cs="Arial" w:eastAsia="Arial" w:hAnsi="Arial"/>
                <w:sz w:val="12"/>
                <w:szCs w:val="12"/>
                <w:color w:val="auto"/>
              </w:rPr>
              <w:t>RET mutations and fusions</w:t>
            </w:r>
          </w:p>
        </w:tc>
        <w:tc>
          <w:tcPr>
            <w:tcW w:w="1620" w:type="dxa"/>
            <w:vAlign w:val="bottom"/>
            <w:shd w:val="clear" w:color="auto" w:fill="CCEEFF"/>
          </w:tcPr>
          <w:p>
            <w:pPr>
              <w:ind w:left="100"/>
              <w:spacing w:after="0" w:line="108" w:lineRule="exact"/>
              <w:rPr>
                <w:sz w:val="20"/>
                <w:szCs w:val="20"/>
                <w:color w:val="auto"/>
              </w:rPr>
            </w:pPr>
            <w:r>
              <w:rPr>
                <w:rFonts w:ascii="Arial" w:cs="Arial" w:eastAsia="Arial" w:hAnsi="Arial"/>
                <w:sz w:val="12"/>
                <w:szCs w:val="12"/>
                <w:color w:val="auto"/>
              </w:rPr>
              <w:t>IND-enabling activities</w:t>
            </w:r>
          </w:p>
        </w:tc>
        <w:tc>
          <w:tcPr>
            <w:tcW w:w="152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Blueprint Medicines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(RET activating mutations, RET</w:t>
            </w:r>
          </w:p>
        </w:tc>
        <w:tc>
          <w:tcPr>
            <w:tcW w:w="18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and thyroid cancer</w:t>
            </w:r>
          </w:p>
        </w:tc>
        <w:tc>
          <w:tcPr>
            <w:tcW w:w="18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fusions and predicted RET resistant</w:t>
            </w:r>
          </w:p>
        </w:tc>
        <w:tc>
          <w:tcPr>
            <w:tcW w:w="18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mutants)</w:t>
            </w:r>
          </w:p>
        </w:tc>
        <w:tc>
          <w:tcPr>
            <w:tcW w:w="18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line="108" w:lineRule="exact"/>
              <w:rPr>
                <w:sz w:val="20"/>
                <w:szCs w:val="20"/>
                <w:color w:val="auto"/>
              </w:rPr>
            </w:pPr>
            <w:r>
              <w:rPr>
                <w:rFonts w:ascii="Arial" w:cs="Arial" w:eastAsia="Arial" w:hAnsi="Arial"/>
                <w:sz w:val="12"/>
                <w:szCs w:val="12"/>
                <w:color w:val="auto"/>
              </w:rPr>
              <w:t>NTRK and predicted NTRK resistant</w:t>
            </w:r>
          </w:p>
        </w:tc>
        <w:tc>
          <w:tcPr>
            <w:tcW w:w="1840" w:type="dxa"/>
            <w:vAlign w:val="bottom"/>
          </w:tcPr>
          <w:p>
            <w:pPr>
              <w:ind w:left="120"/>
              <w:spacing w:after="0" w:line="108" w:lineRule="exact"/>
              <w:rPr>
                <w:sz w:val="20"/>
                <w:szCs w:val="20"/>
                <w:color w:val="auto"/>
              </w:rPr>
            </w:pPr>
            <w:r>
              <w:rPr>
                <w:rFonts w:ascii="Arial" w:cs="Arial" w:eastAsia="Arial" w:hAnsi="Arial"/>
                <w:sz w:val="12"/>
                <w:szCs w:val="12"/>
                <w:color w:val="auto"/>
              </w:rPr>
              <w:t>Multiple cancer types</w:t>
            </w:r>
          </w:p>
        </w:tc>
        <w:tc>
          <w:tcPr>
            <w:tcW w:w="1820" w:type="dxa"/>
            <w:vAlign w:val="bottom"/>
          </w:tcPr>
          <w:p>
            <w:pPr>
              <w:ind w:left="160"/>
              <w:spacing w:after="0" w:line="108" w:lineRule="exact"/>
              <w:rPr>
                <w:sz w:val="20"/>
                <w:szCs w:val="20"/>
                <w:color w:val="auto"/>
              </w:rPr>
            </w:pPr>
            <w:r>
              <w:rPr>
                <w:rFonts w:ascii="Arial" w:cs="Arial" w:eastAsia="Arial" w:hAnsi="Arial"/>
                <w:sz w:val="12"/>
                <w:szCs w:val="12"/>
                <w:color w:val="auto"/>
              </w:rPr>
              <w:t>NTRK and predicted</w:t>
            </w:r>
          </w:p>
        </w:tc>
        <w:tc>
          <w:tcPr>
            <w:tcW w:w="1620" w:type="dxa"/>
            <w:vAlign w:val="bottom"/>
          </w:tcPr>
          <w:p>
            <w:pPr>
              <w:ind w:left="100"/>
              <w:spacing w:after="0" w:line="108" w:lineRule="exact"/>
              <w:rPr>
                <w:sz w:val="20"/>
                <w:szCs w:val="20"/>
                <w:color w:val="auto"/>
              </w:rPr>
            </w:pPr>
            <w:r>
              <w:rPr>
                <w:rFonts w:ascii="Arial" w:cs="Arial" w:eastAsia="Arial" w:hAnsi="Arial"/>
                <w:sz w:val="12"/>
                <w:szCs w:val="12"/>
                <w:color w:val="auto"/>
              </w:rPr>
              <w:t>IND-enabling activities</w:t>
            </w:r>
          </w:p>
        </w:tc>
        <w:tc>
          <w:tcPr>
            <w:tcW w:w="1520" w:type="dxa"/>
            <w:vAlign w:val="bottom"/>
          </w:tcPr>
          <w:p>
            <w:pPr>
              <w:ind w:left="120"/>
              <w:spacing w:after="0" w:line="108" w:lineRule="exact"/>
              <w:rPr>
                <w:sz w:val="20"/>
                <w:szCs w:val="20"/>
                <w:color w:val="auto"/>
              </w:rPr>
            </w:pPr>
            <w:r>
              <w:rPr>
                <w:rFonts w:ascii="Arial" w:cs="Arial" w:eastAsia="Arial" w:hAnsi="Arial"/>
                <w:sz w:val="12"/>
                <w:szCs w:val="12"/>
                <w:color w:val="auto"/>
              </w:rPr>
              <w:t>Blueprint Medicines</w:t>
            </w:r>
          </w:p>
        </w:tc>
        <w:tc>
          <w:tcPr>
            <w:tcW w:w="0" w:type="dxa"/>
            <w:vAlign w:val="bottom"/>
          </w:tcPr>
          <w:p>
            <w:pPr>
              <w:spacing w:after="0"/>
              <w:rPr>
                <w:sz w:val="1"/>
                <w:szCs w:val="1"/>
                <w:color w:val="auto"/>
              </w:rPr>
            </w:pPr>
          </w:p>
        </w:tc>
      </w:tr>
      <w:tr>
        <w:trPr>
          <w:trHeight w:val="182"/>
        </w:trPr>
        <w:tc>
          <w:tcPr>
            <w:tcW w:w="2280" w:type="dxa"/>
            <w:vAlign w:val="bottom"/>
            <w:gridSpan w:val="2"/>
          </w:tcPr>
          <w:p>
            <w:pPr>
              <w:spacing w:after="0"/>
              <w:rPr>
                <w:sz w:val="20"/>
                <w:szCs w:val="20"/>
                <w:color w:val="auto"/>
              </w:rPr>
            </w:pPr>
            <w:r>
              <w:rPr>
                <w:rFonts w:ascii="Arial" w:cs="Arial" w:eastAsia="Arial" w:hAnsi="Arial"/>
                <w:sz w:val="14"/>
                <w:szCs w:val="14"/>
                <w:color w:val="auto"/>
              </w:rPr>
              <w:t>mutants</w:t>
            </w:r>
          </w:p>
        </w:tc>
        <w:tc>
          <w:tcPr>
            <w:tcW w:w="1840" w:type="dxa"/>
            <w:vAlign w:val="bottom"/>
          </w:tcPr>
          <w:p>
            <w:pPr>
              <w:spacing w:after="0"/>
              <w:rPr>
                <w:sz w:val="15"/>
                <w:szCs w:val="15"/>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rPr>
              <w:t>NTRK resistant mutants</w:t>
            </w: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Oncology target</w:t>
            </w:r>
          </w:p>
        </w:tc>
        <w:tc>
          <w:tcPr>
            <w:tcW w:w="1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Oncology</w:t>
            </w: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Undisclosed</w:t>
            </w:r>
          </w:p>
        </w:tc>
        <w:tc>
          <w:tcPr>
            <w:tcW w:w="1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Lead optimization</w:t>
            </w:r>
          </w:p>
        </w:tc>
        <w:tc>
          <w:tcPr>
            <w:tcW w:w="1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Blueprint Medicines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Rare genetic disease target</w:t>
            </w:r>
          </w:p>
        </w:tc>
        <w:tc>
          <w:tcPr>
            <w:tcW w:w="1840" w:type="dxa"/>
            <w:vAlign w:val="bottom"/>
          </w:tcPr>
          <w:p>
            <w:pPr>
              <w:ind w:left="120"/>
              <w:spacing w:after="0"/>
              <w:rPr>
                <w:sz w:val="20"/>
                <w:szCs w:val="20"/>
                <w:color w:val="auto"/>
              </w:rPr>
            </w:pPr>
            <w:r>
              <w:rPr>
                <w:rFonts w:ascii="Arial" w:cs="Arial" w:eastAsia="Arial" w:hAnsi="Arial"/>
                <w:sz w:val="14"/>
                <w:szCs w:val="14"/>
                <w:color w:val="auto"/>
              </w:rPr>
              <w:t>Rare genetic disease</w:t>
            </w:r>
          </w:p>
        </w:tc>
        <w:tc>
          <w:tcPr>
            <w:tcW w:w="1820" w:type="dxa"/>
            <w:vAlign w:val="bottom"/>
          </w:tcPr>
          <w:p>
            <w:pPr>
              <w:ind w:left="160"/>
              <w:spacing w:after="0"/>
              <w:rPr>
                <w:sz w:val="20"/>
                <w:szCs w:val="20"/>
                <w:color w:val="auto"/>
              </w:rPr>
            </w:pPr>
            <w:r>
              <w:rPr>
                <w:rFonts w:ascii="Arial" w:cs="Arial" w:eastAsia="Arial" w:hAnsi="Arial"/>
                <w:sz w:val="14"/>
                <w:szCs w:val="14"/>
                <w:color w:val="auto"/>
              </w:rPr>
              <w:t>Undisclosed</w:t>
            </w:r>
          </w:p>
        </w:tc>
        <w:tc>
          <w:tcPr>
            <w:tcW w:w="1620" w:type="dxa"/>
            <w:vAlign w:val="bottom"/>
          </w:tcPr>
          <w:p>
            <w:pPr>
              <w:ind w:left="100"/>
              <w:spacing w:after="0"/>
              <w:rPr>
                <w:sz w:val="20"/>
                <w:szCs w:val="20"/>
                <w:color w:val="auto"/>
              </w:rPr>
            </w:pPr>
            <w:r>
              <w:rPr>
                <w:rFonts w:ascii="Arial" w:cs="Arial" w:eastAsia="Arial" w:hAnsi="Arial"/>
                <w:sz w:val="14"/>
                <w:szCs w:val="14"/>
                <w:color w:val="auto"/>
              </w:rPr>
              <w:t>Undisclosed</w:t>
            </w:r>
          </w:p>
        </w:tc>
        <w:tc>
          <w:tcPr>
            <w:tcW w:w="1520" w:type="dxa"/>
            <w:vAlign w:val="bottom"/>
          </w:tcPr>
          <w:p>
            <w:pPr>
              <w:ind w:left="120"/>
              <w:spacing w:after="0"/>
              <w:rPr>
                <w:sz w:val="20"/>
                <w:szCs w:val="20"/>
                <w:color w:val="auto"/>
              </w:rPr>
            </w:pPr>
            <w:r>
              <w:rPr>
                <w:rFonts w:ascii="Arial" w:cs="Arial" w:eastAsia="Arial" w:hAnsi="Arial"/>
                <w:sz w:val="14"/>
                <w:szCs w:val="14"/>
                <w:color w:val="auto"/>
              </w:rPr>
              <w:t>Alexion</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right="80" w:firstLine="648"/>
        <w:spacing w:after="0" w:line="182" w:lineRule="exact"/>
        <w:rPr>
          <w:sz w:val="20"/>
          <w:szCs w:val="20"/>
          <w:color w:val="auto"/>
        </w:rPr>
      </w:pPr>
      <w:r>
        <w:rPr>
          <w:rFonts w:ascii="Arial" w:cs="Arial" w:eastAsia="Arial" w:hAnsi="Arial"/>
          <w:sz w:val="16"/>
          <w:szCs w:val="16"/>
          <w:color w:val="auto"/>
        </w:rPr>
        <w:t>One of our lead drug candidates is BLU</w:t>
      </w:r>
      <w:r>
        <w:rPr>
          <w:rFonts w:ascii="MS PGothic" w:cs="MS PGothic" w:eastAsia="MS PGothic" w:hAnsi="MS PGothic"/>
          <w:sz w:val="16"/>
          <w:szCs w:val="16"/>
          <w:color w:val="auto"/>
        </w:rPr>
        <w:t>‑</w:t>
      </w:r>
      <w:r>
        <w:rPr>
          <w:rFonts w:ascii="Arial" w:cs="Arial" w:eastAsia="Arial" w:hAnsi="Arial"/>
          <w:sz w:val="16"/>
          <w:szCs w:val="16"/>
          <w:color w:val="auto"/>
        </w:rPr>
        <w:t>285, which targets KIT Exon 17 mutants and PDGFRα D842V, for patients with SM and defined subsets of patients with GIST. Our other lead drug candidate is BLU</w:t>
      </w:r>
      <w:r>
        <w:rPr>
          <w:rFonts w:ascii="MS PGothic" w:cs="MS PGothic" w:eastAsia="MS PGothic" w:hAnsi="MS PGothic"/>
          <w:sz w:val="16"/>
          <w:szCs w:val="16"/>
          <w:color w:val="auto"/>
        </w:rPr>
        <w:t>‑</w:t>
      </w:r>
      <w:r>
        <w:rPr>
          <w:rFonts w:ascii="Arial" w:cs="Arial" w:eastAsia="Arial" w:hAnsi="Arial"/>
          <w:sz w:val="16"/>
          <w:szCs w:val="16"/>
          <w:color w:val="auto"/>
        </w:rPr>
        <w:t>554, which targets FGFR4, for a defined subset of patients with HCC. In June 2015, July 2015 and September 2015, respectively, the FDA accepted our IND applications for BLU-554 for the treatment of advanced HCC and cholangiocarcinoma, BLU-285 for the treatment of unresectable, treatment-resistant GIST and BLU -285 for the treatment of advanced SM. We have initiated dose-escalation Phase 1 clinical trials for each of these indications and are currently enrolling patients in each of these clinical trials. We are also developing BLU-667, which is a drug candidate intended to target RET activating mutations, RET fusions and RET resistant mutants that we predict will arise from treatment with first generation therapies.</w:t>
      </w:r>
    </w:p>
    <w:p>
      <w:pPr>
        <w:spacing w:after="0" w:line="16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addition, we have identified predicted resistance mutations in NTRK, some of which have recently been clinically observed by others. NTRK is believed to be a driver of disease in a broad set of cancers. We have nominated two development candidates for potential clinical development as inhibitors of NTRK and predicted NTRK resistant mutants. Leveraging our novel target discovery engine, we also have initiated efforts for a discovery program for an undisclosed kinase target and plan to nominate two more programs by the end of 2016, including at least one program focused on kinases as therapeutic targets in cancer immunotherapy.</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All of our current programs target patient populations with genomically defined diseases. As we advance our drug candidates through clinical development, we will enrich our Phase 1 clinical trials by selecting patients most likely to respond to our drug candidates to confirm mechanistic and clinical proof of concept. We are working with a number of clinical advisors, with significant medical experience as oncologists and extensive drug development backgrounds. We may collaborate with third parties to develop and commercialize companion diagnostics and to develop assays to measure target engagement, pathway modulation and early response. For example, we have entered into an agreement with Ventana Medical Systems, Inc., or Ventana, to develop and commercialize a companion diagnostic for BLU-554 in order to identify HCC patients with abberantly active FGFR4 signaling as indicated by FGF19 overexpression. The table below lists the frequencies of each of the driver mutations targeted across multiple known diseases and the corresponding estimated number of patients in the United States, France, Germany, Italy, Spain, the United Kingdom and Japan, or the Major Markets, worldwide:</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660" w:type="dxa"/>
            <w:vAlign w:val="bottom"/>
            <w:tcBorders>
              <w:top w:val="single" w:sz="8" w:color="auto"/>
              <w:left w:val="single" w:sz="8" w:color="auto"/>
            </w:tcBorders>
          </w:tcPr>
          <w:p>
            <w:pPr>
              <w:spacing w:after="0"/>
              <w:rPr>
                <w:sz w:val="11"/>
                <w:szCs w:val="11"/>
                <w:color w:val="auto"/>
              </w:rPr>
            </w:pPr>
          </w:p>
        </w:tc>
        <w:tc>
          <w:tcPr>
            <w:tcW w:w="50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2380" w:type="dxa"/>
            <w:vAlign w:val="bottom"/>
            <w:tcBorders>
              <w:top w:val="single" w:sz="8" w:color="auto"/>
              <w:bottom w:val="single" w:sz="8" w:color="auto"/>
              <w:right w:val="single" w:sz="8" w:color="auto"/>
            </w:tcBorders>
            <w:gridSpan w:val="3"/>
          </w:tcPr>
          <w:p>
            <w:pPr>
              <w:ind w:left="60"/>
              <w:spacing w:after="0" w:line="126" w:lineRule="exact"/>
              <w:rPr>
                <w:sz w:val="20"/>
                <w:szCs w:val="20"/>
                <w:color w:val="auto"/>
              </w:rPr>
            </w:pPr>
            <w:r>
              <w:rPr>
                <w:rFonts w:ascii="Arial" w:cs="Arial" w:eastAsia="Arial" w:hAnsi="Arial"/>
                <w:sz w:val="13"/>
                <w:szCs w:val="13"/>
                <w:b w:val="1"/>
                <w:bCs w:val="1"/>
                <w:color w:val="auto"/>
                <w:w w:val="90"/>
              </w:rPr>
              <w:t>Estimated Number of Prevalent Patients*</w:t>
            </w:r>
          </w:p>
        </w:tc>
        <w:tc>
          <w:tcPr>
            <w:tcW w:w="1480" w:type="dxa"/>
            <w:vAlign w:val="bottom"/>
            <w:tcBorders>
              <w:top w:val="single" w:sz="8" w:color="auto"/>
              <w:right w:val="single" w:sz="8" w:color="auto"/>
            </w:tcBorders>
          </w:tcPr>
          <w:p>
            <w:pPr>
              <w:ind w:left="500"/>
              <w:spacing w:after="0" w:line="126" w:lineRule="exact"/>
              <w:rPr>
                <w:sz w:val="20"/>
                <w:szCs w:val="20"/>
                <w:color w:val="auto"/>
              </w:rPr>
            </w:pPr>
            <w:r>
              <w:rPr>
                <w:rFonts w:ascii="Arial" w:cs="Arial" w:eastAsia="Arial" w:hAnsi="Arial"/>
                <w:sz w:val="13"/>
                <w:szCs w:val="13"/>
                <w:b w:val="1"/>
                <w:bCs w:val="1"/>
                <w:color w:val="auto"/>
              </w:rPr>
              <w:t>Genomic</w:t>
            </w:r>
          </w:p>
        </w:tc>
        <w:tc>
          <w:tcPr>
            <w:tcW w:w="1560" w:type="dxa"/>
            <w:vAlign w:val="bottom"/>
            <w:tcBorders>
              <w:top w:val="single" w:sz="8" w:color="auto"/>
              <w:right w:val="single" w:sz="8" w:color="auto"/>
            </w:tcBorders>
          </w:tcPr>
          <w:p>
            <w:pPr>
              <w:ind w:left="140"/>
              <w:spacing w:after="0" w:line="126" w:lineRule="exact"/>
              <w:rPr>
                <w:sz w:val="20"/>
                <w:szCs w:val="20"/>
                <w:color w:val="auto"/>
              </w:rPr>
            </w:pPr>
            <w:r>
              <w:rPr>
                <w:rFonts w:ascii="Arial" w:cs="Arial" w:eastAsia="Arial" w:hAnsi="Arial"/>
                <w:sz w:val="13"/>
                <w:szCs w:val="13"/>
                <w:b w:val="1"/>
                <w:bCs w:val="1"/>
                <w:color w:val="auto"/>
                <w:w w:val="94"/>
              </w:rPr>
              <w:t>Frequency of Mutations</w:t>
            </w:r>
          </w:p>
        </w:tc>
      </w:tr>
      <w:tr>
        <w:trPr>
          <w:trHeight w:val="122"/>
        </w:trPr>
        <w:tc>
          <w:tcPr>
            <w:tcW w:w="1160" w:type="dxa"/>
            <w:vAlign w:val="bottom"/>
            <w:tcBorders>
              <w:left w:val="single" w:sz="8" w:color="auto"/>
              <w:bottom w:val="single" w:sz="8" w:color="auto"/>
              <w:right w:val="single" w:sz="8" w:color="auto"/>
            </w:tcBorders>
            <w:gridSpan w:val="2"/>
          </w:tcPr>
          <w:p>
            <w:pPr>
              <w:ind w:left="80"/>
              <w:spacing w:after="0" w:line="122" w:lineRule="exact"/>
              <w:rPr>
                <w:sz w:val="20"/>
                <w:szCs w:val="20"/>
                <w:color w:val="auto"/>
              </w:rPr>
            </w:pPr>
            <w:r>
              <w:rPr>
                <w:rFonts w:ascii="Arial" w:cs="Arial" w:eastAsia="Arial" w:hAnsi="Arial"/>
                <w:sz w:val="13"/>
                <w:szCs w:val="13"/>
                <w:b w:val="1"/>
                <w:bCs w:val="1"/>
                <w:color w:val="auto"/>
                <w:w w:val="99"/>
              </w:rPr>
              <w:t>Drug Candidates</w:t>
            </w:r>
          </w:p>
        </w:tc>
        <w:tc>
          <w:tcPr>
            <w:tcW w:w="680" w:type="dxa"/>
            <w:vAlign w:val="bottom"/>
            <w:tcBorders>
              <w:bottom w:val="single" w:sz="8" w:color="auto"/>
              <w:right w:val="single" w:sz="8" w:color="auto"/>
            </w:tcBorders>
          </w:tcPr>
          <w:p>
            <w:pPr>
              <w:ind w:left="60"/>
              <w:spacing w:after="0" w:line="122" w:lineRule="exact"/>
              <w:rPr>
                <w:sz w:val="20"/>
                <w:szCs w:val="20"/>
                <w:color w:val="auto"/>
              </w:rPr>
            </w:pPr>
            <w:r>
              <w:rPr>
                <w:rFonts w:ascii="Arial" w:cs="Arial" w:eastAsia="Arial" w:hAnsi="Arial"/>
                <w:sz w:val="13"/>
                <w:szCs w:val="13"/>
                <w:b w:val="1"/>
                <w:bCs w:val="1"/>
                <w:color w:val="auto"/>
              </w:rPr>
              <w:t>Diseases</w:t>
            </w:r>
          </w:p>
        </w:tc>
        <w:tc>
          <w:tcPr>
            <w:tcW w:w="1120" w:type="dxa"/>
            <w:vAlign w:val="bottom"/>
            <w:tcBorders>
              <w:bottom w:val="single" w:sz="8" w:color="auto"/>
              <w:right w:val="single" w:sz="8" w:color="auto"/>
            </w:tcBorders>
            <w:gridSpan w:val="2"/>
          </w:tcPr>
          <w:p>
            <w:pPr>
              <w:ind w:left="220"/>
              <w:spacing w:after="0" w:line="122" w:lineRule="exact"/>
              <w:rPr>
                <w:sz w:val="20"/>
                <w:szCs w:val="20"/>
                <w:color w:val="auto"/>
              </w:rPr>
            </w:pPr>
            <w:r>
              <w:rPr>
                <w:rFonts w:ascii="Arial" w:cs="Arial" w:eastAsia="Arial" w:hAnsi="Arial"/>
                <w:sz w:val="13"/>
                <w:szCs w:val="13"/>
                <w:b w:val="1"/>
                <w:bCs w:val="1"/>
                <w:color w:val="auto"/>
              </w:rPr>
              <w:t>United States</w:t>
            </w:r>
          </w:p>
        </w:tc>
        <w:tc>
          <w:tcPr>
            <w:tcW w:w="1260" w:type="dxa"/>
            <w:vAlign w:val="bottom"/>
            <w:tcBorders>
              <w:bottom w:val="single" w:sz="8" w:color="auto"/>
              <w:right w:val="single" w:sz="8" w:color="auto"/>
            </w:tcBorders>
          </w:tcPr>
          <w:p>
            <w:pPr>
              <w:ind w:left="80"/>
              <w:spacing w:after="0" w:line="122" w:lineRule="exact"/>
              <w:rPr>
                <w:sz w:val="20"/>
                <w:szCs w:val="20"/>
                <w:color w:val="auto"/>
              </w:rPr>
            </w:pPr>
            <w:r>
              <w:rPr>
                <w:rFonts w:ascii="Arial" w:cs="Arial" w:eastAsia="Arial" w:hAnsi="Arial"/>
                <w:sz w:val="13"/>
                <w:szCs w:val="13"/>
                <w:b w:val="1"/>
                <w:bCs w:val="1"/>
                <w:color w:val="auto"/>
                <w:w w:val="93"/>
              </w:rPr>
              <w:t>Total Major Markets</w:t>
            </w:r>
          </w:p>
        </w:tc>
        <w:tc>
          <w:tcPr>
            <w:tcW w:w="1480" w:type="dxa"/>
            <w:vAlign w:val="bottom"/>
            <w:tcBorders>
              <w:bottom w:val="single" w:sz="8" w:color="auto"/>
              <w:right w:val="single" w:sz="8" w:color="auto"/>
            </w:tcBorders>
          </w:tcPr>
          <w:p>
            <w:pPr>
              <w:ind w:left="560"/>
              <w:spacing w:after="0" w:line="122" w:lineRule="exact"/>
              <w:rPr>
                <w:sz w:val="20"/>
                <w:szCs w:val="20"/>
                <w:color w:val="auto"/>
              </w:rPr>
            </w:pPr>
            <w:r>
              <w:rPr>
                <w:rFonts w:ascii="Arial" w:cs="Arial" w:eastAsia="Arial" w:hAnsi="Arial"/>
                <w:sz w:val="13"/>
                <w:szCs w:val="13"/>
                <w:b w:val="1"/>
                <w:bCs w:val="1"/>
                <w:color w:val="auto"/>
              </w:rPr>
              <w:t>Drivers</w:t>
            </w:r>
          </w:p>
        </w:tc>
        <w:tc>
          <w:tcPr>
            <w:tcW w:w="1560" w:type="dxa"/>
            <w:vAlign w:val="bottom"/>
            <w:tcBorders>
              <w:bottom w:val="single" w:sz="8" w:color="auto"/>
              <w:right w:val="single" w:sz="8" w:color="auto"/>
            </w:tcBorders>
          </w:tcPr>
          <w:p>
            <w:pPr>
              <w:ind w:left="400"/>
              <w:spacing w:after="0" w:line="122" w:lineRule="exact"/>
              <w:rPr>
                <w:sz w:val="20"/>
                <w:szCs w:val="20"/>
                <w:color w:val="auto"/>
              </w:rPr>
            </w:pPr>
            <w:r>
              <w:rPr>
                <w:rFonts w:ascii="Arial" w:cs="Arial" w:eastAsia="Arial" w:hAnsi="Arial"/>
                <w:sz w:val="13"/>
                <w:szCs w:val="13"/>
                <w:b w:val="1"/>
                <w:bCs w:val="1"/>
                <w:color w:val="auto"/>
              </w:rPr>
              <w:t>(% of Patients)</w:t>
            </w:r>
          </w:p>
        </w:tc>
      </w:tr>
      <w:tr>
        <w:trPr>
          <w:trHeight w:val="141"/>
        </w:trPr>
        <w:tc>
          <w:tcPr>
            <w:tcW w:w="11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BLU</w:t>
            </w:r>
            <w:r>
              <w:rPr>
                <w:rFonts w:ascii="MS PGothic" w:cs="MS PGothic" w:eastAsia="MS PGothic" w:hAnsi="MS PGothic"/>
                <w:sz w:val="13"/>
                <w:szCs w:val="13"/>
                <w:color w:val="auto"/>
              </w:rPr>
              <w:t>‑</w:t>
            </w:r>
            <w:r>
              <w:rPr>
                <w:rFonts w:ascii="Arial" w:cs="Arial" w:eastAsia="Arial" w:hAnsi="Arial"/>
                <w:sz w:val="13"/>
                <w:szCs w:val="13"/>
                <w:color w:val="auto"/>
              </w:rPr>
              <w:t>285</w:t>
            </w:r>
          </w:p>
        </w:tc>
        <w:tc>
          <w:tcPr>
            <w:tcW w:w="68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rPr>
              <w:t>SM</w:t>
            </w:r>
          </w:p>
        </w:tc>
        <w:tc>
          <w:tcPr>
            <w:tcW w:w="1120" w:type="dxa"/>
            <w:vAlign w:val="bottom"/>
            <w:tcBorders>
              <w:right w:val="single" w:sz="8" w:color="auto"/>
            </w:tcBorders>
            <w:gridSpan w:val="2"/>
          </w:tcPr>
          <w:p>
            <w:pPr>
              <w:ind w:left="60"/>
              <w:spacing w:after="0" w:line="141" w:lineRule="exact"/>
              <w:rPr>
                <w:sz w:val="20"/>
                <w:szCs w:val="20"/>
                <w:color w:val="auto"/>
              </w:rPr>
            </w:pPr>
            <w:r>
              <w:rPr>
                <w:rFonts w:ascii="Arial" w:cs="Arial" w:eastAsia="Arial" w:hAnsi="Arial"/>
                <w:sz w:val="13"/>
                <w:szCs w:val="13"/>
                <w:color w:val="auto"/>
                <w:w w:val="88"/>
              </w:rPr>
              <w:t>1,000 advanced SM</w:t>
            </w:r>
          </w:p>
        </w:tc>
        <w:tc>
          <w:tcPr>
            <w:tcW w:w="126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rPr>
              <w:t>2,500 advanced SM</w:t>
            </w:r>
          </w:p>
        </w:tc>
        <w:tc>
          <w:tcPr>
            <w:tcW w:w="148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rPr>
              <w:t>KIT D816V</w:t>
            </w:r>
          </w:p>
        </w:tc>
        <w:tc>
          <w:tcPr>
            <w:tcW w:w="156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w w:val="87"/>
              </w:rPr>
              <w:t>Greater than or equal to 94%</w:t>
            </w:r>
          </w:p>
        </w:tc>
      </w:tr>
      <w:tr>
        <w:trPr>
          <w:trHeight w:val="160"/>
        </w:trPr>
        <w:tc>
          <w:tcPr>
            <w:tcW w:w="660" w:type="dxa"/>
            <w:vAlign w:val="bottom"/>
            <w:tcBorders>
              <w:lef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w w:val="91"/>
              </w:rPr>
              <w:t>700 smoldering SM</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4"/>
              </w:rPr>
              <w:t>1,800 smoldering SM</w:t>
            </w:r>
          </w:p>
        </w:tc>
        <w:tc>
          <w:tcPr>
            <w:tcW w:w="14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r>
      <w:tr>
        <w:trPr>
          <w:trHeight w:val="165"/>
        </w:trPr>
        <w:tc>
          <w:tcPr>
            <w:tcW w:w="660" w:type="dxa"/>
            <w:vAlign w:val="bottom"/>
            <w:tcBorders>
              <w:lef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w w:val="97"/>
              </w:rPr>
              <w:t>6,300 indolent SM</w:t>
            </w:r>
          </w:p>
        </w:tc>
        <w:tc>
          <w:tcPr>
            <w:tcW w:w="1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16,000 indolent SM</w:t>
            </w:r>
          </w:p>
        </w:tc>
        <w:tc>
          <w:tcPr>
            <w:tcW w:w="148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r>
      <w:tr>
        <w:trPr>
          <w:trHeight w:val="115"/>
        </w:trPr>
        <w:tc>
          <w:tcPr>
            <w:tcW w:w="660" w:type="dxa"/>
            <w:vAlign w:val="bottom"/>
            <w:tcBorders>
              <w:lef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ind w:left="60"/>
              <w:spacing w:after="0" w:line="115" w:lineRule="exact"/>
              <w:rPr>
                <w:sz w:val="20"/>
                <w:szCs w:val="20"/>
                <w:color w:val="auto"/>
              </w:rPr>
            </w:pPr>
            <w:r>
              <w:rPr>
                <w:rFonts w:ascii="Arial" w:cs="Arial" w:eastAsia="Arial" w:hAnsi="Arial"/>
                <w:sz w:val="13"/>
                <w:szCs w:val="13"/>
                <w:color w:val="auto"/>
              </w:rPr>
              <w:t>GIST**</w:t>
            </w:r>
          </w:p>
        </w:tc>
        <w:tc>
          <w:tcPr>
            <w:tcW w:w="1120" w:type="dxa"/>
            <w:vAlign w:val="bottom"/>
            <w:tcBorders>
              <w:right w:val="single" w:sz="8" w:color="auto"/>
            </w:tcBorders>
            <w:gridSpan w:val="2"/>
          </w:tcPr>
          <w:p>
            <w:pPr>
              <w:ind w:left="60"/>
              <w:spacing w:after="0" w:line="115" w:lineRule="exact"/>
              <w:rPr>
                <w:sz w:val="20"/>
                <w:szCs w:val="20"/>
                <w:color w:val="auto"/>
              </w:rPr>
            </w:pPr>
            <w:r>
              <w:rPr>
                <w:rFonts w:ascii="Arial" w:cs="Arial" w:eastAsia="Arial" w:hAnsi="Arial"/>
                <w:sz w:val="13"/>
                <w:szCs w:val="13"/>
                <w:color w:val="auto"/>
              </w:rPr>
              <w:t>8,000 total</w:t>
            </w:r>
          </w:p>
        </w:tc>
        <w:tc>
          <w:tcPr>
            <w:tcW w:w="1260" w:type="dxa"/>
            <w:vAlign w:val="bottom"/>
            <w:tcBorders>
              <w:right w:val="single" w:sz="8" w:color="auto"/>
            </w:tcBorders>
          </w:tcPr>
          <w:p>
            <w:pPr>
              <w:ind w:left="60"/>
              <w:spacing w:after="0" w:line="115" w:lineRule="exact"/>
              <w:rPr>
                <w:sz w:val="20"/>
                <w:szCs w:val="20"/>
                <w:color w:val="auto"/>
              </w:rPr>
            </w:pPr>
            <w:r>
              <w:rPr>
                <w:rFonts w:ascii="Arial" w:cs="Arial" w:eastAsia="Arial" w:hAnsi="Arial"/>
                <w:sz w:val="13"/>
                <w:szCs w:val="13"/>
                <w:color w:val="auto"/>
              </w:rPr>
              <w:t>20,000 total</w:t>
            </w:r>
          </w:p>
        </w:tc>
        <w:tc>
          <w:tcPr>
            <w:tcW w:w="1480" w:type="dxa"/>
            <w:vAlign w:val="bottom"/>
            <w:tcBorders>
              <w:bottom w:val="single" w:sz="8" w:color="auto"/>
              <w:right w:val="single" w:sz="8" w:color="auto"/>
            </w:tcBorders>
          </w:tcPr>
          <w:p>
            <w:pPr>
              <w:ind w:left="60"/>
              <w:spacing w:after="0" w:line="115" w:lineRule="exact"/>
              <w:rPr>
                <w:sz w:val="20"/>
                <w:szCs w:val="20"/>
                <w:color w:val="auto"/>
              </w:rPr>
            </w:pPr>
            <w:r>
              <w:rPr>
                <w:rFonts w:ascii="Arial" w:cs="Arial" w:eastAsia="Arial" w:hAnsi="Arial"/>
                <w:sz w:val="13"/>
                <w:szCs w:val="13"/>
                <w:color w:val="auto"/>
              </w:rPr>
              <w:t>PDGFRα D842V</w:t>
            </w:r>
          </w:p>
        </w:tc>
        <w:tc>
          <w:tcPr>
            <w:tcW w:w="1560" w:type="dxa"/>
            <w:vAlign w:val="bottom"/>
            <w:tcBorders>
              <w:bottom w:val="single" w:sz="8" w:color="auto"/>
              <w:right w:val="single" w:sz="8" w:color="auto"/>
            </w:tcBorders>
          </w:tcPr>
          <w:p>
            <w:pPr>
              <w:ind w:left="60"/>
              <w:spacing w:after="0" w:line="115" w:lineRule="exact"/>
              <w:rPr>
                <w:sz w:val="20"/>
                <w:szCs w:val="20"/>
                <w:color w:val="auto"/>
              </w:rPr>
            </w:pPr>
            <w:r>
              <w:rPr>
                <w:rFonts w:ascii="Arial" w:cs="Arial" w:eastAsia="Arial" w:hAnsi="Arial"/>
                <w:sz w:val="13"/>
                <w:szCs w:val="13"/>
                <w:color w:val="auto"/>
              </w:rPr>
              <w:t>5-6% of primary GIST</w:t>
            </w:r>
          </w:p>
        </w:tc>
      </w:tr>
      <w:tr>
        <w:trPr>
          <w:trHeight w:val="167"/>
        </w:trPr>
        <w:tc>
          <w:tcPr>
            <w:tcW w:w="660" w:type="dxa"/>
            <w:vAlign w:val="bottom"/>
            <w:tcBorders>
              <w:lef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3,000 first line</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8,000 first line</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KIT Exon 17</w:t>
            </w:r>
          </w:p>
        </w:tc>
        <w:tc>
          <w:tcPr>
            <w:tcW w:w="15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&lt;1% first line</w:t>
            </w:r>
          </w:p>
        </w:tc>
      </w:tr>
      <w:tr>
        <w:trPr>
          <w:trHeight w:val="176"/>
        </w:trPr>
        <w:tc>
          <w:tcPr>
            <w:tcW w:w="660" w:type="dxa"/>
            <w:vAlign w:val="bottom"/>
            <w:tcBorders>
              <w:lef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2,700 second line</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7,000 second line</w:t>
            </w:r>
          </w:p>
        </w:tc>
        <w:tc>
          <w:tcPr>
            <w:tcW w:w="148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23% second line</w:t>
            </w:r>
          </w:p>
        </w:tc>
      </w:tr>
      <w:tr>
        <w:trPr>
          <w:trHeight w:val="165"/>
        </w:trPr>
        <w:tc>
          <w:tcPr>
            <w:tcW w:w="660" w:type="dxa"/>
            <w:vAlign w:val="bottom"/>
            <w:tcBorders>
              <w:left w:val="single" w:sz="8" w:color="auto"/>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2,300 third line</w:t>
            </w:r>
          </w:p>
        </w:tc>
        <w:tc>
          <w:tcPr>
            <w:tcW w:w="1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5,000 third line</w:t>
            </w:r>
          </w:p>
        </w:tc>
        <w:tc>
          <w:tcPr>
            <w:tcW w:w="148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&gt;90% third line</w:t>
            </w:r>
          </w:p>
        </w:tc>
      </w:tr>
      <w:tr>
        <w:trPr>
          <w:trHeight w:val="141"/>
        </w:trPr>
        <w:tc>
          <w:tcPr>
            <w:tcW w:w="11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BLU</w:t>
            </w:r>
            <w:r>
              <w:rPr>
                <w:rFonts w:ascii="MS PGothic" w:cs="MS PGothic" w:eastAsia="MS PGothic" w:hAnsi="MS PGothic"/>
                <w:sz w:val="13"/>
                <w:szCs w:val="13"/>
                <w:color w:val="auto"/>
              </w:rPr>
              <w:t>‑</w:t>
            </w:r>
            <w:r>
              <w:rPr>
                <w:rFonts w:ascii="Arial" w:cs="Arial" w:eastAsia="Arial" w:hAnsi="Arial"/>
                <w:sz w:val="13"/>
                <w:szCs w:val="13"/>
                <w:color w:val="auto"/>
              </w:rPr>
              <w:t>554</w:t>
            </w:r>
          </w:p>
        </w:tc>
        <w:tc>
          <w:tcPr>
            <w:tcW w:w="68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rPr>
              <w:t>HCC**</w:t>
            </w:r>
          </w:p>
        </w:tc>
        <w:tc>
          <w:tcPr>
            <w:tcW w:w="1120" w:type="dxa"/>
            <w:vAlign w:val="bottom"/>
            <w:tcBorders>
              <w:right w:val="single" w:sz="8" w:color="auto"/>
            </w:tcBorders>
            <w:gridSpan w:val="2"/>
          </w:tcPr>
          <w:p>
            <w:pPr>
              <w:ind w:left="60"/>
              <w:spacing w:after="0" w:line="141" w:lineRule="exact"/>
              <w:rPr>
                <w:sz w:val="20"/>
                <w:szCs w:val="20"/>
                <w:color w:val="auto"/>
              </w:rPr>
            </w:pPr>
            <w:r>
              <w:rPr>
                <w:rFonts w:ascii="Arial" w:cs="Arial" w:eastAsia="Arial" w:hAnsi="Arial"/>
                <w:sz w:val="13"/>
                <w:szCs w:val="13"/>
                <w:color w:val="auto"/>
              </w:rPr>
              <w:t>16,000 first line</w:t>
            </w:r>
          </w:p>
        </w:tc>
        <w:tc>
          <w:tcPr>
            <w:tcW w:w="126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rPr>
              <w:t>60,000 first line</w:t>
            </w:r>
          </w:p>
        </w:tc>
        <w:tc>
          <w:tcPr>
            <w:tcW w:w="148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w w:val="91"/>
              </w:rPr>
              <w:t>Aberrant FGFR4 signaling</w:t>
            </w:r>
          </w:p>
        </w:tc>
        <w:tc>
          <w:tcPr>
            <w:tcW w:w="156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3"/>
                <w:szCs w:val="13"/>
                <w:color w:val="auto"/>
              </w:rPr>
              <w:t>Up to 30%</w:t>
            </w:r>
          </w:p>
        </w:tc>
      </w:tr>
      <w:tr>
        <w:trPr>
          <w:trHeight w:val="149"/>
        </w:trPr>
        <w:tc>
          <w:tcPr>
            <w:tcW w:w="66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5,000 second line</w:t>
            </w:r>
          </w:p>
        </w:tc>
        <w:tc>
          <w:tcPr>
            <w:tcW w:w="1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20,000 second line</w:t>
            </w:r>
          </w:p>
        </w:tc>
        <w:tc>
          <w:tcPr>
            <w:tcW w:w="148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02"/>
        </w:trPr>
        <w:tc>
          <w:tcPr>
            <w:tcW w:w="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560" w:type="dxa"/>
            <w:vAlign w:val="bottom"/>
          </w:tcPr>
          <w:p>
            <w:pPr>
              <w:spacing w:after="0"/>
              <w:rPr>
                <w:sz w:val="8"/>
                <w:szCs w:val="8"/>
                <w:color w:val="auto"/>
              </w:rPr>
            </w:pPr>
          </w:p>
        </w:tc>
      </w:tr>
    </w:tbl>
    <w:p>
      <w:pPr>
        <w:spacing w:after="0" w:line="76" w:lineRule="exact"/>
        <w:rPr>
          <w:sz w:val="20"/>
          <w:szCs w:val="20"/>
          <w:color w:val="auto"/>
        </w:rPr>
      </w:pPr>
    </w:p>
    <w:p>
      <w:pPr>
        <w:ind w:left="980" w:hanging="329"/>
        <w:spacing w:after="0" w:line="141" w:lineRule="exact"/>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prevalence of HCC in China, South Korea, Taiwan and Singapore represents an additional opportunity for BLU</w:t>
      </w:r>
      <w:r>
        <w:rPr>
          <w:rFonts w:ascii="MS PGothic" w:cs="MS PGothic" w:eastAsia="MS PGothic" w:hAnsi="MS PGothic"/>
          <w:sz w:val="14"/>
          <w:szCs w:val="14"/>
          <w:color w:val="auto"/>
        </w:rPr>
        <w:t>‑</w:t>
      </w:r>
      <w:r>
        <w:rPr>
          <w:rFonts w:ascii="Arial" w:cs="Arial" w:eastAsia="Arial" w:hAnsi="Arial"/>
          <w:sz w:val="14"/>
          <w:szCs w:val="14"/>
          <w:color w:val="auto"/>
        </w:rPr>
        <w:t>554 and is not included in these estimates.</w:t>
      </w:r>
    </w:p>
    <w:p>
      <w:pPr>
        <w:ind w:left="980" w:hanging="329"/>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Prevalence represents metastatic and unresectable populations.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 Inhibitor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BLU</w:t>
      </w:r>
      <w:r>
        <w:rPr>
          <w:rFonts w:ascii="MS PGothic" w:cs="MS PGothic" w:eastAsia="MS PGothic" w:hAnsi="MS PGothic"/>
          <w:sz w:val="18"/>
          <w:szCs w:val="18"/>
          <w:color w:val="auto"/>
        </w:rPr>
        <w:t>‑</w:t>
      </w:r>
      <w:r>
        <w:rPr>
          <w:rFonts w:ascii="Arial" w:cs="Arial" w:eastAsia="Arial" w:hAnsi="Arial"/>
          <w:sz w:val="18"/>
          <w:szCs w:val="18"/>
          <w:color w:val="auto"/>
        </w:rPr>
        <w:t>285 is an orally available, potent and selective inhibitor of several activating mutations of KIT that occur in Exon 17, which encodes a portion of the tyrosine kinase domain. BLU</w:t>
      </w:r>
      <w:r>
        <w:rPr>
          <w:rFonts w:ascii="MS PGothic" w:cs="MS PGothic" w:eastAsia="MS PGothic" w:hAnsi="MS PGothic"/>
          <w:sz w:val="18"/>
          <w:szCs w:val="18"/>
          <w:color w:val="auto"/>
        </w:rPr>
        <w:t>‑</w:t>
      </w:r>
      <w:r>
        <w:rPr>
          <w:rFonts w:ascii="Arial" w:cs="Arial" w:eastAsia="Arial" w:hAnsi="Arial"/>
          <w:sz w:val="18"/>
          <w:szCs w:val="18"/>
          <w:color w:val="auto"/>
        </w:rPr>
        <w:t>285 also potently and selectively inhibits PDGFRα D842V. Due to the high degree of structural similarity of the kinase domains of KIT and PDGFRα, BLU</w:t>
      </w:r>
      <w:r>
        <w:rPr>
          <w:rFonts w:ascii="MS PGothic" w:cs="MS PGothic" w:eastAsia="MS PGothic" w:hAnsi="MS PGothic"/>
          <w:sz w:val="18"/>
          <w:szCs w:val="18"/>
          <w:color w:val="auto"/>
        </w:rPr>
        <w:t>‑</w:t>
      </w:r>
      <w:r>
        <w:rPr>
          <w:rFonts w:ascii="Arial" w:cs="Arial" w:eastAsia="Arial" w:hAnsi="Arial"/>
          <w:sz w:val="18"/>
          <w:szCs w:val="18"/>
          <w:color w:val="auto"/>
        </w:rPr>
        <w:t>285 is able to inhibit both KIT Exon 17 mutants and the PDGFRα D842V mutant potently and selectively with minimal inhibition of other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120650</wp:posOffset>
            </wp:positionV>
            <wp:extent cx="1466215" cy="1998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right="560"/>
        <w:spacing w:after="0" w:line="224" w:lineRule="auto"/>
        <w:rPr>
          <w:sz w:val="20"/>
          <w:szCs w:val="20"/>
          <w:color w:val="auto"/>
        </w:rPr>
      </w:pPr>
      <w:r>
        <w:rPr>
          <w:rFonts w:ascii="Arial" w:cs="Arial" w:eastAsia="Arial" w:hAnsi="Arial"/>
          <w:sz w:val="14"/>
          <w:szCs w:val="14"/>
          <w:color w:val="auto"/>
        </w:rPr>
        <w:t xml:space="preserve">Kinome tree locations of KIT and PDGFRα illustrating close structural similarity between these kinases. Each branch of the dendogram represents an individual human kinase. </w:t>
      </w:r>
      <w:r>
        <w:rPr>
          <w:rFonts w:ascii="Arial" w:cs="Arial" w:eastAsia="Arial" w:hAnsi="Arial"/>
          <w:sz w:val="14"/>
          <w:szCs w:val="14"/>
          <w:i w:val="1"/>
          <w:iCs w:val="1"/>
          <w:color w:val="auto"/>
        </w:rPr>
        <w:t>Kinome illustration reproduced courtesy of CSTI (www.cellsignal.com). The foregoing website is</w:t>
      </w:r>
      <w:r>
        <w:rPr>
          <w:rFonts w:ascii="Arial" w:cs="Arial" w:eastAsia="Arial" w:hAnsi="Arial"/>
          <w:sz w:val="14"/>
          <w:szCs w:val="14"/>
          <w:color w:val="auto"/>
        </w:rPr>
        <w:t xml:space="preserve"> </w:t>
      </w:r>
      <w:r>
        <w:rPr>
          <w:rFonts w:ascii="Arial" w:cs="Arial" w:eastAsia="Arial" w:hAnsi="Arial"/>
          <w:sz w:val="14"/>
          <w:szCs w:val="14"/>
          <w:i w:val="1"/>
          <w:iCs w:val="1"/>
          <w:color w:val="auto"/>
        </w:rPr>
        <w:t>maintained by CSTI, and Blueprint Medicines is not responsible for its content.</w:t>
      </w:r>
    </w:p>
    <w:p>
      <w:pPr>
        <w:spacing w:after="0" w:line="17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285 is a highly targeted therapeutic candidate for genomically</w:t>
      </w:r>
      <w:r>
        <w:rPr>
          <w:rFonts w:ascii="MS PGothic" w:cs="MS PGothic" w:eastAsia="MS PGothic" w:hAnsi="MS PGothic"/>
          <w:sz w:val="16"/>
          <w:szCs w:val="16"/>
          <w:color w:val="auto"/>
        </w:rPr>
        <w:t>‑</w:t>
      </w:r>
      <w:r>
        <w:rPr>
          <w:rFonts w:ascii="Arial" w:cs="Arial" w:eastAsia="Arial" w:hAnsi="Arial"/>
          <w:sz w:val="16"/>
          <w:szCs w:val="16"/>
          <w:color w:val="auto"/>
        </w:rPr>
        <w:t>selected patients with diseases driven by these mutations, including SM and genomically defined patient subsets within GIST. We plan to initially develop BLU</w:t>
      </w:r>
      <w:r>
        <w:rPr>
          <w:rFonts w:ascii="MS PGothic" w:cs="MS PGothic" w:eastAsia="MS PGothic" w:hAnsi="MS PGothic"/>
          <w:sz w:val="16"/>
          <w:szCs w:val="16"/>
          <w:color w:val="auto"/>
        </w:rPr>
        <w:t>‑</w:t>
      </w:r>
      <w:r>
        <w:rPr>
          <w:rFonts w:ascii="Arial" w:cs="Arial" w:eastAsia="Arial" w:hAnsi="Arial"/>
          <w:sz w:val="16"/>
          <w:szCs w:val="16"/>
          <w:color w:val="auto"/>
        </w:rPr>
        <w:t>285 for these targeted patient populations, which currently lack adequate treatments. BLU</w:t>
      </w:r>
      <w:r>
        <w:rPr>
          <w:rFonts w:ascii="MS PGothic" w:cs="MS PGothic" w:eastAsia="MS PGothic" w:hAnsi="MS PGothic"/>
          <w:sz w:val="16"/>
          <w:szCs w:val="16"/>
          <w:color w:val="auto"/>
        </w:rPr>
        <w:t>‑</w:t>
      </w:r>
      <w:r>
        <w:rPr>
          <w:rFonts w:ascii="Arial" w:cs="Arial" w:eastAsia="Arial" w:hAnsi="Arial"/>
          <w:sz w:val="16"/>
          <w:szCs w:val="16"/>
          <w:color w:val="auto"/>
        </w:rPr>
        <w:t>285 has demonstrated tumor regression in pre-clinical models of GIST and SM, including activity in aggressive and patient</w:t>
      </w:r>
      <w:r>
        <w:rPr>
          <w:rFonts w:ascii="MS PGothic" w:cs="MS PGothic" w:eastAsia="MS PGothic" w:hAnsi="MS PGothic"/>
          <w:sz w:val="16"/>
          <w:szCs w:val="16"/>
          <w:color w:val="auto"/>
        </w:rPr>
        <w:t>‑</w:t>
      </w:r>
      <w:r>
        <w:rPr>
          <w:rFonts w:ascii="Arial" w:cs="Arial" w:eastAsia="Arial" w:hAnsi="Arial"/>
          <w:sz w:val="16"/>
          <w:szCs w:val="16"/>
          <w:color w:val="auto"/>
        </w:rPr>
        <w:t>derived xenograft models that we believe to be highly predictive of clinical response. This provides clear rationale to develop BLU</w:t>
      </w:r>
      <w:r>
        <w:rPr>
          <w:rFonts w:ascii="MS PGothic" w:cs="MS PGothic" w:eastAsia="MS PGothic" w:hAnsi="MS PGothic"/>
          <w:sz w:val="16"/>
          <w:szCs w:val="16"/>
          <w:color w:val="auto"/>
        </w:rPr>
        <w:t>‑</w:t>
      </w:r>
      <w:r>
        <w:rPr>
          <w:rFonts w:ascii="Arial" w:cs="Arial" w:eastAsia="Arial" w:hAnsi="Arial"/>
          <w:sz w:val="16"/>
          <w:szCs w:val="16"/>
          <w:color w:val="auto"/>
        </w:rPr>
        <w:t>285 in genomically defined patient populations with tumors that harbor mutations in KIT Exon 17 or with PDGFRα D842V and are most likely to respond.</w:t>
      </w:r>
    </w:p>
    <w:p>
      <w:pPr>
        <w:spacing w:after="0" w:line="166"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We plan to initially develop BLU</w:t>
      </w:r>
      <w:r>
        <w:rPr>
          <w:rFonts w:ascii="MS PGothic" w:cs="MS PGothic" w:eastAsia="MS PGothic" w:hAnsi="MS PGothic"/>
          <w:sz w:val="16"/>
          <w:szCs w:val="16"/>
          <w:color w:val="auto"/>
        </w:rPr>
        <w:t>‑</w:t>
      </w:r>
      <w:r>
        <w:rPr>
          <w:rFonts w:ascii="Arial" w:cs="Arial" w:eastAsia="Arial" w:hAnsi="Arial"/>
          <w:sz w:val="16"/>
          <w:szCs w:val="16"/>
          <w:color w:val="auto"/>
        </w:rPr>
        <w:t>285 for advanced SM, GIST with the PDGFRα D842V mutation and relapsed or refractory GIST, which are the patient populations in which KIT Exon 17 mutations most frequently occur. In July 2015 and September 2015, respectively, the FDA accepted our IND applications for BLU-285 for the treatment of unresectable, treatment-resistant GIST and BLU-285 for the treatment of advanced SM. We have initiated dose-escalation Phase 1 clinical trials for each of these indications and are currently enrolling patients in each of these clinical trials. We may expand into additional diseases driven by KIT Exon 17, including a subset of acute myeloid leukemia.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Mastocytosis (SM)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 Disease Background</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SM is a myeloproliferative disorder of the mast cells, the key effector cells of allergic inflammation, which have several physiologic roles including wound healing, regulation of vascular and epithelial permeability and immune cell recruitment. In myeloproliferative diseases, the bone marrow overproduces certain types of red blood cells, platelets, or white blood cells. The signature of SM is the accumulation of mast cell clusters in the bone marrow.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Patients with SM are usually diagnosed in adulthood. The diagnosis involves a complex diagnostic algorithm that begins with confirmation of SM and subsequently categorizes patients into indolent or advanced subtypes of disease, a classification that has prognostic significance as shown below. Patients with indolent SM, or ISM, have a normal life expectancy; the primary burden of disease is the range of often unpredictable and debilitating allergic symptoms due to mast cell activation. Advanced SM includes three subsets with increasingly severe impact on life expectancy: aggressive SM, or ASM, SM with associated clonal hematological non</w:t>
      </w:r>
      <w:r>
        <w:rPr>
          <w:rFonts w:ascii="MS PGothic" w:cs="MS PGothic" w:eastAsia="MS PGothic" w:hAnsi="MS PGothic"/>
          <w:sz w:val="16"/>
          <w:szCs w:val="16"/>
          <w:color w:val="auto"/>
        </w:rPr>
        <w:t>‑</w:t>
      </w:r>
      <w:r>
        <w:rPr>
          <w:rFonts w:ascii="Arial" w:cs="Arial" w:eastAsia="Arial" w:hAnsi="Arial"/>
          <w:sz w:val="16"/>
          <w:szCs w:val="16"/>
          <w:color w:val="auto"/>
        </w:rPr>
        <w:t>mast cell lineage diseases, or SM</w:t>
      </w:r>
      <w:r>
        <w:rPr>
          <w:rFonts w:ascii="MS PGothic" w:cs="MS PGothic" w:eastAsia="MS PGothic" w:hAnsi="MS PGothic"/>
          <w:sz w:val="16"/>
          <w:szCs w:val="16"/>
          <w:color w:val="auto"/>
        </w:rPr>
        <w:t>‑</w:t>
      </w:r>
      <w:r>
        <w:rPr>
          <w:rFonts w:ascii="Arial" w:cs="Arial" w:eastAsia="Arial" w:hAnsi="Arial"/>
          <w:sz w:val="16"/>
          <w:szCs w:val="16"/>
          <w:color w:val="auto"/>
        </w:rPr>
        <w:t>AHNMD, and mast cell leukemia, or MCL. The advanced forms of SM have a median overall survival of three to five years and are characterized by prominent organopathy and dysfunction, as well as symptoms of mast cell activation. Smoldering SM, or SSM, previously listed as a subcategory of ISM, is increasingly considered as a variant of advanced SM. While SSM is not known to affect life expectancy, it has a greater degree of bone marrow infiltration, myeloproliferation, and/or presents with an enlarged liver and bears a greater risk of progression to ASM, SM</w:t>
      </w:r>
      <w:r>
        <w:rPr>
          <w:rFonts w:ascii="MS PGothic" w:cs="MS PGothic" w:eastAsia="MS PGothic" w:hAnsi="MS PGothic"/>
          <w:sz w:val="16"/>
          <w:szCs w:val="16"/>
          <w:color w:val="auto"/>
        </w:rPr>
        <w:t>‑</w:t>
      </w:r>
      <w:r>
        <w:rPr>
          <w:rFonts w:ascii="Arial" w:cs="Arial" w:eastAsia="Arial" w:hAnsi="Arial"/>
          <w:sz w:val="16"/>
          <w:szCs w:val="16"/>
          <w:color w:val="auto"/>
        </w:rPr>
        <w:t>AHNMD or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123190</wp:posOffset>
            </wp:positionV>
            <wp:extent cx="2787015" cy="1989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00"/>
        <w:spacing w:after="0" w:line="151" w:lineRule="exact"/>
        <w:rPr>
          <w:sz w:val="20"/>
          <w:szCs w:val="20"/>
          <w:color w:val="auto"/>
        </w:rPr>
      </w:pPr>
      <w:r>
        <w:rPr>
          <w:rFonts w:ascii="Arial" w:cs="Arial" w:eastAsia="Arial" w:hAnsi="Arial"/>
          <w:sz w:val="14"/>
          <w:szCs w:val="14"/>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4"/>
          <w:szCs w:val="14"/>
          <w:i w:val="1"/>
          <w:iCs w:val="1"/>
          <w:color w:val="auto"/>
        </w:rPr>
        <w:t>Blood</w:t>
      </w:r>
      <w:r>
        <w:rPr>
          <w:rFonts w:ascii="Arial" w:cs="Arial" w:eastAsia="Arial" w:hAnsi="Arial"/>
          <w:sz w:val="14"/>
          <w:szCs w:val="14"/>
          <w:color w:val="auto"/>
        </w:rPr>
        <w:t xml:space="preserve">, 121(16):3085 </w:t>
      </w:r>
      <w:r>
        <w:rPr>
          <w:rFonts w:ascii="MS PGothic" w:cs="MS PGothic" w:eastAsia="MS PGothic" w:hAnsi="MS PGothic"/>
          <w:sz w:val="14"/>
          <w:szCs w:val="14"/>
          <w:color w:val="auto"/>
        </w:rPr>
        <w:t>‑</w:t>
      </w:r>
      <w:r>
        <w:rPr>
          <w:rFonts w:ascii="Arial" w:cs="Arial" w:eastAsia="Arial" w:hAnsi="Arial"/>
          <w:sz w:val="14"/>
          <w:szCs w:val="14"/>
          <w:color w:val="auto"/>
        </w:rPr>
        <w:t xml:space="preserve"> 3094 (2013); permission conveyed through Copyright Clearance Center, Inc. In the figure above, AHD refers to SM-AHNMD.</w:t>
      </w:r>
    </w:p>
    <w:p>
      <w:pPr>
        <w:spacing w:after="0" w:line="175"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8"/>
          <w:szCs w:val="18"/>
          <w:color w:val="auto"/>
        </w:rPr>
        <w:t>Population studies, including a population</w:t>
      </w:r>
      <w:r>
        <w:rPr>
          <w:rFonts w:ascii="MS PGothic" w:cs="MS PGothic" w:eastAsia="MS PGothic" w:hAnsi="MS PGothic"/>
          <w:sz w:val="18"/>
          <w:szCs w:val="18"/>
          <w:color w:val="auto"/>
        </w:rPr>
        <w:t>‑</w:t>
      </w:r>
      <w:r>
        <w:rPr>
          <w:rFonts w:ascii="Arial" w:cs="Arial" w:eastAsia="Arial" w:hAnsi="Arial"/>
          <w:sz w:val="18"/>
          <w:szCs w:val="18"/>
          <w:color w:val="auto"/>
        </w:rPr>
        <w:t>based epidemiology study that we sponsored, based on the Danish National Health Registry, estimate the incidence of all subtypes of SM from 0.5 to 1/100,000 new patients per year. This represents approximately 3,200 new patients diagnosed per year in the United States. Of all SM patients, ISM accounts for 50</w:t>
      </w:r>
      <w:r>
        <w:rPr>
          <w:rFonts w:ascii="MS PGothic" w:cs="MS PGothic" w:eastAsia="MS PGothic" w:hAnsi="MS PGothic"/>
          <w:sz w:val="18"/>
          <w:szCs w:val="18"/>
          <w:color w:val="auto"/>
        </w:rPr>
        <w:t>‑</w:t>
      </w:r>
      <w:r>
        <w:rPr>
          <w:rFonts w:ascii="Arial" w:cs="Arial" w:eastAsia="Arial" w:hAnsi="Arial"/>
          <w:sz w:val="18"/>
          <w:szCs w:val="18"/>
          <w:color w:val="auto"/>
        </w:rPr>
        <w:t>80% and advanced SM accounts for the remaining 20</w:t>
      </w:r>
      <w:r>
        <w:rPr>
          <w:rFonts w:ascii="MS PGothic" w:cs="MS PGothic" w:eastAsia="MS PGothic" w:hAnsi="MS PGothic"/>
          <w:sz w:val="18"/>
          <w:szCs w:val="18"/>
          <w:color w:val="auto"/>
        </w:rPr>
        <w:t>‑</w:t>
      </w:r>
      <w:r>
        <w:rPr>
          <w:rFonts w:ascii="Arial" w:cs="Arial" w:eastAsia="Arial" w:hAnsi="Arial"/>
          <w:sz w:val="18"/>
          <w:szCs w:val="18"/>
          <w:color w:val="auto"/>
        </w:rPr>
        <w:t>50% of patients.</w:t>
      </w:r>
    </w:p>
    <w:p>
      <w:pPr>
        <w:spacing w:after="0" w:line="163"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The current treatment paradigm for SM varies by disease subtype. With the exception of imatinib, which only addresses less than 6% of patients with the KIT D816V mutation, there are no approved therapies, leaving more than 94% of patients with the KIT D816V mutation with limited or no treatment options. For patients with advanced forms of SM, treatments include interferon</w:t>
      </w:r>
      <w:r>
        <w:rPr>
          <w:rFonts w:ascii="MS PGothic" w:cs="MS PGothic" w:eastAsia="MS PGothic" w:hAnsi="MS PGothic"/>
          <w:sz w:val="17"/>
          <w:szCs w:val="17"/>
          <w:color w:val="auto"/>
        </w:rPr>
        <w:t>‑</w:t>
      </w:r>
      <w:r>
        <w:rPr>
          <w:rFonts w:ascii="Arial" w:cs="Arial" w:eastAsia="Arial" w:hAnsi="Arial"/>
          <w:sz w:val="17"/>
          <w:szCs w:val="17"/>
          <w:color w:val="auto"/>
        </w:rPr>
        <w:t>alpha or cytoreductive agents to reduce mast cell burden or treatments aimed at addressing the associated blood disorder. There are no disease</w:t>
      </w:r>
      <w:r>
        <w:rPr>
          <w:rFonts w:ascii="MS PGothic" w:cs="MS PGothic" w:eastAsia="MS PGothic" w:hAnsi="MS PGothic"/>
          <w:sz w:val="17"/>
          <w:szCs w:val="17"/>
          <w:color w:val="auto"/>
        </w:rPr>
        <w:t>‑</w:t>
      </w:r>
      <w:r>
        <w:rPr>
          <w:rFonts w:ascii="Arial" w:cs="Arial" w:eastAsia="Arial" w:hAnsi="Arial"/>
          <w:sz w:val="17"/>
          <w:szCs w:val="17"/>
          <w:color w:val="auto"/>
        </w:rPr>
        <w:t>modifying agents and patients with advanced SM inevitably progress, with a three to five</w:t>
      </w:r>
      <w:r>
        <w:rPr>
          <w:rFonts w:ascii="MS PGothic" w:cs="MS PGothic" w:eastAsia="MS PGothic" w:hAnsi="MS PGothic"/>
          <w:sz w:val="17"/>
          <w:szCs w:val="17"/>
          <w:color w:val="auto"/>
        </w:rPr>
        <w:t>‑</w:t>
      </w:r>
      <w:r>
        <w:rPr>
          <w:rFonts w:ascii="Arial" w:cs="Arial" w:eastAsia="Arial" w:hAnsi="Arial"/>
          <w:sz w:val="17"/>
          <w:szCs w:val="17"/>
          <w:color w:val="auto"/>
        </w:rPr>
        <w:t>year overall survival prognosis. We estimate there are approximately 4,300 addressable patients with advanced forms of SM, including SSM, in the Major Markets.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For ISM, management is symptom</w:t>
      </w:r>
      <w:r>
        <w:rPr>
          <w:rFonts w:ascii="MS PGothic" w:cs="MS PGothic" w:eastAsia="MS PGothic" w:hAnsi="MS PGothic"/>
          <w:sz w:val="18"/>
          <w:szCs w:val="18"/>
          <w:color w:val="auto"/>
        </w:rPr>
        <w:t>‑</w:t>
      </w:r>
      <w:r>
        <w:rPr>
          <w:rFonts w:ascii="Arial" w:cs="Arial" w:eastAsia="Arial" w:hAnsi="Arial"/>
          <w:sz w:val="18"/>
          <w:szCs w:val="18"/>
          <w:color w:val="auto"/>
        </w:rPr>
        <w:t>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 We believe there are approximately 16,000 ISM patients in the Major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Driver Mutations in SM</w:t>
      </w:r>
    </w:p>
    <w:p>
      <w:pPr>
        <w:spacing w:after="0" w:line="185"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color w:val="auto"/>
        </w:rPr>
        <w:t>In all subtypes of SM, the mast cells of more than 94% of patients display a mutation at the D816V position in KIT that activates the kinase. KIT D816V status is routinely assessed as part of the workup in SM diagnosis.</w:t>
      </w:r>
    </w:p>
    <w:p>
      <w:pPr>
        <w:spacing w:after="0" w:line="14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clinical Development in SM</w:t>
      </w:r>
    </w:p>
    <w:p>
      <w:pPr>
        <w:spacing w:after="0" w:line="185" w:lineRule="exact"/>
        <w:rPr>
          <w:sz w:val="20"/>
          <w:szCs w:val="20"/>
          <w:color w:val="auto"/>
        </w:rPr>
      </w:pPr>
    </w:p>
    <w:p>
      <w:pPr>
        <w:ind w:right="40" w:firstLine="648"/>
        <w:spacing w:after="0" w:line="211" w:lineRule="exact"/>
        <w:rPr>
          <w:sz w:val="20"/>
          <w:szCs w:val="20"/>
          <w:color w:val="auto"/>
        </w:rPr>
      </w:pPr>
      <w:r>
        <w:rPr>
          <w:rFonts w:ascii="Arial" w:cs="Arial" w:eastAsia="Arial" w:hAnsi="Arial"/>
          <w:sz w:val="16"/>
          <w:szCs w:val="16"/>
          <w:color w:val="auto"/>
        </w:rPr>
        <w:t>We conducted comprehensive biochemical and cellular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 xml:space="preserve">285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or the compound concentration at which 50% of the activity</w:t>
      </w:r>
    </w:p>
    <w:p>
      <w:pPr>
        <w:spacing w:after="0" w:line="1" w:lineRule="exact"/>
        <w:rPr>
          <w:sz w:val="20"/>
          <w:szCs w:val="20"/>
          <w:color w:val="auto"/>
        </w:rPr>
      </w:pPr>
    </w:p>
    <w:p>
      <w:pPr>
        <w:ind w:right="160"/>
        <w:spacing w:after="0" w:line="203" w:lineRule="exact"/>
        <w:rPr>
          <w:sz w:val="20"/>
          <w:szCs w:val="20"/>
          <w:color w:val="auto"/>
        </w:rPr>
      </w:pPr>
      <w:r>
        <w:rPr>
          <w:rFonts w:ascii="Arial" w:cs="Arial" w:eastAsia="Arial" w:hAnsi="Arial"/>
          <w:sz w:val="16"/>
          <w:szCs w:val="16"/>
          <w:color w:val="auto"/>
        </w:rPr>
        <w:t>is inhibited relative to control lacking compound, = 0.27 nM). In contrast, imatinib inhibits KIT D816V at least 10,000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&gt; 8,000 nM). In several cellular models driven by activated KIT mutant proteins, BLU</w:t>
      </w:r>
      <w:r>
        <w:rPr>
          <w:rFonts w:ascii="MS PGothic" w:cs="MS PGothic" w:eastAsia="MS PGothic" w:hAnsi="MS PGothic"/>
          <w:sz w:val="16"/>
          <w:szCs w:val="16"/>
          <w:color w:val="auto"/>
        </w:rPr>
        <w:t>‑</w:t>
      </w:r>
      <w:r>
        <w:rPr>
          <w:rFonts w:ascii="Arial" w:cs="Arial" w:eastAsia="Arial" w:hAnsi="Arial"/>
          <w:sz w:val="16"/>
          <w:szCs w:val="16"/>
          <w:color w:val="auto"/>
        </w:rPr>
        <w:t>285 potently</w:t>
      </w:r>
    </w:p>
    <w:p>
      <w:pPr>
        <w:spacing w:after="0" w:line="229" w:lineRule="auto"/>
        <w:rPr>
          <w:sz w:val="20"/>
          <w:szCs w:val="20"/>
          <w:color w:val="auto"/>
        </w:rPr>
      </w:pPr>
      <w:r>
        <w:rPr>
          <w:rFonts w:ascii="Arial" w:cs="Arial" w:eastAsia="Arial" w:hAnsi="Arial"/>
          <w:sz w:val="16"/>
          <w:szCs w:val="16"/>
          <w:color w:val="auto"/>
        </w:rPr>
        <w:t>inhibits signaling of the oncogenic KIT mutant protein, as measured by inhibition of KIT autophosphorylation and inhibition</w:t>
      </w:r>
    </w:p>
    <w:p>
      <w:pPr>
        <w:spacing w:after="0" w:line="176" w:lineRule="exact"/>
        <w:rPr>
          <w:sz w:val="20"/>
          <w:szCs w:val="20"/>
          <w:color w:val="auto"/>
        </w:rPr>
      </w:pPr>
      <w:r>
        <w:rPr>
          <w:rFonts w:ascii="Arial" w:cs="Arial" w:eastAsia="Arial" w:hAnsi="Arial"/>
          <w:sz w:val="16"/>
          <w:szCs w:val="16"/>
          <w:color w:val="auto"/>
        </w:rPr>
        <w:t>of cellular proliferation. In HMC 1.2 cells, a human mast cell leukemia model driven by the KIT D816V mutation, BLU</w:t>
      </w:r>
      <w:r>
        <w:rPr>
          <w:rFonts w:ascii="MS PGothic" w:cs="MS PGothic" w:eastAsia="MS PGothic" w:hAnsi="MS PGothic"/>
          <w:sz w:val="16"/>
          <w:szCs w:val="16"/>
          <w:color w:val="auto"/>
        </w:rPr>
        <w:t>‑</w:t>
      </w:r>
      <w:r>
        <w:rPr>
          <w:rFonts w:ascii="Arial" w:cs="Arial" w:eastAsia="Arial" w:hAnsi="Arial"/>
          <w:sz w:val="16"/>
          <w:szCs w:val="16"/>
          <w:color w:val="auto"/>
        </w:rPr>
        <w:t>285</w:t>
      </w:r>
    </w:p>
    <w:p>
      <w:pPr>
        <w:spacing w:after="0" w:line="184" w:lineRule="auto"/>
        <w:rPr>
          <w:sz w:val="20"/>
          <w:szCs w:val="20"/>
          <w:color w:val="auto"/>
        </w:rPr>
      </w:pPr>
      <w:r>
        <w:rPr>
          <w:rFonts w:ascii="Arial" w:cs="Arial" w:eastAsia="Arial" w:hAnsi="Arial"/>
          <w:sz w:val="16"/>
          <w:szCs w:val="16"/>
          <w:color w:val="auto"/>
        </w:rPr>
        <w:t>potently inhibits signaling of the mutant KIT protein as measured by inhibition of KIT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4 nM). In</w:t>
      </w:r>
    </w:p>
    <w:p>
      <w:pPr>
        <w:spacing w:after="0" w:line="1" w:lineRule="exact"/>
        <w:rPr>
          <w:sz w:val="20"/>
          <w:szCs w:val="20"/>
          <w:color w:val="auto"/>
        </w:rPr>
      </w:pPr>
    </w:p>
    <w:p>
      <w:pPr>
        <w:ind w:right="340"/>
        <w:spacing w:after="0" w:line="193" w:lineRule="exact"/>
        <w:rPr>
          <w:sz w:val="20"/>
          <w:szCs w:val="20"/>
          <w:color w:val="auto"/>
        </w:rPr>
      </w:pPr>
      <w:r>
        <w:rPr>
          <w:rFonts w:ascii="Arial" w:cs="Arial" w:eastAsia="Arial" w:hAnsi="Arial"/>
          <w:sz w:val="16"/>
          <w:szCs w:val="16"/>
          <w:color w:val="auto"/>
        </w:rPr>
        <w:t>contrast, imatinib inhibits KIT autophosphorylation at least 2,000</w:t>
      </w:r>
      <w:r>
        <w:rPr>
          <w:rFonts w:ascii="MS PGothic" w:cs="MS PGothic" w:eastAsia="MS PGothic" w:hAnsi="MS PGothic"/>
          <w:sz w:val="16"/>
          <w:szCs w:val="16"/>
          <w:color w:val="auto"/>
        </w:rPr>
        <w:t>‑</w:t>
      </w:r>
      <w:r>
        <w:rPr>
          <w:rFonts w:ascii="Arial" w:cs="Arial" w:eastAsia="Arial" w:hAnsi="Arial"/>
          <w:sz w:val="16"/>
          <w:szCs w:val="16"/>
          <w:color w:val="auto"/>
        </w:rPr>
        <w:t>fold less potently. In P815 cells, a mouse mastocytoma model driven by an Exon 17 mutation, BLU</w:t>
      </w:r>
      <w:r>
        <w:rPr>
          <w:rFonts w:ascii="MS PGothic" w:cs="MS PGothic" w:eastAsia="MS PGothic" w:hAnsi="MS PGothic"/>
          <w:sz w:val="16"/>
          <w:szCs w:val="16"/>
          <w:color w:val="auto"/>
        </w:rPr>
        <w:t>‑</w:t>
      </w:r>
      <w:r>
        <w:rPr>
          <w:rFonts w:ascii="Arial" w:cs="Arial" w:eastAsia="Arial" w:hAnsi="Arial"/>
          <w:sz w:val="16"/>
          <w:szCs w:val="16"/>
          <w:color w:val="auto"/>
        </w:rPr>
        <w:t>285 potently inhibits signaling of the mutant KIT protein as measured by inhibition of KIT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22 nM) as well as cellular proliferation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202 nM). By comparison,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imatinib shows considerably lower cellular potency in the P815 model.</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KIT D816V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137795</wp:posOffset>
            </wp:positionV>
            <wp:extent cx="2615565" cy="875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right="180"/>
        <w:spacing w:after="0" w:line="147" w:lineRule="exact"/>
        <w:rPr>
          <w:sz w:val="20"/>
          <w:szCs w:val="20"/>
          <w:color w:val="auto"/>
        </w:rPr>
      </w:pPr>
      <w:r>
        <w:rPr>
          <w:rFonts w:ascii="Arial" w:cs="Arial" w:eastAsia="Arial" w:hAnsi="Arial"/>
          <w:sz w:val="13"/>
          <w:szCs w:val="13"/>
          <w:color w:val="auto"/>
        </w:rPr>
        <w:t>Potency of BLU</w:t>
      </w:r>
      <w:r>
        <w:rPr>
          <w:rFonts w:ascii="MS PGothic" w:cs="MS PGothic" w:eastAsia="MS PGothic" w:hAnsi="MS PGothic"/>
          <w:sz w:val="13"/>
          <w:szCs w:val="13"/>
          <w:color w:val="auto"/>
        </w:rPr>
        <w:t>‑</w:t>
      </w:r>
      <w:r>
        <w:rPr>
          <w:rFonts w:ascii="Arial" w:cs="Arial" w:eastAsia="Arial" w:hAnsi="Arial"/>
          <w:sz w:val="13"/>
          <w:szCs w:val="13"/>
          <w:color w:val="auto"/>
        </w:rPr>
        <w:t>285 against KIT D816 and other Exon 17 mutations compared to imatinib. The inhibitory potencies of BLU</w:t>
      </w:r>
      <w:r>
        <w:rPr>
          <w:rFonts w:ascii="MS PGothic" w:cs="MS PGothic" w:eastAsia="MS PGothic" w:hAnsi="MS PGothic"/>
          <w:sz w:val="13"/>
          <w:szCs w:val="13"/>
          <w:color w:val="auto"/>
        </w:rPr>
        <w:t>‑</w:t>
      </w:r>
      <w:r>
        <w:rPr>
          <w:rFonts w:ascii="Arial" w:cs="Arial" w:eastAsia="Arial" w:hAnsi="Arial"/>
          <w:sz w:val="13"/>
          <w:szCs w:val="13"/>
          <w:color w:val="auto"/>
        </w:rPr>
        <w:t xml:space="preserve">285 and imatinib against the KIT D816V mutant protein were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The inhibitory potencies of BLU</w:t>
      </w:r>
      <w:r>
        <w:rPr>
          <w:rFonts w:ascii="MS PGothic" w:cs="MS PGothic" w:eastAsia="MS PGothic" w:hAnsi="MS PGothic"/>
          <w:sz w:val="13"/>
          <w:szCs w:val="13"/>
          <w:color w:val="auto"/>
        </w:rPr>
        <w:t>‑</w:t>
      </w:r>
      <w:r>
        <w:rPr>
          <w:rFonts w:ascii="Arial" w:cs="Arial" w:eastAsia="Arial" w:hAnsi="Arial"/>
          <w:sz w:val="13"/>
          <w:szCs w:val="13"/>
          <w:color w:val="auto"/>
        </w:rPr>
        <w:t>285 and imatinib were also evaluated in two cell lines harboring KIT Exon 17 mutations, HMC 1.2 cells and P815 cells. Inhibition of KIT cellular signaling was measured by inhibition of KIT autophosphorylation (P</w:t>
      </w:r>
      <w:r>
        <w:rPr>
          <w:rFonts w:ascii="MS PGothic" w:cs="MS PGothic" w:eastAsia="MS PGothic" w:hAnsi="MS PGothic"/>
          <w:sz w:val="13"/>
          <w:szCs w:val="13"/>
          <w:color w:val="auto"/>
        </w:rPr>
        <w:t>‑</w:t>
      </w:r>
      <w:r>
        <w:rPr>
          <w:rFonts w:ascii="Arial" w:cs="Arial" w:eastAsia="Arial" w:hAnsi="Arial"/>
          <w:sz w:val="13"/>
          <w:szCs w:val="13"/>
          <w:color w:val="auto"/>
        </w:rPr>
        <w:t>KIT). Inhibition of cellular proliferation was also measured in P815 cells.</w:t>
      </w:r>
    </w:p>
    <w:p>
      <w:pPr>
        <w:spacing w:after="0" w:line="17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selectivity of BLU</w:t>
      </w:r>
      <w:r>
        <w:rPr>
          <w:rFonts w:ascii="MS PGothic" w:cs="MS PGothic" w:eastAsia="MS PGothic" w:hAnsi="MS PGothic"/>
          <w:sz w:val="17"/>
          <w:szCs w:val="17"/>
          <w:color w:val="auto"/>
        </w:rPr>
        <w:t>‑</w:t>
      </w:r>
      <w:r>
        <w:rPr>
          <w:rFonts w:ascii="Arial" w:cs="Arial" w:eastAsia="Arial" w:hAnsi="Arial"/>
          <w:sz w:val="17"/>
          <w:szCs w:val="17"/>
          <w:color w:val="auto"/>
        </w:rPr>
        <w:t>285 was further evaluated by profiling BLU</w:t>
      </w:r>
      <w:r>
        <w:rPr>
          <w:rFonts w:ascii="MS PGothic" w:cs="MS PGothic" w:eastAsia="MS PGothic" w:hAnsi="MS PGothic"/>
          <w:sz w:val="17"/>
          <w:szCs w:val="17"/>
          <w:color w:val="auto"/>
        </w:rPr>
        <w:t>‑</w:t>
      </w:r>
      <w:r>
        <w:rPr>
          <w:rFonts w:ascii="Arial" w:cs="Arial" w:eastAsia="Arial" w:hAnsi="Arial"/>
          <w:sz w:val="17"/>
          <w:szCs w:val="17"/>
          <w:color w:val="auto"/>
        </w:rPr>
        <w:t>285 at a concentration of 3 µM across a panel of over 450 kinases and disease</w:t>
      </w:r>
      <w:r>
        <w:rPr>
          <w:rFonts w:ascii="MS PGothic" w:cs="MS PGothic" w:eastAsia="MS PGothic" w:hAnsi="MS PGothic"/>
          <w:sz w:val="17"/>
          <w:szCs w:val="17"/>
          <w:color w:val="auto"/>
        </w:rPr>
        <w:t>‑</w:t>
      </w:r>
      <w:r>
        <w:rPr>
          <w:rFonts w:ascii="Arial" w:cs="Arial" w:eastAsia="Arial" w:hAnsi="Arial"/>
          <w:sz w:val="17"/>
          <w:szCs w:val="17"/>
          <w:color w:val="auto"/>
        </w:rPr>
        <w:t>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w:t>
      </w:r>
      <w:r>
        <w:rPr>
          <w:rFonts w:ascii="MS PGothic" w:cs="MS PGothic" w:eastAsia="MS PGothic" w:hAnsi="MS PGothic"/>
          <w:sz w:val="17"/>
          <w:szCs w:val="17"/>
          <w:color w:val="auto"/>
        </w:rPr>
        <w:t>‑</w:t>
      </w:r>
      <w:r>
        <w:rPr>
          <w:rFonts w:ascii="Arial" w:cs="Arial" w:eastAsia="Arial" w:hAnsi="Arial"/>
          <w:sz w:val="17"/>
          <w:szCs w:val="17"/>
          <w:color w:val="auto"/>
        </w:rPr>
        <w:t>285 demonstrated exquisite selectivity for KIT Exon 17 mutant proteins and PDGFRα D842V in this assay, binding significantly (greater than 90% inhibition relative to control) to only 12 other kinases. We also profiled midostaurin,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KIT D816V inhibitory activity (an inhibitory activity not present in imatinib), that is being studied in clinical trials of SM patients. Midostaurin demonstrated significant binding (greater than 90% inhibition relative to control at 3 µ M) to 118 kinases, as indicated by the number of dots on the kinome tree shown below. We believe multi</w:t>
      </w:r>
      <w:r>
        <w:rPr>
          <w:rFonts w:ascii="MS PGothic" w:cs="MS PGothic" w:eastAsia="MS PGothic" w:hAnsi="MS PGothic"/>
          <w:sz w:val="17"/>
          <w:szCs w:val="17"/>
          <w:color w:val="auto"/>
        </w:rPr>
        <w:t>‑</w:t>
      </w:r>
      <w:r>
        <w:rPr>
          <w:rFonts w:ascii="Arial" w:cs="Arial" w:eastAsia="Arial" w:hAnsi="Arial"/>
          <w:sz w:val="17"/>
          <w:szCs w:val="17"/>
          <w:color w:val="auto"/>
        </w:rPr>
        <w:t xml:space="preserve">kinase inhibitors that demonstrate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KIT D816V may not achieve full inhibition of KIT D816V in the clinic due to poor selectivity and the resulting dose limitations imposed by off</w:t>
      </w:r>
      <w:r>
        <w:rPr>
          <w:rFonts w:ascii="MS PGothic" w:cs="MS PGothic" w:eastAsia="MS PGothic" w:hAnsi="MS PGothic"/>
          <w:sz w:val="17"/>
          <w:szCs w:val="17"/>
          <w:color w:val="auto"/>
        </w:rPr>
        <w:t>‑</w:t>
      </w:r>
      <w:r>
        <w:rPr>
          <w:rFonts w:ascii="Arial" w:cs="Arial" w:eastAsia="Arial" w:hAnsi="Arial"/>
          <w:sz w:val="17"/>
          <w:szCs w:val="17"/>
          <w:color w:val="auto"/>
        </w:rPr>
        <w:t>target toxicities.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135255</wp:posOffset>
            </wp:positionV>
            <wp:extent cx="2838450" cy="1612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845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80"/>
        <w:spacing w:after="0" w:line="145" w:lineRule="exact"/>
        <w:rPr>
          <w:sz w:val="20"/>
          <w:szCs w:val="20"/>
          <w:color w:val="auto"/>
        </w:rPr>
      </w:pPr>
      <w:r>
        <w:rPr>
          <w:rFonts w:ascii="Arial" w:cs="Arial" w:eastAsia="Arial" w:hAnsi="Arial"/>
          <w:sz w:val="14"/>
          <w:szCs w:val="14"/>
          <w:color w:val="auto"/>
        </w:rPr>
        <w:t>Kinome selectivity of BLU</w:t>
      </w:r>
      <w:r>
        <w:rPr>
          <w:rFonts w:ascii="MS PGothic" w:cs="MS PGothic" w:eastAsia="MS PGothic" w:hAnsi="MS PGothic"/>
          <w:sz w:val="14"/>
          <w:szCs w:val="14"/>
          <w:color w:val="auto"/>
        </w:rPr>
        <w:t>‑</w:t>
      </w:r>
      <w:r>
        <w:rPr>
          <w:rFonts w:ascii="Arial" w:cs="Arial" w:eastAsia="Arial" w:hAnsi="Arial"/>
          <w:sz w:val="14"/>
          <w:szCs w:val="14"/>
          <w:color w:val="auto"/>
        </w:rPr>
        <w:t>285 and a reference compound that has been studied in clinical trials of SM. Compounds were screened at 3 µM against a panel of over 450 kinases and disease</w:t>
      </w:r>
      <w:r>
        <w:rPr>
          <w:rFonts w:ascii="MS PGothic" w:cs="MS PGothic" w:eastAsia="MS PGothic" w:hAnsi="MS PGothic"/>
          <w:sz w:val="14"/>
          <w:szCs w:val="14"/>
          <w:color w:val="auto"/>
        </w:rPr>
        <w:t>‑</w:t>
      </w:r>
      <w:r>
        <w:rPr>
          <w:rFonts w:ascii="Arial" w:cs="Arial" w:eastAsia="Arial" w:hAnsi="Arial"/>
          <w:sz w:val="14"/>
          <w:szCs w:val="14"/>
          <w:color w:val="auto"/>
        </w:rPr>
        <w:t xml:space="preserv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4"/>
          <w:szCs w:val="14"/>
          <w:i w:val="1"/>
          <w:iCs w:val="1"/>
          <w:color w:val="auto"/>
        </w:rPr>
        <w:t>Kinome</w:t>
      </w:r>
      <w:r>
        <w:rPr>
          <w:rFonts w:ascii="Arial" w:cs="Arial" w:eastAsia="Arial" w:hAnsi="Arial"/>
          <w:sz w:val="14"/>
          <w:szCs w:val="14"/>
          <w:color w:val="auto"/>
        </w:rPr>
        <w:t xml:space="preserve"> </w:t>
      </w:r>
      <w:r>
        <w:rPr>
          <w:rFonts w:ascii="Arial" w:cs="Arial" w:eastAsia="Arial" w:hAnsi="Arial"/>
          <w:sz w:val="14"/>
          <w:szCs w:val="14"/>
          <w:i w:val="1"/>
          <w:iCs w:val="1"/>
          <w:color w:val="auto"/>
        </w:rPr>
        <w:t>illustration reproduced courtesy of CSTI (www.cellsignal.com). The foregoing website is maintained by CSTI, and Blueprint Medicines is not responsible for its content.</w:t>
      </w:r>
    </w:p>
    <w:p>
      <w:pPr>
        <w:spacing w:after="0" w:line="175"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We demonstrated significant anti</w:t>
      </w:r>
      <w:r>
        <w:rPr>
          <w:rFonts w:ascii="MS PGothic" w:cs="MS PGothic" w:eastAsia="MS PGothic" w:hAnsi="MS PGothic"/>
          <w:sz w:val="17"/>
          <w:szCs w:val="17"/>
          <w:color w:val="auto"/>
        </w:rPr>
        <w:t>‑</w:t>
      </w:r>
      <w:r>
        <w:rPr>
          <w:rFonts w:ascii="Arial" w:cs="Arial" w:eastAsia="Arial" w:hAnsi="Arial"/>
          <w:sz w:val="17"/>
          <w:szCs w:val="17"/>
          <w:color w:val="auto"/>
        </w:rPr>
        <w:t>tumor efficacy with BLU</w:t>
      </w:r>
      <w:r>
        <w:rPr>
          <w:rFonts w:ascii="MS PGothic" w:cs="MS PGothic" w:eastAsia="MS PGothic" w:hAnsi="MS PGothic"/>
          <w:sz w:val="17"/>
          <w:szCs w:val="17"/>
          <w:color w:val="auto"/>
        </w:rPr>
        <w:t>‑</w:t>
      </w:r>
      <w:r>
        <w:rPr>
          <w:rFonts w:ascii="Arial" w:cs="Arial" w:eastAsia="Arial" w:hAnsi="Arial"/>
          <w:sz w:val="17"/>
          <w:szCs w:val="17"/>
          <w:color w:val="auto"/>
        </w:rPr>
        <w:t>285 in a P815 mouse mastocytoma xenograft model where tumor growth is driven by a KIT Exon 17 mutation. BLU</w:t>
      </w:r>
      <w:r>
        <w:rPr>
          <w:rFonts w:ascii="MS PGothic" w:cs="MS PGothic" w:eastAsia="MS PGothic" w:hAnsi="MS PGothic"/>
          <w:sz w:val="17"/>
          <w:szCs w:val="17"/>
          <w:color w:val="auto"/>
        </w:rPr>
        <w:t>‑</w:t>
      </w:r>
      <w:r>
        <w:rPr>
          <w:rFonts w:ascii="Arial" w:cs="Arial" w:eastAsia="Arial" w:hAnsi="Arial"/>
          <w:sz w:val="17"/>
          <w:szCs w:val="17"/>
          <w:color w:val="auto"/>
        </w:rPr>
        <w:t>285 administered orally for nine days resulted in robust and dose</w:t>
      </w:r>
      <w:r>
        <w:rPr>
          <w:rFonts w:ascii="MS PGothic" w:cs="MS PGothic" w:eastAsia="MS PGothic" w:hAnsi="MS PGothic"/>
          <w:sz w:val="17"/>
          <w:szCs w:val="17"/>
          <w:color w:val="auto"/>
        </w:rPr>
        <w:t>‑</w:t>
      </w:r>
      <w:r>
        <w:rPr>
          <w:rFonts w:ascii="Arial" w:cs="Arial" w:eastAsia="Arial" w:hAnsi="Arial"/>
          <w:sz w:val="17"/>
          <w:szCs w:val="17"/>
          <w:color w:val="auto"/>
        </w:rPr>
        <w:t>dependent growth inhibition of P815 tumors. At a dose of 30 mg/kg once daily, a well</w:t>
      </w:r>
      <w:r>
        <w:rPr>
          <w:rFonts w:ascii="MS PGothic" w:cs="MS PGothic" w:eastAsia="MS PGothic" w:hAnsi="MS PGothic"/>
          <w:sz w:val="17"/>
          <w:szCs w:val="17"/>
          <w:color w:val="auto"/>
        </w:rPr>
        <w:t>‑</w:t>
      </w:r>
      <w:r>
        <w:rPr>
          <w:rFonts w:ascii="Arial" w:cs="Arial" w:eastAsia="Arial" w:hAnsi="Arial"/>
          <w:sz w:val="17"/>
          <w:szCs w:val="17"/>
          <w:color w:val="auto"/>
        </w:rPr>
        <w:t>tolerated dose, BLU</w:t>
      </w:r>
      <w:r>
        <w:rPr>
          <w:rFonts w:ascii="MS PGothic" w:cs="MS PGothic" w:eastAsia="MS PGothic" w:hAnsi="MS PGothic"/>
          <w:sz w:val="17"/>
          <w:szCs w:val="17"/>
          <w:color w:val="auto"/>
        </w:rPr>
        <w:t>‑</w:t>
      </w:r>
      <w:r>
        <w:rPr>
          <w:rFonts w:ascii="Arial" w:cs="Arial" w:eastAsia="Arial" w:hAnsi="Arial"/>
          <w:sz w:val="17"/>
          <w:szCs w:val="17"/>
          <w:color w:val="auto"/>
        </w:rPr>
        <w:t>285 caused tumor regression. We observed a correlation between the concentration of BLU</w:t>
      </w:r>
      <w:r>
        <w:rPr>
          <w:rFonts w:ascii="MS PGothic" w:cs="MS PGothic" w:eastAsia="MS PGothic" w:hAnsi="MS PGothic"/>
          <w:sz w:val="17"/>
          <w:szCs w:val="17"/>
          <w:color w:val="auto"/>
        </w:rPr>
        <w:t>‑</w:t>
      </w:r>
      <w:r>
        <w:rPr>
          <w:rFonts w:ascii="Arial" w:cs="Arial" w:eastAsia="Arial" w:hAnsi="Arial"/>
          <w:sz w:val="17"/>
          <w:szCs w:val="17"/>
          <w:color w:val="auto"/>
        </w:rPr>
        <w:t>285 in mouse plasma and the level of phosphorylated KIT in the tumor, which is a measure of KIT signaling activity. At a dose of 30 mg/kg, the level of phosphorylated KIT was inhibited by greater than or equal to 90% over the 24 hour dosing period. This is an expected consequence of inhibiting KIT signaling. This correlation between BLU</w:t>
      </w:r>
      <w:r>
        <w:rPr>
          <w:rFonts w:ascii="MS PGothic" w:cs="MS PGothic" w:eastAsia="MS PGothic" w:hAnsi="MS PGothic"/>
          <w:sz w:val="17"/>
          <w:szCs w:val="17"/>
          <w:color w:val="auto"/>
        </w:rPr>
        <w:t>‑</w:t>
      </w:r>
      <w:r>
        <w:rPr>
          <w:rFonts w:ascii="Arial" w:cs="Arial" w:eastAsia="Arial" w:hAnsi="Arial"/>
          <w:sz w:val="17"/>
          <w:szCs w:val="17"/>
          <w:color w:val="auto"/>
        </w:rPr>
        <w:t>285 plasma concentration, the level of phosphorylated KIT protein and anti</w:t>
      </w:r>
      <w:r>
        <w:rPr>
          <w:rFonts w:ascii="MS PGothic" w:cs="MS PGothic" w:eastAsia="MS PGothic" w:hAnsi="MS PGothic"/>
          <w:sz w:val="17"/>
          <w:szCs w:val="17"/>
          <w:color w:val="auto"/>
        </w:rPr>
        <w:t>‑</w:t>
      </w:r>
      <w:r>
        <w:rPr>
          <w:rFonts w:ascii="Arial" w:cs="Arial" w:eastAsia="Arial" w:hAnsi="Arial"/>
          <w:sz w:val="17"/>
          <w:szCs w:val="17"/>
          <w:color w:val="auto"/>
        </w:rPr>
        <w:t>tumor efficacy supports the observation that the anti</w:t>
      </w:r>
      <w:r>
        <w:rPr>
          <w:rFonts w:ascii="MS PGothic" w:cs="MS PGothic" w:eastAsia="MS PGothic" w:hAnsi="MS PGothic"/>
          <w:sz w:val="17"/>
          <w:szCs w:val="17"/>
          <w:color w:val="auto"/>
        </w:rPr>
        <w:t>‑</w:t>
      </w:r>
      <w:r>
        <w:rPr>
          <w:rFonts w:ascii="Arial" w:cs="Arial" w:eastAsia="Arial" w:hAnsi="Arial"/>
          <w:sz w:val="17"/>
          <w:szCs w:val="17"/>
          <w:color w:val="auto"/>
        </w:rPr>
        <w:t>tumor response is due to inhibition of KIT signaling. The anti</w:t>
      </w:r>
      <w:r>
        <w:rPr>
          <w:rFonts w:ascii="MS PGothic" w:cs="MS PGothic" w:eastAsia="MS PGothic" w:hAnsi="MS PGothic"/>
          <w:sz w:val="17"/>
          <w:szCs w:val="17"/>
          <w:color w:val="auto"/>
        </w:rPr>
        <w:t>‑</w:t>
      </w:r>
      <w:r>
        <w:rPr>
          <w:rFonts w:ascii="Arial" w:cs="Arial" w:eastAsia="Arial" w:hAnsi="Arial"/>
          <w:sz w:val="17"/>
          <w:szCs w:val="17"/>
          <w:color w:val="auto"/>
        </w:rPr>
        <w:t>tumor efficacy of dasatinib,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KIT D816V activity, which has been studied in clinical trials of SM patients, was also evaluated in this study. Dasatinib dosed twice daily at 25 mg/kg, a dose that resulted in significant body weight loss in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123825</wp:posOffset>
            </wp:positionV>
            <wp:extent cx="2907030" cy="1637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0703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80" w:right="160" w:hanging="35"/>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285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regression in a mouse mastocytoma xenograft model of SM. In the figure above, QD means once a day, BID means twice a day and PO means orally.</w:t>
      </w:r>
    </w:p>
    <w:p>
      <w:pPr>
        <w:spacing w:after="0" w:line="174"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6"/>
          <w:szCs w:val="16"/>
          <w:color w:val="auto"/>
        </w:rPr>
        <w:t>To emulate the systemic nature of the disease, we developed an aggressive systemic mouse model of SM. In this model, whereas vehicle</w:t>
      </w:r>
      <w:r>
        <w:rPr>
          <w:rFonts w:ascii="MS PGothic" w:cs="MS PGothic" w:eastAsia="MS PGothic" w:hAnsi="MS PGothic"/>
          <w:sz w:val="16"/>
          <w:szCs w:val="16"/>
          <w:color w:val="auto"/>
        </w:rPr>
        <w:t>‑</w:t>
      </w:r>
      <w:r>
        <w:rPr>
          <w:rFonts w:ascii="Arial" w:cs="Arial" w:eastAsia="Arial" w:hAnsi="Arial"/>
          <w:sz w:val="16"/>
          <w:szCs w:val="16"/>
          <w:color w:val="auto"/>
        </w:rPr>
        <w:t>treated animals were terminated on day seven due to high disease burden, treatment with BLU</w:t>
      </w:r>
      <w:r>
        <w:rPr>
          <w:rFonts w:ascii="MS PGothic" w:cs="MS PGothic" w:eastAsia="MS PGothic" w:hAnsi="MS PGothic"/>
          <w:sz w:val="16"/>
          <w:szCs w:val="16"/>
          <w:color w:val="auto"/>
        </w:rPr>
        <w:t>‑</w:t>
      </w:r>
      <w:r>
        <w:rPr>
          <w:rFonts w:ascii="Arial" w:cs="Arial" w:eastAsia="Arial" w:hAnsi="Arial"/>
          <w:sz w:val="16"/>
          <w:szCs w:val="16"/>
          <w:color w:val="auto"/>
        </w:rPr>
        <w:t>285 enabled significant disease control such that animals treated with BLU</w:t>
      </w:r>
      <w:r>
        <w:rPr>
          <w:rFonts w:ascii="MS PGothic" w:cs="MS PGothic" w:eastAsia="MS PGothic" w:hAnsi="MS PGothic"/>
          <w:sz w:val="16"/>
          <w:szCs w:val="16"/>
          <w:color w:val="auto"/>
        </w:rPr>
        <w:t>‑</w:t>
      </w:r>
      <w:r>
        <w:rPr>
          <w:rFonts w:ascii="Arial" w:cs="Arial" w:eastAsia="Arial" w:hAnsi="Arial"/>
          <w:sz w:val="16"/>
          <w:szCs w:val="16"/>
          <w:color w:val="auto"/>
        </w:rPr>
        <w:t>285 at 30 mg/kg were terminated on day 22.</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Phase 1 Clinical Trial for 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for the Treatment of Advanced SM</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September 2015, the FDA accepted our IND application for BLU-285 for the treatment of advanced SM. We have initiated a dose-escalation Phase 1 clinical trial for this indication and dosed the first patient in the clinical trial in March 2016. In addition, in January 2016, the FDA granted orphan drug designation to BLU-285 for the treatment of SM. We expect preliminary data for this Phase 1 clinical trial to be available by the end of 2016.</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Our Phase 1 clinical trial for BLU-285 for the treatment of advanced SM will evaluate the safety and tolerability of BLU-285 in multiple ascending doses in patients with advanced SM, including ASM, SM</w:t>
      </w:r>
      <w:r>
        <w:rPr>
          <w:rFonts w:ascii="MS PGothic" w:cs="MS PGothic" w:eastAsia="MS PGothic" w:hAnsi="MS PGothic"/>
          <w:sz w:val="16"/>
          <w:szCs w:val="16"/>
          <w:color w:val="auto"/>
        </w:rPr>
        <w:t>‑</w:t>
      </w:r>
      <w:r>
        <w:rPr>
          <w:rFonts w:ascii="Arial" w:cs="Arial" w:eastAsia="Arial" w:hAnsi="Arial"/>
          <w:sz w:val="16"/>
          <w:szCs w:val="16"/>
          <w:color w:val="auto"/>
        </w:rPr>
        <w:t>AHNMD and MCL with the goal of establishing a maximum tolerated dose, or MTD, or a recommended dose if the MTD is not achieved. All patients will be tested retrospectively for KIT D816V mutational status. Once the MTD is reached, or a recommended dose is established, we will evaluate whether to open expansion cohorts for specific subtypes of SM. Secondary objectives for this clinical trial include assessment of the pharmacokinetic profile of BLU-285, assessment of response rate by the International Working Group Myeloproliferative Neoplasms Research and Treatment, or IWG-MRT, criteria, changes in KIT D816V mutant allele fractions in bone marrow and circulating tumor DNA, and changes in patient reported outcomes. The Phase 1 clinical trial is designed to enroll up to 60 patients, including up to 25 patients during dose escalation and up to 35 additional patients if we decide to open expansion cohorts, at multiple sites in the United States and the European Union.</w:t>
      </w:r>
    </w:p>
    <w:p>
      <w:pPr>
        <w:spacing w:after="0" w:line="163"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6"/>
          <w:szCs w:val="16"/>
          <w:color w:val="auto"/>
        </w:rPr>
        <w:t>Early signs of biological activity will be assessed as measured by changes in serum tryptase and KIT D816V allele burden. Serum tryptase is a recognized marker of mast cell burden and reduction of serum tryptase is one component of the IWG-MRT response criteria. If we decide to open expansion cohorts for this Phase 1 clinical trial, clinical activity will be assessed by measuring overall response rate using IWG-MRT response criteria for SM, or a modified version thereof. In addition, change in symptom score will be assessed to determine the effect of BLU</w:t>
      </w:r>
      <w:r>
        <w:rPr>
          <w:rFonts w:ascii="MS PGothic" w:cs="MS PGothic" w:eastAsia="MS PGothic" w:hAnsi="MS PGothic"/>
          <w:sz w:val="16"/>
          <w:szCs w:val="16"/>
          <w:color w:val="auto"/>
        </w:rPr>
        <w:t>‑</w:t>
      </w:r>
      <w:r>
        <w:rPr>
          <w:rFonts w:ascii="Arial" w:cs="Arial" w:eastAsia="Arial" w:hAnsi="Arial"/>
          <w:sz w:val="16"/>
          <w:szCs w:val="16"/>
          <w:color w:val="auto"/>
        </w:rPr>
        <w:t>285 on symptom burden. As there is currently no validated patient reported outcomes tool for SM, we are collaborating with a health research outcomes group to develop a disease-specific tool to measure changes in total symptom score. We anticipate conducting additional trials to support development in SSM and ISM patients with high symptom burden who are refractory to current therapies.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working with patient advocacy groups relevant to SM in order to:</w:t>
      </w:r>
    </w:p>
    <w:p>
      <w:pPr>
        <w:spacing w:after="0" w:line="185" w:lineRule="exact"/>
        <w:rPr>
          <w:sz w:val="20"/>
          <w:szCs w:val="20"/>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awareness of our Phase 1 clinical trial for BLU-285 for the treatment of advanced SM;</w:t>
      </w:r>
    </w:p>
    <w:p>
      <w:pPr>
        <w:spacing w:after="0" w:line="184" w:lineRule="exact"/>
        <w:rPr>
          <w:rFonts w:ascii="Arial" w:cs="Arial" w:eastAsia="Arial" w:hAnsi="Arial"/>
          <w:sz w:val="18"/>
          <w:szCs w:val="18"/>
          <w:color w:val="auto"/>
        </w:rPr>
      </w:pPr>
    </w:p>
    <w:p>
      <w:pPr>
        <w:ind w:left="1060" w:right="20" w:hanging="85"/>
        <w:spacing w:after="0" w:line="22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 patients to join a patient registry that we launched in December 2015 to help improve the understanding of mastocytosis from the perspective of patients and to increase participation and enrollment in clinical trials for mastocytosis that we or others may conduct in the future; and</w:t>
      </w:r>
    </w:p>
    <w:p>
      <w:pPr>
        <w:spacing w:after="0" w:line="163" w:lineRule="exact"/>
        <w:rPr>
          <w:rFonts w:ascii="Arial" w:cs="Arial" w:eastAsia="Arial" w:hAnsi="Arial"/>
          <w:sz w:val="18"/>
          <w:szCs w:val="18"/>
          <w:color w:val="auto"/>
        </w:rPr>
      </w:pPr>
    </w:p>
    <w:p>
      <w:pPr>
        <w:ind w:left="1080" w:hanging="105"/>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 the SM patient perspective into our ongoing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Gastrointestinal Stromal Tumor (GIST)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GIST Disease Background</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GIST is the most common sarcoma of the gastrointestional tract, or GI tract. Tumors arise within cells in the wall of the GI tract and occur most often in the stomach or small intestine. Most patients are diagnosed between the ages of 50</w:t>
      </w:r>
      <w:r>
        <w:rPr>
          <w:rFonts w:ascii="MS PGothic" w:cs="MS PGothic" w:eastAsia="MS PGothic" w:hAnsi="MS PGothic"/>
          <w:sz w:val="18"/>
          <w:szCs w:val="18"/>
          <w:color w:val="auto"/>
        </w:rPr>
        <w:t>‑</w:t>
      </w:r>
      <w:r>
        <w:rPr>
          <w:rFonts w:ascii="Arial" w:cs="Arial" w:eastAsia="Arial" w:hAnsi="Arial"/>
          <w:sz w:val="18"/>
          <w:szCs w:val="18"/>
          <w:color w:val="auto"/>
        </w:rPr>
        <w:t>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The GIST treatment paradigm has advanced dramatically over the past 13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5</w:t>
      </w:r>
      <w:r>
        <w:rPr>
          <w:rFonts w:ascii="MS PGothic" w:cs="MS PGothic" w:eastAsia="MS PGothic" w:hAnsi="MS PGothic"/>
          <w:sz w:val="18"/>
          <w:szCs w:val="18"/>
          <w:color w:val="auto"/>
        </w:rPr>
        <w:t>‑</w:t>
      </w:r>
      <w:r>
        <w:rPr>
          <w:rFonts w:ascii="Arial" w:cs="Arial" w:eastAsia="Arial" w:hAnsi="Arial"/>
          <w:sz w:val="18"/>
          <w:szCs w:val="18"/>
          <w:color w:val="auto"/>
        </w:rPr>
        <w:t>year median overall survival. Unresectable or metastatic patients typically receive imatinib, followed by sunitinib and regorafenib as the disease progresses.</w:t>
      </w:r>
    </w:p>
    <w:p>
      <w:pPr>
        <w:spacing w:after="0" w:line="16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Patients with PDGFRα D842V</w:t>
      </w:r>
      <w:r>
        <w:rPr>
          <w:rFonts w:ascii="MS PGothic" w:cs="MS PGothic" w:eastAsia="MS PGothic" w:hAnsi="MS PGothic"/>
          <w:sz w:val="18"/>
          <w:szCs w:val="18"/>
          <w:color w:val="auto"/>
        </w:rPr>
        <w:t>‑</w:t>
      </w:r>
      <w:r>
        <w:rPr>
          <w:rFonts w:ascii="Arial" w:cs="Arial" w:eastAsia="Arial" w:hAnsi="Arial"/>
          <w:sz w:val="18"/>
          <w:szCs w:val="18"/>
          <w:color w:val="auto"/>
        </w:rPr>
        <w:t>driven GIST have great unmet medical need, as no approved medical therapies are effective. Progression can occur within as little as three months, and the median overall survival is 15 months for patients with advanced disease. The PDGFRα D842V mutation is found in 5</w:t>
      </w:r>
      <w:r>
        <w:rPr>
          <w:rFonts w:ascii="MS PGothic" w:cs="MS PGothic" w:eastAsia="MS PGothic" w:hAnsi="MS PGothic"/>
          <w:sz w:val="18"/>
          <w:szCs w:val="18"/>
          <w:color w:val="auto"/>
        </w:rPr>
        <w:t>‑</w:t>
      </w:r>
      <w:r>
        <w:rPr>
          <w:rFonts w:ascii="Arial" w:cs="Arial" w:eastAsia="Arial" w:hAnsi="Arial"/>
          <w:sz w:val="18"/>
          <w:szCs w:val="18"/>
          <w:color w:val="auto"/>
        </w:rPr>
        <w:t>6% of frontline unresectable or metastatic GIST patients. We estimate there are up to 500 addressable patients with PDGFRα D842V</w:t>
      </w:r>
      <w:r>
        <w:rPr>
          <w:rFonts w:ascii="MS PGothic" w:cs="MS PGothic" w:eastAsia="MS PGothic" w:hAnsi="MS PGothic"/>
          <w:sz w:val="18"/>
          <w:szCs w:val="18"/>
          <w:color w:val="auto"/>
        </w:rPr>
        <w:t>‑</w:t>
      </w:r>
      <w:r>
        <w:rPr>
          <w:rFonts w:ascii="Arial" w:cs="Arial" w:eastAsia="Arial" w:hAnsi="Arial"/>
          <w:sz w:val="18"/>
          <w:szCs w:val="18"/>
          <w:color w:val="auto"/>
        </w:rPr>
        <w:t>driven, unresectable or metastatic GIST in the Major Markets.</w:t>
      </w:r>
    </w:p>
    <w:p>
      <w:pPr>
        <w:spacing w:after="0" w:line="162" w:lineRule="exact"/>
        <w:rPr>
          <w:sz w:val="20"/>
          <w:szCs w:val="20"/>
          <w:color w:val="auto"/>
        </w:rPr>
      </w:pPr>
    </w:p>
    <w:p>
      <w:pPr>
        <w:ind w:right="240" w:firstLine="648"/>
        <w:spacing w:after="0" w:line="194" w:lineRule="exact"/>
        <w:rPr>
          <w:sz w:val="20"/>
          <w:szCs w:val="20"/>
          <w:color w:val="auto"/>
        </w:rPr>
      </w:pPr>
      <w:r>
        <w:rPr>
          <w:rFonts w:ascii="Arial" w:cs="Arial" w:eastAsia="Arial" w:hAnsi="Arial"/>
          <w:sz w:val="17"/>
          <w:szCs w:val="17"/>
          <w:color w:val="auto"/>
        </w:rPr>
        <w:t>For patients with KIT</w:t>
      </w:r>
      <w:r>
        <w:rPr>
          <w:rFonts w:ascii="MS PGothic" w:cs="MS PGothic" w:eastAsia="MS PGothic" w:hAnsi="MS PGothic"/>
          <w:sz w:val="17"/>
          <w:szCs w:val="17"/>
          <w:color w:val="auto"/>
        </w:rPr>
        <w:t>‑</w:t>
      </w:r>
      <w:r>
        <w:rPr>
          <w:rFonts w:ascii="Arial" w:cs="Arial" w:eastAsia="Arial" w:hAnsi="Arial"/>
          <w:sz w:val="17"/>
          <w:szCs w:val="17"/>
          <w:color w:val="auto"/>
        </w:rPr>
        <w:t>driven GIST, current medical therapies slow the course of disease but progression is inevitable in most cases. Up to 50% of patients treated with frontline imatinib relapse within approximately 18 months. Of the secondary resistance mutations that lead to relapse, mutations in KIT Exon 17 are not addressed by current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2" w:lineRule="exact"/>
        <w:rPr>
          <w:sz w:val="20"/>
          <w:szCs w:val="20"/>
          <w:color w:val="auto"/>
        </w:rPr>
      </w:pPr>
      <w:r>
        <w:rPr>
          <w:rFonts w:ascii="Arial" w:cs="Arial" w:eastAsia="Arial" w:hAnsi="Arial"/>
          <w:sz w:val="17"/>
          <w:szCs w:val="17"/>
          <w:color w:val="auto"/>
        </w:rPr>
        <w:t>therapies. KIT Exon 17 mutations are rare in treatment</w:t>
      </w:r>
      <w:r>
        <w:rPr>
          <w:rFonts w:ascii="MS PGothic" w:cs="MS PGothic" w:eastAsia="MS PGothic" w:hAnsi="MS PGothic"/>
          <w:sz w:val="17"/>
          <w:szCs w:val="17"/>
          <w:color w:val="auto"/>
        </w:rPr>
        <w:t>‑</w:t>
      </w:r>
      <w:r>
        <w:rPr>
          <w:rFonts w:ascii="Arial" w:cs="Arial" w:eastAsia="Arial" w:hAnsi="Arial"/>
          <w:sz w:val="17"/>
          <w:szCs w:val="17"/>
          <w:color w:val="auto"/>
        </w:rPr>
        <w:t>naïve patients (&lt;1%); however selective pressure due to treatment with imatinib and sunitinib causes KIT Exon 17 mutations to emerge with increasing frequency (approximately 23% of second line imatinib</w:t>
      </w:r>
      <w:r>
        <w:rPr>
          <w:rFonts w:ascii="MS PGothic" w:cs="MS PGothic" w:eastAsia="MS PGothic" w:hAnsi="MS PGothic"/>
          <w:sz w:val="17"/>
          <w:szCs w:val="17"/>
          <w:color w:val="auto"/>
        </w:rPr>
        <w:t>‑</w:t>
      </w:r>
      <w:r>
        <w:rPr>
          <w:rFonts w:ascii="Arial" w:cs="Arial" w:eastAsia="Arial" w:hAnsi="Arial"/>
          <w:sz w:val="17"/>
          <w:szCs w:val="17"/>
          <w:color w:val="auto"/>
        </w:rPr>
        <w:t>resistant patients and more than 90% of third line imatinib/sunitinib resistant patients). These mutations confer resistance to current treatments. A therapy that effectively suppresses these mutants and that is potentially amenable to combinations with existing agents is needed. We estimate there are approximately 6,600 addressable patients in the Major Markets with relapsed or refractory GIST, which are the patient populations in which KIT Exon 17 mutations most frequently occur. Finally, we believe frontline combinations with imatinib will have the potential to dramatically increase the duration of response. We estimate there are approximately 20,000 addressable patients in the Major Markets with unresectable or metastatic frontline GIST.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Primary, KIT Exon 17 and PDGFRα Driver Mutations in GIST</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GIST is a tumor type that depends on continued signaling of a single, aberrantly active kinase. Most GISTs result from primary mutations in KIT or PDGFRα. Up to 80% of patients have KIT</w:t>
      </w:r>
      <w:r>
        <w:rPr>
          <w:rFonts w:ascii="MS PGothic" w:cs="MS PGothic" w:eastAsia="MS PGothic" w:hAnsi="MS PGothic"/>
          <w:sz w:val="16"/>
          <w:szCs w:val="16"/>
          <w:color w:val="auto"/>
        </w:rPr>
        <w:t>‑</w:t>
      </w:r>
      <w:r>
        <w:rPr>
          <w:rFonts w:ascii="Arial" w:cs="Arial" w:eastAsia="Arial" w:hAnsi="Arial"/>
          <w:sz w:val="16"/>
          <w:szCs w:val="16"/>
          <w:color w:val="auto"/>
        </w:rPr>
        <w:t>driven GIST. Imatinib effectively inhibits most of KIT primary mutations; however over time, secondary mutations occur elsewhere in the KIT gene that lead to kinase activation despite the presence of imatinib, thereby leading to disease progression. The most common mutation in the PDGFRα gene is D842V, found in approximately 5</w:t>
      </w:r>
      <w:r>
        <w:rPr>
          <w:rFonts w:ascii="MS PGothic" w:cs="MS PGothic" w:eastAsia="MS PGothic" w:hAnsi="MS PGothic"/>
          <w:sz w:val="16"/>
          <w:szCs w:val="16"/>
          <w:color w:val="auto"/>
        </w:rPr>
        <w:t>‑</w:t>
      </w:r>
      <w:r>
        <w:rPr>
          <w:rFonts w:ascii="Arial" w:cs="Arial" w:eastAsia="Arial" w:hAnsi="Arial"/>
          <w:sz w:val="16"/>
          <w:szCs w:val="16"/>
          <w:color w:val="auto"/>
        </w:rPr>
        <w:t>6% of frontline unresectable or metastatic GIST patients. There is currently no therapeutic option for patients with PDGFRα D842V mutant</w:t>
      </w:r>
      <w:r>
        <w:rPr>
          <w:rFonts w:ascii="MS PGothic" w:cs="MS PGothic" w:eastAsia="MS PGothic" w:hAnsi="MS PGothic"/>
          <w:sz w:val="16"/>
          <w:szCs w:val="16"/>
          <w:color w:val="auto"/>
        </w:rPr>
        <w:t>‑</w:t>
      </w:r>
      <w:r>
        <w:rPr>
          <w:rFonts w:ascii="Arial" w:cs="Arial" w:eastAsia="Arial" w:hAnsi="Arial"/>
          <w:sz w:val="16"/>
          <w:szCs w:val="16"/>
          <w:color w:val="auto"/>
        </w:rPr>
        <w:t>driven GIST. PDGFRα has a very similar active site structure to KIT and the PDGFRα D842V mutation is homologous to KIT D816V. As in the case of KIT Exon 17 mutant receptors, PDGFRα D842V mutations confer ligand</w:t>
      </w:r>
      <w:r>
        <w:rPr>
          <w:rFonts w:ascii="MS PGothic" w:cs="MS PGothic" w:eastAsia="MS PGothic" w:hAnsi="MS PGothic"/>
          <w:sz w:val="16"/>
          <w:szCs w:val="16"/>
          <w:color w:val="auto"/>
        </w:rPr>
        <w:t>‑</w:t>
      </w:r>
      <w:r>
        <w:rPr>
          <w:rFonts w:ascii="Arial" w:cs="Arial" w:eastAsia="Arial" w:hAnsi="Arial"/>
          <w:sz w:val="16"/>
          <w:szCs w:val="16"/>
          <w:color w:val="auto"/>
        </w:rPr>
        <w:t>independent constitutive signaling of the mutant PDGFRα kinase.</w:t>
      </w:r>
    </w:p>
    <w:p>
      <w:pPr>
        <w:spacing w:after="0" w:line="16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clinical Development in GIST</w:t>
      </w:r>
    </w:p>
    <w:p>
      <w:pPr>
        <w:spacing w:after="0" w:line="185" w:lineRule="exact"/>
        <w:rPr>
          <w:sz w:val="20"/>
          <w:szCs w:val="20"/>
          <w:color w:val="auto"/>
        </w:rPr>
      </w:pPr>
    </w:p>
    <w:p>
      <w:pPr>
        <w:ind w:right="20" w:firstLine="648"/>
        <w:spacing w:after="0" w:line="211" w:lineRule="exact"/>
        <w:rPr>
          <w:sz w:val="20"/>
          <w:szCs w:val="20"/>
          <w:color w:val="auto"/>
        </w:rPr>
      </w:pPr>
      <w:r>
        <w:rPr>
          <w:rFonts w:ascii="Arial" w:cs="Arial" w:eastAsia="Arial" w:hAnsi="Arial"/>
          <w:sz w:val="16"/>
          <w:szCs w:val="16"/>
          <w:color w:val="auto"/>
        </w:rPr>
        <w:t>We have conducted comprehensive pre-clinical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 xml:space="preserve">285 potently inhibits PDGFRα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0.24 nM). In contrast, imatinib inhibits PDGFRα D842V at least</w:t>
      </w:r>
    </w:p>
    <w:p>
      <w:pPr>
        <w:spacing w:after="0" w:line="230" w:lineRule="exact"/>
        <w:rPr>
          <w:sz w:val="20"/>
          <w:szCs w:val="20"/>
          <w:color w:val="auto"/>
        </w:rPr>
      </w:pPr>
      <w:r>
        <w:rPr>
          <w:rFonts w:ascii="Arial" w:cs="Arial" w:eastAsia="Arial" w:hAnsi="Arial"/>
          <w:sz w:val="16"/>
          <w:szCs w:val="16"/>
          <w:color w:val="auto"/>
        </w:rPr>
        <w:t>3,000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759 nM). In a cellular model driven by an activated PDGFRα D842V mutant protein,</w:t>
      </w:r>
    </w:p>
    <w:p>
      <w:pPr>
        <w:spacing w:after="0" w:line="1" w:lineRule="exact"/>
        <w:rPr>
          <w:sz w:val="20"/>
          <w:szCs w:val="20"/>
          <w:color w:val="auto"/>
        </w:rPr>
      </w:pPr>
    </w:p>
    <w:p>
      <w:pPr>
        <w:ind w:right="240"/>
        <w:spacing w:after="0" w:line="203"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285 potently inhibits signaling of the oncogenic PDGFRα mutant protein as measured by inhibition of PDGFRα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30 nM). By comparison, imatinib shows at least 100</w:t>
      </w:r>
      <w:r>
        <w:rPr>
          <w:rFonts w:ascii="MS PGothic" w:cs="MS PGothic" w:eastAsia="MS PGothic" w:hAnsi="MS PGothic"/>
          <w:sz w:val="16"/>
          <w:szCs w:val="16"/>
          <w:color w:val="auto"/>
        </w:rPr>
        <w:t>‑</w:t>
      </w:r>
      <w:r>
        <w:rPr>
          <w:rFonts w:ascii="Arial" w:cs="Arial" w:eastAsia="Arial" w:hAnsi="Arial"/>
          <w:sz w:val="16"/>
          <w:szCs w:val="16"/>
          <w:color w:val="auto"/>
        </w:rPr>
        <w:t>fold lower potency in the cellular model</w:t>
      </w:r>
    </w:p>
    <w:p>
      <w:pPr>
        <w:jc w:val="center"/>
        <w:ind w:right="60"/>
        <w:spacing w:after="0" w:line="246" w:lineRule="exact"/>
        <w:rPr>
          <w:sz w:val="20"/>
          <w:szCs w:val="20"/>
          <w:color w:val="auto"/>
        </w:rPr>
      </w:pPr>
      <w:r>
        <w:rPr>
          <w:rFonts w:ascii="Arial" w:cs="Arial" w:eastAsia="Arial" w:hAnsi="Arial"/>
          <w:sz w:val="16"/>
          <w:szCs w:val="16"/>
          <w:color w:val="auto"/>
        </w:rPr>
        <w:t>(IC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3,145 nM). The selectivity of BLU</w:t>
      </w:r>
      <w:r>
        <w:rPr>
          <w:rFonts w:ascii="MS PGothic" w:cs="MS PGothic" w:eastAsia="MS PGothic" w:hAnsi="MS PGothic"/>
          <w:sz w:val="16"/>
          <w:szCs w:val="16"/>
          <w:color w:val="auto"/>
        </w:rPr>
        <w:t>‑</w:t>
      </w:r>
      <w:r>
        <w:rPr>
          <w:rFonts w:ascii="Arial" w:cs="Arial" w:eastAsia="Arial" w:hAnsi="Arial"/>
          <w:sz w:val="16"/>
          <w:szCs w:val="16"/>
          <w:color w:val="auto"/>
        </w:rPr>
        <w:t>285 has been discussed with the KINOME</w:t>
      </w:r>
      <w:r>
        <w:rPr>
          <w:rFonts w:ascii="Arial" w:cs="Arial" w:eastAsia="Arial" w:hAnsi="Arial"/>
          <w:sz w:val="16"/>
          <w:szCs w:val="16"/>
          <w:i w:val="1"/>
          <w:iCs w:val="1"/>
          <w:color w:val="auto"/>
        </w:rPr>
        <w:t>scan</w:t>
      </w:r>
      <w:r>
        <w:rPr>
          <w:rFonts w:ascii="Arial" w:cs="Arial" w:eastAsia="Arial" w:hAnsi="Arial"/>
          <w:sz w:val="16"/>
          <w:szCs w:val="16"/>
          <w:color w:val="auto"/>
        </w:rPr>
        <w:t xml:space="preserve"> data shown in the section on SM.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PDGFRα D842V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137795</wp:posOffset>
            </wp:positionV>
            <wp:extent cx="2324100" cy="1029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2410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120"/>
        <w:spacing w:after="0" w:line="159" w:lineRule="exact"/>
        <w:rPr>
          <w:sz w:val="20"/>
          <w:szCs w:val="20"/>
          <w:color w:val="auto"/>
        </w:rPr>
      </w:pPr>
      <w:r>
        <w:rPr>
          <w:rFonts w:ascii="Arial" w:cs="Arial" w:eastAsia="Arial" w:hAnsi="Arial"/>
          <w:sz w:val="14"/>
          <w:szCs w:val="14"/>
          <w:color w:val="auto"/>
        </w:rPr>
        <w:t>Inhibitory potency of BLU</w:t>
      </w:r>
      <w:r>
        <w:rPr>
          <w:rFonts w:ascii="MS PGothic" w:cs="MS PGothic" w:eastAsia="MS PGothic" w:hAnsi="MS PGothic"/>
          <w:sz w:val="14"/>
          <w:szCs w:val="14"/>
          <w:color w:val="auto"/>
        </w:rPr>
        <w:t>‑</w:t>
      </w:r>
      <w:r>
        <w:rPr>
          <w:rFonts w:ascii="Arial" w:cs="Arial" w:eastAsia="Arial" w:hAnsi="Arial"/>
          <w:sz w:val="14"/>
          <w:szCs w:val="14"/>
          <w:color w:val="auto"/>
        </w:rPr>
        <w:t>285 compared to imatinib. The inhibitory potency of BLU</w:t>
      </w:r>
      <w:r>
        <w:rPr>
          <w:rFonts w:ascii="MS PGothic" w:cs="MS PGothic" w:eastAsia="MS PGothic" w:hAnsi="MS PGothic"/>
          <w:sz w:val="14"/>
          <w:szCs w:val="14"/>
          <w:color w:val="auto"/>
        </w:rPr>
        <w:t>‑</w:t>
      </w:r>
      <w:r>
        <w:rPr>
          <w:rFonts w:ascii="Arial" w:cs="Arial" w:eastAsia="Arial" w:hAnsi="Arial"/>
          <w:sz w:val="14"/>
          <w:szCs w:val="14"/>
          <w:color w:val="auto"/>
        </w:rPr>
        <w:t xml:space="preserve">285 and imatinib against PDGFRα D842V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 and in a cellular model driven by an activated PDGFRα D842V mutant protein.</w:t>
      </w:r>
    </w:p>
    <w:p>
      <w:pPr>
        <w:spacing w:after="0" w:line="174"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We have demonstrated significant anti</w:t>
      </w:r>
      <w:r>
        <w:rPr>
          <w:rFonts w:ascii="MS PGothic" w:cs="MS PGothic" w:eastAsia="MS PGothic" w:hAnsi="MS PGothic"/>
          <w:sz w:val="18"/>
          <w:szCs w:val="18"/>
          <w:color w:val="auto"/>
        </w:rPr>
        <w:t>‑</w:t>
      </w:r>
      <w:r>
        <w:rPr>
          <w:rFonts w:ascii="Arial" w:cs="Arial" w:eastAsia="Arial" w:hAnsi="Arial"/>
          <w:sz w:val="18"/>
          <w:szCs w:val="18"/>
          <w:color w:val="auto"/>
        </w:rPr>
        <w:t>tumor efficacy with BLU</w:t>
      </w:r>
      <w:r>
        <w:rPr>
          <w:rFonts w:ascii="MS PGothic" w:cs="MS PGothic" w:eastAsia="MS PGothic" w:hAnsi="MS PGothic"/>
          <w:sz w:val="18"/>
          <w:szCs w:val="18"/>
          <w:color w:val="auto"/>
        </w:rPr>
        <w:t>‑</w:t>
      </w:r>
      <w:r>
        <w:rPr>
          <w:rFonts w:ascii="Arial" w:cs="Arial" w:eastAsia="Arial" w:hAnsi="Arial"/>
          <w:sz w:val="18"/>
          <w:szCs w:val="18"/>
          <w:color w:val="auto"/>
        </w:rPr>
        <w:t>285 in an imatinib-resistant patient</w:t>
      </w:r>
      <w:r>
        <w:rPr>
          <w:rFonts w:ascii="MS PGothic" w:cs="MS PGothic" w:eastAsia="MS PGothic" w:hAnsi="MS PGothic"/>
          <w:sz w:val="18"/>
          <w:szCs w:val="18"/>
          <w:color w:val="auto"/>
        </w:rPr>
        <w:t>‑</w:t>
      </w:r>
      <w:r>
        <w:rPr>
          <w:rFonts w:ascii="Arial" w:cs="Arial" w:eastAsia="Arial" w:hAnsi="Arial"/>
          <w:sz w:val="18"/>
          <w:szCs w:val="18"/>
          <w:color w:val="auto"/>
        </w:rPr>
        <w:t>derived xenograft model with a KIT Exon 17 resistance mutation, similar to what is found in relapsed/refractory KIT</w:t>
      </w:r>
      <w:r>
        <w:rPr>
          <w:rFonts w:ascii="MS PGothic" w:cs="MS PGothic" w:eastAsia="MS PGothic" w:hAnsi="MS PGothic"/>
          <w:sz w:val="18"/>
          <w:szCs w:val="18"/>
          <w:color w:val="auto"/>
        </w:rPr>
        <w:t>‑</w:t>
      </w:r>
      <w:r>
        <w:rPr>
          <w:rFonts w:ascii="Arial" w:cs="Arial" w:eastAsia="Arial" w:hAnsi="Arial"/>
          <w:sz w:val="18"/>
          <w:szCs w:val="18"/>
          <w:color w:val="auto"/>
        </w:rPr>
        <w:t>driven GIST as shown below. BLU</w:t>
      </w:r>
      <w:r>
        <w:rPr>
          <w:rFonts w:ascii="MS PGothic" w:cs="MS PGothic" w:eastAsia="MS PGothic" w:hAnsi="MS PGothic"/>
          <w:sz w:val="18"/>
          <w:szCs w:val="18"/>
          <w:color w:val="auto"/>
        </w:rPr>
        <w:t>‑</w:t>
      </w:r>
      <w:r>
        <w:rPr>
          <w:rFonts w:ascii="Arial" w:cs="Arial" w:eastAsia="Arial" w:hAnsi="Arial"/>
          <w:sz w:val="18"/>
          <w:szCs w:val="18"/>
          <w:color w:val="auto"/>
        </w:rPr>
        <w:t>285 administered orally for 25 days resulted in tumor regression at the two highest tested doses, which were well tolerated.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135255</wp:posOffset>
            </wp:positionV>
            <wp:extent cx="3884930" cy="2015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8493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160"/>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285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regression in a patient</w:t>
      </w:r>
      <w:r>
        <w:rPr>
          <w:rFonts w:ascii="MS PGothic" w:cs="MS PGothic" w:eastAsia="MS PGothic" w:hAnsi="MS PGothic"/>
          <w:sz w:val="14"/>
          <w:szCs w:val="14"/>
          <w:color w:val="auto"/>
        </w:rPr>
        <w:t>‑</w:t>
      </w:r>
      <w:r>
        <w:rPr>
          <w:rFonts w:ascii="Arial" w:cs="Arial" w:eastAsia="Arial" w:hAnsi="Arial"/>
          <w:sz w:val="14"/>
          <w:szCs w:val="14"/>
          <w:color w:val="auto"/>
        </w:rPr>
        <w:t>derived GIST xenograft model with a KIT Exon 11 mutation and a KIT Exon 17 resistance mutation. In the figure above, QD means once a day and BID means twice a day.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we have developed an understanding of the biology that will inform the development of combinations to</w:t>
      </w:r>
    </w:p>
    <w:p>
      <w:pPr>
        <w:spacing w:after="0"/>
        <w:rPr>
          <w:sz w:val="20"/>
          <w:szCs w:val="20"/>
          <w:color w:val="auto"/>
        </w:rPr>
      </w:pPr>
      <w:r>
        <w:rPr>
          <w:rFonts w:ascii="Arial" w:cs="Arial" w:eastAsia="Arial" w:hAnsi="Arial"/>
          <w:sz w:val="16"/>
          <w:szCs w:val="16"/>
          <w:color w:val="auto"/>
        </w:rPr>
        <w:t>address these resistance mutations. We performed a comprehensive analysis of these secondary KIT Exon 17 mutations,</w:t>
      </w:r>
    </w:p>
    <w:p>
      <w:pPr>
        <w:spacing w:after="0" w:line="229" w:lineRule="auto"/>
        <w:rPr>
          <w:sz w:val="20"/>
          <w:szCs w:val="20"/>
          <w:color w:val="auto"/>
        </w:rPr>
      </w:pPr>
      <w:r>
        <w:rPr>
          <w:rFonts w:ascii="Arial" w:cs="Arial" w:eastAsia="Arial" w:hAnsi="Arial"/>
          <w:sz w:val="16"/>
          <w:szCs w:val="16"/>
          <w:color w:val="auto"/>
        </w:rPr>
        <w:t>analyzing the literature and unpublished data from opinion leaders to understand which mutations occur and to quantify their</w:t>
      </w:r>
    </w:p>
    <w:p>
      <w:pPr>
        <w:spacing w:after="0" w:line="229" w:lineRule="auto"/>
        <w:rPr>
          <w:sz w:val="20"/>
          <w:szCs w:val="20"/>
          <w:color w:val="auto"/>
        </w:rPr>
      </w:pPr>
      <w:r>
        <w:rPr>
          <w:rFonts w:ascii="Arial" w:cs="Arial" w:eastAsia="Arial" w:hAnsi="Arial"/>
          <w:sz w:val="16"/>
          <w:szCs w:val="16"/>
          <w:color w:val="auto"/>
        </w:rPr>
        <w:t xml:space="preserve">frequency in the clinical setting. We also conducted a series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biochemistry experiments using compounds from our</w:t>
      </w:r>
    </w:p>
    <w:p>
      <w:pPr>
        <w:spacing w:after="0" w:line="215" w:lineRule="auto"/>
        <w:rPr>
          <w:sz w:val="20"/>
          <w:szCs w:val="20"/>
          <w:color w:val="auto"/>
        </w:rPr>
      </w:pPr>
      <w:r>
        <w:rPr>
          <w:rFonts w:ascii="Arial" w:cs="Arial" w:eastAsia="Arial" w:hAnsi="Arial"/>
          <w:sz w:val="17"/>
          <w:szCs w:val="17"/>
          <w:color w:val="auto"/>
        </w:rPr>
        <w:t>proprietary compound library and currently available therapies (imatinib, sunitinib and regorafenib) to interrogate their</w:t>
      </w:r>
    </w:p>
    <w:p>
      <w:pPr>
        <w:spacing w:after="0" w:line="216" w:lineRule="auto"/>
        <w:rPr>
          <w:sz w:val="20"/>
          <w:szCs w:val="20"/>
          <w:color w:val="auto"/>
        </w:rPr>
      </w:pPr>
      <w:r>
        <w:rPr>
          <w:rFonts w:ascii="Arial" w:cs="Arial" w:eastAsia="Arial" w:hAnsi="Arial"/>
          <w:sz w:val="17"/>
          <w:szCs w:val="17"/>
          <w:color w:val="auto"/>
        </w:rPr>
        <w:t>activity against the range of KIT Exon 17 mutations. The result is a deep understanding of the spectrum of activity of</w:t>
      </w:r>
    </w:p>
    <w:p>
      <w:pPr>
        <w:spacing w:after="0" w:line="176"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285, additional compounds from our proprietary compound library and available therapies across the range of possible</w:t>
      </w:r>
    </w:p>
    <w:p>
      <w:pPr>
        <w:spacing w:after="0"/>
        <w:rPr>
          <w:sz w:val="20"/>
          <w:szCs w:val="20"/>
          <w:color w:val="auto"/>
        </w:rPr>
      </w:pPr>
      <w:r>
        <w:rPr>
          <w:rFonts w:ascii="Arial" w:cs="Arial" w:eastAsia="Arial" w:hAnsi="Arial"/>
          <w:sz w:val="18"/>
          <w:szCs w:val="18"/>
          <w:color w:val="auto"/>
        </w:rPr>
        <w:t>mutations. This will enable combination therapy development to address KIT Exon 17 secondary mutations.</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Phase 1 Clinical Trial for 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for Unresectable, Treatment-Resistant GIST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In July 2015, the FDA accepted our IND application for BLU-285 for the treatment of unresectable, treatment-resistant GIST. We have initiated a dose-escalation Phase 1 clinical trial for this indication and are currently enrolling patients in the clinical trial. In addition, in January 2016, the FDA granted orphan drug designation to BLU-285 for the treatment of GIST. We expect preliminary data for this Phase 1 clinical trial to be available by the end of 2016.</w:t>
      </w:r>
    </w:p>
    <w:p>
      <w:pPr>
        <w:spacing w:after="0" w:line="163"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Our Phase 1 clinical trial for BLU-285 for the treatment of unresectable, treatment-resistant GIST will evaluate the safety and tolerability of BLU-285 in multiple ascending doses with the goal of establishing an MTD or a recommended dose if the MTD is not achieved. All patients will be tested retrospectively for both KIT Exon 17 and PDGFRα D842 mutational status. Once the MTD is reached, or a recommended dose is established, we will evaluate whether to open expansion cohorts for patients who have received imatinib and at least one other KIT-directed tyrosine kinase inhibitor that selects for disease with the KIT Exon 17 mutation and for patients with disease carrying a PDGFRα D842 mutation. Secondary objectives include assessing response rate by Response Evaluation Criteria In Solid Tumors, or RECIST, criteria commonly used to measure clinical responses in solid tumors, the pharmacokinetics of BLU-285 and allelic burden using circulating tumor DNA. The Phase 1 clinical trial is designed to enroll up to 60 patients, including up to 25 patients during dose escalation and up to 35 additional patients if we decide to open expansion cohorts, at multiple sites in the United States, European Union and Asia.</w:t>
      </w:r>
    </w:p>
    <w:p>
      <w:pPr>
        <w:spacing w:after="0" w:line="167"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If we decide to open expansion cohorts for this Phase 1 clinical trial, clinical activity will be assessed using MRI and CT imaging to assess overall response rate by RECIST criteria. Once the tolerability and biological activity of BLU</w:t>
      </w:r>
      <w:r>
        <w:rPr>
          <w:rFonts w:ascii="MS PGothic" w:cs="MS PGothic" w:eastAsia="MS PGothic" w:hAnsi="MS PGothic"/>
          <w:sz w:val="18"/>
          <w:szCs w:val="18"/>
          <w:color w:val="auto"/>
        </w:rPr>
        <w:t>‑</w:t>
      </w:r>
      <w:r>
        <w:rPr>
          <w:rFonts w:ascii="Arial" w:cs="Arial" w:eastAsia="Arial" w:hAnsi="Arial"/>
          <w:sz w:val="18"/>
          <w:szCs w:val="18"/>
          <w:color w:val="auto"/>
        </w:rPr>
        <w:t>285 monotherapy is understood, we anticipate conducting additional studies with BLU</w:t>
      </w:r>
      <w:r>
        <w:rPr>
          <w:rFonts w:ascii="MS PGothic" w:cs="MS PGothic" w:eastAsia="MS PGothic" w:hAnsi="MS PGothic"/>
          <w:sz w:val="18"/>
          <w:szCs w:val="18"/>
          <w:color w:val="auto"/>
        </w:rPr>
        <w:t>‑</w:t>
      </w:r>
      <w:r>
        <w:rPr>
          <w:rFonts w:ascii="Arial" w:cs="Arial" w:eastAsia="Arial" w:hAnsi="Arial"/>
          <w:sz w:val="18"/>
          <w:szCs w:val="18"/>
          <w:color w:val="auto"/>
        </w:rPr>
        <w:t>285 in combination with other therapies selected to address the broadest possible spectrum of mutations in GIST, including a potential front line study of BLU</w:t>
      </w:r>
      <w:r>
        <w:rPr>
          <w:rFonts w:ascii="MS PGothic" w:cs="MS PGothic" w:eastAsia="MS PGothic" w:hAnsi="MS PGothic"/>
          <w:sz w:val="18"/>
          <w:szCs w:val="18"/>
          <w:color w:val="auto"/>
        </w:rPr>
        <w:t>‑</w:t>
      </w:r>
      <w:r>
        <w:rPr>
          <w:rFonts w:ascii="Arial" w:cs="Arial" w:eastAsia="Arial" w:hAnsi="Arial"/>
          <w:sz w:val="18"/>
          <w:szCs w:val="18"/>
          <w:color w:val="auto"/>
        </w:rPr>
        <w:t>285 with imatinib.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working with patient advocacy groups relevant to GIST in order to:</w:t>
      </w:r>
    </w:p>
    <w:p>
      <w:pPr>
        <w:spacing w:after="0" w:line="185" w:lineRule="exact"/>
        <w:rPr>
          <w:sz w:val="20"/>
          <w:szCs w:val="20"/>
          <w:color w:val="auto"/>
        </w:rPr>
      </w:pPr>
    </w:p>
    <w:p>
      <w:pPr>
        <w:ind w:left="4440" w:right="4440" w:hanging="3465"/>
        <w:spacing w:after="0" w:line="546"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raise awareness of our upcoming clinical trial;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318135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and use existing patient registries to identify patients for rapid enrollment;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 the GIST patient perspective into our ongoing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FGFR4 Inhibitor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BLU</w:t>
      </w:r>
      <w:r>
        <w:rPr>
          <w:rFonts w:ascii="MS PGothic" w:cs="MS PGothic" w:eastAsia="MS PGothic" w:hAnsi="MS PGothic"/>
          <w:sz w:val="18"/>
          <w:szCs w:val="18"/>
          <w:color w:val="auto"/>
        </w:rPr>
        <w:t>‑</w:t>
      </w:r>
      <w:r>
        <w:rPr>
          <w:rFonts w:ascii="Arial" w:cs="Arial" w:eastAsia="Arial" w:hAnsi="Arial"/>
          <w:sz w:val="18"/>
          <w:szCs w:val="18"/>
          <w:color w:val="auto"/>
        </w:rPr>
        <w:t>554 is an orally available, potent, selective and irreversible inhibitor of the kinase FGFR4. FGFR4 functions as a receptor whose aberrant activation is a driver of HCC. FGFR4 belongs to a family of highly homologous receptors, which include FGFR1</w:t>
      </w:r>
      <w:r>
        <w:rPr>
          <w:rFonts w:ascii="MS PGothic" w:cs="MS PGothic" w:eastAsia="MS PGothic" w:hAnsi="MS PGothic"/>
          <w:sz w:val="18"/>
          <w:szCs w:val="18"/>
          <w:color w:val="auto"/>
        </w:rPr>
        <w:t>‑</w:t>
      </w:r>
      <w:r>
        <w:rPr>
          <w:rFonts w:ascii="Arial" w:cs="Arial" w:eastAsia="Arial" w:hAnsi="Arial"/>
          <w:sz w:val="18"/>
          <w:szCs w:val="18"/>
          <w:color w:val="auto"/>
        </w:rPr>
        <w:t>4. BLU</w:t>
      </w:r>
      <w:r>
        <w:rPr>
          <w:rFonts w:ascii="MS PGothic" w:cs="MS PGothic" w:eastAsia="MS PGothic" w:hAnsi="MS PGothic"/>
          <w:sz w:val="18"/>
          <w:szCs w:val="18"/>
          <w:color w:val="auto"/>
        </w:rPr>
        <w:t>‑</w:t>
      </w:r>
      <w:r>
        <w:rPr>
          <w:rFonts w:ascii="Arial" w:cs="Arial" w:eastAsia="Arial" w:hAnsi="Arial"/>
          <w:sz w:val="18"/>
          <w:szCs w:val="18"/>
          <w:color w:val="auto"/>
        </w:rPr>
        <w:t>554 targets FGFR4, while sparing the other three FGFR paralogs, and demonstrates exquisite kinome selectivity. Pre</w:t>
      </w:r>
      <w:r>
        <w:rPr>
          <w:rFonts w:ascii="MS PGothic" w:cs="MS PGothic" w:eastAsia="MS PGothic" w:hAnsi="MS PGothic"/>
          <w:sz w:val="18"/>
          <w:szCs w:val="18"/>
          <w:color w:val="auto"/>
        </w:rPr>
        <w:t>‑</w:t>
      </w:r>
      <w:r>
        <w:rPr>
          <w:rFonts w:ascii="Arial" w:cs="Arial" w:eastAsia="Arial" w:hAnsi="Arial"/>
          <w:sz w:val="18"/>
          <w:szCs w:val="18"/>
          <w:color w:val="auto"/>
        </w:rPr>
        <w:t xml:space="preserv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data provides a strong rationale for the development of BLU</w:t>
      </w:r>
      <w:r>
        <w:rPr>
          <w:rFonts w:ascii="MS PGothic" w:cs="MS PGothic" w:eastAsia="MS PGothic" w:hAnsi="MS PGothic"/>
          <w:sz w:val="18"/>
          <w:szCs w:val="18"/>
          <w:color w:val="auto"/>
        </w:rPr>
        <w:t>‑</w:t>
      </w:r>
      <w:r>
        <w:rPr>
          <w:rFonts w:ascii="Arial" w:cs="Arial" w:eastAsia="Arial" w:hAnsi="Arial"/>
          <w:sz w:val="18"/>
          <w:szCs w:val="18"/>
          <w:color w:val="auto"/>
        </w:rPr>
        <w:t>554 for the subset of HCC patients whose tumors are driven by aberrant FGFR4 signaling. Based on a meta-analysis of publicly available HCC genomic datasets, we estimate that up to 30% of patients with HCC have tumors with aberrantly activated FGFR4 signaling.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HCC Disease Background</w:t>
      </w:r>
    </w:p>
    <w:p>
      <w:pPr>
        <w:spacing w:after="0" w:line="185"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Liver cancer is the second leading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deaths worldwide, with HCC accounting for most liver cancers. The highest incidence of HCC occurs in regions with endemic hepatitis B virus, or HBV, including Southeast Asia and sub</w:t>
      </w:r>
      <w:r>
        <w:rPr>
          <w:rFonts w:ascii="MS PGothic" w:cs="MS PGothic" w:eastAsia="MS PGothic" w:hAnsi="MS PGothic"/>
          <w:sz w:val="16"/>
          <w:szCs w:val="16"/>
          <w:color w:val="auto"/>
        </w:rPr>
        <w:t>‑</w:t>
      </w:r>
      <w:r>
        <w:rPr>
          <w:rFonts w:ascii="Arial" w:cs="Arial" w:eastAsia="Arial" w:hAnsi="Arial"/>
          <w:sz w:val="16"/>
          <w:szCs w:val="16"/>
          <w:color w:val="auto"/>
        </w:rPr>
        <w:t>Saharan Africa. In the United States, HCC is the fastest rising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 Over the past two decades, the incidence of HCC has tripled while the five</w:t>
      </w:r>
      <w:r>
        <w:rPr>
          <w:rFonts w:ascii="MS PGothic" w:cs="MS PGothic" w:eastAsia="MS PGothic" w:hAnsi="MS PGothic"/>
          <w:sz w:val="16"/>
          <w:szCs w:val="16"/>
          <w:color w:val="auto"/>
        </w:rPr>
        <w:t>‑</w:t>
      </w:r>
      <w:r>
        <w:rPr>
          <w:rFonts w:ascii="Arial" w:cs="Arial" w:eastAsia="Arial" w:hAnsi="Arial"/>
          <w:sz w:val="16"/>
          <w:szCs w:val="16"/>
          <w:color w:val="auto"/>
        </w:rPr>
        <w:t>year survival rate has remained below 12%.</w:t>
      </w:r>
    </w:p>
    <w:p>
      <w:pPr>
        <w:spacing w:after="0" w:line="164"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Cirrhosis is a key risk factor for HCC —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the European Union, the main risk factors for cirrhosis are HCV, HBV and alcohol consumption. In Asia and sub</w:t>
      </w:r>
      <w:r>
        <w:rPr>
          <w:rFonts w:ascii="MS PGothic" w:cs="MS PGothic" w:eastAsia="MS PGothic" w:hAnsi="MS PGothic"/>
          <w:sz w:val="18"/>
          <w:szCs w:val="18"/>
          <w:color w:val="auto"/>
        </w:rPr>
        <w:t>‑</w:t>
      </w:r>
      <w:r>
        <w:rPr>
          <w:rFonts w:ascii="Arial" w:cs="Arial" w:eastAsia="Arial" w:hAnsi="Arial"/>
          <w:sz w:val="18"/>
          <w:szCs w:val="18"/>
          <w:color w:val="auto"/>
        </w:rPr>
        <w:t>Saharan Africa, the major risk factor is chronic HBV infection.</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diagnosis of HCC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For example, countries such as Taiwan and Japan with active national screening programs tend to diagnose many more patients in the early stages of disease. There are currently no treatments for molecularly defined patient subgroups in HCC.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HCC treatment paradigm has advanced incrementally over the past decade. Patients diagnosed at an early stage</w:t>
      </w:r>
    </w:p>
    <w:p>
      <w:pPr>
        <w:spacing w:after="0" w:line="224" w:lineRule="auto"/>
        <w:rPr>
          <w:sz w:val="20"/>
          <w:szCs w:val="20"/>
          <w:color w:val="auto"/>
        </w:rPr>
      </w:pPr>
      <w:r>
        <w:rPr>
          <w:rFonts w:ascii="Arial" w:cs="Arial" w:eastAsia="Arial" w:hAnsi="Arial"/>
          <w:sz w:val="17"/>
          <w:szCs w:val="17"/>
          <w:color w:val="auto"/>
        </w:rPr>
        <w:t>receive potentially curative transplant, resection or ablative therapies. Intermediate to advanced stage patients receive</w:t>
      </w:r>
    </w:p>
    <w:p>
      <w:pPr>
        <w:spacing w:after="0" w:line="176" w:lineRule="exact"/>
        <w:rPr>
          <w:sz w:val="20"/>
          <w:szCs w:val="20"/>
          <w:color w:val="auto"/>
        </w:rPr>
      </w:pPr>
      <w:r>
        <w:rPr>
          <w:rFonts w:ascii="Arial" w:cs="Arial" w:eastAsia="Arial" w:hAnsi="Arial"/>
          <w:sz w:val="16"/>
          <w:szCs w:val="16"/>
          <w:color w:val="auto"/>
        </w:rPr>
        <w:t>high</w:t>
      </w:r>
      <w:r>
        <w:rPr>
          <w:rFonts w:ascii="MS PGothic" w:cs="MS PGothic" w:eastAsia="MS PGothic" w:hAnsi="MS PGothic"/>
          <w:sz w:val="16"/>
          <w:szCs w:val="16"/>
          <w:color w:val="auto"/>
        </w:rPr>
        <w:t>‑</w:t>
      </w:r>
      <w:r>
        <w:rPr>
          <w:rFonts w:ascii="Arial" w:cs="Arial" w:eastAsia="Arial" w:hAnsi="Arial"/>
          <w:sz w:val="16"/>
          <w:szCs w:val="16"/>
          <w:color w:val="auto"/>
        </w:rPr>
        <w:t>dose chemotherapy delivered directly to the liver (transarterial chemoembolization) and ultimately sorafenib, the only</w:t>
      </w:r>
    </w:p>
    <w:p>
      <w:pPr>
        <w:spacing w:after="0" w:line="176" w:lineRule="exact"/>
        <w:rPr>
          <w:sz w:val="20"/>
          <w:szCs w:val="20"/>
          <w:color w:val="auto"/>
        </w:rPr>
      </w:pPr>
      <w:r>
        <w:rPr>
          <w:rFonts w:ascii="Arial" w:cs="Arial" w:eastAsia="Arial" w:hAnsi="Arial"/>
          <w:sz w:val="16"/>
          <w:szCs w:val="16"/>
          <w:color w:val="auto"/>
        </w:rPr>
        <w:t>approved systemic therapy for HCC, which became broadly available in the late 2000s. Sorafenib is a multi</w:t>
      </w:r>
      <w:r>
        <w:rPr>
          <w:rFonts w:ascii="MS PGothic" w:cs="MS PGothic" w:eastAsia="MS PGothic" w:hAnsi="MS PGothic"/>
          <w:sz w:val="16"/>
          <w:szCs w:val="16"/>
          <w:color w:val="auto"/>
        </w:rPr>
        <w:t>‑</w:t>
      </w:r>
      <w:r>
        <w:rPr>
          <w:rFonts w:ascii="Arial" w:cs="Arial" w:eastAsia="Arial" w:hAnsi="Arial"/>
          <w:sz w:val="16"/>
          <w:szCs w:val="16"/>
          <w:color w:val="auto"/>
        </w:rPr>
        <w:t>kinase inhibitor</w:t>
      </w:r>
    </w:p>
    <w:p>
      <w:pPr>
        <w:spacing w:after="0" w:line="176" w:lineRule="exact"/>
        <w:rPr>
          <w:sz w:val="20"/>
          <w:szCs w:val="20"/>
          <w:color w:val="auto"/>
        </w:rPr>
      </w:pPr>
      <w:r>
        <w:rPr>
          <w:rFonts w:ascii="Arial" w:cs="Arial" w:eastAsia="Arial" w:hAnsi="Arial"/>
          <w:sz w:val="17"/>
          <w:szCs w:val="17"/>
          <w:color w:val="auto"/>
        </w:rPr>
        <w:t>that targets VEGFR and many other kinases and exhibits anti</w:t>
      </w:r>
      <w:r>
        <w:rPr>
          <w:rFonts w:ascii="MS PGothic" w:cs="MS PGothic" w:eastAsia="MS PGothic" w:hAnsi="MS PGothic"/>
          <w:sz w:val="17"/>
          <w:szCs w:val="17"/>
          <w:color w:val="auto"/>
        </w:rPr>
        <w:t>‑</w:t>
      </w:r>
      <w:r>
        <w:rPr>
          <w:rFonts w:ascii="Arial" w:cs="Arial" w:eastAsia="Arial" w:hAnsi="Arial"/>
          <w:sz w:val="17"/>
          <w:szCs w:val="17"/>
          <w:color w:val="auto"/>
        </w:rPr>
        <w:t>angiogenic effects. In a pivotal trial conducted primarily in</w:t>
      </w:r>
    </w:p>
    <w:p>
      <w:pPr>
        <w:spacing w:after="0" w:line="216" w:lineRule="auto"/>
        <w:rPr>
          <w:sz w:val="20"/>
          <w:szCs w:val="20"/>
          <w:color w:val="auto"/>
        </w:rPr>
      </w:pPr>
      <w:r>
        <w:rPr>
          <w:rFonts w:ascii="Arial" w:cs="Arial" w:eastAsia="Arial" w:hAnsi="Arial"/>
          <w:sz w:val="17"/>
          <w:szCs w:val="17"/>
          <w:color w:val="auto"/>
        </w:rPr>
        <w:t>European Union and U.S. sites, sorafenib improved median overall survival by approximately three months, and 2% of</w:t>
      </w:r>
    </w:p>
    <w:p>
      <w:pPr>
        <w:spacing w:after="0" w:line="229" w:lineRule="auto"/>
        <w:rPr>
          <w:sz w:val="20"/>
          <w:szCs w:val="20"/>
          <w:color w:val="auto"/>
        </w:rPr>
      </w:pPr>
      <w:r>
        <w:rPr>
          <w:rFonts w:ascii="Arial" w:cs="Arial" w:eastAsia="Arial" w:hAnsi="Arial"/>
          <w:sz w:val="16"/>
          <w:szCs w:val="16"/>
          <w:color w:val="auto"/>
        </w:rPr>
        <w:t>patients responded. In clinical practice, patients often require dose modifications or discontinue therapy due to tolerability</w:t>
      </w:r>
    </w:p>
    <w:p>
      <w:pPr>
        <w:spacing w:after="0" w:line="207" w:lineRule="exact"/>
        <w:rPr>
          <w:sz w:val="20"/>
          <w:szCs w:val="20"/>
          <w:color w:val="auto"/>
        </w:rPr>
      </w:pPr>
      <w:r>
        <w:rPr>
          <w:rFonts w:ascii="Arial" w:cs="Arial" w:eastAsia="Arial" w:hAnsi="Arial"/>
          <w:sz w:val="18"/>
          <w:szCs w:val="18"/>
          <w:color w:val="auto"/>
        </w:rPr>
        <w:t>issues. There is a clear need for medical therapies with a favorable risk</w:t>
      </w:r>
      <w:r>
        <w:rPr>
          <w:rFonts w:ascii="MS PGothic" w:cs="MS PGothic" w:eastAsia="MS PGothic" w:hAnsi="MS PGothic"/>
          <w:sz w:val="18"/>
          <w:szCs w:val="18"/>
          <w:color w:val="auto"/>
        </w:rPr>
        <w:t>‑</w:t>
      </w:r>
      <w:r>
        <w:rPr>
          <w:rFonts w:ascii="Arial" w:cs="Arial" w:eastAsia="Arial" w:hAnsi="Arial"/>
          <w:sz w:val="18"/>
          <w:szCs w:val="18"/>
          <w:color w:val="auto"/>
        </w:rPr>
        <w:t>benefit profile.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FGFR4 as a Driver in HCC</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The link between aberrant FGFR4 signaling and HCC was first established when an amplicon, a region of replicated DNA, that includes FGF19, the ligand that activates FGFR4, was identified in HCC patients. We estimate that more than</w:t>
      </w:r>
    </w:p>
    <w:p>
      <w:pPr>
        <w:spacing w:after="0" w:line="1" w:lineRule="exact"/>
        <w:rPr>
          <w:sz w:val="20"/>
          <w:szCs w:val="20"/>
          <w:color w:val="auto"/>
        </w:rPr>
      </w:pPr>
    </w:p>
    <w:p>
      <w:pPr>
        <w:ind w:right="40"/>
        <w:spacing w:after="0" w:line="184" w:lineRule="exact"/>
        <w:rPr>
          <w:sz w:val="20"/>
          <w:szCs w:val="20"/>
          <w:color w:val="auto"/>
        </w:rPr>
      </w:pPr>
      <w:r>
        <w:rPr>
          <w:rFonts w:ascii="Arial" w:cs="Arial" w:eastAsia="Arial" w:hAnsi="Arial"/>
          <w:sz w:val="16"/>
          <w:szCs w:val="16"/>
          <w:color w:val="auto"/>
        </w:rPr>
        <w:t>5% of tumors of HCC patients have this amplicon. The physiologic role of the receptor, FGFR4, and its ligand, FGF19, is to regulate bile acid metabolism in hepatocytes and liver regeneration following injury. FGF19 is normally produced in the small intestine and signals to hepatocytes through an endocrine mechanism. FGF19 forms an active signaling complex together with FGFR4 and its co</w:t>
      </w:r>
      <w:r>
        <w:rPr>
          <w:rFonts w:ascii="MS PGothic" w:cs="MS PGothic" w:eastAsia="MS PGothic" w:hAnsi="MS PGothic"/>
          <w:sz w:val="16"/>
          <w:szCs w:val="16"/>
          <w:color w:val="auto"/>
        </w:rPr>
        <w:t>‑</w:t>
      </w:r>
      <w:r>
        <w:rPr>
          <w:rFonts w:ascii="Arial" w:cs="Arial" w:eastAsia="Arial" w:hAnsi="Arial"/>
          <w:sz w:val="16"/>
          <w:szCs w:val="16"/>
          <w:color w:val="auto"/>
        </w:rPr>
        <w:t>receptor Klotho</w:t>
      </w:r>
      <w:r>
        <w:rPr>
          <w:rFonts w:ascii="MS PGothic" w:cs="MS PGothic" w:eastAsia="MS PGothic" w:hAnsi="MS PGothic"/>
          <w:sz w:val="16"/>
          <w:szCs w:val="16"/>
          <w:color w:val="auto"/>
        </w:rPr>
        <w:t>‑</w:t>
      </w:r>
      <w:r>
        <w:rPr>
          <w:rFonts w:ascii="Arial" w:cs="Arial" w:eastAsia="Arial" w:hAnsi="Arial"/>
          <w:sz w:val="16"/>
          <w:szCs w:val="16"/>
          <w:color w:val="auto"/>
        </w:rPr>
        <w:t>β. Signaling of the active complex leads to decreased CYP7A1 transcription with a resultant decrease in bile acid synthesis, as well as increased growth, proliferation and survival signals.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137795</wp:posOffset>
            </wp:positionV>
            <wp:extent cx="3336290" cy="2289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362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9" w:firstLine="648"/>
        <w:spacing w:after="0" w:line="184" w:lineRule="exact"/>
        <w:rPr>
          <w:sz w:val="20"/>
          <w:szCs w:val="20"/>
          <w:color w:val="auto"/>
        </w:rPr>
      </w:pPr>
      <w:r>
        <w:rPr>
          <w:rFonts w:ascii="Arial" w:cs="Arial" w:eastAsia="Arial" w:hAnsi="Arial"/>
          <w:sz w:val="16"/>
          <w:szCs w:val="16"/>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w:t>
      </w:r>
      <w:r>
        <w:rPr>
          <w:rFonts w:ascii="MS PGothic" w:cs="MS PGothic" w:eastAsia="MS PGothic" w:hAnsi="MS PGothic"/>
          <w:sz w:val="16"/>
          <w:szCs w:val="16"/>
          <w:color w:val="auto"/>
        </w:rPr>
        <w:t>‑</w:t>
      </w:r>
      <w:r>
        <w:rPr>
          <w:rFonts w:ascii="Arial" w:cs="Arial" w:eastAsia="Arial" w:hAnsi="Arial"/>
          <w:sz w:val="16"/>
          <w:szCs w:val="16"/>
          <w:color w:val="auto"/>
        </w:rPr>
        <w:t>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w:t>
      </w:r>
      <w:r>
        <w:rPr>
          <w:rFonts w:ascii="MS PGothic" w:cs="MS PGothic" w:eastAsia="MS PGothic" w:hAnsi="MS PGothic"/>
          <w:sz w:val="16"/>
          <w:szCs w:val="16"/>
          <w:color w:val="auto"/>
        </w:rPr>
        <w:t>‑</w:t>
      </w:r>
      <w:r>
        <w:rPr>
          <w:rFonts w:ascii="Arial" w:cs="Arial" w:eastAsia="Arial" w:hAnsi="Arial"/>
          <w:sz w:val="16"/>
          <w:szCs w:val="16"/>
          <w:color w:val="auto"/>
        </w:rPr>
        <w:t>β, are expressed together uniquely in HCC, although it is possible that they may also occur in rare cases of other solid tumors.</w:t>
      </w:r>
    </w:p>
    <w:p>
      <w:pPr>
        <w:spacing w:after="0" w:line="166" w:lineRule="exact"/>
        <w:rPr>
          <w:sz w:val="20"/>
          <w:szCs w:val="20"/>
          <w:color w:val="auto"/>
        </w:rPr>
      </w:pPr>
    </w:p>
    <w:p>
      <w:pPr>
        <w:ind w:right="39" w:firstLine="648"/>
        <w:spacing w:after="0" w:line="184" w:lineRule="exact"/>
        <w:rPr>
          <w:sz w:val="20"/>
          <w:szCs w:val="20"/>
          <w:color w:val="auto"/>
        </w:rPr>
      </w:pPr>
      <w:r>
        <w:rPr>
          <w:rFonts w:ascii="Arial" w:cs="Arial" w:eastAsia="Arial" w:hAnsi="Arial"/>
          <w:sz w:val="17"/>
          <w:szCs w:val="17"/>
          <w:color w:val="auto"/>
        </w:rPr>
        <w:t>We have used our novel drug discovery platform to identify a potentially broader target responder population in addition to the FGF19</w:t>
      </w:r>
      <w:r>
        <w:rPr>
          <w:rFonts w:ascii="MS PGothic" w:cs="MS PGothic" w:eastAsia="MS PGothic" w:hAnsi="MS PGothic"/>
          <w:sz w:val="17"/>
          <w:szCs w:val="17"/>
          <w:color w:val="auto"/>
        </w:rPr>
        <w:t>‑</w:t>
      </w:r>
      <w:r>
        <w:rPr>
          <w:rFonts w:ascii="Arial" w:cs="Arial" w:eastAsia="Arial" w:hAnsi="Arial"/>
          <w:sz w:val="17"/>
          <w:szCs w:val="17"/>
          <w:color w:val="auto"/>
        </w:rPr>
        <w:t>amplified patient population. In collaboration with a key opinion leader, we have determined that an additional approximately one quarter of HCC tumors overexpress FGF19 without amplification. We have also demonstrated a significant anti</w:t>
      </w:r>
      <w:r>
        <w:rPr>
          <w:rFonts w:ascii="MS PGothic" w:cs="MS PGothic" w:eastAsia="MS PGothic" w:hAnsi="MS PGothic"/>
          <w:sz w:val="17"/>
          <w:szCs w:val="17"/>
          <w:color w:val="auto"/>
        </w:rPr>
        <w:t>‑</w:t>
      </w:r>
      <w:r>
        <w:rPr>
          <w:rFonts w:ascii="Arial" w:cs="Arial" w:eastAsia="Arial" w:hAnsi="Arial"/>
          <w:sz w:val="17"/>
          <w:szCs w:val="17"/>
          <w:color w:val="auto"/>
        </w:rPr>
        <w:t>tumor response with an FGFR4 inhibitor in an HCC patient</w:t>
      </w:r>
      <w:r>
        <w:rPr>
          <w:rFonts w:ascii="MS PGothic" w:cs="MS PGothic" w:eastAsia="MS PGothic" w:hAnsi="MS PGothic"/>
          <w:sz w:val="17"/>
          <w:szCs w:val="17"/>
          <w:color w:val="auto"/>
        </w:rPr>
        <w:t>‑</w:t>
      </w:r>
      <w:r>
        <w:rPr>
          <w:rFonts w:ascii="Arial" w:cs="Arial" w:eastAsia="Arial" w:hAnsi="Arial"/>
          <w:sz w:val="17"/>
          <w:szCs w:val="17"/>
          <w:color w:val="auto"/>
        </w:rPr>
        <w:t xml:space="preserve">derived xenograft model that overexpresses FGF19 in the absence of amplification. Some of these results were published in </w:t>
      </w:r>
      <w:r>
        <w:rPr>
          <w:rFonts w:ascii="Arial" w:cs="Arial" w:eastAsia="Arial" w:hAnsi="Arial"/>
          <w:sz w:val="17"/>
          <w:szCs w:val="17"/>
          <w:i w:val="1"/>
          <w:iCs w:val="1"/>
          <w:color w:val="auto"/>
        </w:rPr>
        <w:t>Cancer Discovery</w:t>
      </w:r>
      <w:r>
        <w:rPr>
          <w:rFonts w:ascii="Arial" w:cs="Arial" w:eastAsia="Arial" w:hAnsi="Arial"/>
          <w:sz w:val="17"/>
          <w:szCs w:val="17"/>
          <w:color w:val="auto"/>
        </w:rPr>
        <w:t xml:space="preserve"> in 2015. Based on a meta-analysis of publicly available HCC genomic datasets, we estimate that up to 30% of patients with HCC have tumors with aberrantly activated FGFR4 signaling.</w:t>
      </w:r>
    </w:p>
    <w:p>
      <w:pPr>
        <w:spacing w:after="0" w:line="162" w:lineRule="exact"/>
        <w:rPr>
          <w:sz w:val="20"/>
          <w:szCs w:val="20"/>
          <w:color w:val="auto"/>
        </w:rPr>
      </w:pPr>
    </w:p>
    <w:p>
      <w:pPr>
        <w:jc w:val="both"/>
        <w:ind w:right="299" w:firstLine="648"/>
        <w:spacing w:after="0" w:line="238" w:lineRule="auto"/>
        <w:rPr>
          <w:sz w:val="20"/>
          <w:szCs w:val="20"/>
          <w:color w:val="auto"/>
        </w:rPr>
      </w:pPr>
      <w:r>
        <w:rPr>
          <w:rFonts w:ascii="Arial" w:cs="Arial" w:eastAsia="Arial" w:hAnsi="Arial"/>
          <w:sz w:val="17"/>
          <w:szCs w:val="17"/>
          <w:color w:val="auto"/>
        </w:rPr>
        <w:t>The FGFR4 signaling pathway is a promising new driver for the development of molecularly targeted therapy in HCC. We estimate that in the Major Markets, there are approximately 18,000 first line and 6,000 second line addressable HCC patients with aberrantly active FGFR4 signaling as indicated by FGF19 overexpression.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BLU-554 Pre-clinical Development in HCC</w:t>
      </w:r>
    </w:p>
    <w:p>
      <w:pPr>
        <w:spacing w:after="0" w:line="185" w:lineRule="exact"/>
        <w:rPr>
          <w:sz w:val="20"/>
          <w:szCs w:val="20"/>
          <w:color w:val="auto"/>
        </w:rPr>
      </w:pPr>
    </w:p>
    <w:p>
      <w:pPr>
        <w:ind w:right="99" w:firstLine="648"/>
        <w:spacing w:after="0" w:line="186" w:lineRule="exact"/>
        <w:rPr>
          <w:sz w:val="20"/>
          <w:szCs w:val="20"/>
          <w:color w:val="auto"/>
        </w:rPr>
      </w:pPr>
      <w:r>
        <w:rPr>
          <w:rFonts w:ascii="Arial" w:cs="Arial" w:eastAsia="Arial" w:hAnsi="Arial"/>
          <w:sz w:val="16"/>
          <w:szCs w:val="16"/>
          <w:color w:val="auto"/>
        </w:rPr>
        <w:t>Efforts to discover selective, reversible inhibitors of FGFR4 have been challenging given the high sequence similarity among the four FGFR paralogs. A cysteine located near the ATP binding site in FGFR4 is unique among the paralogs. We therefore focused on developing a covalent inhibitor with paralog specificity and kinome selectivity. Our team of experienced medicinal chemists applied structure</w:t>
      </w:r>
      <w:r>
        <w:rPr>
          <w:rFonts w:ascii="MS PGothic" w:cs="MS PGothic" w:eastAsia="MS PGothic" w:hAnsi="MS PGothic"/>
          <w:sz w:val="16"/>
          <w:szCs w:val="16"/>
          <w:color w:val="auto"/>
        </w:rPr>
        <w:t>‑</w:t>
      </w:r>
      <w:r>
        <w:rPr>
          <w:rFonts w:ascii="Arial" w:cs="Arial" w:eastAsia="Arial" w:hAnsi="Arial"/>
          <w:sz w:val="16"/>
          <w:szCs w:val="16"/>
          <w:color w:val="auto"/>
        </w:rPr>
        <w:t>based design principles to develop a potent and selective FGFR4 inhibitor starting from known FGFR inhibitor templates. This effort yielded our development candidate, BLU</w:t>
      </w:r>
      <w:r>
        <w:rPr>
          <w:rFonts w:ascii="MS PGothic" w:cs="MS PGothic" w:eastAsia="MS PGothic" w:hAnsi="MS PGothic"/>
          <w:sz w:val="16"/>
          <w:szCs w:val="16"/>
          <w:color w:val="auto"/>
        </w:rPr>
        <w:t>‑</w:t>
      </w:r>
      <w:r>
        <w:rPr>
          <w:rFonts w:ascii="Arial" w:cs="Arial" w:eastAsia="Arial" w:hAnsi="Arial"/>
          <w:sz w:val="16"/>
          <w:szCs w:val="16"/>
          <w:color w:val="auto"/>
        </w:rPr>
        <w:t xml:space="preserve">554. We have conducted comprehensive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554 potently inhibits FGFR4 enzyme activity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5 nM) and inhibits the activity of FGFR1</w:t>
      </w:r>
      <w:r>
        <w:rPr>
          <w:rFonts w:ascii="MS PGothic" w:cs="MS PGothic" w:eastAsia="MS PGothic" w:hAnsi="MS PGothic"/>
          <w:sz w:val="16"/>
          <w:szCs w:val="16"/>
          <w:color w:val="auto"/>
        </w:rPr>
        <w:t>‑</w:t>
      </w:r>
      <w:r>
        <w:rPr>
          <w:rFonts w:ascii="Arial" w:cs="Arial" w:eastAsia="Arial" w:hAnsi="Arial"/>
          <w:sz w:val="16"/>
          <w:szCs w:val="16"/>
          <w:color w:val="auto"/>
        </w:rPr>
        <w:t>3 at least 100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w:t>
      </w:r>
    </w:p>
    <w:p>
      <w:pPr>
        <w:spacing w:after="0" w:line="1" w:lineRule="exact"/>
        <w:rPr>
          <w:sz w:val="20"/>
          <w:szCs w:val="20"/>
          <w:color w:val="auto"/>
        </w:rPr>
      </w:pPr>
    </w:p>
    <w:p>
      <w:pPr>
        <w:ind w:right="239"/>
        <w:spacing w:after="0" w:line="183" w:lineRule="exact"/>
        <w:rPr>
          <w:sz w:val="20"/>
          <w:szCs w:val="20"/>
          <w:color w:val="auto"/>
        </w:rPr>
      </w:pPr>
      <w:r>
        <w:rPr>
          <w:rFonts w:ascii="Arial" w:cs="Arial" w:eastAsia="Arial" w:hAnsi="Arial"/>
          <w:sz w:val="18"/>
          <w:szCs w:val="18"/>
          <w:color w:val="auto"/>
        </w:rPr>
        <w:t>600 nM). In contrast, pan</w:t>
      </w:r>
      <w:r>
        <w:rPr>
          <w:rFonts w:ascii="MS PGothic" w:cs="MS PGothic" w:eastAsia="MS PGothic" w:hAnsi="MS PGothic"/>
          <w:sz w:val="18"/>
          <w:szCs w:val="18"/>
          <w:color w:val="auto"/>
        </w:rPr>
        <w:t>‑</w:t>
      </w:r>
      <w:r>
        <w:rPr>
          <w:rFonts w:ascii="Arial" w:cs="Arial" w:eastAsia="Arial" w:hAnsi="Arial"/>
          <w:sz w:val="18"/>
          <w:szCs w:val="18"/>
          <w:color w:val="auto"/>
        </w:rPr>
        <w:t>FGFR inhibitors such as BGJ</w:t>
      </w:r>
      <w:r>
        <w:rPr>
          <w:rFonts w:ascii="MS PGothic" w:cs="MS PGothic" w:eastAsia="MS PGothic" w:hAnsi="MS PGothic"/>
          <w:sz w:val="18"/>
          <w:szCs w:val="18"/>
          <w:color w:val="auto"/>
        </w:rPr>
        <w:t>‑</w:t>
      </w:r>
      <w:r>
        <w:rPr>
          <w:rFonts w:ascii="Arial" w:cs="Arial" w:eastAsia="Arial" w:hAnsi="Arial"/>
          <w:sz w:val="18"/>
          <w:szCs w:val="18"/>
          <w:color w:val="auto"/>
        </w:rPr>
        <w:t>398 fail to exhibit paralog specificity. The selectivity of BLU</w:t>
      </w:r>
      <w:r>
        <w:rPr>
          <w:rFonts w:ascii="MS PGothic" w:cs="MS PGothic" w:eastAsia="MS PGothic" w:hAnsi="MS PGothic"/>
          <w:sz w:val="18"/>
          <w:szCs w:val="18"/>
          <w:color w:val="auto"/>
        </w:rPr>
        <w:t>‑</w:t>
      </w:r>
      <w:r>
        <w:rPr>
          <w:rFonts w:ascii="Arial" w:cs="Arial" w:eastAsia="Arial" w:hAnsi="Arial"/>
          <w:sz w:val="18"/>
          <w:szCs w:val="18"/>
          <w:color w:val="auto"/>
        </w:rPr>
        <w:t>554 was further evaluated by profiling BLU</w:t>
      </w:r>
      <w:r>
        <w:rPr>
          <w:rFonts w:ascii="MS PGothic" w:cs="MS PGothic" w:eastAsia="MS PGothic" w:hAnsi="MS PGothic"/>
          <w:sz w:val="18"/>
          <w:szCs w:val="18"/>
          <w:color w:val="auto"/>
        </w:rPr>
        <w:t>‑</w:t>
      </w:r>
      <w:r>
        <w:rPr>
          <w:rFonts w:ascii="Arial" w:cs="Arial" w:eastAsia="Arial" w:hAnsi="Arial"/>
          <w:sz w:val="18"/>
          <w:szCs w:val="18"/>
          <w:color w:val="auto"/>
        </w:rPr>
        <w:t>554 at a concentration of 3 µM across a panel of over 450 kinases and disease relevant kinase mutants using KINOME</w:t>
      </w:r>
      <w:r>
        <w:rPr>
          <w:rFonts w:ascii="Arial" w:cs="Arial" w:eastAsia="Arial" w:hAnsi="Arial"/>
          <w:sz w:val="18"/>
          <w:szCs w:val="18"/>
          <w:i w:val="1"/>
          <w:iCs w:val="1"/>
          <w:color w:val="auto"/>
        </w:rPr>
        <w:t>scan</w:t>
      </w:r>
      <w:r>
        <w:rPr>
          <w:rFonts w:ascii="Arial" w:cs="Arial" w:eastAsia="Arial" w:hAnsi="Arial"/>
          <w:sz w:val="18"/>
          <w:szCs w:val="18"/>
          <w:color w:val="auto"/>
        </w:rPr>
        <w:t xml:space="preserve"> methodology. BLU</w:t>
      </w:r>
      <w:r>
        <w:rPr>
          <w:rFonts w:ascii="MS PGothic" w:cs="MS PGothic" w:eastAsia="MS PGothic" w:hAnsi="MS PGothic"/>
          <w:sz w:val="18"/>
          <w:szCs w:val="18"/>
          <w:color w:val="auto"/>
        </w:rPr>
        <w:t>‑</w:t>
      </w:r>
      <w:r>
        <w:rPr>
          <w:rFonts w:ascii="Arial" w:cs="Arial" w:eastAsia="Arial" w:hAnsi="Arial"/>
          <w:sz w:val="18"/>
          <w:szCs w:val="18"/>
          <w:color w:val="auto"/>
        </w:rPr>
        <w:t>554 displayed significant binding (greater than 90% inhibition relative to control) only to FGFR4 in this assay. In contrast, BGJ</w:t>
      </w:r>
      <w:r>
        <w:rPr>
          <w:rFonts w:ascii="MS PGothic" w:cs="MS PGothic" w:eastAsia="MS PGothic" w:hAnsi="MS PGothic"/>
          <w:sz w:val="18"/>
          <w:szCs w:val="18"/>
          <w:color w:val="auto"/>
        </w:rPr>
        <w:t>‑</w:t>
      </w:r>
      <w:r>
        <w:rPr>
          <w:rFonts w:ascii="Arial" w:cs="Arial" w:eastAsia="Arial" w:hAnsi="Arial"/>
          <w:sz w:val="18"/>
          <w:szCs w:val="18"/>
          <w:color w:val="auto"/>
        </w:rPr>
        <w:t>398 significantly bound to 14 kinases (greater than 90% inhibition relative to control).</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39"/>
        <w:spacing w:after="0" w:line="236" w:lineRule="auto"/>
        <w:rPr>
          <w:sz w:val="20"/>
          <w:szCs w:val="20"/>
          <w:color w:val="auto"/>
        </w:rPr>
      </w:pPr>
      <w:r>
        <w:rPr>
          <w:rFonts w:ascii="Arial" w:cs="Arial" w:eastAsia="Arial" w:hAnsi="Arial"/>
          <w:sz w:val="14"/>
          <w:szCs w:val="14"/>
          <w:color w:val="auto"/>
        </w:rPr>
        <w:t xml:space="preserve">Paralog selectivity of BLU-554 compared to the pan-FGFR inhibitor BGJ-398. The inhibitory potency of BLU-554 and BGJ-398 against each of the FGFR paralogs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128270</wp:posOffset>
            </wp:positionV>
            <wp:extent cx="1020445" cy="1551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044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19"/>
        <w:spacing w:after="0" w:line="147" w:lineRule="exact"/>
        <w:rPr>
          <w:sz w:val="20"/>
          <w:szCs w:val="20"/>
          <w:color w:val="auto"/>
        </w:rPr>
      </w:pPr>
      <w:r>
        <w:rPr>
          <w:rFonts w:ascii="Arial" w:cs="Arial" w:eastAsia="Arial" w:hAnsi="Arial"/>
          <w:sz w:val="13"/>
          <w:szCs w:val="13"/>
          <w:color w:val="auto"/>
        </w:rPr>
        <w:t>Kinome selectivity of BLU-554 as determined using the KINOME scan assay. BLU-554 was screened at 3 µM against a panel of over 450 kinases and disease</w:t>
      </w:r>
      <w:r>
        <w:rPr>
          <w:rFonts w:ascii="MS PGothic" w:cs="MS PGothic" w:eastAsia="MS PGothic" w:hAnsi="MS PGothic"/>
          <w:sz w:val="13"/>
          <w:szCs w:val="13"/>
          <w:color w:val="auto"/>
        </w:rPr>
        <w:t>‑</w:t>
      </w:r>
      <w:r>
        <w:rPr>
          <w:rFonts w:ascii="Arial" w:cs="Arial" w:eastAsia="Arial" w:hAnsi="Arial"/>
          <w:sz w:val="13"/>
          <w:szCs w:val="13"/>
          <w:color w:val="auto"/>
        </w:rPr>
        <w:t xml:space="preserv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3"/>
          <w:szCs w:val="13"/>
          <w:i w:val="1"/>
          <w:iCs w:val="1"/>
          <w:color w:val="auto"/>
        </w:rPr>
        <w:t>Kinome illustration reproduced courtesy</w:t>
      </w:r>
      <w:r>
        <w:rPr>
          <w:rFonts w:ascii="Arial" w:cs="Arial" w:eastAsia="Arial" w:hAnsi="Arial"/>
          <w:sz w:val="13"/>
          <w:szCs w:val="13"/>
          <w:color w:val="auto"/>
        </w:rPr>
        <w:t xml:space="preserve"> </w:t>
      </w:r>
      <w:r>
        <w:rPr>
          <w:rFonts w:ascii="Arial" w:cs="Arial" w:eastAsia="Arial" w:hAnsi="Arial"/>
          <w:sz w:val="13"/>
          <w:szCs w:val="13"/>
          <w:i w:val="1"/>
          <w:iCs w:val="1"/>
          <w:color w:val="auto"/>
        </w:rPr>
        <w:t>of CSTI (www.cellsignal.com). The foregoing website is maintained by CSTI, and Blueprint Medicines is not responsible for its content.</w:t>
      </w:r>
    </w:p>
    <w:p>
      <w:pPr>
        <w:spacing w:after="0" w:line="175" w:lineRule="exact"/>
        <w:rPr>
          <w:sz w:val="20"/>
          <w:szCs w:val="20"/>
          <w:color w:val="auto"/>
        </w:rPr>
      </w:pPr>
    </w:p>
    <w:p>
      <w:pPr>
        <w:ind w:right="79" w:firstLine="648"/>
        <w:spacing w:after="0" w:line="182" w:lineRule="exact"/>
        <w:rPr>
          <w:sz w:val="20"/>
          <w:szCs w:val="20"/>
          <w:color w:val="auto"/>
        </w:rPr>
      </w:pPr>
      <w:r>
        <w:rPr>
          <w:rFonts w:ascii="Arial" w:cs="Arial" w:eastAsia="Arial" w:hAnsi="Arial"/>
          <w:sz w:val="17"/>
          <w:szCs w:val="17"/>
          <w:color w:val="auto"/>
        </w:rPr>
        <w:t>We demonstrated significant anti-tumor efficacy with BLU</w:t>
      </w:r>
      <w:r>
        <w:rPr>
          <w:rFonts w:ascii="MS PGothic" w:cs="MS PGothic" w:eastAsia="MS PGothic" w:hAnsi="MS PGothic"/>
          <w:sz w:val="17"/>
          <w:szCs w:val="17"/>
          <w:color w:val="auto"/>
        </w:rPr>
        <w:t>‑</w:t>
      </w:r>
      <w:r>
        <w:rPr>
          <w:rFonts w:ascii="Arial" w:cs="Arial" w:eastAsia="Arial" w:hAnsi="Arial"/>
          <w:sz w:val="17"/>
          <w:szCs w:val="17"/>
          <w:color w:val="auto"/>
        </w:rPr>
        <w:t xml:space="preserve">554 in two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HCC xenograft models where tumor growth is driven by FGFR4 signaling. BLU</w:t>
      </w:r>
      <w:r>
        <w:rPr>
          <w:rFonts w:ascii="MS PGothic" w:cs="MS PGothic" w:eastAsia="MS PGothic" w:hAnsi="MS PGothic"/>
          <w:sz w:val="17"/>
          <w:szCs w:val="17"/>
          <w:color w:val="auto"/>
        </w:rPr>
        <w:t>‑</w:t>
      </w:r>
      <w:r>
        <w:rPr>
          <w:rFonts w:ascii="Arial" w:cs="Arial" w:eastAsia="Arial" w:hAnsi="Arial"/>
          <w:sz w:val="17"/>
          <w:szCs w:val="17"/>
          <w:color w:val="auto"/>
        </w:rPr>
        <w:t>554 administered orally for 21 days resulted in robust and dose</w:t>
      </w:r>
      <w:r>
        <w:rPr>
          <w:rFonts w:ascii="MS PGothic" w:cs="MS PGothic" w:eastAsia="MS PGothic" w:hAnsi="MS PGothic"/>
          <w:sz w:val="17"/>
          <w:szCs w:val="17"/>
          <w:color w:val="auto"/>
        </w:rPr>
        <w:t>‑</w:t>
      </w:r>
      <w:r>
        <w:rPr>
          <w:rFonts w:ascii="Arial" w:cs="Arial" w:eastAsia="Arial" w:hAnsi="Arial"/>
          <w:sz w:val="17"/>
          <w:szCs w:val="17"/>
          <w:color w:val="auto"/>
        </w:rPr>
        <w:t>dependent growth inhibition of Hep3B tumors, an FGF19</w:t>
      </w:r>
      <w:r>
        <w:rPr>
          <w:rFonts w:ascii="MS PGothic" w:cs="MS PGothic" w:eastAsia="MS PGothic" w:hAnsi="MS PGothic"/>
          <w:sz w:val="17"/>
          <w:szCs w:val="17"/>
          <w:color w:val="auto"/>
        </w:rPr>
        <w:t>‑</w:t>
      </w:r>
      <w:r>
        <w:rPr>
          <w:rFonts w:ascii="Arial" w:cs="Arial" w:eastAsia="Arial" w:hAnsi="Arial"/>
          <w:sz w:val="17"/>
          <w:szCs w:val="17"/>
          <w:color w:val="auto"/>
        </w:rPr>
        <w:t>amplified model. At a dose of 100 mg/kg twice daily, a well</w:t>
      </w:r>
      <w:r>
        <w:rPr>
          <w:rFonts w:ascii="MS PGothic" w:cs="MS PGothic" w:eastAsia="MS PGothic" w:hAnsi="MS PGothic"/>
          <w:sz w:val="17"/>
          <w:szCs w:val="17"/>
          <w:color w:val="auto"/>
        </w:rPr>
        <w:t>‑</w:t>
      </w:r>
      <w:r>
        <w:rPr>
          <w:rFonts w:ascii="Arial" w:cs="Arial" w:eastAsia="Arial" w:hAnsi="Arial"/>
          <w:sz w:val="17"/>
          <w:szCs w:val="17"/>
          <w:color w:val="auto"/>
        </w:rPr>
        <w:t>tolerated dose, BLU</w:t>
      </w:r>
      <w:r>
        <w:rPr>
          <w:rFonts w:ascii="MS PGothic" w:cs="MS PGothic" w:eastAsia="MS PGothic" w:hAnsi="MS PGothic"/>
          <w:sz w:val="17"/>
          <w:szCs w:val="17"/>
          <w:color w:val="auto"/>
        </w:rPr>
        <w:t>‑</w:t>
      </w:r>
      <w:r>
        <w:rPr>
          <w:rFonts w:ascii="Arial" w:cs="Arial" w:eastAsia="Arial" w:hAnsi="Arial"/>
          <w:sz w:val="17"/>
          <w:szCs w:val="17"/>
          <w:color w:val="auto"/>
        </w:rPr>
        <w:t>554 induced complete remission in a subset of mice for at least 30 days after cessation of treatment. We observed a correlation between the concentration of BLU</w:t>
      </w:r>
      <w:r>
        <w:rPr>
          <w:rFonts w:ascii="MS PGothic" w:cs="MS PGothic" w:eastAsia="MS PGothic" w:hAnsi="MS PGothic"/>
          <w:sz w:val="17"/>
          <w:szCs w:val="17"/>
          <w:color w:val="auto"/>
        </w:rPr>
        <w:t>‑</w:t>
      </w:r>
      <w:r>
        <w:rPr>
          <w:rFonts w:ascii="Arial" w:cs="Arial" w:eastAsia="Arial" w:hAnsi="Arial"/>
          <w:sz w:val="17"/>
          <w:szCs w:val="17"/>
          <w:color w:val="auto"/>
        </w:rPr>
        <w:t>554 in mouse plasma and the level of expression of CYP7A1, a downstream biomarker, in the tumor. At the 100 mg/kg twice daily dose, significant induction of CYP7A1 expression was seen, which is an expected consequence of inhibiting FGFR4 signaling. This correlation between BLU</w:t>
      </w:r>
      <w:r>
        <w:rPr>
          <w:rFonts w:ascii="MS PGothic" w:cs="MS PGothic" w:eastAsia="MS PGothic" w:hAnsi="MS PGothic"/>
          <w:sz w:val="17"/>
          <w:szCs w:val="17"/>
          <w:color w:val="auto"/>
        </w:rPr>
        <w:t>‑</w:t>
      </w:r>
      <w:r>
        <w:rPr>
          <w:rFonts w:ascii="Arial" w:cs="Arial" w:eastAsia="Arial" w:hAnsi="Arial"/>
          <w:sz w:val="17"/>
          <w:szCs w:val="17"/>
          <w:color w:val="auto"/>
        </w:rPr>
        <w:t>554 plasma concentration, the level of induction of CYP7A1 expression and anti</w:t>
      </w:r>
      <w:r>
        <w:rPr>
          <w:rFonts w:ascii="MS PGothic" w:cs="MS PGothic" w:eastAsia="MS PGothic" w:hAnsi="MS PGothic"/>
          <w:sz w:val="17"/>
          <w:szCs w:val="17"/>
          <w:color w:val="auto"/>
        </w:rPr>
        <w:t>‑</w:t>
      </w:r>
      <w:r>
        <w:rPr>
          <w:rFonts w:ascii="Arial" w:cs="Arial" w:eastAsia="Arial" w:hAnsi="Arial"/>
          <w:sz w:val="17"/>
          <w:szCs w:val="17"/>
          <w:color w:val="auto"/>
        </w:rPr>
        <w:t>tumor efficacy supports that the observed anti</w:t>
      </w:r>
      <w:r>
        <w:rPr>
          <w:rFonts w:ascii="MS PGothic" w:cs="MS PGothic" w:eastAsia="MS PGothic" w:hAnsi="MS PGothic"/>
          <w:sz w:val="17"/>
          <w:szCs w:val="17"/>
          <w:color w:val="auto"/>
        </w:rPr>
        <w:t>‑</w:t>
      </w:r>
      <w:r>
        <w:rPr>
          <w:rFonts w:ascii="Arial" w:cs="Arial" w:eastAsia="Arial" w:hAnsi="Arial"/>
          <w:sz w:val="17"/>
          <w:szCs w:val="17"/>
          <w:color w:val="auto"/>
        </w:rPr>
        <w:t>tumor response is due to inhibition of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120015</wp:posOffset>
            </wp:positionV>
            <wp:extent cx="2495550" cy="1363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39"/>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inhibition in the Hep3B tumor xenograft mouse model, a model of FGF19 amplification. In the figure above, BID means twice a day and PO means orally.</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Aberrant FGFR4 signaling can also be driven by FGF19 overexpression in the absence of amplification. Hence, we have also evaluated the anti</w:t>
      </w:r>
      <w:r>
        <w:rPr>
          <w:rFonts w:ascii="MS PGothic" w:cs="MS PGothic" w:eastAsia="MS PGothic" w:hAnsi="MS PGothic"/>
          <w:sz w:val="16"/>
          <w:szCs w:val="16"/>
          <w:color w:val="auto"/>
        </w:rPr>
        <w:t>‑</w:t>
      </w:r>
      <w:r>
        <w:rPr>
          <w:rFonts w:ascii="Arial" w:cs="Arial" w:eastAsia="Arial" w:hAnsi="Arial"/>
          <w:sz w:val="16"/>
          <w:szCs w:val="16"/>
          <w:color w:val="auto"/>
        </w:rPr>
        <w:t>tumor efficacy of BLU</w:t>
      </w:r>
      <w:r>
        <w:rPr>
          <w:rFonts w:ascii="MS PGothic" w:cs="MS PGothic" w:eastAsia="MS PGothic" w:hAnsi="MS PGothic"/>
          <w:sz w:val="16"/>
          <w:szCs w:val="16"/>
          <w:color w:val="auto"/>
        </w:rPr>
        <w:t>‑</w:t>
      </w:r>
      <w:r>
        <w:rPr>
          <w:rFonts w:ascii="Arial" w:cs="Arial" w:eastAsia="Arial" w:hAnsi="Arial"/>
          <w:sz w:val="16"/>
          <w:szCs w:val="16"/>
          <w:color w:val="auto"/>
        </w:rPr>
        <w:t>554 in a patient</w:t>
      </w:r>
      <w:r>
        <w:rPr>
          <w:rFonts w:ascii="MS PGothic" w:cs="MS PGothic" w:eastAsia="MS PGothic" w:hAnsi="MS PGothic"/>
          <w:sz w:val="16"/>
          <w:szCs w:val="16"/>
          <w:color w:val="auto"/>
        </w:rPr>
        <w:t>‑</w:t>
      </w:r>
      <w:r>
        <w:rPr>
          <w:rFonts w:ascii="Arial" w:cs="Arial" w:eastAsia="Arial" w:hAnsi="Arial"/>
          <w:sz w:val="16"/>
          <w:szCs w:val="16"/>
          <w:color w:val="auto"/>
        </w:rPr>
        <w:t>derived xenograft model driven by FGF19 overexpression in the absence of amplification. Treatment with BLU</w:t>
      </w:r>
      <w:r>
        <w:rPr>
          <w:rFonts w:ascii="MS PGothic" w:cs="MS PGothic" w:eastAsia="MS PGothic" w:hAnsi="MS PGothic"/>
          <w:sz w:val="16"/>
          <w:szCs w:val="16"/>
          <w:color w:val="auto"/>
        </w:rPr>
        <w:t>‑</w:t>
      </w:r>
      <w:r>
        <w:rPr>
          <w:rFonts w:ascii="Arial" w:cs="Arial" w:eastAsia="Arial" w:hAnsi="Arial"/>
          <w:sz w:val="16"/>
          <w:szCs w:val="16"/>
          <w:color w:val="auto"/>
        </w:rPr>
        <w:t>554 led to dose</w:t>
      </w:r>
      <w:r>
        <w:rPr>
          <w:rFonts w:ascii="MS PGothic" w:cs="MS PGothic" w:eastAsia="MS PGothic" w:hAnsi="MS PGothic"/>
          <w:sz w:val="16"/>
          <w:szCs w:val="16"/>
          <w:color w:val="auto"/>
        </w:rPr>
        <w:t>‑</w:t>
      </w:r>
      <w:r>
        <w:rPr>
          <w:rFonts w:ascii="Arial" w:cs="Arial" w:eastAsia="Arial" w:hAnsi="Arial"/>
          <w:sz w:val="16"/>
          <w:szCs w:val="16"/>
          <w:color w:val="auto"/>
        </w:rPr>
        <w:t>dependent tumor growth inhibition. The anti</w:t>
      </w:r>
      <w:r>
        <w:rPr>
          <w:rFonts w:ascii="MS PGothic" w:cs="MS PGothic" w:eastAsia="MS PGothic" w:hAnsi="MS PGothic"/>
          <w:sz w:val="16"/>
          <w:szCs w:val="16"/>
          <w:color w:val="auto"/>
        </w:rPr>
        <w:t>‑</w:t>
      </w:r>
      <w:r>
        <w:rPr>
          <w:rFonts w:ascii="Arial" w:cs="Arial" w:eastAsia="Arial" w:hAnsi="Arial"/>
          <w:sz w:val="16"/>
          <w:szCs w:val="16"/>
          <w:color w:val="auto"/>
        </w:rPr>
        <w:t>tumor efficacy of sorafenib, the only approved systemic treatment for HCC, was also evaluated in this study. Sorafenib dosed once daily at 40 mg/kg, a dose that led to body weight loss in the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120650</wp:posOffset>
            </wp:positionV>
            <wp:extent cx="3319145" cy="1449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1914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right="60"/>
        <w:spacing w:after="0" w:line="159" w:lineRule="exact"/>
        <w:rPr>
          <w:sz w:val="20"/>
          <w:szCs w:val="20"/>
          <w:color w:val="auto"/>
        </w:rPr>
      </w:pPr>
      <w:r>
        <w:rPr>
          <w:rFonts w:ascii="Arial" w:cs="Arial" w:eastAsia="Arial" w:hAnsi="Arial"/>
          <w:sz w:val="13"/>
          <w:szCs w:val="13"/>
          <w:color w:val="auto"/>
        </w:rPr>
        <w:t>BLU</w:t>
      </w:r>
      <w:r>
        <w:rPr>
          <w:rFonts w:ascii="MS PGothic" w:cs="MS PGothic" w:eastAsia="MS PGothic" w:hAnsi="MS PGothic"/>
          <w:sz w:val="13"/>
          <w:szCs w:val="13"/>
          <w:color w:val="auto"/>
        </w:rPr>
        <w:t>‑</w:t>
      </w:r>
      <w:r>
        <w:rPr>
          <w:rFonts w:ascii="Arial" w:cs="Arial" w:eastAsia="Arial" w:hAnsi="Arial"/>
          <w:sz w:val="13"/>
          <w:szCs w:val="13"/>
          <w:color w:val="auto"/>
        </w:rPr>
        <w:t>554 elicits dose</w:t>
      </w:r>
      <w:r>
        <w:rPr>
          <w:rFonts w:ascii="MS PGothic" w:cs="MS PGothic" w:eastAsia="MS PGothic" w:hAnsi="MS PGothic"/>
          <w:sz w:val="13"/>
          <w:szCs w:val="13"/>
          <w:color w:val="auto"/>
        </w:rPr>
        <w:t>‑</w:t>
      </w:r>
      <w:r>
        <w:rPr>
          <w:rFonts w:ascii="Arial" w:cs="Arial" w:eastAsia="Arial" w:hAnsi="Arial"/>
          <w:sz w:val="13"/>
          <w:szCs w:val="13"/>
          <w:color w:val="auto"/>
        </w:rPr>
        <w:t>dependent tumor inhibition in a patient</w:t>
      </w:r>
      <w:r>
        <w:rPr>
          <w:rFonts w:ascii="MS PGothic" w:cs="MS PGothic" w:eastAsia="MS PGothic" w:hAnsi="MS PGothic"/>
          <w:sz w:val="13"/>
          <w:szCs w:val="13"/>
          <w:color w:val="auto"/>
        </w:rPr>
        <w:t>‑</w:t>
      </w:r>
      <w:r>
        <w:rPr>
          <w:rFonts w:ascii="Arial" w:cs="Arial" w:eastAsia="Arial" w:hAnsi="Arial"/>
          <w:sz w:val="13"/>
          <w:szCs w:val="13"/>
          <w:color w:val="auto"/>
        </w:rPr>
        <w:t>derived tumor xenograft mouse model in which tumor growth is driven by FGF19 overexpression in the absence of FGF19 amplification. In the figure above, QD means once a day, BID means twice a day and PO means orally.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Taken together, the data presented above indicate that potent and selective FGFR4 inhibition leads to robust</w:t>
      </w:r>
    </w:p>
    <w:p>
      <w:pPr>
        <w:spacing w:after="0" w:line="176"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 xml:space="preserve">tumor effects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where tumor growth is driven by FGF19 amplification or FGF19 overexpression in the</w:t>
      </w:r>
    </w:p>
    <w:p>
      <w:pPr>
        <w:spacing w:after="0"/>
        <w:rPr>
          <w:sz w:val="20"/>
          <w:szCs w:val="20"/>
          <w:color w:val="auto"/>
        </w:rPr>
      </w:pPr>
      <w:r>
        <w:rPr>
          <w:rFonts w:ascii="Arial" w:cs="Arial" w:eastAsia="Arial" w:hAnsi="Arial"/>
          <w:sz w:val="18"/>
          <w:szCs w:val="18"/>
          <w:color w:val="auto"/>
        </w:rPr>
        <w:t>absence of amplification.</w:t>
      </w:r>
    </w:p>
    <w:p>
      <w:pPr>
        <w:spacing w:after="0" w:line="16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These findings, together with our estimate that, based on a meta-analysis of publicly available HCC genomic datasets, up to 30% of patients with HCC have tumors with aberrantly activated FGFR4 signaling, provide critical information to identify a potential responder population and informed patient selection criteria in our Phase 1 clinical trial.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 for BLU-554 for the Treatment of Advanced HCC and Cholangiocarcinoma</w:t>
      </w:r>
    </w:p>
    <w:p>
      <w:pPr>
        <w:spacing w:after="0" w:line="185"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In June 2015, the FDA accepted our IND application for BLU-554 for the treatment of advanced HCC and cholangiocarcinoma. Cholangiocarcinoma is another cancer in which aberrantly activated FGFR4 signaling may play a role. We have initiated a dose-escalation Phase 1 clinical trial for this indication and are currently enrolling patients in the clinical trial. In addition, in September 2015, the FDA granted orphan drug designation to BLU-554 for the treatment of HCC. We expect preliminary data for this Phase 1 clinical trial to be available by the end of 2016.</w:t>
      </w:r>
    </w:p>
    <w:p>
      <w:pPr>
        <w:spacing w:after="0" w:line="16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Our Phase 1 clinical trial for BLU-554 will evaluate the safety and tolerability of BLU-554 in multiple ascending doses in patients with HCC with the goal of establishing an MTD or a recommended dose if the MTD is not achieved. Once the MTD is reached, or a recommended dose is established, we will evaluate whether to open expansion cohorts for patients with FGF19-positive disease. Secondary objectives include assessing overall response rate by RECIST criteria, the pharmacokinetics of BLU-554 and pharmacodynamics markers of BLU-554 activity. The Phase 1 clinical trial is designed to enroll up to 60 patients, including up to 25 patients during dose escalation and up to 35 additional patients if we decide to open expansion cohorts, at multiple sites in the United States, European Union and Asia.</w:t>
      </w:r>
    </w:p>
    <w:p>
      <w:pPr>
        <w:spacing w:after="0" w:line="16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Early signs of biological activity will be assessed using disease</w:t>
      </w:r>
      <w:r>
        <w:rPr>
          <w:rFonts w:ascii="MS PGothic" w:cs="MS PGothic" w:eastAsia="MS PGothic" w:hAnsi="MS PGothic"/>
          <w:sz w:val="18"/>
          <w:szCs w:val="18"/>
          <w:color w:val="auto"/>
        </w:rPr>
        <w:t>‑</w:t>
      </w:r>
      <w:r>
        <w:rPr>
          <w:rFonts w:ascii="Arial" w:cs="Arial" w:eastAsia="Arial" w:hAnsi="Arial"/>
          <w:sz w:val="18"/>
          <w:szCs w:val="18"/>
          <w:color w:val="auto"/>
        </w:rPr>
        <w:t>specific circulating biomarkers including serum alpha</w:t>
      </w:r>
      <w:r>
        <w:rPr>
          <w:rFonts w:ascii="MS PGothic" w:cs="MS PGothic" w:eastAsia="MS PGothic" w:hAnsi="MS PGothic"/>
          <w:sz w:val="18"/>
          <w:szCs w:val="18"/>
          <w:color w:val="auto"/>
        </w:rPr>
        <w:t>‑</w:t>
      </w:r>
      <w:r>
        <w:rPr>
          <w:rFonts w:ascii="Arial" w:cs="Arial" w:eastAsia="Arial" w:hAnsi="Arial"/>
          <w:sz w:val="18"/>
          <w:szCs w:val="18"/>
          <w:color w:val="auto"/>
        </w:rPr>
        <w:t>fetoprotein and, when on</w:t>
      </w:r>
      <w:r>
        <w:rPr>
          <w:rFonts w:ascii="MS PGothic" w:cs="MS PGothic" w:eastAsia="MS PGothic" w:hAnsi="MS PGothic"/>
          <w:sz w:val="18"/>
          <w:szCs w:val="18"/>
          <w:color w:val="auto"/>
        </w:rPr>
        <w:t>‑</w:t>
      </w:r>
      <w:r>
        <w:rPr>
          <w:rFonts w:ascii="Arial" w:cs="Arial" w:eastAsia="Arial" w:hAnsi="Arial"/>
          <w:sz w:val="18"/>
          <w:szCs w:val="18"/>
          <w:color w:val="auto"/>
        </w:rPr>
        <w:t>treatment biopsies are available, pharmacodynamic markers such as CYP7A1 expression. Clinical activity will be assessed using MRI and CT imaging to assess overall response rate by RECIST criteria. We anticipate conducting additional trials to support development in front</w:t>
      </w:r>
      <w:r>
        <w:rPr>
          <w:rFonts w:ascii="MS PGothic" w:cs="MS PGothic" w:eastAsia="MS PGothic" w:hAnsi="MS PGothic"/>
          <w:sz w:val="18"/>
          <w:szCs w:val="18"/>
          <w:color w:val="auto"/>
        </w:rPr>
        <w:t>‑</w:t>
      </w:r>
      <w:r>
        <w:rPr>
          <w:rFonts w:ascii="Arial" w:cs="Arial" w:eastAsia="Arial" w:hAnsi="Arial"/>
          <w:sz w:val="18"/>
          <w:szCs w:val="18"/>
          <w:color w:val="auto"/>
        </w:rPr>
        <w:t>line advanced HCC. Additional development beyond HCC will be considered pending further evidence of FGFR4 pathway relevance in cholangiocarcinoma and other solid tumors.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2" w:name="page23"/>
    <w:bookmarkEnd w:id="22"/>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 Program</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left="20" w:right="140" w:firstLine="648"/>
        <w:spacing w:after="0" w:line="182" w:lineRule="exact"/>
        <w:rPr>
          <w:sz w:val="20"/>
          <w:szCs w:val="20"/>
          <w:color w:val="auto"/>
        </w:rPr>
      </w:pPr>
      <w:r>
        <w:rPr>
          <w:rFonts w:ascii="Arial" w:cs="Arial" w:eastAsia="Arial" w:hAnsi="Arial"/>
          <w:sz w:val="17"/>
          <w:szCs w:val="17"/>
          <w:color w:val="auto"/>
        </w:rPr>
        <w:t>BLU-667 is an orally available, potent selective inhibitor of the kinase RET and predicted RET resistant mutants. 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medullary thyroid cancer (approximately 50% of patients), and RET fusions are implicated in several cancers, including papillary thyroid carcinoma (approximately 10% of patients) and non</w:t>
      </w:r>
      <w:r>
        <w:rPr>
          <w:rFonts w:ascii="MS PGothic" w:cs="MS PGothic" w:eastAsia="MS PGothic" w:hAnsi="MS PGothic"/>
          <w:sz w:val="17"/>
          <w:szCs w:val="17"/>
          <w:color w:val="auto"/>
        </w:rPr>
        <w:t>‑</w:t>
      </w:r>
      <w:r>
        <w:rPr>
          <w:rFonts w:ascii="Arial" w:cs="Arial" w:eastAsia="Arial" w:hAnsi="Arial"/>
          <w:sz w:val="17"/>
          <w:szCs w:val="17"/>
          <w:color w:val="auto"/>
        </w:rPr>
        <w:t>small cell lung cancer (1</w:t>
      </w:r>
      <w:r>
        <w:rPr>
          <w:rFonts w:ascii="MS PGothic" w:cs="MS PGothic" w:eastAsia="MS PGothic" w:hAnsi="MS PGothic"/>
          <w:sz w:val="17"/>
          <w:szCs w:val="17"/>
          <w:color w:val="auto"/>
        </w:rPr>
        <w:t>‑</w:t>
      </w:r>
      <w:r>
        <w:rPr>
          <w:rFonts w:ascii="Arial" w:cs="Arial" w:eastAsia="Arial" w:hAnsi="Arial"/>
          <w:sz w:val="17"/>
          <w:szCs w:val="17"/>
          <w:color w:val="auto"/>
        </w:rPr>
        <w:t xml:space="preserve">2% of patients). Our genomics analyses on the landscape of kinase fusions,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 identified RET fusions in breast and colon cancer patient samples (both &lt;1% of patients), providing a therapeutic rationale for the use of RET inhibitors in multiple patient subpopulations.</w:t>
      </w:r>
    </w:p>
    <w:p>
      <w:pPr>
        <w:spacing w:after="0" w:line="162" w:lineRule="exact"/>
        <w:rPr>
          <w:sz w:val="20"/>
          <w:szCs w:val="20"/>
          <w:color w:val="auto"/>
        </w:rPr>
      </w:pPr>
    </w:p>
    <w:p>
      <w:pPr>
        <w:ind w:left="20" w:right="180" w:firstLine="648"/>
        <w:spacing w:after="0" w:line="182" w:lineRule="exact"/>
        <w:rPr>
          <w:sz w:val="20"/>
          <w:szCs w:val="20"/>
          <w:color w:val="auto"/>
        </w:rPr>
      </w:pPr>
      <w:r>
        <w:rPr>
          <w:rFonts w:ascii="Arial" w:cs="Arial" w:eastAsia="Arial" w:hAnsi="Arial"/>
          <w:sz w:val="17"/>
          <w:szCs w:val="17"/>
          <w:color w:val="auto"/>
        </w:rPr>
        <w:t>The identification of RET fusions as drivers in some cancers prompted the use of approved multi</w:t>
      </w:r>
      <w:r>
        <w:rPr>
          <w:rFonts w:ascii="MS PGothic" w:cs="MS PGothic" w:eastAsia="MS PGothic" w:hAnsi="MS PGothic"/>
          <w:sz w:val="17"/>
          <w:szCs w:val="17"/>
          <w:color w:val="auto"/>
        </w:rPr>
        <w:t>‑</w:t>
      </w:r>
      <w:r>
        <w:rPr>
          <w:rFonts w:ascii="Arial" w:cs="Arial" w:eastAsia="Arial" w:hAnsi="Arial"/>
          <w:sz w:val="17"/>
          <w:szCs w:val="17"/>
          <w:color w:val="auto"/>
        </w:rPr>
        <w:t>kinase inhibitors with RET inhibitory activity to treat patients whose tumors express a RET fusion protein. However, we believe these drugs cannot be dosed at levels required to sufficiently inhibit RET due to toxicities that result from inhibition of the primary targets. Further, one of the greatest challenges in treating cancer is the ability of tumor cells to become resistant to therapy. Kinase reactivation via mutation is a common mechanism of resistance. We have predicted future resistance mutations of drugs with RET inhibitory activity and are collaborating with opinion leaders to understand patterns of emerging clinical resistance. Thus, there is a clear need for a selective RET inhibitor that targets both wild</w:t>
      </w:r>
      <w:r>
        <w:rPr>
          <w:rFonts w:ascii="MS PGothic" w:cs="MS PGothic" w:eastAsia="MS PGothic" w:hAnsi="MS PGothic"/>
          <w:sz w:val="17"/>
          <w:szCs w:val="17"/>
          <w:color w:val="auto"/>
        </w:rPr>
        <w:t>‑</w:t>
      </w:r>
      <w:r>
        <w:rPr>
          <w:rFonts w:ascii="Arial" w:cs="Arial" w:eastAsia="Arial" w:hAnsi="Arial"/>
          <w:sz w:val="17"/>
          <w:szCs w:val="17"/>
          <w:color w:val="auto"/>
        </w:rPr>
        <w:t>type RET fusions and their predicted RET resistant mutants.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BLU-667 Pre-clinical Development in RET</w:t>
      </w:r>
    </w:p>
    <w:p>
      <w:pPr>
        <w:spacing w:after="0" w:line="185" w:lineRule="exact"/>
        <w:rPr>
          <w:sz w:val="20"/>
          <w:szCs w:val="20"/>
          <w:color w:val="auto"/>
        </w:rPr>
      </w:pPr>
    </w:p>
    <w:p>
      <w:pPr>
        <w:ind w:left="20" w:right="200" w:firstLine="648"/>
        <w:spacing w:after="0" w:line="194" w:lineRule="exact"/>
        <w:rPr>
          <w:sz w:val="20"/>
          <w:szCs w:val="20"/>
          <w:color w:val="auto"/>
        </w:rPr>
      </w:pPr>
      <w:r>
        <w:rPr>
          <w:rFonts w:ascii="Arial" w:cs="Arial" w:eastAsia="Arial" w:hAnsi="Arial"/>
          <w:sz w:val="18"/>
          <w:szCs w:val="18"/>
          <w:color w:val="auto"/>
        </w:rPr>
        <w:t>We have conducted pre-clinical experiments to characterize the potency of BLU-667 and BLU6864, a structurally related compound that we identified in the course of developing BLU-667, that inhibits both wild</w:t>
      </w:r>
      <w:r>
        <w:rPr>
          <w:rFonts w:ascii="MS PGothic" w:cs="MS PGothic" w:eastAsia="MS PGothic" w:hAnsi="MS PGothic"/>
          <w:sz w:val="18"/>
          <w:szCs w:val="18"/>
          <w:color w:val="auto"/>
        </w:rPr>
        <w:t>‑</w:t>
      </w:r>
      <w:r>
        <w:rPr>
          <w:rFonts w:ascii="Arial" w:cs="Arial" w:eastAsia="Arial" w:hAnsi="Arial"/>
          <w:sz w:val="18"/>
          <w:szCs w:val="18"/>
          <w:color w:val="auto"/>
        </w:rPr>
        <w:t>type and mutant RET kinases, in biochemical and cellular assays.</w:t>
      </w:r>
    </w:p>
    <w:p>
      <w:pPr>
        <w:spacing w:after="0" w:line="163" w:lineRule="exact"/>
        <w:rPr>
          <w:sz w:val="20"/>
          <w:szCs w:val="20"/>
          <w:color w:val="auto"/>
        </w:rPr>
      </w:pPr>
    </w:p>
    <w:p>
      <w:pPr>
        <w:ind w:left="20" w:right="420" w:firstLine="648"/>
        <w:spacing w:after="0" w:line="211" w:lineRule="exact"/>
        <w:rPr>
          <w:sz w:val="20"/>
          <w:szCs w:val="20"/>
          <w:color w:val="auto"/>
        </w:rPr>
      </w:pPr>
      <w:r>
        <w:rPr>
          <w:rFonts w:ascii="Arial" w:cs="Arial" w:eastAsia="Arial" w:hAnsi="Arial"/>
          <w:sz w:val="16"/>
          <w:szCs w:val="16"/>
          <w:color w:val="auto"/>
        </w:rPr>
        <w:t>BLU-667 and BLU6864 potently inhibit the kinase activity of both wild</w:t>
      </w:r>
      <w:r>
        <w:rPr>
          <w:rFonts w:ascii="MS PGothic" w:cs="MS PGothic" w:eastAsia="MS PGothic" w:hAnsi="MS PGothic"/>
          <w:sz w:val="16"/>
          <w:szCs w:val="16"/>
          <w:color w:val="auto"/>
        </w:rPr>
        <w:t>‑</w:t>
      </w:r>
      <w:r>
        <w:rPr>
          <w:rFonts w:ascii="Arial" w:cs="Arial" w:eastAsia="Arial" w:hAnsi="Arial"/>
          <w:sz w:val="16"/>
          <w:szCs w:val="16"/>
          <w:color w:val="auto"/>
        </w:rPr>
        <w:t xml:space="preserve">type RET and predicted RET resistant mutants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(BLU-667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0.5 nM and 0.3 nM, respectively, and BLU6864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1.5 nM and 0.9 nM,</w:t>
      </w:r>
    </w:p>
    <w:p>
      <w:pPr>
        <w:spacing w:after="0" w:line="1" w:lineRule="exact"/>
        <w:rPr>
          <w:sz w:val="20"/>
          <w:szCs w:val="20"/>
          <w:color w:val="auto"/>
        </w:rPr>
      </w:pPr>
    </w:p>
    <w:p>
      <w:pPr>
        <w:ind w:left="20"/>
        <w:spacing w:after="0" w:line="189" w:lineRule="exact"/>
        <w:rPr>
          <w:sz w:val="20"/>
          <w:szCs w:val="20"/>
          <w:color w:val="auto"/>
        </w:rPr>
      </w:pPr>
      <w:r>
        <w:rPr>
          <w:rFonts w:ascii="Arial" w:cs="Arial" w:eastAsia="Arial" w:hAnsi="Arial"/>
          <w:sz w:val="16"/>
          <w:szCs w:val="16"/>
          <w:color w:val="auto"/>
        </w:rPr>
        <w:t>respectively). We have also assessed a panel of seven clinically</w:t>
      </w:r>
      <w:r>
        <w:rPr>
          <w:rFonts w:ascii="MS PGothic" w:cs="MS PGothic" w:eastAsia="MS PGothic" w:hAnsi="MS PGothic"/>
          <w:sz w:val="16"/>
          <w:szCs w:val="16"/>
          <w:color w:val="auto"/>
        </w:rPr>
        <w:t>‑</w:t>
      </w:r>
      <w:r>
        <w:rPr>
          <w:rFonts w:ascii="Arial" w:cs="Arial" w:eastAsia="Arial" w:hAnsi="Arial"/>
          <w:sz w:val="16"/>
          <w:szCs w:val="16"/>
          <w:color w:val="auto"/>
        </w:rPr>
        <w:t>approved multi</w:t>
      </w:r>
      <w:r>
        <w:rPr>
          <w:rFonts w:ascii="MS PGothic" w:cs="MS PGothic" w:eastAsia="MS PGothic" w:hAnsi="MS PGothic"/>
          <w:sz w:val="16"/>
          <w:szCs w:val="16"/>
          <w:color w:val="auto"/>
        </w:rPr>
        <w:t>‑</w:t>
      </w:r>
      <w:r>
        <w:rPr>
          <w:rFonts w:ascii="Arial" w:cs="Arial" w:eastAsia="Arial" w:hAnsi="Arial"/>
          <w:sz w:val="16"/>
          <w:szCs w:val="16"/>
          <w:color w:val="auto"/>
        </w:rPr>
        <w:t>kinase inhibitors with RET inhibitory activity in these assays. These compounds inhibit the kinase activity of the RET resistant mutant between 1 to &gt;1000</w:t>
      </w:r>
      <w:r>
        <w:rPr>
          <w:rFonts w:ascii="MS PGothic" w:cs="MS PGothic" w:eastAsia="MS PGothic" w:hAnsi="MS PGothic"/>
          <w:sz w:val="16"/>
          <w:szCs w:val="16"/>
          <w:color w:val="auto"/>
        </w:rPr>
        <w:t>‑</w:t>
      </w:r>
      <w:r>
        <w:rPr>
          <w:rFonts w:ascii="Arial" w:cs="Arial" w:eastAsia="Arial" w:hAnsi="Arial"/>
          <w:sz w:val="16"/>
          <w:szCs w:val="16"/>
          <w:color w:val="auto"/>
        </w:rPr>
        <w:t>fold less potently than wild</w:t>
      </w:r>
      <w:r>
        <w:rPr>
          <w:rFonts w:ascii="MS PGothic" w:cs="MS PGothic" w:eastAsia="MS PGothic" w:hAnsi="MS PGothic"/>
          <w:sz w:val="16"/>
          <w:szCs w:val="16"/>
          <w:color w:val="auto"/>
        </w:rPr>
        <w:t>‑</w:t>
      </w:r>
      <w:r>
        <w:rPr>
          <w:rFonts w:ascii="Arial" w:cs="Arial" w:eastAsia="Arial" w:hAnsi="Arial"/>
          <w:sz w:val="16"/>
          <w:szCs w:val="16"/>
          <w:color w:val="auto"/>
        </w:rPr>
        <w:t>type RET. In cellular models driven by either a wild</w:t>
      </w:r>
      <w:r>
        <w:rPr>
          <w:rFonts w:ascii="MS PGothic" w:cs="MS PGothic" w:eastAsia="MS PGothic" w:hAnsi="MS PGothic"/>
          <w:sz w:val="16"/>
          <w:szCs w:val="16"/>
          <w:color w:val="auto"/>
        </w:rPr>
        <w:t>‑</w:t>
      </w:r>
      <w:r>
        <w:rPr>
          <w:rFonts w:ascii="Arial" w:cs="Arial" w:eastAsia="Arial" w:hAnsi="Arial"/>
          <w:sz w:val="16"/>
          <w:szCs w:val="16"/>
          <w:color w:val="auto"/>
        </w:rPr>
        <w:t>type RET fusion or resistant RET fusions, BLU-667 and BLU6864 exhibited similar potent growth inhibitory activity in both cell lines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105 nM and 160 nM,</w:t>
      </w:r>
    </w:p>
    <w:p>
      <w:pPr>
        <w:spacing w:after="0" w:line="1" w:lineRule="exact"/>
        <w:rPr>
          <w:sz w:val="20"/>
          <w:szCs w:val="20"/>
          <w:color w:val="auto"/>
        </w:rPr>
      </w:pPr>
    </w:p>
    <w:p>
      <w:pPr>
        <w:ind w:left="20" w:right="80"/>
        <w:spacing w:after="0" w:line="195" w:lineRule="exact"/>
        <w:rPr>
          <w:sz w:val="20"/>
          <w:szCs w:val="20"/>
          <w:color w:val="auto"/>
        </w:rPr>
      </w:pPr>
      <w:r>
        <w:rPr>
          <w:rFonts w:ascii="Arial" w:cs="Arial" w:eastAsia="Arial" w:hAnsi="Arial"/>
          <w:sz w:val="18"/>
          <w:szCs w:val="18"/>
          <w:color w:val="auto"/>
        </w:rPr>
        <w:t>respectively). In contrast, the multi</w:t>
      </w:r>
      <w:r>
        <w:rPr>
          <w:rFonts w:ascii="MS PGothic" w:cs="MS PGothic" w:eastAsia="MS PGothic" w:hAnsi="MS PGothic"/>
          <w:sz w:val="18"/>
          <w:szCs w:val="18"/>
          <w:color w:val="auto"/>
        </w:rPr>
        <w:t>‑</w:t>
      </w:r>
      <w:r>
        <w:rPr>
          <w:rFonts w:ascii="Arial" w:cs="Arial" w:eastAsia="Arial" w:hAnsi="Arial"/>
          <w:sz w:val="18"/>
          <w:szCs w:val="18"/>
          <w:color w:val="auto"/>
        </w:rPr>
        <w:t>kinase inhibitors exhibited between 1 to &gt;100</w:t>
      </w:r>
      <w:r>
        <w:rPr>
          <w:rFonts w:ascii="MS PGothic" w:cs="MS PGothic" w:eastAsia="MS PGothic" w:hAnsi="MS PGothic"/>
          <w:sz w:val="18"/>
          <w:szCs w:val="18"/>
          <w:color w:val="auto"/>
        </w:rPr>
        <w:t>‑</w:t>
      </w:r>
      <w:r>
        <w:rPr>
          <w:rFonts w:ascii="Arial" w:cs="Arial" w:eastAsia="Arial" w:hAnsi="Arial"/>
          <w:sz w:val="18"/>
          <w:szCs w:val="18"/>
          <w:color w:val="auto"/>
        </w:rPr>
        <w:t>fold less growth inhibitory activity against the cell line driven by the mutant RET fusion as compared to the wild</w:t>
      </w:r>
      <w:r>
        <w:rPr>
          <w:rFonts w:ascii="MS PGothic" w:cs="MS PGothic" w:eastAsia="MS PGothic" w:hAnsi="MS PGothic"/>
          <w:sz w:val="18"/>
          <w:szCs w:val="18"/>
          <w:color w:val="auto"/>
        </w:rPr>
        <w:t>‑</w:t>
      </w:r>
      <w:r>
        <w:rPr>
          <w:rFonts w:ascii="Arial" w:cs="Arial" w:eastAsia="Arial" w:hAnsi="Arial"/>
          <w:sz w:val="18"/>
          <w:szCs w:val="18"/>
          <w:color w:val="auto"/>
        </w:rPr>
        <w:t>type RET fusion.</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60" w:type="dxa"/>
            <w:vAlign w:val="bottom"/>
            <w:tcBorders>
              <w:bottom w:val="single" w:sz="8" w:color="auto"/>
              <w:right w:val="single" w:sz="8" w:color="auto"/>
            </w:tcBorders>
          </w:tcPr>
          <w:p>
            <w:pPr>
              <w:spacing w:after="0"/>
              <w:rPr>
                <w:sz w:val="18"/>
                <w:szCs w:val="18"/>
                <w:color w:val="auto"/>
              </w:rPr>
            </w:pPr>
          </w:p>
        </w:tc>
        <w:tc>
          <w:tcPr>
            <w:tcW w:w="920" w:type="dxa"/>
            <w:vAlign w:val="bottom"/>
            <w:tcBorders>
              <w:top w:val="single" w:sz="8" w:color="auto"/>
              <w:bottom w:val="single" w:sz="8" w:color="auto"/>
              <w:right w:val="single" w:sz="8" w:color="44546A"/>
            </w:tcBorders>
            <w:shd w:val="clear" w:color="auto" w:fill="44546A"/>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44546A"/>
          </w:tcPr>
          <w:p>
            <w:pPr>
              <w:ind w:left="40"/>
              <w:spacing w:after="0" w:line="202" w:lineRule="exact"/>
              <w:rPr>
                <w:sz w:val="20"/>
                <w:szCs w:val="20"/>
                <w:color w:val="auto"/>
              </w:rPr>
            </w:pPr>
            <w:r>
              <w:rPr>
                <w:rFonts w:ascii="Arial" w:cs="Arial" w:eastAsia="Arial" w:hAnsi="Arial"/>
                <w:sz w:val="18"/>
                <w:szCs w:val="18"/>
                <w:b w:val="1"/>
                <w:bCs w:val="1"/>
                <w:color w:val="FFFFFF"/>
                <w:w w:val="90"/>
              </w:rPr>
              <w:t>Biochemical</w:t>
            </w:r>
          </w:p>
        </w:tc>
        <w:tc>
          <w:tcPr>
            <w:tcW w:w="940" w:type="dxa"/>
            <w:vAlign w:val="bottom"/>
            <w:tcBorders>
              <w:top w:val="single" w:sz="8" w:color="auto"/>
              <w:bottom w:val="single" w:sz="8" w:color="auto"/>
              <w:right w:val="single" w:sz="8" w:color="auto"/>
            </w:tcBorders>
            <w:shd w:val="clear" w:color="auto" w:fill="44546A"/>
          </w:tcPr>
          <w:p>
            <w:pPr>
              <w:spacing w:after="0"/>
              <w:rPr>
                <w:sz w:val="18"/>
                <w:szCs w:val="18"/>
                <w:color w:val="auto"/>
              </w:rPr>
            </w:pPr>
          </w:p>
        </w:tc>
        <w:tc>
          <w:tcPr>
            <w:tcW w:w="2040" w:type="dxa"/>
            <w:vAlign w:val="bottom"/>
            <w:tcBorders>
              <w:top w:val="single" w:sz="8" w:color="auto"/>
              <w:bottom w:val="single" w:sz="8" w:color="auto"/>
              <w:right w:val="single" w:sz="8" w:color="auto"/>
            </w:tcBorders>
            <w:gridSpan w:val="2"/>
            <w:shd w:val="clear" w:color="auto" w:fill="44546A"/>
          </w:tcPr>
          <w:p>
            <w:pPr>
              <w:ind w:left="700"/>
              <w:spacing w:after="0" w:line="202" w:lineRule="exact"/>
              <w:rPr>
                <w:sz w:val="20"/>
                <w:szCs w:val="20"/>
                <w:color w:val="auto"/>
              </w:rPr>
            </w:pPr>
            <w:r>
              <w:rPr>
                <w:rFonts w:ascii="Arial" w:cs="Arial" w:eastAsia="Arial" w:hAnsi="Arial"/>
                <w:sz w:val="18"/>
                <w:szCs w:val="18"/>
                <w:b w:val="1"/>
                <w:bCs w:val="1"/>
                <w:color w:val="FFFFFF"/>
              </w:rPr>
              <w:t>Cellular</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shd w:val="clear" w:color="auto" w:fill="9CC2E5"/>
          </w:tcPr>
          <w:p>
            <w:pPr>
              <w:spacing w:after="0"/>
              <w:rPr>
                <w:sz w:val="12"/>
                <w:szCs w:val="12"/>
                <w:color w:val="auto"/>
              </w:rPr>
            </w:pPr>
          </w:p>
        </w:tc>
        <w:tc>
          <w:tcPr>
            <w:tcW w:w="920" w:type="dxa"/>
            <w:vAlign w:val="bottom"/>
            <w:tcBorders>
              <w:right w:val="single" w:sz="8" w:color="auto"/>
            </w:tcBorders>
            <w:shd w:val="clear" w:color="auto" w:fill="9CC2E5"/>
          </w:tcPr>
          <w:p>
            <w:pPr>
              <w:spacing w:after="0"/>
              <w:rPr>
                <w:sz w:val="12"/>
                <w:szCs w:val="12"/>
                <w:color w:val="auto"/>
              </w:rPr>
            </w:pPr>
          </w:p>
        </w:tc>
        <w:tc>
          <w:tcPr>
            <w:tcW w:w="940" w:type="dxa"/>
            <w:vAlign w:val="bottom"/>
            <w:tcBorders>
              <w:right w:val="single" w:sz="8" w:color="auto"/>
            </w:tcBorders>
            <w:shd w:val="clear" w:color="auto" w:fill="9CC2E5"/>
          </w:tcPr>
          <w:p>
            <w:pPr>
              <w:jc w:val="center"/>
              <w:spacing w:after="0" w:line="149" w:lineRule="exact"/>
              <w:rPr>
                <w:sz w:val="20"/>
                <w:szCs w:val="20"/>
                <w:color w:val="auto"/>
              </w:rPr>
            </w:pPr>
            <w:r>
              <w:rPr>
                <w:rFonts w:ascii="Arial" w:cs="Arial" w:eastAsia="Arial" w:hAnsi="Arial"/>
                <w:sz w:val="17"/>
                <w:szCs w:val="17"/>
                <w:b w:val="1"/>
                <w:bCs w:val="1"/>
                <w:color w:val="auto"/>
              </w:rPr>
              <w:t>RET</w:t>
            </w:r>
          </w:p>
        </w:tc>
        <w:tc>
          <w:tcPr>
            <w:tcW w:w="80" w:type="dxa"/>
            <w:vAlign w:val="bottom"/>
            <w:shd w:val="clear" w:color="auto" w:fill="9CC2E5"/>
          </w:tcPr>
          <w:p>
            <w:pPr>
              <w:spacing w:after="0"/>
              <w:rPr>
                <w:sz w:val="12"/>
                <w:szCs w:val="12"/>
                <w:color w:val="auto"/>
              </w:rPr>
            </w:pPr>
          </w:p>
        </w:tc>
        <w:tc>
          <w:tcPr>
            <w:tcW w:w="940" w:type="dxa"/>
            <w:vAlign w:val="bottom"/>
            <w:tcBorders>
              <w:right w:val="single" w:sz="8" w:color="auto"/>
            </w:tcBorders>
            <w:vMerge w:val="restart"/>
            <w:shd w:val="clear" w:color="auto" w:fill="9CC2E5"/>
          </w:tcPr>
          <w:p>
            <w:pPr>
              <w:ind w:left="200"/>
              <w:spacing w:after="0"/>
              <w:rPr>
                <w:sz w:val="20"/>
                <w:szCs w:val="20"/>
                <w:color w:val="auto"/>
              </w:rPr>
            </w:pPr>
            <w:r>
              <w:rPr>
                <w:rFonts w:ascii="Arial" w:cs="Arial" w:eastAsia="Arial" w:hAnsi="Arial"/>
                <w:sz w:val="18"/>
                <w:szCs w:val="18"/>
                <w:b w:val="1"/>
                <w:bCs w:val="1"/>
                <w:color w:val="auto"/>
              </w:rPr>
              <w:t>KDR/</w:t>
            </w:r>
          </w:p>
        </w:tc>
        <w:tc>
          <w:tcPr>
            <w:tcW w:w="920" w:type="dxa"/>
            <w:vAlign w:val="bottom"/>
            <w:tcBorders>
              <w:right w:val="single" w:sz="8" w:color="auto"/>
            </w:tcBorders>
            <w:shd w:val="clear" w:color="auto" w:fill="9CC2E5"/>
          </w:tcPr>
          <w:p>
            <w:pPr>
              <w:spacing w:after="0"/>
              <w:rPr>
                <w:sz w:val="12"/>
                <w:szCs w:val="12"/>
                <w:color w:val="auto"/>
              </w:rPr>
            </w:pPr>
          </w:p>
        </w:tc>
        <w:tc>
          <w:tcPr>
            <w:tcW w:w="1120" w:type="dxa"/>
            <w:vAlign w:val="bottom"/>
            <w:tcBorders>
              <w:right w:val="single" w:sz="8" w:color="auto"/>
            </w:tcBorders>
            <w:shd w:val="clear" w:color="auto" w:fill="9CC2E5"/>
          </w:tcPr>
          <w:p>
            <w:pPr>
              <w:jc w:val="center"/>
              <w:spacing w:after="0" w:line="149" w:lineRule="exact"/>
              <w:rPr>
                <w:sz w:val="20"/>
                <w:szCs w:val="20"/>
                <w:color w:val="auto"/>
              </w:rPr>
            </w:pPr>
            <w:r>
              <w:rPr>
                <w:rFonts w:ascii="Arial" w:cs="Arial" w:eastAsia="Arial" w:hAnsi="Arial"/>
                <w:sz w:val="17"/>
                <w:szCs w:val="17"/>
                <w:b w:val="1"/>
                <w:bCs w:val="1"/>
                <w:color w:val="auto"/>
              </w:rPr>
              <w:t>RET</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vMerge w:val="restart"/>
            <w:shd w:val="clear" w:color="auto" w:fill="9CC2E5"/>
          </w:tcPr>
          <w:p>
            <w:pPr>
              <w:ind w:left="820"/>
              <w:spacing w:after="0"/>
              <w:rPr>
                <w:sz w:val="20"/>
                <w:szCs w:val="20"/>
                <w:color w:val="auto"/>
              </w:rPr>
            </w:pPr>
            <w:r>
              <w:rPr>
                <w:rFonts w:ascii="Arial" w:cs="Arial" w:eastAsia="Arial" w:hAnsi="Arial"/>
                <w:sz w:val="18"/>
                <w:szCs w:val="18"/>
                <w:b w:val="1"/>
                <w:bCs w:val="1"/>
                <w:color w:val="auto"/>
              </w:rPr>
              <w:t>IC</w:t>
            </w:r>
            <w:r>
              <w:rPr>
                <w:rFonts w:ascii="Arial" w:cs="Arial" w:eastAsia="Arial" w:hAnsi="Arial"/>
                <w:sz w:val="30"/>
                <w:szCs w:val="30"/>
                <w:b w:val="1"/>
                <w:bCs w:val="1"/>
                <w:color w:val="auto"/>
                <w:vertAlign w:val="subscript"/>
              </w:rPr>
              <w:t>50</w:t>
            </w:r>
            <w:r>
              <w:rPr>
                <w:rFonts w:ascii="Arial" w:cs="Arial" w:eastAsia="Arial" w:hAnsi="Arial"/>
                <w:sz w:val="18"/>
                <w:szCs w:val="18"/>
                <w:b w:val="1"/>
                <w:bCs w:val="1"/>
                <w:color w:val="auto"/>
              </w:rPr>
              <w:t>(nM)</w:t>
            </w:r>
          </w:p>
        </w:tc>
        <w:tc>
          <w:tcPr>
            <w:tcW w:w="920" w:type="dxa"/>
            <w:vAlign w:val="bottom"/>
            <w:tcBorders>
              <w:right w:val="single" w:sz="8" w:color="auto"/>
            </w:tcBorders>
            <w:vMerge w:val="restart"/>
            <w:shd w:val="clear" w:color="auto" w:fill="9CC2E5"/>
          </w:tcPr>
          <w:p>
            <w:pPr>
              <w:ind w:left="140"/>
              <w:spacing w:after="0"/>
              <w:rPr>
                <w:sz w:val="20"/>
                <w:szCs w:val="20"/>
                <w:color w:val="auto"/>
              </w:rPr>
            </w:pPr>
            <w:r>
              <w:rPr>
                <w:rFonts w:ascii="Arial" w:cs="Arial" w:eastAsia="Arial" w:hAnsi="Arial"/>
                <w:sz w:val="18"/>
                <w:szCs w:val="18"/>
                <w:b w:val="1"/>
                <w:bCs w:val="1"/>
                <w:color w:val="auto"/>
              </w:rPr>
              <w:t>RET wt</w:t>
            </w:r>
          </w:p>
        </w:tc>
        <w:tc>
          <w:tcPr>
            <w:tcW w:w="940" w:type="dxa"/>
            <w:vAlign w:val="bottom"/>
            <w:tcBorders>
              <w:right w:val="single" w:sz="8" w:color="auto"/>
            </w:tcBorders>
            <w:shd w:val="clear" w:color="auto" w:fill="9CC2E5"/>
          </w:tcPr>
          <w:p>
            <w:pPr>
              <w:jc w:val="center"/>
              <w:spacing w:after="0" w:line="176" w:lineRule="exact"/>
              <w:rPr>
                <w:sz w:val="20"/>
                <w:szCs w:val="20"/>
                <w:color w:val="auto"/>
              </w:rPr>
            </w:pPr>
            <w:r>
              <w:rPr>
                <w:rFonts w:ascii="Arial" w:cs="Arial" w:eastAsia="Arial" w:hAnsi="Arial"/>
                <w:sz w:val="18"/>
                <w:szCs w:val="18"/>
                <w:b w:val="1"/>
                <w:bCs w:val="1"/>
                <w:color w:val="auto"/>
                <w:w w:val="88"/>
              </w:rPr>
              <w:t>Resistant</w:t>
            </w:r>
          </w:p>
        </w:tc>
        <w:tc>
          <w:tcPr>
            <w:tcW w:w="80" w:type="dxa"/>
            <w:vAlign w:val="bottom"/>
            <w:shd w:val="clear" w:color="auto" w:fill="9CC2E5"/>
          </w:tcPr>
          <w:p>
            <w:pPr>
              <w:spacing w:after="0"/>
              <w:rPr>
                <w:sz w:val="15"/>
                <w:szCs w:val="15"/>
                <w:color w:val="auto"/>
              </w:rPr>
            </w:pPr>
          </w:p>
        </w:tc>
        <w:tc>
          <w:tcPr>
            <w:tcW w:w="940" w:type="dxa"/>
            <w:vAlign w:val="bottom"/>
            <w:tcBorders>
              <w:right w:val="single" w:sz="8" w:color="auto"/>
            </w:tcBorders>
            <w:vMerge w:val="continue"/>
            <w:shd w:val="clear" w:color="auto" w:fill="9CC2E5"/>
          </w:tcPr>
          <w:p>
            <w:pPr>
              <w:spacing w:after="0"/>
              <w:rPr>
                <w:sz w:val="15"/>
                <w:szCs w:val="15"/>
                <w:color w:val="auto"/>
              </w:rPr>
            </w:pPr>
          </w:p>
        </w:tc>
        <w:tc>
          <w:tcPr>
            <w:tcW w:w="920" w:type="dxa"/>
            <w:vAlign w:val="bottom"/>
            <w:tcBorders>
              <w:right w:val="single" w:sz="8" w:color="auto"/>
            </w:tcBorders>
            <w:vMerge w:val="restart"/>
            <w:shd w:val="clear" w:color="auto" w:fill="9CC2E5"/>
          </w:tcPr>
          <w:p>
            <w:pPr>
              <w:ind w:left="160"/>
              <w:spacing w:after="0"/>
              <w:rPr>
                <w:sz w:val="20"/>
                <w:szCs w:val="20"/>
                <w:color w:val="auto"/>
              </w:rPr>
            </w:pPr>
            <w:r>
              <w:rPr>
                <w:rFonts w:ascii="Arial" w:cs="Arial" w:eastAsia="Arial" w:hAnsi="Arial"/>
                <w:sz w:val="18"/>
                <w:szCs w:val="18"/>
                <w:b w:val="1"/>
                <w:bCs w:val="1"/>
                <w:color w:val="auto"/>
              </w:rPr>
              <w:t>RET wt</w:t>
            </w:r>
          </w:p>
        </w:tc>
        <w:tc>
          <w:tcPr>
            <w:tcW w:w="1120" w:type="dxa"/>
            <w:vAlign w:val="bottom"/>
            <w:tcBorders>
              <w:right w:val="single" w:sz="8" w:color="auto"/>
            </w:tcBorders>
            <w:shd w:val="clear" w:color="auto" w:fill="9CC2E5"/>
          </w:tcPr>
          <w:p>
            <w:pPr>
              <w:jc w:val="center"/>
              <w:spacing w:after="0" w:line="176" w:lineRule="exact"/>
              <w:rPr>
                <w:sz w:val="20"/>
                <w:szCs w:val="20"/>
                <w:color w:val="auto"/>
              </w:rPr>
            </w:pPr>
            <w:r>
              <w:rPr>
                <w:rFonts w:ascii="Arial" w:cs="Arial" w:eastAsia="Arial" w:hAnsi="Arial"/>
                <w:sz w:val="18"/>
                <w:szCs w:val="18"/>
                <w:b w:val="1"/>
                <w:bCs w:val="1"/>
                <w:color w:val="auto"/>
                <w:w w:val="88"/>
              </w:rPr>
              <w:t>Resistant</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bottom w:val="single" w:sz="8" w:color="auto"/>
              <w:right w:val="single" w:sz="8" w:color="auto"/>
            </w:tcBorders>
            <w:vMerge w:val="continue"/>
            <w:shd w:val="clear" w:color="auto" w:fill="9CC2E5"/>
          </w:tcPr>
          <w:p>
            <w:pPr>
              <w:spacing w:after="0"/>
              <w:rPr>
                <w:sz w:val="18"/>
                <w:szCs w:val="18"/>
                <w:color w:val="auto"/>
              </w:rPr>
            </w:pPr>
          </w:p>
        </w:tc>
        <w:tc>
          <w:tcPr>
            <w:tcW w:w="920" w:type="dxa"/>
            <w:vAlign w:val="bottom"/>
            <w:tcBorders>
              <w:bottom w:val="single" w:sz="8" w:color="auto"/>
              <w:right w:val="single" w:sz="8" w:color="auto"/>
            </w:tcBorders>
            <w:vMerge w:val="continue"/>
            <w:shd w:val="clear" w:color="auto" w:fill="9CC2E5"/>
          </w:tcPr>
          <w:p>
            <w:pPr>
              <w:spacing w:after="0"/>
              <w:rPr>
                <w:sz w:val="18"/>
                <w:szCs w:val="18"/>
                <w:color w:val="auto"/>
              </w:rPr>
            </w:pPr>
          </w:p>
        </w:tc>
        <w:tc>
          <w:tcPr>
            <w:tcW w:w="940" w:type="dxa"/>
            <w:vAlign w:val="bottom"/>
            <w:tcBorders>
              <w:bottom w:val="single" w:sz="8" w:color="auto"/>
              <w:right w:val="single" w:sz="8" w:color="auto"/>
            </w:tcBorders>
            <w:shd w:val="clear" w:color="auto" w:fill="9CC2E5"/>
          </w:tcPr>
          <w:p>
            <w:pPr>
              <w:jc w:val="center"/>
              <w:spacing w:after="0" w:line="202" w:lineRule="exact"/>
              <w:rPr>
                <w:sz w:val="20"/>
                <w:szCs w:val="20"/>
                <w:color w:val="auto"/>
              </w:rPr>
            </w:pPr>
            <w:r>
              <w:rPr>
                <w:rFonts w:ascii="Arial" w:cs="Arial" w:eastAsia="Arial" w:hAnsi="Arial"/>
                <w:sz w:val="18"/>
                <w:szCs w:val="18"/>
                <w:b w:val="1"/>
                <w:bCs w:val="1"/>
                <w:color w:val="auto"/>
                <w:w w:val="98"/>
              </w:rPr>
              <w:t>Mutant</w:t>
            </w:r>
          </w:p>
        </w:tc>
        <w:tc>
          <w:tcPr>
            <w:tcW w:w="80" w:type="dxa"/>
            <w:vAlign w:val="bottom"/>
            <w:tcBorders>
              <w:bottom w:val="single" w:sz="8" w:color="auto"/>
            </w:tcBorders>
            <w:shd w:val="clear" w:color="auto" w:fill="9CC2E5"/>
          </w:tcPr>
          <w:p>
            <w:pPr>
              <w:spacing w:after="0"/>
              <w:rPr>
                <w:sz w:val="18"/>
                <w:szCs w:val="18"/>
                <w:color w:val="auto"/>
              </w:rPr>
            </w:pPr>
          </w:p>
        </w:tc>
        <w:tc>
          <w:tcPr>
            <w:tcW w:w="940" w:type="dxa"/>
            <w:vAlign w:val="bottom"/>
            <w:tcBorders>
              <w:bottom w:val="single" w:sz="8" w:color="auto"/>
              <w:right w:val="single" w:sz="8" w:color="auto"/>
            </w:tcBorders>
            <w:shd w:val="clear" w:color="auto" w:fill="9CC2E5"/>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VEGFR2</w:t>
            </w:r>
          </w:p>
        </w:tc>
        <w:tc>
          <w:tcPr>
            <w:tcW w:w="920" w:type="dxa"/>
            <w:vAlign w:val="bottom"/>
            <w:tcBorders>
              <w:bottom w:val="single" w:sz="8" w:color="auto"/>
              <w:right w:val="single" w:sz="8" w:color="auto"/>
            </w:tcBorders>
            <w:vMerge w:val="continue"/>
            <w:shd w:val="clear" w:color="auto" w:fill="9CC2E5"/>
          </w:tcPr>
          <w:p>
            <w:pPr>
              <w:spacing w:after="0"/>
              <w:rPr>
                <w:sz w:val="18"/>
                <w:szCs w:val="18"/>
                <w:color w:val="auto"/>
              </w:rPr>
            </w:pPr>
          </w:p>
        </w:tc>
        <w:tc>
          <w:tcPr>
            <w:tcW w:w="1120" w:type="dxa"/>
            <w:vAlign w:val="bottom"/>
            <w:tcBorders>
              <w:bottom w:val="single" w:sz="8" w:color="auto"/>
              <w:right w:val="single" w:sz="8" w:color="auto"/>
            </w:tcBorders>
            <w:shd w:val="clear" w:color="auto" w:fill="9CC2E5"/>
          </w:tcPr>
          <w:p>
            <w:pPr>
              <w:jc w:val="center"/>
              <w:spacing w:after="0" w:line="202" w:lineRule="exact"/>
              <w:rPr>
                <w:sz w:val="20"/>
                <w:szCs w:val="20"/>
                <w:color w:val="auto"/>
              </w:rPr>
            </w:pPr>
            <w:r>
              <w:rPr>
                <w:rFonts w:ascii="Arial" w:cs="Arial" w:eastAsia="Arial" w:hAnsi="Arial"/>
                <w:sz w:val="18"/>
                <w:szCs w:val="18"/>
                <w:b w:val="1"/>
                <w:bCs w:val="1"/>
                <w:color w:val="auto"/>
                <w:w w:val="98"/>
              </w:rPr>
              <w:t>Mutant</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bottom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BLU-667</w:t>
            </w:r>
          </w:p>
        </w:tc>
        <w:tc>
          <w:tcPr>
            <w:tcW w:w="9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0.5</w:t>
            </w:r>
          </w:p>
        </w:tc>
        <w:tc>
          <w:tcPr>
            <w:tcW w:w="9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0.3</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ind w:right="30"/>
              <w:spacing w:after="0" w:line="176" w:lineRule="exact"/>
              <w:rPr>
                <w:sz w:val="20"/>
                <w:szCs w:val="20"/>
                <w:color w:val="auto"/>
              </w:rPr>
            </w:pPr>
            <w:r>
              <w:rPr>
                <w:rFonts w:ascii="Arial" w:cs="Arial" w:eastAsia="Arial" w:hAnsi="Arial"/>
                <w:sz w:val="18"/>
                <w:szCs w:val="18"/>
                <w:color w:val="auto"/>
                <w:w w:val="89"/>
              </w:rPr>
              <w:t>36</w:t>
            </w:r>
          </w:p>
        </w:tc>
        <w:tc>
          <w:tcPr>
            <w:tcW w:w="9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16.2</w:t>
            </w:r>
          </w:p>
        </w:tc>
        <w:tc>
          <w:tcPr>
            <w:tcW w:w="11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21.7</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BLU6864 (tool compound)</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1.5</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0.9</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82</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105</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Vandetanib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1.8</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3597</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4</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589</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9190</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Cabozantinib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54</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265</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1</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344</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2513</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Regorafenib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9.8</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47</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11</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186</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2884</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Sorafenib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5.6</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91</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20</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260</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2816</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Ponatinib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0.6</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6</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2</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267</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Lenvatinib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1.5</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430</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4</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115</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13572</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Sunitinib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2.7</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1.6</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85</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734</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892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80" w:right="200"/>
        <w:spacing w:after="0" w:line="147" w:lineRule="exact"/>
        <w:rPr>
          <w:sz w:val="20"/>
          <w:szCs w:val="20"/>
          <w:color w:val="auto"/>
        </w:rPr>
      </w:pPr>
      <w:r>
        <w:rPr>
          <w:rFonts w:ascii="Arial" w:cs="Arial" w:eastAsia="Arial" w:hAnsi="Arial"/>
          <w:sz w:val="13"/>
          <w:szCs w:val="13"/>
          <w:color w:val="auto"/>
        </w:rPr>
        <w:t>Potency of BLU-667 and BLU6864, RET inhibitors, against wild</w:t>
      </w:r>
      <w:r>
        <w:rPr>
          <w:rFonts w:ascii="MS PGothic" w:cs="MS PGothic" w:eastAsia="MS PGothic" w:hAnsi="MS PGothic"/>
          <w:sz w:val="13"/>
          <w:szCs w:val="13"/>
          <w:color w:val="auto"/>
        </w:rPr>
        <w:t>‑</w:t>
      </w:r>
      <w:r>
        <w:rPr>
          <w:rFonts w:ascii="Arial" w:cs="Arial" w:eastAsia="Arial" w:hAnsi="Arial"/>
          <w:sz w:val="13"/>
          <w:szCs w:val="13"/>
          <w:color w:val="auto"/>
        </w:rPr>
        <w:t>type RET and a predicted RET resistant mutant compared to a panel of clinically</w:t>
      </w:r>
      <w:r>
        <w:rPr>
          <w:rFonts w:ascii="MS PGothic" w:cs="MS PGothic" w:eastAsia="MS PGothic" w:hAnsi="MS PGothic"/>
          <w:sz w:val="13"/>
          <w:szCs w:val="13"/>
          <w:color w:val="auto"/>
        </w:rPr>
        <w:t>‑</w:t>
      </w:r>
      <w:r>
        <w:rPr>
          <w:rFonts w:ascii="Arial" w:cs="Arial" w:eastAsia="Arial" w:hAnsi="Arial"/>
          <w:sz w:val="13"/>
          <w:szCs w:val="13"/>
          <w:color w:val="auto"/>
        </w:rPr>
        <w:t>approved multi</w:t>
      </w:r>
      <w:r>
        <w:rPr>
          <w:rFonts w:ascii="MS PGothic" w:cs="MS PGothic" w:eastAsia="MS PGothic" w:hAnsi="MS PGothic"/>
          <w:sz w:val="13"/>
          <w:szCs w:val="13"/>
          <w:color w:val="auto"/>
        </w:rPr>
        <w:t>‑</w:t>
      </w:r>
      <w:r>
        <w:rPr>
          <w:rFonts w:ascii="Arial" w:cs="Arial" w:eastAsia="Arial" w:hAnsi="Arial"/>
          <w:sz w:val="13"/>
          <w:szCs w:val="13"/>
          <w:color w:val="auto"/>
        </w:rPr>
        <w:t>kinase inhibitors with RET inhibitory activity. The inhibitory potencies of BLU-667, BLU6864 and the multi</w:t>
      </w:r>
      <w:r>
        <w:rPr>
          <w:rFonts w:ascii="MS PGothic" w:cs="MS PGothic" w:eastAsia="MS PGothic" w:hAnsi="MS PGothic"/>
          <w:sz w:val="13"/>
          <w:szCs w:val="13"/>
          <w:color w:val="auto"/>
        </w:rPr>
        <w:t>‑</w:t>
      </w:r>
      <w:r>
        <w:rPr>
          <w:rFonts w:ascii="Arial" w:cs="Arial" w:eastAsia="Arial" w:hAnsi="Arial"/>
          <w:sz w:val="13"/>
          <w:szCs w:val="13"/>
          <w:color w:val="auto"/>
        </w:rPr>
        <w:t>kinase inhibitors against wild</w:t>
      </w:r>
      <w:r>
        <w:rPr>
          <w:rFonts w:ascii="MS PGothic" w:cs="MS PGothic" w:eastAsia="MS PGothic" w:hAnsi="MS PGothic"/>
          <w:sz w:val="13"/>
          <w:szCs w:val="13"/>
          <w:color w:val="auto"/>
        </w:rPr>
        <w:t>‑</w:t>
      </w:r>
      <w:r>
        <w:rPr>
          <w:rFonts w:ascii="Arial" w:cs="Arial" w:eastAsia="Arial" w:hAnsi="Arial"/>
          <w:sz w:val="13"/>
          <w:szCs w:val="13"/>
          <w:color w:val="auto"/>
        </w:rPr>
        <w:t xml:space="preserve">type RET, RET resistant mutant protein and KDR/VEGFR2 were evaluated in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assays. The inhibitory potencies of these compounds were also evaluated in cell lines driven by either a wild</w:t>
      </w:r>
      <w:r>
        <w:rPr>
          <w:rFonts w:ascii="MS PGothic" w:cs="MS PGothic" w:eastAsia="MS PGothic" w:hAnsi="MS PGothic"/>
          <w:sz w:val="13"/>
          <w:szCs w:val="13"/>
          <w:color w:val="auto"/>
        </w:rPr>
        <w:t>‑</w:t>
      </w:r>
      <w:r>
        <w:rPr>
          <w:rFonts w:ascii="Arial" w:cs="Arial" w:eastAsia="Arial" w:hAnsi="Arial"/>
          <w:sz w:val="13"/>
          <w:szCs w:val="13"/>
          <w:color w:val="auto"/>
        </w:rPr>
        <w:t>type RET fusion or a mutant RET fusion.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We have demonstrated significant anti</w:t>
      </w:r>
      <w:r>
        <w:rPr>
          <w:rFonts w:ascii="MS PGothic" w:cs="MS PGothic" w:eastAsia="MS PGothic" w:hAnsi="MS PGothic"/>
          <w:sz w:val="17"/>
          <w:szCs w:val="17"/>
          <w:color w:val="auto"/>
        </w:rPr>
        <w:t>‑</w:t>
      </w:r>
      <w:r>
        <w:rPr>
          <w:rFonts w:ascii="Arial" w:cs="Arial" w:eastAsia="Arial" w:hAnsi="Arial"/>
          <w:sz w:val="17"/>
          <w:szCs w:val="17"/>
          <w:color w:val="auto"/>
        </w:rPr>
        <w:t>tumor efficacy with BLU6864 in both a wild</w:t>
      </w:r>
      <w:r>
        <w:rPr>
          <w:rFonts w:ascii="MS PGothic" w:cs="MS PGothic" w:eastAsia="MS PGothic" w:hAnsi="MS PGothic"/>
          <w:sz w:val="17"/>
          <w:szCs w:val="17"/>
          <w:color w:val="auto"/>
        </w:rPr>
        <w:t>‑</w:t>
      </w:r>
      <w:r>
        <w:rPr>
          <w:rFonts w:ascii="Arial" w:cs="Arial" w:eastAsia="Arial" w:hAnsi="Arial"/>
          <w:sz w:val="17"/>
          <w:szCs w:val="17"/>
          <w:color w:val="auto"/>
        </w:rPr>
        <w:t>type RET fusion xenograft and a predicted RET resistant mutant xenograft. Administration of our compound orally once daily for 11 days in a wild</w:t>
      </w:r>
      <w:r>
        <w:rPr>
          <w:rFonts w:ascii="MS PGothic" w:cs="MS PGothic" w:eastAsia="MS PGothic" w:hAnsi="MS PGothic"/>
          <w:sz w:val="17"/>
          <w:szCs w:val="17"/>
          <w:color w:val="auto"/>
        </w:rPr>
        <w:t>‑</w:t>
      </w:r>
      <w:r>
        <w:rPr>
          <w:rFonts w:ascii="Arial" w:cs="Arial" w:eastAsia="Arial" w:hAnsi="Arial"/>
          <w:sz w:val="17"/>
          <w:szCs w:val="17"/>
          <w:color w:val="auto"/>
        </w:rPr>
        <w:t>type RET fusion xenograft and for 14 days in a predicted RET resistant mutant xenograft resulted in robust and dose</w:t>
      </w:r>
      <w:r>
        <w:rPr>
          <w:rFonts w:ascii="MS PGothic" w:cs="MS PGothic" w:eastAsia="MS PGothic" w:hAnsi="MS PGothic"/>
          <w:sz w:val="17"/>
          <w:szCs w:val="17"/>
          <w:color w:val="auto"/>
        </w:rPr>
        <w:t>‑</w:t>
      </w:r>
      <w:r>
        <w:rPr>
          <w:rFonts w:ascii="Arial" w:cs="Arial" w:eastAsia="Arial" w:hAnsi="Arial"/>
          <w:sz w:val="17"/>
          <w:szCs w:val="17"/>
          <w:color w:val="auto"/>
        </w:rPr>
        <w:t>dependent tumor growth inhibition. At a dose of 60 mg/kg once daily, a well</w:t>
      </w:r>
      <w:r>
        <w:rPr>
          <w:rFonts w:ascii="MS PGothic" w:cs="MS PGothic" w:eastAsia="MS PGothic" w:hAnsi="MS PGothic"/>
          <w:sz w:val="17"/>
          <w:szCs w:val="17"/>
          <w:color w:val="auto"/>
        </w:rPr>
        <w:t>‑</w:t>
      </w:r>
      <w:r>
        <w:rPr>
          <w:rFonts w:ascii="Arial" w:cs="Arial" w:eastAsia="Arial" w:hAnsi="Arial"/>
          <w:sz w:val="17"/>
          <w:szCs w:val="17"/>
          <w:color w:val="auto"/>
        </w:rPr>
        <w:t>tolerated dose, the compound induced tumor regression in both models. The anti</w:t>
      </w:r>
      <w:r>
        <w:rPr>
          <w:rFonts w:ascii="MS PGothic" w:cs="MS PGothic" w:eastAsia="MS PGothic" w:hAnsi="MS PGothic"/>
          <w:sz w:val="17"/>
          <w:szCs w:val="17"/>
          <w:color w:val="auto"/>
        </w:rPr>
        <w:t>‑</w:t>
      </w:r>
      <w:r>
        <w:rPr>
          <w:rFonts w:ascii="Arial" w:cs="Arial" w:eastAsia="Arial" w:hAnsi="Arial"/>
          <w:sz w:val="17"/>
          <w:szCs w:val="17"/>
          <w:color w:val="auto"/>
        </w:rPr>
        <w:t>tumor efficacy of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RET inhibitory activity that is being evaluated in the clinic for treatment of patients with RET fusion positive lung cancer (reference compound) was also evaluated in these models. This reference compound, dosed orally once daily at 20 mg/kg, a well</w:t>
      </w:r>
      <w:r>
        <w:rPr>
          <w:rFonts w:ascii="MS PGothic" w:cs="MS PGothic" w:eastAsia="MS PGothic" w:hAnsi="MS PGothic"/>
          <w:sz w:val="17"/>
          <w:szCs w:val="17"/>
          <w:color w:val="auto"/>
        </w:rPr>
        <w:t>‑</w:t>
      </w:r>
      <w:r>
        <w:rPr>
          <w:rFonts w:ascii="Arial" w:cs="Arial" w:eastAsia="Arial" w:hAnsi="Arial"/>
          <w:sz w:val="17"/>
          <w:szCs w:val="17"/>
          <w:color w:val="auto"/>
        </w:rPr>
        <w:t>tolerated dose, inhibited tumor growth in the wild</w:t>
      </w:r>
      <w:r>
        <w:rPr>
          <w:rFonts w:ascii="MS PGothic" w:cs="MS PGothic" w:eastAsia="MS PGothic" w:hAnsi="MS PGothic"/>
          <w:sz w:val="17"/>
          <w:szCs w:val="17"/>
          <w:color w:val="auto"/>
        </w:rPr>
        <w:t>‑</w:t>
      </w:r>
      <w:r>
        <w:rPr>
          <w:rFonts w:ascii="Arial" w:cs="Arial" w:eastAsia="Arial" w:hAnsi="Arial"/>
          <w:sz w:val="17"/>
          <w:szCs w:val="17"/>
          <w:color w:val="auto"/>
        </w:rPr>
        <w:t>type RET fusion xenograft. At the same dose level in the RET resistant mutant xenograft, this reference compound showed diminished inhibition of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120015</wp:posOffset>
            </wp:positionV>
            <wp:extent cx="4690745" cy="144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9074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80"/>
        <w:spacing w:after="0" w:line="236" w:lineRule="auto"/>
        <w:rPr>
          <w:sz w:val="20"/>
          <w:szCs w:val="20"/>
          <w:color w:val="auto"/>
        </w:rPr>
      </w:pPr>
      <w:r>
        <w:rPr>
          <w:rFonts w:ascii="Arial" w:cs="Arial" w:eastAsia="Arial" w:hAnsi="Arial"/>
          <w:sz w:val="14"/>
          <w:szCs w:val="14"/>
          <w:color w:val="auto"/>
        </w:rPr>
        <w:t>BLU6864, a RET inhibitor, elicits dose dependent tumor growth inhibition in both a wild type RET fusion xenograft and a predicted RET resistant mutant xenograft model. In the figure above, QD means once a day.</w:t>
      </w:r>
    </w:p>
    <w:p>
      <w:pPr>
        <w:spacing w:after="0" w:line="174"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We plan to initiate 28-day GLP toxicology studies for BLU-667 in the first half of 2016 with the goal of identifying the dose limiting toxicity and anticipated first-in-human dose for BLU-667. We plan to file an IND for BLU-667 by the end of 2016.</w:t>
      </w:r>
    </w:p>
    <w:p>
      <w:pPr>
        <w:spacing w:after="0" w:line="12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clinical Development of Immunokinase Inhibitors</w:t>
      </w:r>
    </w:p>
    <w:p>
      <w:pPr>
        <w:spacing w:after="0" w:line="158"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Leveraging our novel target discovery engine, we plan to conduct pre-clinical studies focused on kinases as therapeutic targets in cancer immunotherapy, also referred to as immunokinases. We plan to develop inhibitors to modulate pathways in both T</w:t>
      </w:r>
      <w:r>
        <w:rPr>
          <w:rFonts w:ascii="MS PGothic" w:cs="MS PGothic" w:eastAsia="MS PGothic" w:hAnsi="MS PGothic"/>
          <w:sz w:val="17"/>
          <w:szCs w:val="17"/>
          <w:color w:val="auto"/>
        </w:rPr>
        <w:t>‑</w:t>
      </w:r>
      <w:r>
        <w:rPr>
          <w:rFonts w:ascii="Arial" w:cs="Arial" w:eastAsia="Arial" w:hAnsi="Arial"/>
          <w:sz w:val="17"/>
          <w:szCs w:val="17"/>
          <w:color w:val="auto"/>
        </w:rPr>
        <w:t>cells and other cell types in order to mobilize the immune system to target and slow the growth of, or eradicate, tumor cells. In addition to targeting kinases that are already known to play a role in the immune response, we plan to use our tool compounds to discover KUBs that modulate key pathways in tumor immune surveillance through cell</w:t>
      </w:r>
      <w:r>
        <w:rPr>
          <w:rFonts w:ascii="MS PGothic" w:cs="MS PGothic" w:eastAsia="MS PGothic" w:hAnsi="MS PGothic"/>
          <w:sz w:val="17"/>
          <w:szCs w:val="17"/>
          <w:color w:val="auto"/>
        </w:rPr>
        <w:t>‑</w:t>
      </w:r>
      <w:r>
        <w:rPr>
          <w:rFonts w:ascii="Arial" w:cs="Arial" w:eastAsia="Arial" w:hAnsi="Arial"/>
          <w:sz w:val="17"/>
          <w:szCs w:val="17"/>
          <w:color w:val="auto"/>
        </w:rPr>
        <w:t>based screening. Our immunokinase research is intended to address the medical need for novel agents used alone or in combination with other therapies that enhance anti</w:t>
      </w:r>
      <w:r>
        <w:rPr>
          <w:rFonts w:ascii="MS PGothic" w:cs="MS PGothic" w:eastAsia="MS PGothic" w:hAnsi="MS PGothic"/>
          <w:sz w:val="17"/>
          <w:szCs w:val="17"/>
          <w:color w:val="auto"/>
        </w:rPr>
        <w:t>‑</w:t>
      </w:r>
      <w:r>
        <w:rPr>
          <w:rFonts w:ascii="Arial" w:cs="Arial" w:eastAsia="Arial" w:hAnsi="Arial"/>
          <w:sz w:val="17"/>
          <w:szCs w:val="17"/>
          <w:color w:val="auto"/>
        </w:rPr>
        <w:t>tumor immune responses.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48"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March 2015, we entered into a research, development and commercialization agreement with Alexion to research, develop and commercialize drug candidates for an undisclosed activated kinase target, which is the cause of a rare genetic disease. Under the terms of this agreement, which we refer to as the Alexion agreement, we granted Alexion an exclusive, sublicenseable license under certain of our patents and technology. Under the Alexion agreement, we are responsible for research and pre-clinical development activities related to drug candidates, and Alexion is responsible for all clinical development, manufacturing and commercialization activities related to drug candidates.</w:t>
      </w:r>
    </w:p>
    <w:p>
      <w:pPr>
        <w:spacing w:after="0" w:line="138"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Alexion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received a $1.75 million payment from Alexion in the second quarter of 2015 and payments of $0.25 million and $0.75 million from Alexion in the first quarter of 2016 following the achievement of three of the first pre-clinical milestones under the Alexion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14" w:lineRule="auto"/>
        <w:rPr>
          <w:sz w:val="20"/>
          <w:szCs w:val="20"/>
          <w:color w:val="auto"/>
        </w:rPr>
      </w:pPr>
      <w:r>
        <w:rPr>
          <w:rFonts w:ascii="Arial" w:cs="Arial" w:eastAsia="Arial" w:hAnsi="Arial"/>
          <w:sz w:val="18"/>
          <w:szCs w:val="18"/>
          <w:color w:val="auto"/>
        </w:rPr>
        <w:t>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term of the Alexion agreement will expire on a country-by-country basis and a licensed-product-by-licensed-product basis at the end of each applicable royalty term, unless terminated earlier by either party. Alexion has the right to terminate the Alexion agreement if we undergo a change of control or become an affiliate of a biotechnology or pharmaceutical company, and may terminate the Alexion agreement at will upon 90 days’ prior written notice. We and Alexion have the right to terminate the Alexion agreement in the event of the other party’s uncured breach or insolvency, and in certain other circumstances agreed to by the parties.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drug candidates, including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BLU-667, and our core technologies, including our novel target discovery engine and our proprietary compound library, and other know</w:t>
      </w:r>
      <w:r>
        <w:rPr>
          <w:rFonts w:ascii="MS PGothic" w:cs="MS PGothic" w:eastAsia="MS PGothic" w:hAnsi="MS PGothic"/>
          <w:sz w:val="16"/>
          <w:szCs w:val="16"/>
          <w:color w:val="auto"/>
        </w:rPr>
        <w:t>‑</w:t>
      </w:r>
      <w:r>
        <w:rPr>
          <w:rFonts w:ascii="Arial" w:cs="Arial" w:eastAsia="Arial" w:hAnsi="Arial"/>
          <w:sz w:val="16"/>
          <w:szCs w:val="16"/>
          <w:color w:val="auto"/>
        </w:rPr>
        <w:t>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proprietary and intellectual property position.</w:t>
      </w:r>
    </w:p>
    <w:p>
      <w:pPr>
        <w:spacing w:after="0" w:line="127"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February 29, 2016, we owned three issued U.S. patents, 13 pending</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U.S. patent applications, 33 foreign patent applications pending in a number of jurisdictions, including Australia, Brazil, Canada, China, the European Union, Israel, India, Japan, South Korea, Mexico New Zealand, Russia, South Africa, and 14 pending Patent Cooperation Treaty, or PCT, patent applications. Our pending patent applications pertain to our key research and development programs, specifically our KIT Exon 17 program, and our FGFR4 program; and our pipeline, specifically novel recurrent fusions. Our issued U.S. patents are projected to expire between 2033 and 2034, and any patents that may issue from our pending U.S. applications would be projected to expire between 2034 and 2036.</w:t>
      </w:r>
    </w:p>
    <w:p>
      <w:pPr>
        <w:spacing w:after="0" w:line="136"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intellectual property portfolios for our most advanced drug candidates as of February 29, 2016 are summarized below. Each of these portfolios is in its very early stages and, with respect to most of the pending patent applications covering our drug candidates, prosecution has just begun or is in progress. Prosecution is a lengthy process, during which the scope of the claims initially submitted for examination by the USPTO often significantly narrowed by the time they issue, if they issue at all. We expect this to be the case with respect to our pending patent applications referred to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 Exon 17</w:t>
      </w:r>
    </w:p>
    <w:p>
      <w:pPr>
        <w:spacing w:after="0" w:line="14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The intellectual property portfolio for our KIT Exon 17 program contains patent applications directed to compositions of matter for BLU</w:t>
      </w:r>
      <w:r>
        <w:rPr>
          <w:rFonts w:ascii="MS PGothic" w:cs="MS PGothic" w:eastAsia="MS PGothic" w:hAnsi="MS PGothic"/>
          <w:sz w:val="18"/>
          <w:szCs w:val="18"/>
          <w:color w:val="auto"/>
        </w:rPr>
        <w:t>‑</w:t>
      </w:r>
      <w:r>
        <w:rPr>
          <w:rFonts w:ascii="Arial" w:cs="Arial" w:eastAsia="Arial" w:hAnsi="Arial"/>
          <w:sz w:val="18"/>
          <w:szCs w:val="18"/>
          <w:color w:val="auto"/>
        </w:rPr>
        <w:t>285 and analogs, compositions of matter for KIT Exon 17 inhibitors with different compound families, as well as methods of use for these novel compounds. As of February 29, 2016, we owned one issued patent, five pending U.S. patent applications, eight pending foreign patent applications in a number of jurisdictions, including Argentina, Bolivia, Pakistan, Taiwan and Venezuela, and three pending PCT patent applications directed to our KIT program, including BLU-285. Any U.S. or ex-U.S. patents issuing from the pending applications covering BLU-285 will have a statutory expiration date of October 2034. Patent term adjustments or patent term extensions could result in later expiration 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FGFR4</w:t>
      </w:r>
    </w:p>
    <w:p>
      <w:pPr>
        <w:spacing w:after="0" w:line="185"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The intellectual property portfolio for our FGFR4 program contains patent applications directed to compositions of matter for BLU</w:t>
      </w:r>
      <w:r>
        <w:rPr>
          <w:rFonts w:ascii="MS PGothic" w:cs="MS PGothic" w:eastAsia="MS PGothic" w:hAnsi="MS PGothic"/>
          <w:sz w:val="16"/>
          <w:szCs w:val="16"/>
          <w:color w:val="auto"/>
        </w:rPr>
        <w:t>‑</w:t>
      </w:r>
      <w:r>
        <w:rPr>
          <w:rFonts w:ascii="Arial" w:cs="Arial" w:eastAsia="Arial" w:hAnsi="Arial"/>
          <w:sz w:val="16"/>
          <w:szCs w:val="16"/>
          <w:color w:val="auto"/>
        </w:rPr>
        <w:t>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February 29, 2016, we owned two issued U.S. patents, three pending U.S. patent applications, 23 foreign patent applications in a number of jurisdictions, including Australia, Brazil, Canada, China, the European Union, Israel, India, Japan, South Korea, Mexico New Zealand, Russia, South Africa, and two pending PCT patent applications directed to our FGFR4 program, including BLU-554.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intellectual property portfolio for our RET program contains patent applications directed to compositions of matter for inhibitors of the predicted RET resistant mutants, as well as methods of use for these novel compounds. As of February 29, 2016, we owned one PCT application and one provisional U.S. patent application directed to our RET program, which, if issued, will have statutory expiration dates of 2036.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NTRK</w:t>
      </w:r>
    </w:p>
    <w:p>
      <w:pPr>
        <w:spacing w:after="0" w:line="185"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As of February 29, 2016, we owned two provisional U.S. patent applications directed to NTRK, which, if issued, will have a statutory expiration date of 2036.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185"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February 29, 2016, we owned two pending U.S. patent applications, two pending European Union patent applications and eight pending PCT patent applications directed to this technology, which, if issued, will have statutory expiration dates ranging from 2034 to 2035.</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United States,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w:t>
      </w:r>
      <w:r>
        <w:rPr>
          <w:rFonts w:ascii="MS PGothic" w:cs="MS PGothic" w:eastAsia="MS PGothic" w:hAnsi="MS PGothic"/>
          <w:sz w:val="17"/>
          <w:szCs w:val="17"/>
          <w:color w:val="auto"/>
        </w:rPr>
        <w:t>‑</w:t>
      </w:r>
      <w:r>
        <w:rPr>
          <w:rFonts w:ascii="Arial" w:cs="Arial" w:eastAsia="Arial" w:hAnsi="Arial"/>
          <w:sz w:val="17"/>
          <w:szCs w:val="17"/>
          <w:color w:val="auto"/>
        </w:rPr>
        <w:t>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to patents, we rely upon unpatented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We seek to protect our proprietary information, in part, by executing confidentiality agreements with our collaborators and scientific advisors, and non</w:t>
      </w:r>
      <w:r>
        <w:rPr>
          <w:rFonts w:ascii="MS PGothic" w:cs="MS PGothic" w:eastAsia="MS PGothic" w:hAnsi="MS PGothic"/>
          <w:sz w:val="17"/>
          <w:szCs w:val="17"/>
          <w:color w:val="auto"/>
        </w:rPr>
        <w:t>‑</w:t>
      </w:r>
      <w:r>
        <w:rPr>
          <w:rFonts w:ascii="Arial" w:cs="Arial" w:eastAsia="Arial" w:hAnsi="Arial"/>
          <w:sz w:val="17"/>
          <w:szCs w:val="17"/>
          <w:color w:val="auto"/>
        </w:rPr>
        <w:t>competition, non</w:t>
      </w:r>
      <w:r>
        <w:rPr>
          <w:rFonts w:ascii="MS PGothic" w:cs="MS PGothic" w:eastAsia="MS PGothic" w:hAnsi="MS PGothic"/>
          <w:sz w:val="17"/>
          <w:szCs w:val="17"/>
          <w:color w:val="auto"/>
        </w:rPr>
        <w:t>‑</w:t>
      </w:r>
      <w:r>
        <w:rPr>
          <w:rFonts w:ascii="Arial" w:cs="Arial" w:eastAsia="Arial" w:hAnsi="Arial"/>
          <w:sz w:val="17"/>
          <w:szCs w:val="17"/>
          <w:color w:val="auto"/>
        </w:rPr>
        <w:t>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62" w:lineRule="exact"/>
        <w:rPr>
          <w:sz w:val="20"/>
          <w:szCs w:val="20"/>
          <w:color w:val="auto"/>
        </w:rPr>
      </w:pPr>
    </w:p>
    <w:p>
      <w:pPr>
        <w:ind w:right="60" w:firstLine="648"/>
        <w:spacing w:after="0" w:line="189" w:lineRule="exact"/>
        <w:rPr>
          <w:sz w:val="20"/>
          <w:szCs w:val="20"/>
          <w:color w:val="auto"/>
        </w:rPr>
      </w:pPr>
      <w:r>
        <w:rPr>
          <w:rFonts w:ascii="Arial" w:cs="Arial" w:eastAsia="Arial" w:hAnsi="Arial"/>
          <w:sz w:val="17"/>
          <w:szCs w:val="17"/>
          <w:color w:val="auto"/>
        </w:rPr>
        <w:t>With respect to the building of our proprietary compound library,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our primary intellectual property.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can be difficult to protect. In particular, we anticipate that with respect to this technology platform, these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will over time be disseminated within the industry through independent development and public presentations describing the methodology.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6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therapeutics,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If our drug candidates are approved for the indications for which we are currently conducting or planning clinical trials, they will compete with the drugs discussed below and will likely compete with other drugs that are currently in development.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285</w:t>
      </w:r>
    </w:p>
    <w:p>
      <w:pPr>
        <w:spacing w:after="0" w:line="185" w:lineRule="exact"/>
        <w:rPr>
          <w:sz w:val="20"/>
          <w:szCs w:val="20"/>
          <w:color w:val="auto"/>
        </w:rPr>
      </w:pPr>
    </w:p>
    <w:p>
      <w:pPr>
        <w:ind w:right="640" w:firstLine="648"/>
        <w:spacing w:after="0" w:line="203"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285, which is designed to target KIT Exon 17, for advanced SM and GIST patients, as well as for patients with GIST with the PDGFRα D842V mutation.</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For advanced SM, the only approved medical therapy is imatinib for patients without the KIT D816V mutation or mutational status unknown. Several treatments are used off</w:t>
      </w:r>
      <w:r>
        <w:rPr>
          <w:rFonts w:ascii="MS PGothic" w:cs="MS PGothic" w:eastAsia="MS PGothic" w:hAnsi="MS PGothic"/>
          <w:sz w:val="18"/>
          <w:szCs w:val="18"/>
          <w:color w:val="auto"/>
        </w:rPr>
        <w:t>‑</w:t>
      </w:r>
      <w:r>
        <w:rPr>
          <w:rFonts w:ascii="Arial" w:cs="Arial" w:eastAsia="Arial" w:hAnsi="Arial"/>
          <w:sz w:val="18"/>
          <w:szCs w:val="18"/>
          <w:color w:val="auto"/>
        </w:rPr>
        <w:t>label for cytoreduction including interferon</w:t>
      </w:r>
      <w:r>
        <w:rPr>
          <w:rFonts w:ascii="MS PGothic" w:cs="MS PGothic" w:eastAsia="MS PGothic" w:hAnsi="MS PGothic"/>
          <w:sz w:val="18"/>
          <w:szCs w:val="18"/>
          <w:color w:val="auto"/>
        </w:rPr>
        <w:t>‑</w:t>
      </w:r>
      <w:r>
        <w:rPr>
          <w:rFonts w:ascii="Arial" w:cs="Arial" w:eastAsia="Arial" w:hAnsi="Arial"/>
          <w:sz w:val="18"/>
          <w:szCs w:val="18"/>
          <w:color w:val="auto"/>
        </w:rPr>
        <w:t>α and cytoreductive agents for advanced forms of SM. If BLU</w:t>
      </w:r>
      <w:r>
        <w:rPr>
          <w:rFonts w:ascii="MS PGothic" w:cs="MS PGothic" w:eastAsia="MS PGothic" w:hAnsi="MS PGothic"/>
          <w:sz w:val="18"/>
          <w:szCs w:val="18"/>
          <w:color w:val="auto"/>
        </w:rPr>
        <w:t>‑</w:t>
      </w:r>
      <w:r>
        <w:rPr>
          <w:rFonts w:ascii="Arial" w:cs="Arial" w:eastAsia="Arial" w:hAnsi="Arial"/>
          <w:sz w:val="18"/>
          <w:szCs w:val="18"/>
          <w:color w:val="auto"/>
        </w:rPr>
        <w:t>285 receives marketing approval, it may face competition from other drug candidates in development for advanced SM, including drug candidates in development from AB Science S.A., Deciphera Pharmaceuticals, LLC, Kolltan Pharmaceuticals, Inc., Novartis AG and Plexxikon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Daiichi Sankyo Company, Limited.</w:t>
      </w:r>
    </w:p>
    <w:p>
      <w:pPr>
        <w:spacing w:after="0" w:line="162"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For GIST, the current approved standards of care for unresectable or metastatic patients are first</w:t>
      </w:r>
      <w:r>
        <w:rPr>
          <w:rFonts w:ascii="MS PGothic" w:cs="MS PGothic" w:eastAsia="MS PGothic" w:hAnsi="MS PGothic"/>
          <w:sz w:val="16"/>
          <w:szCs w:val="16"/>
          <w:color w:val="auto"/>
        </w:rPr>
        <w:t>‑</w:t>
      </w:r>
      <w:r>
        <w:rPr>
          <w:rFonts w:ascii="Arial" w:cs="Arial" w:eastAsia="Arial" w:hAnsi="Arial"/>
          <w:sz w:val="16"/>
          <w:szCs w:val="16"/>
          <w:color w:val="auto"/>
        </w:rPr>
        <w:t>line imatinib, followed by second</w:t>
      </w:r>
      <w:r>
        <w:rPr>
          <w:rFonts w:ascii="MS PGothic" w:cs="MS PGothic" w:eastAsia="MS PGothic" w:hAnsi="MS PGothic"/>
          <w:sz w:val="16"/>
          <w:szCs w:val="16"/>
          <w:color w:val="auto"/>
        </w:rPr>
        <w:t>‑</w:t>
      </w:r>
      <w:r>
        <w:rPr>
          <w:rFonts w:ascii="Arial" w:cs="Arial" w:eastAsia="Arial" w:hAnsi="Arial"/>
          <w:sz w:val="16"/>
          <w:szCs w:val="16"/>
          <w:color w:val="auto"/>
        </w:rPr>
        <w:t>line sunitinib upon imatinib progression, followed by third</w:t>
      </w:r>
      <w:r>
        <w:rPr>
          <w:rFonts w:ascii="MS PGothic" w:cs="MS PGothic" w:eastAsia="MS PGothic" w:hAnsi="MS PGothic"/>
          <w:sz w:val="16"/>
          <w:szCs w:val="16"/>
          <w:color w:val="auto"/>
        </w:rPr>
        <w:t>‑</w:t>
      </w:r>
      <w:r>
        <w:rPr>
          <w:rFonts w:ascii="Arial" w:cs="Arial" w:eastAsia="Arial" w:hAnsi="Arial"/>
          <w:sz w:val="16"/>
          <w:szCs w:val="16"/>
          <w:color w:val="auto"/>
        </w:rPr>
        <w:t>line regorafenib upon sunitinib progression. While these agents do not address patients with the KIT Exon 17 mutation or the PDGFRα D842V mutation, they may be competitor therapies if the recommended mutational status testing is not performed. If BLU</w:t>
      </w:r>
      <w:r>
        <w:rPr>
          <w:rFonts w:ascii="MS PGothic" w:cs="MS PGothic" w:eastAsia="MS PGothic" w:hAnsi="MS PGothic"/>
          <w:sz w:val="16"/>
          <w:szCs w:val="16"/>
          <w:color w:val="auto"/>
        </w:rPr>
        <w:t>‑</w:t>
      </w:r>
      <w:r>
        <w:rPr>
          <w:rFonts w:ascii="Arial" w:cs="Arial" w:eastAsia="Arial" w:hAnsi="Arial"/>
          <w:sz w:val="16"/>
          <w:szCs w:val="16"/>
          <w:color w:val="auto"/>
        </w:rPr>
        <w:t>285 receives marketing approval for this indication, it may also face competition from drug candidates in development, including by AROG Pharmaceuticals, Inc., ARIAD Pharmaceuticals, Inc., Kolltan Pharmaceuticals, Inc. and Deciphera Pharmaceuticals, LLC.</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w:t>
      </w:r>
    </w:p>
    <w:p>
      <w:pPr>
        <w:spacing w:after="0" w:line="185" w:lineRule="exact"/>
        <w:rPr>
          <w:sz w:val="20"/>
          <w:szCs w:val="20"/>
          <w:color w:val="auto"/>
        </w:rPr>
      </w:pPr>
    </w:p>
    <w:p>
      <w:pPr>
        <w:ind w:right="260" w:firstLine="648"/>
        <w:spacing w:after="0" w:line="189" w:lineRule="exact"/>
        <w:rPr>
          <w:sz w:val="20"/>
          <w:szCs w:val="20"/>
          <w:color w:val="auto"/>
        </w:rPr>
      </w:pPr>
      <w:r>
        <w:rPr>
          <w:rFonts w:ascii="Arial" w:cs="Arial" w:eastAsia="Arial" w:hAnsi="Arial"/>
          <w:sz w:val="16"/>
          <w:szCs w:val="16"/>
          <w:color w:val="auto"/>
        </w:rPr>
        <w:t>The development of BLU</w:t>
      </w:r>
      <w:r>
        <w:rPr>
          <w:rFonts w:ascii="MS PGothic" w:cs="MS PGothic" w:eastAsia="MS PGothic" w:hAnsi="MS PGothic"/>
          <w:sz w:val="16"/>
          <w:szCs w:val="16"/>
          <w:color w:val="auto"/>
        </w:rPr>
        <w:t>‑</w:t>
      </w:r>
      <w:r>
        <w:rPr>
          <w:rFonts w:ascii="Arial" w:cs="Arial" w:eastAsia="Arial" w:hAnsi="Arial"/>
          <w:sz w:val="16"/>
          <w:szCs w:val="16"/>
          <w:color w:val="auto"/>
        </w:rPr>
        <w:t>554 will focus on a subset of patients with HCC with FGF19 overexpression. The only approved systemic medical therapy for HCC is sorafenib. In addition, there are potentially competitive drug candidates in development, including by AstraZeneca plc, Astellas Pharma, Inc., Bayer AG, Celgene Corporation, Eisai Inc., H3 Biomedicine Inc., Johnson &amp; Johnson, Novartis AG, Sanofi S.A., Taiho Pharmaceutical Co., Ltd. and Xoma Ltd.</w:t>
      </w:r>
    </w:p>
    <w:p>
      <w:pPr>
        <w:spacing w:after="0" w:line="1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667</w:t>
      </w:r>
    </w:p>
    <w:p>
      <w:pPr>
        <w:spacing w:after="0" w:line="185"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The development of BLU</w:t>
      </w:r>
      <w:r>
        <w:rPr>
          <w:rFonts w:ascii="MS PGothic" w:cs="MS PGothic" w:eastAsia="MS PGothic" w:hAnsi="MS PGothic"/>
          <w:sz w:val="18"/>
          <w:szCs w:val="18"/>
          <w:color w:val="auto"/>
        </w:rPr>
        <w:t>‑</w:t>
      </w:r>
      <w:r>
        <w:rPr>
          <w:rFonts w:ascii="Arial" w:cs="Arial" w:eastAsia="Arial" w:hAnsi="Arial"/>
          <w:sz w:val="18"/>
          <w:szCs w:val="18"/>
          <w:color w:val="auto"/>
        </w:rPr>
        <w:t>667 will focus on patients with the kinase RET and predicted RET resistant mutants. There are no approved medical therapies for RET, but there are several approved multi-kinase inhibitors with RET activity being evaluated in clinical trials, including alectinib, apatinib, cabozantinib, dovitinib, lenvatinib, ponatinib, sorafenib, sunitinib and vandetinib. In addition, there are potentially competitive drug candidates in development, including by Ignyta, Inc., Loxo Oncology, Inc. and Mirati Therapeutics.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Plans</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goal is to become a fully</w:t>
      </w:r>
      <w:r>
        <w:rPr>
          <w:rFonts w:ascii="MS PGothic" w:cs="MS PGothic" w:eastAsia="MS PGothic" w:hAnsi="MS PGothic"/>
          <w:sz w:val="17"/>
          <w:szCs w:val="17"/>
          <w:color w:val="auto"/>
        </w:rPr>
        <w:t>‑</w:t>
      </w:r>
      <w:r>
        <w:rPr>
          <w:rFonts w:ascii="Arial" w:cs="Arial" w:eastAsia="Arial" w:hAnsi="Arial"/>
          <w:sz w:val="17"/>
          <w:szCs w:val="17"/>
          <w:color w:val="auto"/>
        </w:rPr>
        <w:t>integrated biopharmaceutical company capable of delivering transformative drugs to patients. Given our stage of development, we have not yet established our own commercial organization or distribution capabilities. Our initial focus is on genomically defined patient populations in oncology allowing us to efficiently commercialize our drug candidates in the United States on our own initially and worldwide longer</w:t>
      </w:r>
      <w:r>
        <w:rPr>
          <w:rFonts w:ascii="MS PGothic" w:cs="MS PGothic" w:eastAsia="MS PGothic" w:hAnsi="MS PGothic"/>
          <w:sz w:val="17"/>
          <w:szCs w:val="17"/>
          <w:color w:val="auto"/>
        </w:rPr>
        <w:t>‑</w:t>
      </w:r>
      <w:r>
        <w:rPr>
          <w:rFonts w:ascii="Arial" w:cs="Arial" w:eastAsia="Arial" w:hAnsi="Arial"/>
          <w:sz w:val="17"/>
          <w:szCs w:val="17"/>
          <w:color w:val="auto"/>
        </w:rPr>
        <w:t>term. We currently own worldwide commercial rights to all of our oncology focused drug candidates. Subject to obtaining regulatory approval, we believe that we may be able to commercialize one or more of our drug candidates in as little as five years. However, we may never obtain regulatory approval for our drug candidates or be able to develop or commercialize a marketable drug. In addition, subject to regulatory approval,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67"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Under the terms of our agreement with Ventana, Ventana is responsible for the commercialization of the companion diagnostic for BLU-554 that we expect to use to identify HCC patients with abberantly active FGFR4 signaling as indicated by FGF19 overexpression.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w:t>
      </w:r>
    </w:p>
    <w:p>
      <w:pPr>
        <w:spacing w:after="0" w:line="185" w:lineRule="exact"/>
        <w:rPr>
          <w:sz w:val="20"/>
          <w:szCs w:val="20"/>
          <w:color w:val="auto"/>
        </w:rPr>
      </w:pPr>
    </w:p>
    <w:p>
      <w:pPr>
        <w:ind w:right="60" w:firstLine="648"/>
        <w:spacing w:after="0" w:line="181" w:lineRule="exact"/>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and drug substance for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for our pre</w:t>
      </w:r>
      <w:r>
        <w:rPr>
          <w:rFonts w:ascii="MS PGothic" w:cs="MS PGothic" w:eastAsia="MS PGothic" w:hAnsi="MS PGothic"/>
          <w:sz w:val="18"/>
          <w:szCs w:val="18"/>
          <w:color w:val="auto"/>
        </w:rPr>
        <w:t>‑</w:t>
      </w:r>
      <w:r>
        <w:rPr>
          <w:rFonts w:ascii="Arial" w:cs="Arial" w:eastAsia="Arial" w:hAnsi="Arial"/>
          <w:sz w:val="18"/>
          <w:szCs w:val="18"/>
          <w:color w:val="auto"/>
        </w:rPr>
        <w:t>clinical and Phase 1 testing from one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drug product from another third party manufacturer. We obtain our supplies from these manufacturers on a purchase order basis and do not have a long</w:t>
      </w:r>
      <w:r>
        <w:rPr>
          <w:rFonts w:ascii="MS PGothic" w:cs="MS PGothic" w:eastAsia="MS PGothic" w:hAnsi="MS PGothic"/>
          <w:sz w:val="18"/>
          <w:szCs w:val="18"/>
          <w:color w:val="auto"/>
        </w:rPr>
        <w:t>‑</w:t>
      </w:r>
      <w:r>
        <w:rPr>
          <w:rFonts w:ascii="Arial" w:cs="Arial" w:eastAsia="Arial" w:hAnsi="Arial"/>
          <w:sz w:val="18"/>
          <w:szCs w:val="18"/>
          <w:color w:val="auto"/>
        </w:rPr>
        <w:t>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169" w:lineRule="exact"/>
        <w:rPr>
          <w:sz w:val="20"/>
          <w:szCs w:val="20"/>
          <w:color w:val="auto"/>
        </w:rPr>
      </w:pPr>
    </w:p>
    <w:p>
      <w:pPr>
        <w:ind w:right="320" w:firstLine="648"/>
        <w:spacing w:after="0" w:line="189"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are compounds of low molecular weight, generally called small molecules. They can be manufactured in reliable and reproducible synthetic processes from readily available starting materials. The chemistry is amenable to scale</w:t>
      </w:r>
      <w:r>
        <w:rPr>
          <w:rFonts w:ascii="MS PGothic" w:cs="MS PGothic" w:eastAsia="MS PGothic" w:hAnsi="MS PGothic"/>
          <w:sz w:val="16"/>
          <w:szCs w:val="16"/>
          <w:color w:val="auto"/>
        </w:rPr>
        <w:t>‑</w:t>
      </w:r>
      <w:r>
        <w:rPr>
          <w:rFonts w:ascii="Arial" w:cs="Arial" w:eastAsia="Arial" w:hAnsi="Arial"/>
          <w:sz w:val="16"/>
          <w:szCs w:val="16"/>
          <w:color w:val="auto"/>
        </w:rPr>
        <w:t>up and does not require unusual equipment in the manufacturing process. We expect to continue developing drug candidates that can be produced cost</w:t>
      </w:r>
      <w:r>
        <w:rPr>
          <w:rFonts w:ascii="MS PGothic" w:cs="MS PGothic" w:eastAsia="MS PGothic" w:hAnsi="MS PGothic"/>
          <w:sz w:val="16"/>
          <w:szCs w:val="16"/>
          <w:color w:val="auto"/>
        </w:rPr>
        <w:t>‑</w:t>
      </w:r>
      <w:r>
        <w:rPr>
          <w:rFonts w:ascii="Arial" w:cs="Arial" w:eastAsia="Arial" w:hAnsi="Arial"/>
          <w:sz w:val="16"/>
          <w:szCs w:val="16"/>
          <w:color w:val="auto"/>
        </w:rPr>
        <w:t>effectively at contract manufacturing facilities.</w:t>
      </w:r>
    </w:p>
    <w:p>
      <w:pPr>
        <w:spacing w:after="0" w:line="164"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Under the terms of our agreement with Ventana, we will rely on Ventana for the manufacture of a companion diagnostic for BLU-554 that we expect to use to identify HCC patients with abberantly active FGFR4 signaling as indicated by FGF19 overexpression, and we generally expect to rely on third parties for the manufacture of any other companion diagnostics we may seek to develop.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w:t>
      </w:r>
      <w:r>
        <w:rPr>
          <w:rFonts w:ascii="MS PGothic" w:cs="MS PGothic" w:eastAsia="MS PGothic" w:hAnsi="MS PGothic"/>
          <w:sz w:val="16"/>
          <w:szCs w:val="16"/>
          <w:color w:val="auto"/>
        </w:rPr>
        <w:t>‑</w:t>
      </w:r>
      <w:r>
        <w:rPr>
          <w:rFonts w:ascii="Arial" w:cs="Arial" w:eastAsia="Arial" w:hAnsi="Arial"/>
          <w:sz w:val="16"/>
          <w:szCs w:val="16"/>
          <w:color w:val="auto"/>
        </w:rPr>
        <w:t>keeping, promotion, advertising, distribution,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66"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55" w:lineRule="exact"/>
        <w:rPr>
          <w:sz w:val="20"/>
          <w:szCs w:val="20"/>
          <w:color w:val="auto"/>
        </w:rPr>
      </w:pPr>
    </w:p>
    <w:p>
      <w:pPr>
        <w:ind w:left="1060" w:right="260" w:hanging="85"/>
        <w:spacing w:after="0" w:line="22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extensive pre-clinical tests, sometimes referred to as pre-clinical laboratory tests, pre-clinical animal studies and formulation studies performed in accordance with applicable regulations, including the FDA’s GLP regulations;</w:t>
      </w:r>
    </w:p>
    <w:p>
      <w:pPr>
        <w:spacing w:after="0" w:line="163" w:lineRule="exact"/>
        <w:rPr>
          <w:rFonts w:ascii="Arial" w:cs="Arial" w:eastAsia="Arial" w:hAnsi="Arial"/>
          <w:sz w:val="18"/>
          <w:szCs w:val="18"/>
          <w:color w:val="auto"/>
        </w:rPr>
      </w:pPr>
    </w:p>
    <w:p>
      <w:pPr>
        <w:ind w:left="1060" w:right="240" w:hanging="85"/>
        <w:spacing w:after="0" w:line="235"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actively maintained, including by submitting annual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200" w:hanging="85"/>
        <w:spacing w:after="0" w:line="194" w:lineRule="exact"/>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applicable IND and other clinical trial</w:t>
      </w:r>
      <w:r>
        <w:rPr>
          <w:rFonts w:ascii="MS PGothic" w:cs="MS PGothic" w:eastAsia="MS PGothic" w:hAnsi="MS PGothic"/>
          <w:sz w:val="18"/>
          <w:szCs w:val="18"/>
          <w:color w:val="auto"/>
        </w:rPr>
        <w:t>‑</w:t>
      </w:r>
      <w:r>
        <w:rPr>
          <w:rFonts w:ascii="Arial" w:cs="Arial" w:eastAsia="Arial" w:hAnsi="Arial"/>
          <w:sz w:val="18"/>
          <w:szCs w:val="18"/>
          <w:color w:val="auto"/>
        </w:rPr>
        <w:t>related regulations, sometimes referred to as good clinical practices, or GCPs, to establish the safety and efficacy of the proposed drug for its proposed indication;</w:t>
      </w:r>
    </w:p>
    <w:p>
      <w:pPr>
        <w:spacing w:after="0" w:line="163" w:lineRule="exact"/>
        <w:rPr>
          <w:rFonts w:ascii="Arial" w:cs="Arial" w:eastAsia="Arial" w:hAnsi="Arial"/>
          <w:sz w:val="18"/>
          <w:szCs w:val="18"/>
          <w:color w:val="auto"/>
        </w:rPr>
      </w:pPr>
    </w:p>
    <w:p>
      <w:pPr>
        <w:ind w:left="1120" w:hanging="14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84" w:lineRule="exact"/>
        <w:rPr>
          <w:rFonts w:ascii="Arial" w:cs="Arial" w:eastAsia="Arial" w:hAnsi="Arial"/>
          <w:sz w:val="18"/>
          <w:szCs w:val="18"/>
          <w:color w:val="auto"/>
        </w:rPr>
      </w:pPr>
    </w:p>
    <w:p>
      <w:pPr>
        <w:ind w:left="1060" w:right="120" w:hanging="85"/>
        <w:spacing w:after="0" w:line="194" w:lineRule="exact"/>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an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facility or facilities at which the API and finished drug product are produced to assess compliance with the FDA’s current good manufacturing practice requirements, or cGMP;</w:t>
      </w:r>
    </w:p>
    <w:p>
      <w:pPr>
        <w:spacing w:after="0" w:line="163" w:lineRule="exact"/>
        <w:rPr>
          <w:rFonts w:ascii="Arial" w:cs="Arial" w:eastAsia="Arial" w:hAnsi="Arial"/>
          <w:sz w:val="18"/>
          <w:szCs w:val="18"/>
          <w:color w:val="auto"/>
        </w:rPr>
      </w:pPr>
    </w:p>
    <w:p>
      <w:pPr>
        <w:ind w:left="1060" w:right="80" w:hanging="85"/>
        <w:spacing w:after="0" w:line="23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and</w:t>
      </w:r>
    </w:p>
    <w:p>
      <w:pPr>
        <w:spacing w:after="0" w:line="161" w:lineRule="exact"/>
        <w:rPr>
          <w:rFonts w:ascii="Arial" w:cs="Arial" w:eastAsia="Arial" w:hAnsi="Arial"/>
          <w:sz w:val="18"/>
          <w:szCs w:val="18"/>
          <w:color w:val="auto"/>
        </w:rPr>
      </w:pPr>
    </w:p>
    <w:p>
      <w:pPr>
        <w:ind w:left="1060" w:right="340" w:hanging="85"/>
        <w:spacing w:after="0" w:line="23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stage generally involves synthesizing the active component, developing the formulation and determining the manufacturing process, as well as carrying out non</w:t>
      </w:r>
      <w:r>
        <w:rPr>
          <w:rFonts w:ascii="MS PGothic" w:cs="MS PGothic" w:eastAsia="MS PGothic" w:hAnsi="MS PGothic"/>
          <w:sz w:val="17"/>
          <w:szCs w:val="17"/>
          <w:color w:val="auto"/>
        </w:rPr>
        <w:t>‑</w:t>
      </w:r>
      <w:r>
        <w:rPr>
          <w:rFonts w:ascii="Arial" w:cs="Arial" w:eastAsia="Arial" w:hAnsi="Arial"/>
          <w:sz w:val="17"/>
          <w:szCs w:val="17"/>
          <w:color w:val="auto"/>
        </w:rPr>
        <w:t>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automatically becomes effective 30 days after receipt by the FDA, unless the FDA raises concerns or questions regarding the proposed clinical trials and places the IND on clinical hold within that 30</w:t>
      </w:r>
      <w:r>
        <w:rPr>
          <w:rFonts w:ascii="MS PGothic" w:cs="MS PGothic" w:eastAsia="MS PGothic" w:hAnsi="MS PGothic"/>
          <w:sz w:val="17"/>
          <w:szCs w:val="17"/>
          <w:color w:val="auto"/>
        </w:rPr>
        <w:t>‑</w:t>
      </w:r>
      <w:r>
        <w:rPr>
          <w:rFonts w:ascii="Arial" w:cs="Arial" w:eastAsia="Arial" w:hAnsi="Arial"/>
          <w:sz w:val="17"/>
          <w:szCs w:val="17"/>
          <w:color w:val="auto"/>
        </w:rPr>
        <w:t>day time period. In such a case, the IND sponsor and the FDA must resolve any outstanding concerns or questions before the clinical trial can begin. The FDA may also impose clinical holds on a drug candidate at any time before or during clinical trials due to safety concerns or non</w:t>
      </w:r>
      <w:r>
        <w:rPr>
          <w:rFonts w:ascii="MS PGothic" w:cs="MS PGothic" w:eastAsia="MS PGothic" w:hAnsi="MS PGothic"/>
          <w:sz w:val="17"/>
          <w:szCs w:val="17"/>
          <w:color w:val="auto"/>
        </w:rPr>
        <w:t>‑</w:t>
      </w:r>
      <w:r>
        <w:rPr>
          <w:rFonts w:ascii="Arial" w:cs="Arial" w:eastAsia="Arial" w:hAnsi="Arial"/>
          <w:sz w:val="17"/>
          <w:szCs w:val="17"/>
          <w:color w:val="auto"/>
        </w:rPr>
        <w:t>compliance. Accordingly, we cannot be sure that submission of an IND will result in the FDA allowing clinical trials to begin, or that, once begun, issues will not arise that could cause the trial to be suspended or terminated.</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6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pharmacokinetic profile, pharmacologic action, side effect tolerability and safety of the drug. Phase 1 clinical trials for oncology indications may also evaluate preliminary evidence of clinical activity. Phase 2 clinical trials typically involve studies in disease</w:t>
      </w:r>
      <w:r>
        <w:rPr>
          <w:rFonts w:ascii="MS PGothic" w:cs="MS PGothic" w:eastAsia="MS PGothic" w:hAnsi="MS PGothic"/>
          <w:sz w:val="17"/>
          <w:szCs w:val="17"/>
          <w:color w:val="auto"/>
        </w:rPr>
        <w:t>‑</w:t>
      </w:r>
      <w:r>
        <w:rPr>
          <w:rFonts w:ascii="Arial" w:cs="Arial" w:eastAsia="Arial" w:hAnsi="Arial"/>
          <w:sz w:val="17"/>
          <w:szCs w:val="17"/>
          <w:color w:val="auto"/>
        </w:rPr>
        <w:t>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185" w:lineRule="exact"/>
        <w:rPr>
          <w:sz w:val="20"/>
          <w:szCs w:val="20"/>
          <w:color w:val="auto"/>
        </w:rPr>
      </w:pPr>
      <w:r>
        <w:rPr>
          <w:rFonts w:ascii="Arial" w:cs="Arial" w:eastAsia="Arial" w:hAnsi="Arial"/>
          <w:sz w:val="18"/>
          <w:szCs w:val="18"/>
          <w:color w:val="auto"/>
        </w:rPr>
        <w:t>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Phase 3 clinical trials are required by the FDA for approval of an NDA.</w:t>
      </w:r>
    </w:p>
    <w:p>
      <w:pPr>
        <w:spacing w:after="0" w:line="162" w:lineRule="exact"/>
        <w:rPr>
          <w:sz w:val="20"/>
          <w:szCs w:val="20"/>
          <w:color w:val="auto"/>
        </w:rPr>
      </w:pPr>
    </w:p>
    <w:p>
      <w:pPr>
        <w:jc w:val="both"/>
        <w:ind w:right="560" w:firstLine="648"/>
        <w:spacing w:after="0" w:line="19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NDA and FDA Review Process</w:t>
      </w:r>
    </w:p>
    <w:p>
      <w:pPr>
        <w:spacing w:after="0" w:line="18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w:t>
      </w:r>
      <w:r>
        <w:rPr>
          <w:rFonts w:ascii="MS PGothic" w:cs="MS PGothic" w:eastAsia="MS PGothic" w:hAnsi="MS PGothic"/>
          <w:sz w:val="17"/>
          <w:szCs w:val="17"/>
          <w:color w:val="auto"/>
        </w:rPr>
        <w:t>‑</w:t>
      </w:r>
      <w:r>
        <w:rPr>
          <w:rFonts w:ascii="Arial" w:cs="Arial" w:eastAsia="Arial" w:hAnsi="Arial"/>
          <w:sz w:val="17"/>
          <w:szCs w:val="17"/>
          <w:color w:val="auto"/>
        </w:rPr>
        <w:t>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63" w:lineRule="exact"/>
        <w:rPr>
          <w:sz w:val="20"/>
          <w:szCs w:val="20"/>
          <w:color w:val="auto"/>
        </w:rPr>
      </w:pPr>
    </w:p>
    <w:p>
      <w:pPr>
        <w:jc w:val="both"/>
        <w:ind w:right="240" w:firstLine="648"/>
        <w:spacing w:after="0" w:line="219" w:lineRule="auto"/>
        <w:rPr>
          <w:sz w:val="20"/>
          <w:szCs w:val="20"/>
          <w:color w:val="auto"/>
        </w:rPr>
      </w:pPr>
      <w:r>
        <w:rPr>
          <w:rFonts w:ascii="Arial" w:cs="Arial" w:eastAsia="Arial" w:hAnsi="Arial"/>
          <w:sz w:val="18"/>
          <w:szCs w:val="18"/>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63"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Under the Prescription Drug User Fee Act, or PDUFA, as amended, each NDA must be accompanied by a user fee. The FDA adjusts the PDUFA user fees on an annual basis. According to the FDA’s fiscal year 2016 fee schedule, effective through September 30, 2016, the user fee for an application requiring clinical data, such as an NDA, is $2,374,200. PDUFA also imposes an annual product fee for human drugs ($114,450) and an annual establishment fee ($585,200) on facilities used to manufacture prescription drugs. Fee waivers or reductions are available in certain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spacing w:after="0" w:line="203" w:lineRule="exact"/>
        <w:rPr>
          <w:sz w:val="20"/>
          <w:szCs w:val="20"/>
          <w:color w:val="auto"/>
        </w:rPr>
      </w:pPr>
      <w:r>
        <w:rPr>
          <w:rFonts w:ascii="Arial" w:cs="Arial" w:eastAsia="Arial" w:hAnsi="Arial"/>
          <w:sz w:val="16"/>
          <w:szCs w:val="16"/>
          <w:color w:val="auto"/>
        </w:rPr>
        <w:t>circumstances, including a waiver of the application fee for the first application filed by a small business. In addition, no user fees are assessed on NDAs for products designated as orphan drugs, unless the product also includes a non</w:t>
      </w:r>
      <w:r>
        <w:rPr>
          <w:rFonts w:ascii="MS PGothic" w:cs="MS PGothic" w:eastAsia="MS PGothic" w:hAnsi="MS PGothic"/>
          <w:sz w:val="16"/>
          <w:szCs w:val="16"/>
          <w:color w:val="auto"/>
        </w:rPr>
        <w:t>‑</w:t>
      </w:r>
      <w:r>
        <w:rPr>
          <w:rFonts w:ascii="Arial" w:cs="Arial" w:eastAsia="Arial" w:hAnsi="Arial"/>
          <w:sz w:val="16"/>
          <w:szCs w:val="16"/>
          <w:color w:val="auto"/>
        </w:rPr>
        <w:t>orphan indication.</w:t>
      </w:r>
    </w:p>
    <w:p>
      <w:pPr>
        <w:spacing w:after="0" w:line="122" w:lineRule="exact"/>
        <w:rPr>
          <w:sz w:val="20"/>
          <w:szCs w:val="20"/>
          <w:color w:val="auto"/>
        </w:rPr>
      </w:pPr>
    </w:p>
    <w:p>
      <w:pPr>
        <w:ind w:right="240" w:firstLine="648"/>
        <w:spacing w:after="0" w:line="184" w:lineRule="exact"/>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w:t>
      </w:r>
      <w:r>
        <w:rPr>
          <w:rFonts w:ascii="MS PGothic" w:cs="MS PGothic" w:eastAsia="MS PGothic" w:hAnsi="MS PGothic"/>
          <w:sz w:val="17"/>
          <w:szCs w:val="17"/>
          <w:color w:val="auto"/>
        </w:rPr>
        <w:t>‑</w:t>
      </w:r>
      <w:r>
        <w:rPr>
          <w:rFonts w:ascii="Arial" w:cs="Arial" w:eastAsia="Arial" w:hAnsi="Arial"/>
          <w:sz w:val="17"/>
          <w:szCs w:val="17"/>
          <w:color w:val="auto"/>
        </w:rPr>
        <w:t>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3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w:t>
      </w:r>
      <w:r>
        <w:rPr>
          <w:rFonts w:ascii="MS PGothic" w:cs="MS PGothic" w:eastAsia="MS PGothic" w:hAnsi="MS PGothic"/>
          <w:sz w:val="17"/>
          <w:szCs w:val="17"/>
          <w:color w:val="auto"/>
        </w:rPr>
        <w:t>‑</w:t>
      </w:r>
      <w:r>
        <w:rPr>
          <w:rFonts w:ascii="Arial" w:cs="Arial" w:eastAsia="Arial" w:hAnsi="Arial"/>
          <w:sz w:val="17"/>
          <w:szCs w:val="17"/>
          <w:color w:val="auto"/>
        </w:rPr>
        <w:t>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19"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Before approving an NDA, the FDA will conduct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manufacturing facilities for the</w:t>
      </w:r>
    </w:p>
    <w:p>
      <w:pPr>
        <w:spacing w:after="0" w:line="229" w:lineRule="auto"/>
        <w:rPr>
          <w:sz w:val="20"/>
          <w:szCs w:val="20"/>
          <w:color w:val="auto"/>
        </w:rPr>
      </w:pPr>
      <w:r>
        <w:rPr>
          <w:rFonts w:ascii="Arial" w:cs="Arial" w:eastAsia="Arial" w:hAnsi="Arial"/>
          <w:sz w:val="16"/>
          <w:szCs w:val="16"/>
          <w:color w:val="auto"/>
        </w:rPr>
        <w:t>new drug to determine whether they comply with cGMPs. The FDA will not approve the drug unless it determines that the</w:t>
      </w:r>
    </w:p>
    <w:p>
      <w:pPr>
        <w:spacing w:after="0" w:line="215" w:lineRule="auto"/>
        <w:rPr>
          <w:sz w:val="20"/>
          <w:szCs w:val="20"/>
          <w:color w:val="auto"/>
        </w:rPr>
      </w:pPr>
      <w:r>
        <w:rPr>
          <w:rFonts w:ascii="Arial" w:cs="Arial" w:eastAsia="Arial" w:hAnsi="Arial"/>
          <w:sz w:val="17"/>
          <w:szCs w:val="17"/>
          <w:color w:val="auto"/>
        </w:rPr>
        <w:t>manufacturing processes and facilities are in compliance with cGMP requirements and adequate to assure consistent</w:t>
      </w:r>
    </w:p>
    <w:p>
      <w:pPr>
        <w:spacing w:after="0" w:line="216" w:lineRule="auto"/>
        <w:rPr>
          <w:sz w:val="20"/>
          <w:szCs w:val="20"/>
          <w:color w:val="auto"/>
        </w:rPr>
      </w:pPr>
      <w:r>
        <w:rPr>
          <w:rFonts w:ascii="Arial" w:cs="Arial" w:eastAsia="Arial" w:hAnsi="Arial"/>
          <w:sz w:val="17"/>
          <w:szCs w:val="17"/>
          <w:color w:val="auto"/>
        </w:rPr>
        <w:t>production of the drug within required specifications. In addition, before approving an NDA, the FDA may also audit data</w:t>
      </w:r>
    </w:p>
    <w:p>
      <w:pPr>
        <w:spacing w:after="0" w:line="215" w:lineRule="auto"/>
        <w:rPr>
          <w:sz w:val="20"/>
          <w:szCs w:val="20"/>
          <w:color w:val="auto"/>
        </w:rPr>
      </w:pPr>
      <w:r>
        <w:rPr>
          <w:rFonts w:ascii="Arial" w:cs="Arial" w:eastAsia="Arial" w:hAnsi="Arial"/>
          <w:sz w:val="17"/>
          <w:szCs w:val="17"/>
          <w:color w:val="auto"/>
        </w:rPr>
        <w:t>from clinical trials by inspecting the sponsor or clinical trial sites to ensure compliance with GCP requirements. After the</w:t>
      </w:r>
    </w:p>
    <w:p>
      <w:pPr>
        <w:spacing w:after="0" w:line="216" w:lineRule="auto"/>
        <w:rPr>
          <w:sz w:val="20"/>
          <w:szCs w:val="20"/>
          <w:color w:val="auto"/>
        </w:rPr>
      </w:pPr>
      <w:r>
        <w:rPr>
          <w:rFonts w:ascii="Arial" w:cs="Arial" w:eastAsia="Arial" w:hAnsi="Arial"/>
          <w:sz w:val="17"/>
          <w:szCs w:val="17"/>
          <w:color w:val="auto"/>
        </w:rPr>
        <w:t>FDA evaluates the application, manufacturing process and manufacturing facilities where the drug product and/or its API</w:t>
      </w:r>
    </w:p>
    <w:p>
      <w:pPr>
        <w:spacing w:after="0" w:line="229" w:lineRule="auto"/>
        <w:rPr>
          <w:sz w:val="20"/>
          <w:szCs w:val="20"/>
          <w:color w:val="auto"/>
        </w:rPr>
      </w:pPr>
      <w:r>
        <w:rPr>
          <w:rFonts w:ascii="Arial" w:cs="Arial" w:eastAsia="Arial" w:hAnsi="Arial"/>
          <w:sz w:val="16"/>
          <w:szCs w:val="16"/>
          <w:color w:val="auto"/>
        </w:rPr>
        <w:t>will be produced, it may issue an approval letter or a Complete Response Letter. An approval letter authorizes commercial</w:t>
      </w:r>
    </w:p>
    <w:p>
      <w:pPr>
        <w:spacing w:after="0" w:line="215" w:lineRule="auto"/>
        <w:rPr>
          <w:sz w:val="20"/>
          <w:szCs w:val="20"/>
          <w:color w:val="auto"/>
        </w:rPr>
      </w:pPr>
      <w:r>
        <w:rPr>
          <w:rFonts w:ascii="Arial" w:cs="Arial" w:eastAsia="Arial" w:hAnsi="Arial"/>
          <w:sz w:val="17"/>
          <w:szCs w:val="17"/>
          <w:color w:val="auto"/>
        </w:rPr>
        <w:t>marketing of the drug with specific prescribing information for specific indications. A Complete Response Letter indicates</w:t>
      </w:r>
    </w:p>
    <w:p>
      <w:pPr>
        <w:spacing w:after="0" w:line="216" w:lineRule="auto"/>
        <w:rPr>
          <w:sz w:val="20"/>
          <w:szCs w:val="20"/>
          <w:color w:val="auto"/>
        </w:rPr>
      </w:pPr>
      <w:r>
        <w:rPr>
          <w:rFonts w:ascii="Arial" w:cs="Arial" w:eastAsia="Arial" w:hAnsi="Arial"/>
          <w:sz w:val="17"/>
          <w:szCs w:val="17"/>
          <w:color w:val="auto"/>
        </w:rPr>
        <w:t>that the review cycle of the application is complete and the application is not ready for approval. A Complete Response</w:t>
      </w:r>
    </w:p>
    <w:p>
      <w:pPr>
        <w:spacing w:after="0" w:line="215" w:lineRule="auto"/>
        <w:rPr>
          <w:sz w:val="20"/>
          <w:szCs w:val="20"/>
          <w:color w:val="auto"/>
        </w:rPr>
      </w:pPr>
      <w:r>
        <w:rPr>
          <w:rFonts w:ascii="Arial" w:cs="Arial" w:eastAsia="Arial" w:hAnsi="Arial"/>
          <w:sz w:val="17"/>
          <w:szCs w:val="17"/>
          <w:color w:val="auto"/>
        </w:rPr>
        <w:t>Letter usually describes all of the specific deficiencies in the NDA identified by the FDA. The Complete Response Letter</w:t>
      </w:r>
    </w:p>
    <w:p>
      <w:pPr>
        <w:spacing w:after="0" w:line="216" w:lineRule="auto"/>
        <w:rPr>
          <w:sz w:val="20"/>
          <w:szCs w:val="20"/>
          <w:color w:val="auto"/>
        </w:rPr>
      </w:pPr>
      <w:r>
        <w:rPr>
          <w:rFonts w:ascii="Arial" w:cs="Arial" w:eastAsia="Arial" w:hAnsi="Arial"/>
          <w:sz w:val="17"/>
          <w:szCs w:val="17"/>
          <w:color w:val="auto"/>
        </w:rPr>
        <w:t>may require additional clinical data and/or an additional pivotal clinical trial(s), and/or other significant, expensive and</w:t>
      </w:r>
    </w:p>
    <w:p>
      <w:pPr>
        <w:spacing w:after="0" w:line="176"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requirements related to clinical trials, pre-clinical studies or manufacturing. If a Complete Response Letter is</w:t>
      </w:r>
    </w:p>
    <w:p>
      <w:pPr>
        <w:spacing w:after="0" w:line="229" w:lineRule="auto"/>
        <w:rPr>
          <w:sz w:val="20"/>
          <w:szCs w:val="20"/>
          <w:color w:val="auto"/>
        </w:rPr>
      </w:pPr>
      <w:r>
        <w:rPr>
          <w:rFonts w:ascii="Arial" w:cs="Arial" w:eastAsia="Arial" w:hAnsi="Arial"/>
          <w:sz w:val="16"/>
          <w:szCs w:val="16"/>
          <w:color w:val="auto"/>
        </w:rPr>
        <w:t>issued, the applicant may either resubmit the NDA, addressing all of the deficiencies identified in the letter, or withdraw the</w:t>
      </w:r>
    </w:p>
    <w:p>
      <w:pPr>
        <w:spacing w:after="0" w:line="229" w:lineRule="auto"/>
        <w:rPr>
          <w:sz w:val="20"/>
          <w:szCs w:val="20"/>
          <w:color w:val="auto"/>
        </w:rPr>
      </w:pPr>
      <w:r>
        <w:rPr>
          <w:rFonts w:ascii="Arial" w:cs="Arial" w:eastAsia="Arial" w:hAnsi="Arial"/>
          <w:sz w:val="16"/>
          <w:szCs w:val="16"/>
          <w:color w:val="auto"/>
        </w:rPr>
        <w:t>application. Even if such data and information is submitted, the FDA may ultimately decide that the NDA does not satisfy the</w:t>
      </w:r>
    </w:p>
    <w:p>
      <w:pPr>
        <w:spacing w:after="0" w:line="229" w:lineRule="auto"/>
        <w:rPr>
          <w:sz w:val="20"/>
          <w:szCs w:val="20"/>
          <w:color w:val="auto"/>
        </w:rPr>
      </w:pPr>
      <w:r>
        <w:rPr>
          <w:rFonts w:ascii="Arial" w:cs="Arial" w:eastAsia="Arial" w:hAnsi="Arial"/>
          <w:sz w:val="16"/>
          <w:szCs w:val="16"/>
          <w:color w:val="auto"/>
        </w:rPr>
        <w:t>criteria for approval. Data obtained from clinical trials are not always conclusive and the FDA may interpret data differently</w:t>
      </w:r>
    </w:p>
    <w:p>
      <w:pPr>
        <w:spacing w:after="0"/>
        <w:rPr>
          <w:sz w:val="20"/>
          <w:szCs w:val="20"/>
          <w:color w:val="auto"/>
        </w:rPr>
      </w:pPr>
      <w:r>
        <w:rPr>
          <w:rFonts w:ascii="Arial" w:cs="Arial" w:eastAsia="Arial" w:hAnsi="Arial"/>
          <w:sz w:val="18"/>
          <w:szCs w:val="18"/>
          <w:color w:val="auto"/>
        </w:rPr>
        <w:t>than we interpret the same data.</w:t>
      </w:r>
    </w:p>
    <w:p>
      <w:pPr>
        <w:spacing w:after="0" w:line="128"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w:t>
      </w:r>
      <w:r>
        <w:rPr>
          <w:rFonts w:ascii="MS PGothic" w:cs="MS PGothic" w:eastAsia="MS PGothic" w:hAnsi="MS PGothic"/>
          <w:sz w:val="16"/>
          <w:szCs w:val="16"/>
          <w:color w:val="auto"/>
        </w:rPr>
        <w:t>‑</w:t>
      </w:r>
      <w:r>
        <w:rPr>
          <w:rFonts w:ascii="Arial" w:cs="Arial" w:eastAsia="Arial" w:hAnsi="Arial"/>
          <w:sz w:val="16"/>
          <w:szCs w:val="16"/>
          <w:color w:val="auto"/>
        </w:rPr>
        <w: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w:t>
      </w:r>
      <w:r>
        <w:rPr>
          <w:rFonts w:ascii="MS PGothic" w:cs="MS PGothic" w:eastAsia="MS PGothic" w:hAnsi="MS PGothic"/>
          <w:sz w:val="16"/>
          <w:szCs w:val="16"/>
          <w:color w:val="auto"/>
        </w:rPr>
        <w:t>‑</w:t>
      </w:r>
      <w:r>
        <w:rPr>
          <w:rFonts w:ascii="Arial" w:cs="Arial" w:eastAsia="Arial" w:hAnsi="Arial"/>
          <w:sz w:val="16"/>
          <w:szCs w:val="16"/>
          <w:color w:val="auto"/>
        </w:rPr>
        <w:t>compliance with regulatory requirements or if problems occur following initial marketing.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18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 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drugs studied for their safety and effectiveness in treating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illnesses and that provide meaningful therapeutic benefit over existing treatments may receive accelerated approval and may be approved on the basis of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w:t>
      </w:r>
      <w:r>
        <w:rPr>
          <w:rFonts w:ascii="MS PGothic" w:cs="MS PGothic" w:eastAsia="MS PGothic" w:hAnsi="MS PGothic"/>
          <w:sz w:val="17"/>
          <w:szCs w:val="17"/>
          <w:color w:val="auto"/>
        </w:rPr>
        <w:t>‑</w:t>
      </w:r>
      <w:r>
        <w:rPr>
          <w:rFonts w:ascii="Arial" w:cs="Arial" w:eastAsia="Arial" w:hAnsi="Arial"/>
          <w:sz w:val="17"/>
          <w:szCs w:val="17"/>
          <w:color w:val="auto"/>
        </w:rPr>
        <w:t>marketing studies to verify and describe the predicted effect on irreversible morbidity or mortality or other clinical endpoint, and the drug may be subject to accelerated withdrawal procedures.</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167"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Trials</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Pursuant to FDASIA, which was signed into law on July 9, 2012, a sponsor who is planning to submit a marketing application for a drug that includes a new active ingredient, new indication, new dosage form, new dosing regimen or new route of administration must submit an initial Pediatric Study Plan, or PSP, within sixty days of an end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Development program candidates designated as orphan drugs are exempt from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520"/>
        <w:spacing w:after="0" w:line="194" w:lineRule="exact"/>
        <w:rPr>
          <w:sz w:val="20"/>
          <w:szCs w:val="20"/>
          <w:color w:val="auto"/>
        </w:rPr>
      </w:pPr>
      <w:r>
        <w:rPr>
          <w:rFonts w:ascii="Arial" w:cs="Arial" w:eastAsia="Arial" w:hAnsi="Arial"/>
          <w:sz w:val="16"/>
          <w:szCs w:val="16"/>
          <w:color w:val="auto"/>
        </w:rPr>
        <w:t>above requirements. FDA and the sponsor must reach agreement on the PSP. A sponsor can submit amendments to an agreed</w:t>
      </w:r>
      <w:r>
        <w:rPr>
          <w:rFonts w:ascii="MS PGothic" w:cs="MS PGothic" w:eastAsia="MS PGothic" w:hAnsi="MS PGothic"/>
          <w:sz w:val="16"/>
          <w:szCs w:val="16"/>
          <w:color w:val="auto"/>
        </w:rPr>
        <w:t>‑</w:t>
      </w:r>
      <w:r>
        <w:rPr>
          <w:rFonts w:ascii="Arial" w:cs="Arial" w:eastAsia="Arial" w:hAnsi="Arial"/>
          <w:sz w:val="16"/>
          <w:szCs w:val="16"/>
          <w:color w:val="auto"/>
        </w:rPr>
        <w:t>upon initial PSP at any time if changes to the pediatric plan need to be considered based on data collected from pre</w:t>
      </w:r>
      <w:r>
        <w:rPr>
          <w:rFonts w:ascii="MS PGothic" w:cs="MS PGothic" w:eastAsia="MS PGothic" w:hAnsi="MS PGothic"/>
          <w:sz w:val="16"/>
          <w:szCs w:val="16"/>
          <w:color w:val="auto"/>
        </w:rPr>
        <w:t>‑</w:t>
      </w:r>
      <w:r>
        <w:rPr>
          <w:rFonts w:ascii="Arial" w:cs="Arial" w:eastAsia="Arial" w:hAnsi="Arial"/>
          <w:sz w:val="16"/>
          <w:szCs w:val="16"/>
          <w:color w:val="auto"/>
        </w:rPr>
        <w:t>clinical studies, early phase clinical trials, and/or other clinical development programs.</w:t>
      </w:r>
    </w:p>
    <w:p>
      <w:pPr>
        <w:spacing w:after="0" w:line="16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Marketing Requirements</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consumer advertising, restrictions on promoting drugs for uses or in patient populations that are not described in the drug’s approved labeling (known as “off</w:t>
      </w:r>
      <w:r>
        <w:rPr>
          <w:rFonts w:ascii="MS PGothic" w:cs="MS PGothic" w:eastAsia="MS PGothic" w:hAnsi="MS PGothic"/>
          <w:sz w:val="17"/>
          <w:szCs w:val="17"/>
          <w:color w:val="auto"/>
        </w:rPr>
        <w:t>‑</w:t>
      </w:r>
      <w:r>
        <w:rPr>
          <w:rFonts w:ascii="Arial" w:cs="Arial" w:eastAsia="Arial" w:hAnsi="Arial"/>
          <w:sz w:val="17"/>
          <w:szCs w:val="17"/>
          <w:color w:val="auto"/>
        </w:rPr>
        <w:t>label use”), limitations on industry</w:t>
      </w:r>
      <w:r>
        <w:rPr>
          <w:rFonts w:ascii="MS PGothic" w:cs="MS PGothic" w:eastAsia="MS PGothic" w:hAnsi="MS PGothic"/>
          <w:sz w:val="17"/>
          <w:szCs w:val="17"/>
          <w:color w:val="auto"/>
        </w:rPr>
        <w:t>‑</w:t>
      </w:r>
      <w:r>
        <w:rPr>
          <w:rFonts w:ascii="Arial" w:cs="Arial" w:eastAsia="Arial" w:hAnsi="Arial"/>
          <w:sz w:val="17"/>
          <w:szCs w:val="17"/>
          <w:color w:val="auto"/>
        </w:rPr>
        <w:t>sponsored scientific and educational activities, and requirements for promotional activities involving the internet. Although physicians may prescribe legally available drugs for off</w:t>
      </w:r>
      <w:r>
        <w:rPr>
          <w:rFonts w:ascii="MS PGothic" w:cs="MS PGothic" w:eastAsia="MS PGothic" w:hAnsi="MS PGothic"/>
          <w:sz w:val="17"/>
          <w:szCs w:val="17"/>
          <w:color w:val="auto"/>
        </w:rPr>
        <w:t>‑</w:t>
      </w:r>
      <w:r>
        <w:rPr>
          <w:rFonts w:ascii="Arial" w:cs="Arial" w:eastAsia="Arial" w:hAnsi="Arial"/>
          <w:sz w:val="17"/>
          <w:szCs w:val="17"/>
          <w:color w:val="auto"/>
        </w:rPr>
        <w:t>label uses, manufacturers may not market or promote such off</w:t>
      </w:r>
      <w:r>
        <w:rPr>
          <w:rFonts w:ascii="MS PGothic" w:cs="MS PGothic" w:eastAsia="MS PGothic" w:hAnsi="MS PGothic"/>
          <w:sz w:val="17"/>
          <w:szCs w:val="17"/>
          <w:color w:val="auto"/>
        </w:rPr>
        <w:t>‑</w:t>
      </w:r>
      <w:r>
        <w:rPr>
          <w:rFonts w:ascii="Arial" w:cs="Arial" w:eastAsia="Arial" w:hAnsi="Arial"/>
          <w:sz w:val="17"/>
          <w:szCs w:val="17"/>
          <w:color w:val="auto"/>
        </w:rPr>
        <w:t>label uses. Modifications or enhancements to the drug or its labeling or changes of the site of manufacture are often subject to the approval of the FDA and other regulators, which may or may not be received or may result in a lengthy review process.</w:t>
      </w:r>
    </w:p>
    <w:p>
      <w:pPr>
        <w:spacing w:after="0" w:line="167"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Prescription drug advertising is subject to federal, state and foreign regulations. In the United States, the FDA regulates prescription drug promotion, including direct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consumer advertising. Prescription drug promotional materials must be submitted to the FDA in conjunction with their first use. Any distribution of prescription drugs and pharmaceutical samples must comply with the U.S. Prescription Drug Marketing Act, or the PDMA, a part of the FDCA.</w:t>
      </w:r>
    </w:p>
    <w:p>
      <w:pPr>
        <w:spacing w:after="0" w:line="164"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166"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The FDA also may require post</w:t>
      </w:r>
      <w:r>
        <w:rPr>
          <w:rFonts w:ascii="MS PGothic" w:cs="MS PGothic" w:eastAsia="MS PGothic" w:hAnsi="MS PGothic"/>
          <w:sz w:val="17"/>
          <w:szCs w:val="17"/>
          <w:color w:val="auto"/>
        </w:rPr>
        <w:t>‑</w:t>
      </w:r>
      <w:r>
        <w:rPr>
          <w:rFonts w:ascii="Arial" w:cs="Arial" w:eastAsia="Arial" w:hAnsi="Arial"/>
          <w:sz w:val="17"/>
          <w:szCs w:val="17"/>
          <w:color w:val="auto"/>
        </w:rPr>
        <w:t>approval testing, sometimes referred to as Phase 4 testing, risk minimization action plans and post</w:t>
      </w:r>
      <w:r>
        <w:rPr>
          <w:rFonts w:ascii="MS PGothic" w:cs="MS PGothic" w:eastAsia="MS PGothic" w:hAnsi="MS PGothic"/>
          <w:sz w:val="17"/>
          <w:szCs w:val="17"/>
          <w:color w:val="auto"/>
        </w:rPr>
        <w:t>‑</w:t>
      </w:r>
      <w:r>
        <w:rPr>
          <w:rFonts w:ascii="Arial" w:cs="Arial" w:eastAsia="Arial" w:hAnsi="Arial"/>
          <w:sz w:val="17"/>
          <w:szCs w:val="17"/>
          <w:color w:val="auto"/>
        </w:rPr>
        <w: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drugs under development.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Regulatory Matters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or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w:t>
      </w:r>
      <w:r>
        <w:rPr>
          <w:rFonts w:ascii="MS PGothic" w:cs="MS PGothic" w:eastAsia="MS PGothic" w:hAnsi="MS PGothic"/>
          <w:sz w:val="17"/>
          <w:szCs w:val="17"/>
          <w:color w:val="auto"/>
        </w:rPr>
        <w:t>‑</w:t>
      </w:r>
      <w:r>
        <w:rPr>
          <w:rFonts w:ascii="Arial" w:cs="Arial" w:eastAsia="Arial" w:hAnsi="Arial"/>
          <w:sz w:val="17"/>
          <w:szCs w:val="17"/>
          <w:color w:val="auto"/>
        </w:rPr>
        <w:t>resistant packaging requirements under the U.S. Poison Prevention Packaging Act. Manufacturing, sales, promotion and other activities are also potentially subject to federal and state consumer protection and unfair competition laws.</w:t>
      </w:r>
    </w:p>
    <w:p>
      <w:pPr>
        <w:spacing w:after="0" w:line="16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The distribution of pharmaceutical drugs is subject to additional requirements and regulations, including extensive record</w:t>
      </w:r>
      <w:r>
        <w:rPr>
          <w:rFonts w:ascii="MS PGothic" w:cs="MS PGothic" w:eastAsia="MS PGothic" w:hAnsi="MS PGothic"/>
          <w:sz w:val="18"/>
          <w:szCs w:val="18"/>
          <w:color w:val="auto"/>
        </w:rPr>
        <w:t>‑</w:t>
      </w:r>
      <w:r>
        <w:rPr>
          <w:rFonts w:ascii="Arial" w:cs="Arial" w:eastAsia="Arial" w:hAnsi="Arial"/>
          <w:sz w:val="18"/>
          <w:szCs w:val="18"/>
          <w:color w:val="auto"/>
        </w:rPr>
        <w:t>keeping, licensing, storage and security requirements intended to prevent the unauthorized sale of pharmaceutical drugs.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spacing w:after="0" w:line="1" w:lineRule="exact"/>
        <w:rPr>
          <w:sz w:val="20"/>
          <w:szCs w:val="20"/>
          <w:color w:val="auto"/>
        </w:rPr>
      </w:pPr>
    </w:p>
    <w:p>
      <w:pPr>
        <w:ind w:right="60" w:firstLine="3"/>
        <w:spacing w:after="0" w:line="195" w:lineRule="exact"/>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recall or discontinuation of our products; or (iv) additional record</w:t>
      </w:r>
      <w:r>
        <w:rPr>
          <w:rFonts w:ascii="MS PGothic" w:cs="MS PGothic" w:eastAsia="MS PGothic" w:hAnsi="MS PGothic"/>
          <w:sz w:val="18"/>
          <w:szCs w:val="18"/>
          <w:color w:val="auto"/>
        </w:rPr>
        <w:t>‑</w:t>
      </w:r>
      <w:r>
        <w:rPr>
          <w:rFonts w:ascii="Arial" w:cs="Arial" w:eastAsia="Arial" w:hAnsi="Arial"/>
          <w:sz w:val="18"/>
          <w:szCs w:val="18"/>
          <w:color w:val="auto"/>
        </w:rPr>
        <w:t>keeping requirements. If any such changes were to be imposed, they could adversely affect the operation of our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w:t>
      </w:r>
      <w:r>
        <w:rPr>
          <w:rFonts w:ascii="MS PGothic" w:cs="MS PGothic" w:eastAsia="MS PGothic" w:hAnsi="MS PGothic"/>
          <w:sz w:val="16"/>
          <w:szCs w:val="16"/>
          <w:color w:val="auto"/>
        </w:rPr>
        <w:t>‑</w:t>
      </w:r>
      <w:r>
        <w:rPr>
          <w:rFonts w:ascii="Arial" w:cs="Arial" w:eastAsia="Arial" w:hAnsi="Arial"/>
          <w:sz w:val="16"/>
          <w:szCs w:val="16"/>
          <w:color w:val="auto"/>
        </w:rPr>
        <w:t>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70"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w:t>
      </w:r>
      <w:r>
        <w:rPr>
          <w:rFonts w:ascii="MS PGothic" w:cs="MS PGothic" w:eastAsia="MS PGothic" w:hAnsi="MS PGothic"/>
          <w:sz w:val="17"/>
          <w:szCs w:val="17"/>
          <w:color w:val="auto"/>
        </w:rPr>
        <w:t>‑</w:t>
      </w:r>
      <w:r>
        <w:rPr>
          <w:rFonts w:ascii="Arial" w:cs="Arial" w:eastAsia="Arial" w:hAnsi="Arial"/>
          <w:sz w:val="17"/>
          <w:szCs w:val="17"/>
          <w:color w:val="auto"/>
        </w:rPr>
        <w:t>year period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79" w:lineRule="exact"/>
        <w:rPr>
          <w:sz w:val="20"/>
          <w:szCs w:val="20"/>
          <w:color w:val="auto"/>
        </w:rPr>
      </w:pPr>
      <w:r>
        <w:rPr>
          <w:rFonts w:ascii="Arial" w:cs="Arial" w:eastAsia="Arial" w:hAnsi="Arial"/>
          <w:sz w:val="17"/>
          <w:szCs w:val="17"/>
          <w:color w:val="auto"/>
        </w:rPr>
        <w:t>innovator drug or for another indication, where the applicant does not own or have a legal right of reference to all the data required for approval. However, an application may be submitted after four years if it contains a certification of patent invalidity or non</w:t>
      </w:r>
      <w:r>
        <w:rPr>
          <w:rFonts w:ascii="MS PGothic" w:cs="MS PGothic" w:eastAsia="MS PGothic" w:hAnsi="MS PGothic"/>
          <w:sz w:val="17"/>
          <w:szCs w:val="17"/>
          <w:color w:val="auto"/>
        </w:rPr>
        <w:t>‑</w:t>
      </w:r>
      <w:r>
        <w:rPr>
          <w:rFonts w:ascii="Arial" w:cs="Arial" w:eastAsia="Arial" w:hAnsi="Arial"/>
          <w:sz w:val="17"/>
          <w:szCs w:val="17"/>
          <w:color w:val="auto"/>
        </w:rPr>
        <w:t>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w:t>
      </w:r>
      <w:r>
        <w:rPr>
          <w:rFonts w:ascii="MS PGothic" w:cs="MS PGothic" w:eastAsia="MS PGothic" w:hAnsi="MS PGothic"/>
          <w:sz w:val="17"/>
          <w:szCs w:val="17"/>
          <w:color w:val="auto"/>
        </w:rPr>
        <w:t>‑</w:t>
      </w:r>
      <w:r>
        <w:rPr>
          <w:rFonts w:ascii="Arial" w:cs="Arial" w:eastAsia="Arial" w:hAnsi="Arial"/>
          <w:sz w:val="17"/>
          <w:szCs w:val="17"/>
          <w:color w:val="auto"/>
        </w:rPr>
        <w:t>year exclusivity covers only the modification for which the drug received approval on the basis of the new clinical investigations and does not prohibit the FDA from approving ANDAs for drugs containing the active agent for the original indication or condition of use. Five</w:t>
      </w:r>
      <w:r>
        <w:rPr>
          <w:rFonts w:ascii="MS PGothic" w:cs="MS PGothic" w:eastAsia="MS PGothic" w:hAnsi="MS PGothic"/>
          <w:sz w:val="17"/>
          <w:szCs w:val="17"/>
          <w:color w:val="auto"/>
        </w:rPr>
        <w:t>‑</w:t>
      </w:r>
      <w:r>
        <w:rPr>
          <w:rFonts w:ascii="Arial" w:cs="Arial" w:eastAsia="Arial" w:hAnsi="Arial"/>
          <w:sz w:val="17"/>
          <w:szCs w:val="17"/>
          <w:color w:val="auto"/>
        </w:rPr>
        <w:t>year and three</w:t>
      </w:r>
      <w:r>
        <w:rPr>
          <w:rFonts w:ascii="MS PGothic" w:cs="MS PGothic" w:eastAsia="MS PGothic" w:hAnsi="MS PGothic"/>
          <w:sz w:val="17"/>
          <w:szCs w:val="17"/>
          <w:color w:val="auto"/>
        </w:rPr>
        <w:t>‑</w:t>
      </w:r>
      <w:r>
        <w:rPr>
          <w:rFonts w:ascii="Arial" w:cs="Arial" w:eastAsia="Arial" w:hAnsi="Arial"/>
          <w:sz w:val="17"/>
          <w:szCs w:val="17"/>
          <w:color w:val="auto"/>
        </w:rPr>
        <w:t>year exclusivity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necessary to demonstrate safety and effectiveness. Orphan drug exclusivity, as described below, may offer a seven</w:t>
      </w:r>
      <w:r>
        <w:rPr>
          <w:rFonts w:ascii="MS PGothic" w:cs="MS PGothic" w:eastAsia="MS PGothic" w:hAnsi="MS PGothic"/>
          <w:sz w:val="17"/>
          <w:szCs w:val="17"/>
          <w:color w:val="auto"/>
        </w:rPr>
        <w:t>‑</w:t>
      </w:r>
      <w:r>
        <w:rPr>
          <w:rFonts w:ascii="Arial" w:cs="Arial" w:eastAsia="Arial" w:hAnsi="Arial"/>
          <w:sz w:val="17"/>
          <w:szCs w:val="17"/>
          <w:color w:val="auto"/>
        </w:rPr>
        <w:t>year period of marketing exclusivity, except in certain circumstances. Pediatric exclusivity is another type of regulatory market exclusivity in the United States. Pediatric exclusivity, if granted, adds six months to existing exclusivity periods and patent terms.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which runs from the end of other exclusivity protection or patent term, may be granted based on the voluntary completion of a pediatric trial in accordance with an FDA</w:t>
      </w:r>
      <w:r>
        <w:rPr>
          <w:rFonts w:ascii="MS PGothic" w:cs="MS PGothic" w:eastAsia="MS PGothic" w:hAnsi="MS PGothic"/>
          <w:sz w:val="17"/>
          <w:szCs w:val="17"/>
          <w:color w:val="auto"/>
        </w:rPr>
        <w:t>‑</w:t>
      </w:r>
      <w:r>
        <w:rPr>
          <w:rFonts w:ascii="Arial" w:cs="Arial" w:eastAsia="Arial" w:hAnsi="Arial"/>
          <w:sz w:val="17"/>
          <w:szCs w:val="17"/>
          <w:color w:val="auto"/>
        </w:rPr>
        <w:t>issued “Written Request” for such a trial.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Orphan Drug Designation</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European Commission, after receiving the opinion of the EMA’s Committee for Orphan Medicinal Products, or COMP, grants orphan drug designation to promote the development of products that are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five in 10,000 persons in the European Union Community. In addition, designation is granted for products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164"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63"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Diagnostic Tests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 xml:space="preserve">We expect that our drug candidates may require use of a diagnostic to identify appropriate patient populations for our products. These diagnostics, often referred to as companion diagnostics, are medical devices, often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devices, which provide information that is essential for the safe and effective use of a corresponding drug. For example, we have entered into an agreement with Ventana for the development and commercialization of a companion diagnostic for BLU-554 in order to identify HCC patients with abberantly active FGFR4 signaling as indicated by FGF19 overexpression.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9" w:lineRule="exact"/>
        <w:rPr>
          <w:sz w:val="20"/>
          <w:szCs w:val="20"/>
          <w:color w:val="auto"/>
        </w:rPr>
      </w:pPr>
      <w:r>
        <w:rPr>
          <w:rFonts w:ascii="Arial" w:cs="Arial" w:eastAsia="Arial" w:hAnsi="Arial"/>
          <w:sz w:val="16"/>
          <w:szCs w:val="16"/>
          <w:color w:val="auto"/>
        </w:rPr>
        <w:t>sales and distribution, export and import, and post</w:t>
      </w:r>
      <w:r>
        <w:rPr>
          <w:rFonts w:ascii="MS PGothic" w:cs="MS PGothic" w:eastAsia="MS PGothic" w:hAnsi="MS PGothic"/>
          <w:sz w:val="16"/>
          <w:szCs w:val="16"/>
          <w:color w:val="auto"/>
        </w:rPr>
        <w:t>‑</w:t>
      </w:r>
      <w:r>
        <w:rPr>
          <w:rFonts w:ascii="Arial" w:cs="Arial" w:eastAsia="Arial" w:hAnsi="Arial"/>
          <w:sz w:val="16"/>
          <w:szCs w:val="16"/>
          <w:color w:val="auto"/>
        </w:rPr>
        <w: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drug candidates will utilize the PMA pathway.</w:t>
      </w:r>
    </w:p>
    <w:p>
      <w:pPr>
        <w:spacing w:after="0" w:line="164"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17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 drug candidates, a companion diagnostic device and its corresponding drug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0"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 xml:space="preserve">In the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medical devices are required to conform with the essential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w:t>
      </w:r>
      <w:r>
        <w:rPr>
          <w:rFonts w:ascii="MS PGothic" w:cs="MS PGothic" w:eastAsia="MS PGothic" w:hAnsi="MS PGothic"/>
          <w:sz w:val="16"/>
          <w:szCs w:val="16"/>
          <w:color w:val="auto"/>
        </w:rPr>
        <w:t>‑</w:t>
      </w:r>
      <w:r>
        <w:rPr>
          <w:rFonts w:ascii="Arial" w:cs="Arial" w:eastAsia="Arial" w:hAnsi="Arial"/>
          <w:sz w:val="16"/>
          <w:szCs w:val="16"/>
          <w:color w:val="auto"/>
        </w:rPr>
        <w:t>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Drug Development</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 the European Union, our future drugs may also be subject to extensive regulatory requirements. As in the United States, medicinal products can only be marketed if a marketing authorization from the competent regulatory agencies has been obtained.</w:t>
      </w:r>
    </w:p>
    <w:p>
      <w:pPr>
        <w:spacing w:after="0" w:line="163"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5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European Union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Drug Review and Approval</w:t>
      </w:r>
    </w:p>
    <w:p>
      <w:pPr>
        <w:spacing w:after="0" w:line="185"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61"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w:t>
      </w:r>
      <w:r>
        <w:rPr>
          <w:rFonts w:ascii="MS PGothic" w:cs="MS PGothic" w:eastAsia="MS PGothic" w:hAnsi="MS PGothic"/>
          <w:sz w:val="16"/>
          <w:szCs w:val="16"/>
          <w:color w:val="auto"/>
        </w:rPr>
        <w:t>‑</w:t>
      </w:r>
      <w:r>
        <w:rPr>
          <w:rFonts w:ascii="Arial" w:cs="Arial" w:eastAsia="Arial" w:hAnsi="Arial"/>
          <w:sz w:val="16"/>
          <w:szCs w:val="16"/>
          <w:color w:val="auto"/>
        </w:rPr>
        <w:t>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163"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States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170" w:lineRule="exact"/>
        <w:rPr>
          <w:sz w:val="20"/>
          <w:szCs w:val="20"/>
          <w:color w:val="auto"/>
        </w:rPr>
      </w:pPr>
    </w:p>
    <w:p>
      <w:pPr>
        <w:jc w:val="both"/>
        <w:ind w:right="520" w:firstLine="648"/>
        <w:spacing w:after="0" w:line="194" w:lineRule="exact"/>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w:t>
      </w:r>
      <w:r>
        <w:rPr>
          <w:rFonts w:ascii="MS PGothic" w:cs="MS PGothic" w:eastAsia="MS PGothic" w:hAnsi="MS PGothic"/>
          <w:sz w:val="18"/>
          <w:szCs w:val="18"/>
          <w:color w:val="auto"/>
        </w:rPr>
        <w:t>‑</w:t>
      </w:r>
      <w:r>
        <w:rPr>
          <w:rFonts w:ascii="Arial" w:cs="Arial" w:eastAsia="Arial" w:hAnsi="Arial"/>
          <w:sz w:val="18"/>
          <w:szCs w:val="18"/>
          <w:color w:val="auto"/>
        </w:rPr>
        <w:t>benefit balance of the drug on the basis of scientific criteria concerning its quality, safety and efficacy.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Chemical Entity Exclusivity</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185"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For other countries outside of the European Union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55"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Sales of our drugs will depend, in part, on the extent to which our drugs will be covered by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health programs, commercial insurance and managed healthcare organizations. These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reducing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w:t>
      </w:r>
      <w:r>
        <w:rPr>
          <w:rFonts w:ascii="MS PGothic" w:cs="MS PGothic" w:eastAsia="MS PGothic" w:hAnsi="MS PGothic"/>
          <w:sz w:val="16"/>
          <w:szCs w:val="16"/>
          <w:color w:val="auto"/>
        </w:rPr>
        <w:t>‑</w:t>
      </w:r>
      <w:r>
        <w:rPr>
          <w:rFonts w:ascii="Arial" w:cs="Arial" w:eastAsia="Arial" w:hAnsi="Arial"/>
          <w:sz w:val="16"/>
          <w:szCs w:val="16"/>
          <w:color w:val="auto"/>
        </w:rPr>
        <w:t>containment programs, including price controls, restrictions on reimbursement and requirements for substitution of generic drugs. Adoption of price controls and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and adoption of more restrictive policies in jurisdictions with existing controls and measures, could further limit our net revenue and results. Decreases in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for our drug candidates, if approved, or a decision by a third</w:t>
      </w:r>
      <w:r>
        <w:rPr>
          <w:rFonts w:ascii="MS PGothic" w:cs="MS PGothic" w:eastAsia="MS PGothic" w:hAnsi="MS PGothic"/>
          <w:sz w:val="16"/>
          <w:szCs w:val="16"/>
          <w:color w:val="auto"/>
        </w:rPr>
        <w:t>‑</w:t>
      </w:r>
      <w:r>
        <w:rPr>
          <w:rFonts w:ascii="Arial" w:cs="Arial" w:eastAsia="Arial" w:hAnsi="Arial"/>
          <w:sz w:val="16"/>
          <w:szCs w:val="16"/>
          <w:color w:val="auto"/>
        </w:rPr>
        <w:t>party payor to not cover our drug candidates could reduce physician usage of such drugs and have a material adverse effect on our sales, results of operations and financial condition.</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w:t>
      </w:r>
      <w:r>
        <w:rPr>
          <w:rFonts w:ascii="MS PGothic" w:cs="MS PGothic" w:eastAsia="MS PGothic" w:hAnsi="MS PGothic"/>
          <w:sz w:val="17"/>
          <w:szCs w:val="17"/>
          <w:color w:val="auto"/>
        </w:rPr>
        <w:t>‑</w:t>
      </w:r>
      <w:r>
        <w:rPr>
          <w:rFonts w:ascii="Arial" w:cs="Arial" w:eastAsia="Arial" w:hAnsi="Arial"/>
          <w:sz w:val="17"/>
          <w:szCs w:val="17"/>
          <w:color w:val="auto"/>
        </w:rPr>
        <w:t>governmental payors.</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consider our drugs to be 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drugs after approval as a benefit under their plans or, if they do, the level of payment may not be sufficient to allow us to sell our drugs on a profitable basis.</w:t>
      </w:r>
    </w:p>
    <w:p>
      <w:pPr>
        <w:spacing w:after="0" w:line="163"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enacted in March 2010, has had a significant impact on the health care industry. The ACA expanded coverage for the uninsured while at the same time containing overall healthcare costs. With regard to pharmaceutical products, the ACA, among other things, addressed a new methodology by which rebates owed by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184" w:lineRule="exact"/>
        <w:rPr>
          <w:sz w:val="20"/>
          <w:szCs w:val="20"/>
          <w:color w:val="auto"/>
        </w:rPr>
      </w:pPr>
      <w:r>
        <w:rPr>
          <w:rFonts w:ascii="Arial" w:cs="Arial" w:eastAsia="Arial" w:hAnsi="Arial"/>
          <w:sz w:val="17"/>
          <w:szCs w:val="17"/>
          <w:color w:val="auto"/>
        </w:rPr>
        <w:t>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sale discounts off negotiated prices of applicable brand drugs to eligible beneficiaries during their coverage gap period, as a condition for the manufacturer’s outpatient drugs to be covered under Medicare Part D.</w:t>
      </w:r>
    </w:p>
    <w:p>
      <w:pPr>
        <w:spacing w:after="0" w:line="162"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2024 unless additional Congressional action is taken. On January 2, 2013,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w:t>
      </w:r>
    </w:p>
    <w:p>
      <w:pPr>
        <w:spacing w:after="0" w:line="169"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5" w:lineRule="exact"/>
        <w:rPr>
          <w:sz w:val="20"/>
          <w:szCs w:val="20"/>
          <w:color w:val="auto"/>
        </w:rPr>
      </w:pPr>
    </w:p>
    <w:p>
      <w:pPr>
        <w:ind w:right="20" w:firstLine="648"/>
        <w:spacing w:after="0" w:line="194" w:lineRule="exact"/>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w:t>
      </w:r>
      <w:r>
        <w:rPr>
          <w:rFonts w:ascii="MS PGothic" w:cs="MS PGothic" w:eastAsia="MS PGothic" w:hAnsi="MS PGothic"/>
          <w:sz w:val="16"/>
          <w:szCs w:val="16"/>
          <w:color w:val="auto"/>
        </w:rPr>
        <w:t>‑</w:t>
      </w:r>
      <w:r>
        <w:rPr>
          <w:rFonts w:ascii="Arial" w:cs="Arial" w:eastAsia="Arial" w:hAnsi="Arial"/>
          <w:sz w:val="16"/>
          <w:szCs w:val="16"/>
          <w:color w:val="auto"/>
        </w:rPr>
        <w:t>kickback, fraud and abuse, false claims, privacy and security and physician sunshine laws and regulations.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w:t>
      </w:r>
      <w:r>
        <w:rPr>
          <w:rFonts w:ascii="MS PGothic" w:cs="MS PGothic" w:eastAsia="MS PGothic" w:hAnsi="MS PGothic"/>
          <w:sz w:val="17"/>
          <w:szCs w:val="17"/>
          <w:color w:val="auto"/>
        </w:rPr>
        <w:t>‑</w:t>
      </w:r>
      <w:r>
        <w:rPr>
          <w:rFonts w:ascii="Arial" w:cs="Arial" w:eastAsia="Arial" w:hAnsi="Arial"/>
          <w:sz w:val="17"/>
          <w:szCs w:val="17"/>
          <w:color w:val="auto"/>
        </w:rPr>
        <w:t>Kickback Statute is subject to evolving interpretations. In the past, the government has enforced the Anti</w:t>
      </w:r>
      <w:r>
        <w:rPr>
          <w:rFonts w:ascii="MS PGothic" w:cs="MS PGothic" w:eastAsia="MS PGothic" w:hAnsi="MS PGothic"/>
          <w:sz w:val="17"/>
          <w:szCs w:val="17"/>
          <w:color w:val="auto"/>
        </w:rPr>
        <w:t>‑</w:t>
      </w:r>
      <w:r>
        <w:rPr>
          <w:rFonts w:ascii="Arial" w:cs="Arial" w:eastAsia="Arial" w:hAnsi="Arial"/>
          <w:sz w:val="17"/>
          <w:szCs w:val="17"/>
          <w:color w:val="auto"/>
        </w:rPr>
        <w:t>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federal False Claims Act. The majority of states also have anti</w:t>
      </w:r>
      <w:r>
        <w:rPr>
          <w:rFonts w:ascii="MS PGothic" w:cs="MS PGothic" w:eastAsia="MS PGothic" w:hAnsi="MS PGothic"/>
          <w:sz w:val="17"/>
          <w:szCs w:val="17"/>
          <w:color w:val="auto"/>
        </w:rPr>
        <w:t>‑</w:t>
      </w:r>
      <w:r>
        <w:rPr>
          <w:rFonts w:ascii="Arial" w:cs="Arial" w:eastAsia="Arial" w:hAnsi="Arial"/>
          <w:sz w:val="17"/>
          <w:szCs w:val="17"/>
          <w:color w:val="auto"/>
        </w:rPr>
        <w:t>kickback laws, which establish similar prohibitions and in some cases may apply to items or services reimbursed by any third</w:t>
      </w:r>
      <w:r>
        <w:rPr>
          <w:rFonts w:ascii="MS PGothic" w:cs="MS PGothic" w:eastAsia="MS PGothic" w:hAnsi="MS PGothic"/>
          <w:sz w:val="17"/>
          <w:szCs w:val="17"/>
          <w:color w:val="auto"/>
        </w:rPr>
        <w:t>‑</w:t>
      </w:r>
      <w:r>
        <w:rPr>
          <w:rFonts w:ascii="Arial" w:cs="Arial" w:eastAsia="Arial" w:hAnsi="Arial"/>
          <w:sz w:val="17"/>
          <w:szCs w:val="17"/>
          <w:color w:val="auto"/>
        </w:rPr>
        <w:t>party payor, including commercial insurers.</w:t>
      </w:r>
    </w:p>
    <w:p>
      <w:pPr>
        <w:spacing w:after="0" w:line="167"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addition,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7" w:lineRule="exact"/>
        <w:rPr>
          <w:sz w:val="20"/>
          <w:szCs w:val="20"/>
          <w:color w:val="auto"/>
        </w:rPr>
      </w:pPr>
      <w:r>
        <w:rPr>
          <w:rFonts w:ascii="Arial" w:cs="Arial" w:eastAsia="Arial" w:hAnsi="Arial"/>
          <w:sz w:val="18"/>
          <w:szCs w:val="18"/>
          <w:color w:val="auto"/>
        </w:rPr>
        <w:t>products for unapproved uses and other sales and marketing practices. The government has obtained multi</w:t>
      </w:r>
      <w:r>
        <w:rPr>
          <w:rFonts w:ascii="MS PGothic" w:cs="MS PGothic" w:eastAsia="MS PGothic" w:hAnsi="MS PGothic"/>
          <w:sz w:val="18"/>
          <w:szCs w:val="18"/>
          <w:color w:val="auto"/>
        </w:rPr>
        <w:t>‑</w:t>
      </w:r>
      <w:r>
        <w:rPr>
          <w:rFonts w:ascii="Arial" w:cs="Arial" w:eastAsia="Arial" w:hAnsi="Arial"/>
          <w:sz w:val="18"/>
          <w:szCs w:val="18"/>
          <w:color w:val="auto"/>
        </w:rPr>
        <w:t>million and multi</w:t>
      </w:r>
      <w:r>
        <w:rPr>
          <w:rFonts w:ascii="MS PGothic" w:cs="MS PGothic" w:eastAsia="MS PGothic" w:hAnsi="MS PGothic"/>
          <w:sz w:val="18"/>
          <w:szCs w:val="18"/>
          <w:color w:val="auto"/>
        </w:rPr>
        <w:t>‑</w:t>
      </w:r>
      <w:r>
        <w:rPr>
          <w:rFonts w:ascii="Arial" w:cs="Arial" w:eastAsia="Arial" w:hAnsi="Arial"/>
          <w:sz w:val="18"/>
          <w:szCs w:val="18"/>
          <w:color w:val="auto"/>
        </w:rPr>
        <w:t>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6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submit reports to the government by March 31, 2014 and June 30, 2014, and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8"/>
          <w:szCs w:val="18"/>
          <w:color w:val="auto"/>
        </w:rPr>
        <w:t>As of February 29, 2016, we had 81 full</w:t>
      </w:r>
      <w:r>
        <w:rPr>
          <w:rFonts w:ascii="MS PGothic" w:cs="MS PGothic" w:eastAsia="MS PGothic" w:hAnsi="MS PGothic"/>
          <w:sz w:val="18"/>
          <w:szCs w:val="18"/>
          <w:color w:val="auto"/>
        </w:rPr>
        <w:t>‑</w:t>
      </w:r>
      <w:r>
        <w:rPr>
          <w:rFonts w:ascii="Arial" w:cs="Arial" w:eastAsia="Arial" w:hAnsi="Arial"/>
          <w:sz w:val="18"/>
          <w:szCs w:val="18"/>
          <w:color w:val="auto"/>
        </w:rPr>
        <w:t>time employees, including 38 employees with M.D. or Ph.D. degrees. Of these full</w:t>
      </w:r>
      <w:r>
        <w:rPr>
          <w:rFonts w:ascii="MS PGothic" w:cs="MS PGothic" w:eastAsia="MS PGothic" w:hAnsi="MS PGothic"/>
          <w:sz w:val="18"/>
          <w:szCs w:val="18"/>
          <w:color w:val="auto"/>
        </w:rPr>
        <w:t>‑</w:t>
      </w:r>
      <w:r>
        <w:rPr>
          <w:rFonts w:ascii="Arial" w:cs="Arial" w:eastAsia="Arial" w:hAnsi="Arial"/>
          <w:sz w:val="18"/>
          <w:szCs w:val="18"/>
          <w:color w:val="auto"/>
        </w:rPr>
        <w:t>time employees, 61 employees are engaged in research and development activities, and 20 are engaged in general and administrative activities. None of our employees is represented by a labor union or covered by a collective bargaining agreement. We consider our relationship with our employees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38 Sidney Street, Suite 200, Cambridge, Massachusetts 02139, and our telephone number is (617) 374-7580.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89"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website at http://www.sec.gov.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BLU-285 and BLU-554.</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In June 2015, July 2015 and September 2015, respectively, the U.S. Food and Drug Administration, or FDA, accepted our Investigational New Drug, or IND, applications for BLU-554 for the treatment of advanced HCC and cholangiocarcinoma, BLU-285 for the treatment of unresectable, treatment-resistant GIST and BLU-285 for the treatment of advanced SM. We have initiated dose-escalation Phase 1 clinical trials for each of these indications and are currently enrolling patients in each of these clinical trials. In September 2015, the FDA granted orphan drug designation to BLU-554 for the treatment of HCC, and in January 2016, the FDA granted orphan drug designation to BLU-285 for the treatment of GIST and SM. We have never generated any revenue from drug sales. We have not obtained regulatory approvals for any of our drug candidates.</w:t>
      </w:r>
    </w:p>
    <w:p>
      <w:pPr>
        <w:spacing w:after="0" w:line="165"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30" w:lineRule="auto"/>
        <w:rPr>
          <w:sz w:val="20"/>
          <w:szCs w:val="20"/>
          <w:color w:val="auto"/>
        </w:rPr>
      </w:pPr>
      <w:r>
        <w:rPr>
          <w:rFonts w:ascii="Arial" w:cs="Arial" w:eastAsia="Arial" w:hAnsi="Arial"/>
          <w:sz w:val="16"/>
          <w:szCs w:val="16"/>
          <w:color w:val="auto"/>
        </w:rPr>
        <w:t>Since inception, we have focused substantially all of our efforts and financial resources on developing our proprietary compound library, novel target discovery engine and initial drug candidates. 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resulting in gross proceeds of $168.6 million before deducting underwriting discounts and commissions and offering costs payable by us. To date, we have financed our operations primarily through our IPO, private placements of our convertible preferred stock and, to a lesser extent, the research, development and commercialization agreement that we entered into in March 2015 with Alexion Pharma Holding, or Alexion, and a debt financing. Through December 31, 2015, we have received an aggregate of $310.5 million in gross proceeds from such transactions, including $168.6 million in gross proceeds from our IPO, $115.1 million in gross proceeds from the issuance of convertible preferred stock, $16.8 million of upfront and milestone payments from Alexion and</w:t>
      </w:r>
    </w:p>
    <w:p>
      <w:pPr>
        <w:spacing w:after="0" w:line="8"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$10.0 million in gross proceeds from the debt financing. As of December 31, 2015, our cash and cash equivalents were $162.7 million.</w:t>
      </w:r>
    </w:p>
    <w:p>
      <w:pPr>
        <w:spacing w:after="0" w:line="161"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have incurred net losses in each year since our inception, and we had an accumulated deficit of $135.0 million as of December 31, 2015. Our net loss was $52.8 million for the year ended December 31, 2015, $40.3 million for the year ended December 31, 2014 and $20.9 million for the year ended December 31, 2013.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As a public company, we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0"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or one of our other drug candidates. Our ability to generate revenue depends on a number of factors, including, but not limited to, our ability to:</w:t>
      </w:r>
    </w:p>
    <w:p>
      <w:pPr>
        <w:spacing w:after="0" w:line="162" w:lineRule="exact"/>
        <w:rPr>
          <w:sz w:val="20"/>
          <w:szCs w:val="20"/>
          <w:color w:val="auto"/>
        </w:rPr>
      </w:pPr>
    </w:p>
    <w:p>
      <w:pPr>
        <w:ind w:left="1060" w:hanging="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060" w:right="60" w:hanging="85"/>
        <w:spacing w:after="0" w:line="23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060" w:right="600" w:hanging="85"/>
        <w:spacing w:after="0" w:line="23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060" w:hanging="85"/>
        <w:spacing w:after="0" w:line="196" w:lineRule="exact"/>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96"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The development of pharmaceuticals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or other collaborators. We may also need to raise additional funds sooner if we choose to pursue additional indications and/or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As of December 31, 2015, we had cash and cash equivalents of $162.7 million. We expect that our existing cash and cash equivalents will be sufficient to enable us to fund our operating expenses and capital expenditure requirements into at least the third quarter of 2017. Our future capital requirements will depend on and could increase significantly as a result of many factors, including:</w:t>
      </w:r>
    </w:p>
    <w:p>
      <w:pPr>
        <w:spacing w:after="0" w:line="163" w:lineRule="exact"/>
        <w:rPr>
          <w:sz w:val="20"/>
          <w:szCs w:val="20"/>
          <w:color w:val="auto"/>
        </w:rPr>
      </w:pPr>
    </w:p>
    <w:p>
      <w:pPr>
        <w:ind w:left="1060" w:right="520" w:hanging="85"/>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collaboration with Alexion;</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060" w:right="40" w:hanging="85"/>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61" w:lineRule="exact"/>
        <w:rPr>
          <w:rFonts w:ascii="Arial" w:cs="Arial" w:eastAsia="Arial" w:hAnsi="Arial"/>
          <w:sz w:val="18"/>
          <w:szCs w:val="18"/>
          <w:color w:val="auto"/>
        </w:rPr>
      </w:pPr>
    </w:p>
    <w:p>
      <w:pPr>
        <w:ind w:left="1060" w:right="300" w:hanging="85"/>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060" w:right="260" w:hanging="85"/>
        <w:spacing w:after="0" w:line="203" w:lineRule="exact"/>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84" w:lineRule="exact"/>
        <w:rPr>
          <w:rFonts w:ascii="Arial" w:cs="Arial" w:eastAsia="Arial" w:hAnsi="Arial"/>
          <w:sz w:val="18"/>
          <w:szCs w:val="18"/>
          <w:color w:val="auto"/>
        </w:rPr>
      </w:pPr>
    </w:p>
    <w:p>
      <w:pPr>
        <w:ind w:left="1060" w:right="160" w:hanging="85"/>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clearances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 with Alexion, which is limited in scope and duration, and funds already borrowed under the loan and security agreement, or Loan and Security Agreement, that we entered into with Silicon Valley Bank in May 2013.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b w:val="1"/>
          <w:bCs w:val="1"/>
          <w:i w:val="1"/>
          <w:iCs w:val="1"/>
          <w:color w:val="auto"/>
        </w:rPr>
        <w:t>We are very early in our development efforts with only two drug candidates, BLU-285 and BLU-554,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6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are very early in our development efforts with only two drug candidates, BLU-285 and BLU-554,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For example, we have entered into an agreement with Ventana Medical Systems, Inc., or Ventana, to develop and commercialize a companion diagnostic for BLU-554 in order to identify HCC patients with abberantly active FGFR4 signaling as indicated by FGF19 overexpression. Companion diagnostics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62" w:lineRule="exact"/>
        <w:rPr>
          <w:sz w:val="20"/>
          <w:szCs w:val="20"/>
          <w:color w:val="auto"/>
        </w:rPr>
      </w:pPr>
    </w:p>
    <w:p>
      <w:pPr>
        <w:ind w:left="1060" w:right="380" w:hanging="85"/>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Phase 1 clinical trials for BLU-285 and BLU-554;</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of INDs for future clinical trials for our other drug candidates;</w:t>
      </w:r>
    </w:p>
    <w:p>
      <w:pPr>
        <w:spacing w:after="0" w:line="184" w:lineRule="exact"/>
        <w:rPr>
          <w:rFonts w:ascii="Arial" w:cs="Arial" w:eastAsia="Arial" w:hAnsi="Arial"/>
          <w:sz w:val="18"/>
          <w:szCs w:val="18"/>
          <w:color w:val="auto"/>
        </w:rPr>
      </w:pPr>
    </w:p>
    <w:p>
      <w:pPr>
        <w:ind w:left="1060" w:right="20" w:hanging="85"/>
        <w:spacing w:after="0" w:line="22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development of companion diagnostics for use with our drug candidates, including the development of a companion diagnostic for BLU-554 for identifying HCC patients with FGF19 signaling and BLU-285 for identifying GIST patients with the PDGFRα D842V mutant;</w:t>
      </w:r>
    </w:p>
    <w:p>
      <w:pPr>
        <w:spacing w:after="0" w:line="163" w:lineRule="exact"/>
        <w:rPr>
          <w:rFonts w:ascii="Arial" w:cs="Arial" w:eastAsia="Arial" w:hAnsi="Arial"/>
          <w:sz w:val="18"/>
          <w:szCs w:val="18"/>
          <w:color w:val="auto"/>
        </w:rPr>
      </w:pPr>
    </w:p>
    <w:p>
      <w:pPr>
        <w:ind w:left="1080" w:hanging="105"/>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060" w:right="240" w:hanging="85"/>
        <w:spacing w:after="0" w:line="203" w:lineRule="exact"/>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clinical supply and commercial manufacturing;</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or regulatory exclusivity for our drug candidates;</w:t>
      </w:r>
    </w:p>
    <w:p>
      <w:pPr>
        <w:spacing w:after="0" w:line="207" w:lineRule="exact"/>
        <w:rPr>
          <w:rFonts w:ascii="Arial" w:cs="Arial" w:eastAsia="Arial" w:hAnsi="Arial"/>
          <w:sz w:val="16"/>
          <w:szCs w:val="16"/>
          <w:color w:val="auto"/>
        </w:rPr>
      </w:pPr>
    </w:p>
    <w:p>
      <w:pPr>
        <w:ind w:left="1060" w:right="220" w:hanging="85"/>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060" w:right="160" w:hanging="85"/>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 party payors;</w:t>
      </w:r>
    </w:p>
    <w:p>
      <w:pPr>
        <w:spacing w:after="0" w:line="161" w:lineRule="exact"/>
        <w:rPr>
          <w:rFonts w:ascii="Arial" w:cs="Arial" w:eastAsia="Arial" w:hAnsi="Arial"/>
          <w:sz w:val="18"/>
          <w:szCs w:val="18"/>
          <w:color w:val="auto"/>
        </w:rPr>
      </w:pPr>
    </w:p>
    <w:p>
      <w:pPr>
        <w:ind w:left="1140" w:hanging="1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9"/>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59" w:firstLine="648"/>
        <w:spacing w:after="0" w:line="234" w:lineRule="auto"/>
        <w:rPr>
          <w:sz w:val="20"/>
          <w:szCs w:val="20"/>
          <w:color w:val="auto"/>
        </w:rPr>
      </w:pPr>
      <w:r>
        <w:rPr>
          <w:rFonts w:ascii="Arial" w:cs="Arial" w:eastAsia="Arial" w:hAnsi="Arial"/>
          <w:sz w:val="16"/>
          <w:szCs w:val="16"/>
          <w:color w:val="auto"/>
        </w:rPr>
        <w:t>Each of our lead drug candidates, BLU-285 and BLU-554,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current Phase 1 clinical trials and future clinical trials may not be successful.</w:t>
      </w:r>
    </w:p>
    <w:p>
      <w:pPr>
        <w:spacing w:after="0" w:line="157" w:lineRule="exact"/>
        <w:rPr>
          <w:sz w:val="20"/>
          <w:szCs w:val="20"/>
          <w:color w:val="auto"/>
        </w:rPr>
      </w:pPr>
    </w:p>
    <w:p>
      <w:pPr>
        <w:ind w:right="199" w:firstLine="648"/>
        <w:spacing w:after="0" w:line="224" w:lineRule="auto"/>
        <w:rPr>
          <w:sz w:val="20"/>
          <w:szCs w:val="20"/>
          <w:color w:val="auto"/>
        </w:rPr>
      </w:pPr>
      <w:r>
        <w:rPr>
          <w:rFonts w:ascii="Arial" w:cs="Arial" w:eastAsia="Arial" w:hAnsi="Arial"/>
          <w:sz w:val="18"/>
          <w:szCs w:val="18"/>
          <w:color w:val="auto"/>
        </w:rPr>
        <w:t>We have initiated dose-escalation Phase 1 clinical trials for BLU-285 for the treatment of unresectable, treatment-resistant GIST, BLU-554 for the treatment of advanced HCC and cholangiocarcinoma and BLU-285 for the treatment of advanced SM.</w:t>
      </w:r>
    </w:p>
    <w:p>
      <w:pPr>
        <w:spacing w:after="0" w:line="136" w:lineRule="exact"/>
        <w:rPr>
          <w:sz w:val="20"/>
          <w:szCs w:val="20"/>
          <w:color w:val="auto"/>
        </w:rPr>
      </w:pPr>
    </w:p>
    <w:p>
      <w:pPr>
        <w:ind w:right="59" w:firstLine="648"/>
        <w:spacing w:after="0" w:line="189" w:lineRule="exact"/>
        <w:rPr>
          <w:sz w:val="20"/>
          <w:szCs w:val="20"/>
          <w:color w:val="auto"/>
        </w:rPr>
      </w:pPr>
      <w:r>
        <w:rPr>
          <w:rFonts w:ascii="Arial" w:cs="Arial" w:eastAsia="Arial" w:hAnsi="Arial"/>
          <w:sz w:val="17"/>
          <w:szCs w:val="17"/>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our other drug candidates. We do not know whether any of our clinical trials for our lead drug candidates will be completed on schedule, if at all.</w:t>
      </w:r>
    </w:p>
    <w:p>
      <w:pPr>
        <w:spacing w:after="0" w:line="149" w:lineRule="exact"/>
        <w:rPr>
          <w:sz w:val="20"/>
          <w:szCs w:val="20"/>
          <w:color w:val="auto"/>
        </w:rPr>
      </w:pPr>
    </w:p>
    <w:p>
      <w:pPr>
        <w:ind w:right="99" w:firstLine="648"/>
        <w:spacing w:after="0" w:line="259" w:lineRule="auto"/>
        <w:rPr>
          <w:sz w:val="20"/>
          <w:szCs w:val="20"/>
          <w:color w:val="auto"/>
        </w:rPr>
      </w:pPr>
      <w:r>
        <w:rPr>
          <w:rFonts w:ascii="Arial" w:cs="Arial" w:eastAsia="Arial" w:hAnsi="Arial"/>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34" w:lineRule="exact"/>
        <w:rPr>
          <w:sz w:val="20"/>
          <w:szCs w:val="20"/>
          <w:color w:val="auto"/>
        </w:rPr>
      </w:pPr>
    </w:p>
    <w:p>
      <w:pPr>
        <w:ind w:left="1060" w:right="839" w:hanging="85"/>
        <w:spacing w:after="0" w:line="25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060" w:right="59" w:hanging="85"/>
        <w:spacing w:after="0" w:line="23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47" w:lineRule="exact"/>
        <w:rPr>
          <w:rFonts w:ascii="Arial" w:cs="Arial" w:eastAsia="Arial" w:hAnsi="Arial"/>
          <w:sz w:val="17"/>
          <w:szCs w:val="17"/>
          <w:color w:val="auto"/>
        </w:rPr>
      </w:pPr>
    </w:p>
    <w:p>
      <w:pPr>
        <w:ind w:left="1060" w:right="379" w:hanging="85"/>
        <w:spacing w:after="0" w:line="22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ind w:left="1060" w:right="399" w:hanging="85"/>
        <w:spacing w:after="0" w:line="194" w:lineRule="exact"/>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6"/>
          <w:szCs w:val="16"/>
          <w:color w:val="auto"/>
        </w:rPr>
        <w:t>‑</w:t>
      </w:r>
      <w:r>
        <w:rPr>
          <w:rFonts w:ascii="Arial" w:cs="Arial" w:eastAsia="Arial" w:hAnsi="Arial"/>
          <w:sz w:val="16"/>
          <w:szCs w:val="16"/>
          <w:color w:val="auto"/>
        </w:rPr>
        <w:t>treatment follow</w:t>
      </w:r>
      <w:r>
        <w:rPr>
          <w:rFonts w:ascii="MS PGothic" w:cs="MS PGothic" w:eastAsia="MS PGothic" w:hAnsi="MS PGothic"/>
          <w:sz w:val="16"/>
          <w:szCs w:val="16"/>
          <w:color w:val="auto"/>
        </w:rPr>
        <w:t>‑</w:t>
      </w:r>
      <w:r>
        <w:rPr>
          <w:rFonts w:ascii="Arial" w:cs="Arial" w:eastAsia="Arial" w:hAnsi="Arial"/>
          <w:sz w:val="16"/>
          <w:szCs w:val="16"/>
          <w:color w:val="auto"/>
        </w:rPr>
        <w:t>up at a higher rate than we anticipate;</w:t>
      </w:r>
    </w:p>
    <w:p>
      <w:pPr>
        <w:spacing w:after="0" w:line="149" w:lineRule="exact"/>
        <w:rPr>
          <w:rFonts w:ascii="Arial" w:cs="Arial" w:eastAsia="Arial" w:hAnsi="Arial"/>
          <w:sz w:val="16"/>
          <w:szCs w:val="16"/>
          <w:color w:val="auto"/>
        </w:rPr>
      </w:pPr>
    </w:p>
    <w:p>
      <w:pPr>
        <w:ind w:left="1060" w:right="79" w:hanging="85"/>
        <w:spacing w:after="0" w:line="22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9" w:lineRule="exact"/>
        <w:rPr>
          <w:rFonts w:ascii="Arial" w:cs="Arial" w:eastAsia="Arial" w:hAnsi="Arial"/>
          <w:sz w:val="18"/>
          <w:szCs w:val="18"/>
          <w:color w:val="auto"/>
        </w:rPr>
      </w:pPr>
    </w:p>
    <w:p>
      <w:pPr>
        <w:jc w:val="both"/>
        <w:ind w:left="1060" w:right="99" w:hanging="85"/>
        <w:spacing w:after="0" w:line="23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47" w:lineRule="exact"/>
        <w:rPr>
          <w:rFonts w:ascii="Arial" w:cs="Arial" w:eastAsia="Arial" w:hAnsi="Arial"/>
          <w:sz w:val="17"/>
          <w:szCs w:val="17"/>
          <w:color w:val="auto"/>
        </w:rPr>
      </w:pPr>
    </w:p>
    <w:p>
      <w:pPr>
        <w:ind w:left="1060" w:hanging="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139" w:hanging="85"/>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060" w:right="179" w:hanging="85"/>
        <w:spacing w:after="0" w:line="219"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060" w:right="59" w:hanging="85"/>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54" w:lineRule="exact"/>
        <w:rPr>
          <w:sz w:val="20"/>
          <w:szCs w:val="20"/>
          <w:color w:val="auto"/>
        </w:rPr>
      </w:pPr>
    </w:p>
    <w:p>
      <w:pPr>
        <w:jc w:val="both"/>
        <w:ind w:right="159"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080" w:hanging="105"/>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160" w:hanging="18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rFonts w:ascii="Arial" w:cs="Arial" w:eastAsia="Arial" w:hAnsi="Arial"/>
          <w:sz w:val="18"/>
          <w:szCs w:val="18"/>
          <w:color w:val="auto"/>
        </w:rPr>
      </w:pPr>
    </w:p>
    <w:p>
      <w:pPr>
        <w:ind w:left="1120" w:hanging="145"/>
        <w:spacing w:after="0" w:line="207" w:lineRule="exact"/>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59"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479"/>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product candidate, or we may suspend or terminate one or more discovery programs or pre-clinical drug candidates or programs.</w:t>
      </w:r>
    </w:p>
    <w:p>
      <w:pPr>
        <w:spacing w:after="0" w:line="162" w:lineRule="exact"/>
        <w:rPr>
          <w:sz w:val="20"/>
          <w:szCs w:val="20"/>
          <w:color w:val="auto"/>
        </w:rPr>
      </w:pPr>
    </w:p>
    <w:p>
      <w:pPr>
        <w:ind w:right="59" w:firstLine="648"/>
        <w:spacing w:after="0" w:line="239"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120" w:hanging="14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40" w:firstLine="648"/>
        <w:spacing w:after="0" w:line="178" w:lineRule="exact"/>
        <w:rPr>
          <w:sz w:val="20"/>
          <w:szCs w:val="20"/>
          <w:color w:val="auto"/>
        </w:rPr>
      </w:pPr>
      <w:r>
        <w:rPr>
          <w:rFonts w:ascii="Arial" w:cs="Arial" w:eastAsia="Arial" w:hAnsi="Arial"/>
          <w:sz w:val="16"/>
          <w:szCs w:val="16"/>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including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it may be difficult to successfully identify patients. We have entered into an agreement with Ventana to develop and commercialize a companion diagnostic for BLU-554 in order to identify HCC patients with abberantly active FGFR4 signaling as indicated by FGF19 overexpression, and we intend to engage third parties to develop companion diagnostics for use in some of our other clinical trials. However, Ventana or other third parties may not be successful in developing such companion diagnostics,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products or patients may become increasingly difficult to identify and access, all of which would adversely affect our business, prospects and ability to achieve or sustain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61"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Our drug candidates and the related companion diagnostics, including the companion diagnostic that we are developing with Ventana for BLU-554 in order to identify HCC patients with abberantly active FGFR4 signaling as indicated by FGF19 overexpression,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including the companion diagnostic for BLU-554 that we are developing with Ventana.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6"/>
          <w:szCs w:val="16"/>
          <w:color w:val="auto"/>
        </w:rPr>
        <w:t>‑</w:t>
      </w:r>
      <w:r>
        <w:rPr>
          <w:rFonts w:ascii="Arial" w:cs="Arial" w:eastAsia="Arial" w:hAnsi="Arial"/>
          <w:sz w:val="16"/>
          <w:szCs w:val="16"/>
          <w:color w:val="auto"/>
        </w:rPr>
        <w:t>Market Approval, or PMA, application for a companion diagnostic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8" w:lineRule="exact"/>
        <w:rPr>
          <w:sz w:val="20"/>
          <w:szCs w:val="20"/>
          <w:color w:val="auto"/>
        </w:rPr>
      </w:pPr>
    </w:p>
    <w:p>
      <w:pPr>
        <w:ind w:left="1060" w:right="160" w:hanging="85"/>
        <w:spacing w:after="0" w:line="23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060" w:right="180" w:hanging="85"/>
        <w:spacing w:after="0" w:line="22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63" w:lineRule="exact"/>
        <w:rPr>
          <w:rFonts w:ascii="Arial" w:cs="Arial" w:eastAsia="Arial" w:hAnsi="Arial"/>
          <w:sz w:val="18"/>
          <w:szCs w:val="18"/>
          <w:color w:val="auto"/>
        </w:rPr>
      </w:pPr>
    </w:p>
    <w:p>
      <w:pPr>
        <w:ind w:left="1060" w:right="840" w:hanging="85"/>
        <w:spacing w:after="0" w:line="23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unable to demonstrate that a drug candidate’s clinical and other benefits outweigh its safety risks;</w:t>
      </w:r>
    </w:p>
    <w:p>
      <w:pPr>
        <w:spacing w:after="0" w:line="207" w:lineRule="exact"/>
        <w:rPr>
          <w:rFonts w:ascii="Arial" w:cs="Arial" w:eastAsia="Arial" w:hAnsi="Arial"/>
          <w:sz w:val="16"/>
          <w:szCs w:val="16"/>
          <w:color w:val="auto"/>
        </w:rPr>
      </w:pPr>
    </w:p>
    <w:p>
      <w:pPr>
        <w:ind w:left="1060" w:right="220" w:hanging="85"/>
        <w:spacing w:after="0" w:line="23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060" w:right="60" w:hanging="85"/>
        <w:spacing w:after="0" w:line="289"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400" w:hanging="85"/>
        <w:spacing w:after="0" w:line="203" w:lineRule="exact"/>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with which we contract for clinical and commercial supplies; and</w:t>
      </w:r>
    </w:p>
    <w:p>
      <w:pPr>
        <w:spacing w:after="0" w:line="162" w:lineRule="exact"/>
        <w:rPr>
          <w:rFonts w:ascii="Arial" w:cs="Arial" w:eastAsia="Arial" w:hAnsi="Arial"/>
          <w:sz w:val="16"/>
          <w:szCs w:val="16"/>
          <w:color w:val="auto"/>
        </w:rPr>
      </w:pPr>
    </w:p>
    <w:p>
      <w:pPr>
        <w:ind w:left="1060" w:right="60" w:hanging="85"/>
        <w:spacing w:after="0" w:line="235"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ind w:right="38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060" w:hanging="85"/>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060" w:right="680" w:hanging="85"/>
        <w:spacing w:after="0" w:line="23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060" w:right="420" w:hanging="85"/>
        <w:spacing w:after="0" w:line="23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line="235"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conduct additional clinical trials or change the labeling of the drug candidates;</w:t>
      </w:r>
    </w:p>
    <w:p>
      <w:pPr>
        <w:spacing w:after="0" w:line="161" w:lineRule="exact"/>
        <w:rPr>
          <w:rFonts w:ascii="Arial" w:cs="Arial" w:eastAsia="Arial" w:hAnsi="Arial"/>
          <w:sz w:val="18"/>
          <w:szCs w:val="18"/>
          <w:color w:val="auto"/>
        </w:rPr>
      </w:pPr>
    </w:p>
    <w:p>
      <w:pPr>
        <w:ind w:left="1060" w:right="60" w:hanging="85"/>
        <w:spacing w:after="0" w:line="23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61" w:lineRule="exact"/>
        <w:rPr>
          <w:rFonts w:ascii="Arial" w:cs="Arial" w:eastAsia="Arial" w:hAnsi="Arial"/>
          <w:sz w:val="17"/>
          <w:szCs w:val="17"/>
          <w:color w:val="auto"/>
        </w:rPr>
      </w:pPr>
    </w:p>
    <w:p>
      <w:pPr>
        <w:ind w:left="1060" w:hanging="85"/>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could be sued and held liable for injury caused to individuals exposed to or taking our drug candidates; and</w:t>
      </w:r>
    </w:p>
    <w:p>
      <w:pPr>
        <w:spacing w:after="0" w:line="207" w:lineRule="exact"/>
        <w:rPr>
          <w:rFonts w:ascii="Arial" w:cs="Arial" w:eastAsia="Arial" w:hAnsi="Arial"/>
          <w:sz w:val="16"/>
          <w:szCs w:val="16"/>
          <w:color w:val="auto"/>
        </w:rPr>
      </w:pPr>
    </w:p>
    <w:p>
      <w:pPr>
        <w:ind w:left="1220" w:hanging="245"/>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jc w:val="both"/>
        <w:ind w:right="620"/>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6"/>
          <w:szCs w:val="16"/>
          <w:color w:val="auto"/>
        </w:rPr>
        <w:t>We may seek fast track designation for some of our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b w:val="1"/>
          <w:bCs w:val="1"/>
          <w:i w:val="1"/>
          <w:iCs w:val="1"/>
          <w:color w:val="auto"/>
        </w:rPr>
        <w:t>While we have received orphan drug designation for our lead drug candidates, BLU-285 and BLU-554,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30"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In September 2015, the FDA granted orphan drug designation to BLU-554 for the treatment of HCC, and in January 2016, the FDA granted orphan drug designation to BLU-285 for the treatment of GIST and SM.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4"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BLU-554 for the treatment of HCC and BLU-285 for the treatment of GIST and SM, we may never receive such designations. Even if we receive orphan drug designation for any of our drug candidates, there is no guarantee that we will enjoy the benefits of those designations.</w:t>
      </w:r>
    </w:p>
    <w:p>
      <w:pPr>
        <w:spacing w:after="0" w:line="16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5" w:lineRule="exact"/>
        <w:rPr>
          <w:sz w:val="20"/>
          <w:szCs w:val="20"/>
          <w:color w:val="auto"/>
        </w:rPr>
      </w:pPr>
    </w:p>
    <w:p>
      <w:pPr>
        <w:ind w:right="80" w:firstLine="648"/>
        <w:spacing w:after="0" w:line="189" w:lineRule="exact"/>
        <w:rPr>
          <w:sz w:val="20"/>
          <w:szCs w:val="20"/>
          <w:color w:val="auto"/>
        </w:rPr>
      </w:pPr>
      <w:r>
        <w:rPr>
          <w:rFonts w:ascii="Arial" w:cs="Arial" w:eastAsia="Arial" w:hAnsi="Arial"/>
          <w:sz w:val="16"/>
          <w:szCs w:val="16"/>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and reports, registration, as well as continued compliance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183" w:lineRule="exact"/>
        <w:rPr>
          <w:sz w:val="20"/>
          <w:szCs w:val="20"/>
          <w:color w:val="auto"/>
        </w:rPr>
      </w:pPr>
      <w:r>
        <w:rPr>
          <w:rFonts w:ascii="Arial" w:cs="Arial" w:eastAsia="Arial" w:hAnsi="Arial"/>
          <w:sz w:val="18"/>
          <w:szCs w:val="18"/>
          <w:color w:val="auto"/>
        </w:rPr>
        <w:t>with current Good Manufacturing Practices, or cGMPs, and Good Clinical Practices, or GCPs, for any clinical trials that we conduct post</w:t>
      </w:r>
      <w:r>
        <w:rPr>
          <w:rFonts w:ascii="MS PGothic" w:cs="MS PGothic" w:eastAsia="MS PGothic" w:hAnsi="MS PGothic"/>
          <w:sz w:val="18"/>
          <w:szCs w:val="18"/>
          <w:color w:val="auto"/>
        </w:rPr>
        <w:t>‑</w:t>
      </w:r>
      <w:r>
        <w:rPr>
          <w:rFonts w:ascii="Arial" w:cs="Arial" w:eastAsia="Arial" w:hAnsi="Arial"/>
          <w:sz w:val="18"/>
          <w:szCs w:val="18"/>
          <w:color w:val="auto"/>
        </w:rPr>
        <w:t>approval. Any regulatory approvals that we receive for our drug candidates may also be subject to limitations on the approved indicated uses for which the drug may be marketed or to the conditions of approval, or contain requirements for potentially costly post</w:t>
      </w:r>
      <w:r>
        <w:rPr>
          <w:rFonts w:ascii="MS PGothic" w:cs="MS PGothic" w:eastAsia="MS PGothic" w:hAnsi="MS PGothic"/>
          <w:sz w:val="18"/>
          <w:szCs w:val="18"/>
          <w:color w:val="auto"/>
        </w:rPr>
        <w:t>‑</w:t>
      </w:r>
      <w:r>
        <w:rPr>
          <w:rFonts w:ascii="Arial" w:cs="Arial" w:eastAsia="Arial" w:hAnsi="Arial"/>
          <w:sz w:val="18"/>
          <w:szCs w:val="18"/>
          <w:color w:val="auto"/>
        </w:rPr>
        <w:t>marketing testing, including Phase 4 clinical trials, and surveillance to monitor the safety and efficacy of the drug. Later discovery of previously unknown problems with a drug, including adverse events of unanticipated severity or frequency, or with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manufacturing processes, or failure to comply with regulatory requirements, may result in, among other things:</w:t>
      </w:r>
    </w:p>
    <w:p>
      <w:pPr>
        <w:spacing w:after="0" w:line="165" w:lineRule="exact"/>
        <w:rPr>
          <w:sz w:val="20"/>
          <w:szCs w:val="20"/>
          <w:color w:val="auto"/>
        </w:rPr>
      </w:pPr>
    </w:p>
    <w:p>
      <w:pPr>
        <w:ind w:left="1060" w:right="620" w:hanging="85"/>
        <w:spacing w:after="0" w:line="23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120" w:hanging="145"/>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060" w:right="260" w:hanging="85"/>
        <w:spacing w:after="0" w:line="23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drug candidates.</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09"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4,300 addressable patients with advanced forms of SM, including smoldering SM, and approximately 16,000 addressable patients with indolent SM in the United States, France, Germany, Italy, Spain, the United Kingdom and Japan, or the Major Markets;</w:t>
      </w:r>
    </w:p>
    <w:p>
      <w:pPr>
        <w:spacing w:after="0" w:line="1" w:lineRule="exact"/>
        <w:rPr>
          <w:sz w:val="20"/>
          <w:szCs w:val="20"/>
          <w:color w:val="auto"/>
        </w:rPr>
      </w:pPr>
    </w:p>
    <w:p>
      <w:pPr>
        <w:ind w:right="580" w:firstLine="3"/>
        <w:spacing w:after="0" w:line="176" w:lineRule="exact"/>
        <w:tabs>
          <w:tab w:leader="none" w:pos="2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500 addressable patients with PDGFRα D842V</w:t>
      </w:r>
      <w:r>
        <w:rPr>
          <w:rFonts w:ascii="MS PGothic" w:cs="MS PGothic" w:eastAsia="MS PGothic" w:hAnsi="MS PGothic"/>
          <w:sz w:val="16"/>
          <w:szCs w:val="16"/>
          <w:color w:val="auto"/>
        </w:rPr>
        <w:t>‑</w:t>
      </w:r>
      <w:r>
        <w:rPr>
          <w:rFonts w:ascii="Arial" w:cs="Arial" w:eastAsia="Arial" w:hAnsi="Arial"/>
          <w:sz w:val="16"/>
          <w:szCs w:val="16"/>
          <w:color w:val="auto"/>
        </w:rPr>
        <w:t>driven, unresectable or metastatic GIST in the Major Markets and approximately 20,000 addressable patients in the Major Markets with unresectable or metastatic frontline GIST; and</w:t>
      </w:r>
    </w:p>
    <w:p>
      <w:pPr>
        <w:ind w:right="40" w:firstLine="3"/>
        <w:spacing w:after="0" w:line="226"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18,000 first line and 6,000 second line addressable HCC patients with aberrantly active FGFR4 signaling as indicated by FGF19 overexpression in the Major Markets.</w:t>
      </w:r>
    </w:p>
    <w:p>
      <w:pPr>
        <w:spacing w:after="0" w:line="107"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The total addressable market opportunity for BLU</w:t>
      </w:r>
      <w:r>
        <w:rPr>
          <w:rFonts w:ascii="MS PGothic" w:cs="MS PGothic" w:eastAsia="MS PGothic" w:hAnsi="MS PGothic"/>
          <w:sz w:val="17"/>
          <w:szCs w:val="17"/>
          <w:color w:val="auto"/>
        </w:rPr>
        <w:t>‑</w:t>
      </w:r>
      <w:r>
        <w:rPr>
          <w:rFonts w:ascii="Arial" w:cs="Arial" w:eastAsia="Arial" w:hAnsi="Arial"/>
          <w:sz w:val="17"/>
          <w:szCs w:val="17"/>
          <w:color w:val="auto"/>
        </w:rPr>
        <w:t>285 for the treatment of patients with SM and GIST and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patients with aberrantly active FGFR4 signaling will ultimately depend upon, among other things, the diagnosis criteria included in the final label for each of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0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0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4"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6"/>
          <w:szCs w:val="16"/>
          <w:color w:val="auto"/>
        </w:rPr>
        <w:t>‑</w:t>
      </w:r>
      <w:r>
        <w:rPr>
          <w:rFonts w:ascii="Arial" w:cs="Arial" w:eastAsia="Arial" w:hAnsi="Arial"/>
          <w:sz w:val="16"/>
          <w:szCs w:val="16"/>
          <w:color w:val="auto"/>
        </w:rPr>
        <w:t>285 receives marketing approval for advanced SM, GIST and/or for patients with GIST with the PDGFRα D842V mutation, it may face competition from other drug candidates in development for these indications, including drug candidates in development from AB Science S.A., AROG Pharmaceuticals, Inc., ARIAD Pharmaceuticals, Inc., Deciphera Pharmaceuticals, LLC, Kolltan Pharmaceuticals, Inc., Novartis AG and Plexxikon Inc., a wholly</w:t>
      </w:r>
      <w:r>
        <w:rPr>
          <w:rFonts w:ascii="MS PGothic" w:cs="MS PGothic" w:eastAsia="MS PGothic" w:hAnsi="MS PGothic"/>
          <w:sz w:val="16"/>
          <w:szCs w:val="16"/>
          <w:color w:val="auto"/>
        </w:rPr>
        <w:t>‑</w:t>
      </w:r>
      <w:r>
        <w:rPr>
          <w:rFonts w:ascii="Arial" w:cs="Arial" w:eastAsia="Arial" w:hAnsi="Arial"/>
          <w:sz w:val="16"/>
          <w:szCs w:val="16"/>
          <w:color w:val="auto"/>
        </w:rPr>
        <w:t>owned subsidiary of Daiichi Sankyo Company, Limited. Further, if BLU</w:t>
      </w:r>
      <w:r>
        <w:rPr>
          <w:rFonts w:ascii="MS PGothic" w:cs="MS PGothic" w:eastAsia="MS PGothic" w:hAnsi="MS PGothic"/>
          <w:sz w:val="16"/>
          <w:szCs w:val="16"/>
          <w:color w:val="auto"/>
        </w:rPr>
        <w:t>‑</w:t>
      </w:r>
      <w:r>
        <w:rPr>
          <w:rFonts w:ascii="Arial" w:cs="Arial" w:eastAsia="Arial" w:hAnsi="Arial"/>
          <w:sz w:val="16"/>
          <w:szCs w:val="16"/>
          <w:color w:val="auto"/>
        </w:rPr>
        <w:t>554 receives marketing approval for patients with HCC with FGF19 overexpression, it will face competition from sorafenib, the only approved systemic medical therapy for HCC. In addition, we are aware of potentially competitive drug candidates in development by AstraZeneca plc, Bayer AG, Celgene Corporation, Eisai Inc., H3 Biomedicine Inc., Johnson &amp; Johnson, Novartis AG, Sanofi S.A., Taiho Pharmaceutical Co., Ltd. and Xoma Ltd.</w:t>
      </w:r>
    </w:p>
    <w:p>
      <w:pPr>
        <w:spacing w:after="0" w:line="10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360" w:firstLine="648"/>
        <w:spacing w:after="0" w:line="232"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3" w:lineRule="exact"/>
        <w:rPr>
          <w:sz w:val="20"/>
          <w:szCs w:val="20"/>
          <w:color w:val="auto"/>
        </w:rPr>
      </w:pPr>
    </w:p>
    <w:p>
      <w:pPr>
        <w:ind w:left="1080" w:hanging="105"/>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280" w:hanging="305"/>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b w:val="1"/>
          <w:bCs w:val="1"/>
          <w:i w:val="1"/>
          <w:iCs w:val="1"/>
          <w:color w:val="auto"/>
        </w:rPr>
        <w:t>If we or our collaborators, including Ventana, are unable to successfully develop and commercialize companion diagnostics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entered into an agreement with Ventana to develop and commercialize a companion diagnostic for BLU-554 in order to identify HCC patients with abberantly active FGFR4 signaling as indicated by FGF19 overexpression, but we have not yet initiated development and commercialization of this companion diagnostic or companion diagnostics for any of our other programs. We have little experience in the development and commercialization of companion diagnostics and may not be successful in developing and commercializing appropriate companion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companion diagnostics, we expect to rely on Ventana to design, manufacture, obtain regulatory approval for and commercialize the companion diagnostic for BLU-554 in order to identify HCC patients with abberantly active FGFR4 signaling as indicated by FGF19 overexpression, and we expect to rely in whole or in part 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other third parties to design, manufacture, obtain regulatory approval for and commercialize any other companion diagnostics for our drug candidates. We and our collaborators, including Ventana, may encounter difficulties in developing and obtaining approval for the companion diagnostics, including issues relating to selectivity/specificity, analytical validation, reproducibility, or clinical validation. In addition, our collaborators for any companion diagnostic that we may seek to develop, our collaborators, including Ventana:</w:t>
      </w:r>
    </w:p>
    <w:p>
      <w:pPr>
        <w:spacing w:after="0" w:line="162" w:lineRule="exact"/>
        <w:rPr>
          <w:sz w:val="20"/>
          <w:szCs w:val="20"/>
          <w:color w:val="auto"/>
        </w:rPr>
      </w:pPr>
    </w:p>
    <w:p>
      <w:pPr>
        <w:ind w:left="1060" w:hanging="85"/>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may not perform their respective obligations as expected or as required under our agreements with them;</w:t>
      </w:r>
    </w:p>
    <w:p>
      <w:pPr>
        <w:spacing w:after="0" w:line="196" w:lineRule="exact"/>
        <w:rPr>
          <w:rFonts w:ascii="Arial" w:cs="Arial" w:eastAsia="Arial" w:hAnsi="Arial"/>
          <w:sz w:val="17"/>
          <w:szCs w:val="17"/>
          <w:color w:val="auto"/>
        </w:rPr>
      </w:pPr>
    </w:p>
    <w:p>
      <w:pPr>
        <w:ind w:left="1060" w:right="220" w:hanging="85"/>
        <w:spacing w:after="0" w:line="23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ind w:left="1060" w:right="220" w:hanging="85"/>
        <w:spacing w:after="0" w:line="22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060" w:hanging="85"/>
        <w:spacing w:after="0"/>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the a companion diagnostic test; and</w:t>
      </w:r>
    </w:p>
    <w:p>
      <w:pPr>
        <w:spacing w:after="0" w:line="207" w:lineRule="exact"/>
        <w:rPr>
          <w:rFonts w:ascii="Arial" w:cs="Arial" w:eastAsia="Arial" w:hAnsi="Arial"/>
          <w:sz w:val="16"/>
          <w:szCs w:val="16"/>
          <w:color w:val="auto"/>
        </w:rPr>
      </w:pPr>
    </w:p>
    <w:p>
      <w:pPr>
        <w:ind w:left="1140" w:hanging="16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color w:val="auto"/>
        </w:rPr>
        <w:t>Any delay or failure by us or our collaborators, including Ventana, to develop or obtain regulatory approval of the companion diagnostics could delay or prevent approval of our drug candidates. If we, or any third parties that we engage to assist us, including Ventana, are unable to successfully develop and commercialize companion diagnostics for our drug candidates, or experience delays in doing so:</w:t>
      </w:r>
    </w:p>
    <w:p>
      <w:pPr>
        <w:spacing w:after="0" w:line="163" w:lineRule="exact"/>
        <w:rPr>
          <w:sz w:val="20"/>
          <w:szCs w:val="20"/>
          <w:color w:val="auto"/>
        </w:rPr>
      </w:pPr>
    </w:p>
    <w:p>
      <w:pPr>
        <w:ind w:left="1060" w:right="380" w:hanging="85"/>
        <w:spacing w:after="0" w:line="235"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060" w:right="660" w:hanging="85"/>
        <w:spacing w:after="0" w:line="235"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ind w:left="1060" w:right="20" w:hanging="85"/>
        <w:spacing w:after="0" w:line="22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right="140" w:firstLine="648"/>
        <w:spacing w:after="0" w:line="236" w:lineRule="auto"/>
        <w:rPr>
          <w:sz w:val="20"/>
          <w:szCs w:val="20"/>
          <w:color w:val="auto"/>
        </w:rPr>
      </w:pPr>
      <w:r>
        <w:rPr>
          <w:rFonts w:ascii="Arial" w:cs="Arial" w:eastAsia="Arial" w:hAnsi="Arial"/>
          <w:sz w:val="16"/>
          <w:szCs w:val="16"/>
          <w:color w:val="auto"/>
        </w:rPr>
        <w:t>In addition, third party collaborators, including Ventana,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3" w:lineRule="exact"/>
        <w:rPr>
          <w:sz w:val="20"/>
          <w:szCs w:val="20"/>
          <w:color w:val="auto"/>
        </w:rPr>
      </w:pPr>
    </w:p>
    <w:p>
      <w:pPr>
        <w:ind w:right="660"/>
        <w:spacing w:after="0" w:line="203" w:lineRule="exact"/>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coverage and reimbursement policies, which would harm our business.</w:t>
      </w:r>
    </w:p>
    <w:p>
      <w:pPr>
        <w:spacing w:after="0" w:line="16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5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drugs.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may be significant delays in obtaining reimbursement for newly approved drugs, and coverage may be more</w:t>
      </w:r>
    </w:p>
    <w:p>
      <w:pPr>
        <w:spacing w:after="0" w:line="224" w:lineRule="auto"/>
        <w:rPr>
          <w:sz w:val="20"/>
          <w:szCs w:val="20"/>
          <w:color w:val="auto"/>
        </w:rPr>
      </w:pPr>
      <w:r>
        <w:rPr>
          <w:rFonts w:ascii="Arial" w:cs="Arial" w:eastAsia="Arial" w:hAnsi="Arial"/>
          <w:sz w:val="17"/>
          <w:szCs w:val="17"/>
          <w:color w:val="auto"/>
        </w:rPr>
        <w:t>limited than the purposes for which the drug is approved by the FDA or similar regulatory authorities outside the United</w:t>
      </w:r>
    </w:p>
    <w:p>
      <w:pPr>
        <w:spacing w:after="0" w:line="216" w:lineRule="auto"/>
        <w:rPr>
          <w:sz w:val="20"/>
          <w:szCs w:val="20"/>
          <w:color w:val="auto"/>
        </w:rPr>
      </w:pPr>
      <w:r>
        <w:rPr>
          <w:rFonts w:ascii="Arial" w:cs="Arial" w:eastAsia="Arial" w:hAnsi="Arial"/>
          <w:sz w:val="17"/>
          <w:szCs w:val="17"/>
          <w:color w:val="auto"/>
        </w:rPr>
        <w:t>States. Moreover, eligibility for reimbursement does not imply that any drug will be paid for in all cases or at a rate that</w:t>
      </w:r>
    </w:p>
    <w:p>
      <w:pPr>
        <w:spacing w:after="0" w:line="229" w:lineRule="auto"/>
        <w:rPr>
          <w:sz w:val="20"/>
          <w:szCs w:val="20"/>
          <w:color w:val="auto"/>
        </w:rPr>
      </w:pPr>
      <w:r>
        <w:rPr>
          <w:rFonts w:ascii="Arial" w:cs="Arial" w:eastAsia="Arial" w:hAnsi="Arial"/>
          <w:sz w:val="16"/>
          <w:szCs w:val="16"/>
          <w:color w:val="auto"/>
        </w:rPr>
        <w:t>covers our costs, including research, development, manufacture, sale and distribution. Interim reimbursement levels for new</w:t>
      </w:r>
    </w:p>
    <w:p>
      <w:pPr>
        <w:spacing w:after="0" w:line="229" w:lineRule="auto"/>
        <w:rPr>
          <w:sz w:val="20"/>
          <w:szCs w:val="20"/>
          <w:color w:val="auto"/>
        </w:rPr>
      </w:pPr>
      <w:r>
        <w:rPr>
          <w:rFonts w:ascii="Arial" w:cs="Arial" w:eastAsia="Arial" w:hAnsi="Arial"/>
          <w:sz w:val="16"/>
          <w:szCs w:val="16"/>
          <w:color w:val="auto"/>
        </w:rPr>
        <w:t>drugs, if applicable, may also not be sufficient to cover our costs and may not be made permanent. Reimbursement rates may</w:t>
      </w:r>
    </w:p>
    <w:p>
      <w:pPr>
        <w:spacing w:after="0" w:line="216" w:lineRule="auto"/>
        <w:rPr>
          <w:sz w:val="20"/>
          <w:szCs w:val="20"/>
          <w:color w:val="auto"/>
        </w:rPr>
      </w:pPr>
      <w:r>
        <w:rPr>
          <w:rFonts w:ascii="Arial" w:cs="Arial" w:eastAsia="Arial" w:hAnsi="Arial"/>
          <w:sz w:val="17"/>
          <w:szCs w:val="17"/>
          <w:color w:val="auto"/>
        </w:rPr>
        <w:t>vary according to the use of the drug and the clinical setting in which it is used, may be based on reimbursement levels</w:t>
      </w:r>
    </w:p>
    <w:p>
      <w:pPr>
        <w:spacing w:after="0" w:line="229" w:lineRule="auto"/>
        <w:rPr>
          <w:sz w:val="20"/>
          <w:szCs w:val="20"/>
          <w:color w:val="auto"/>
        </w:rPr>
      </w:pPr>
      <w:r>
        <w:rPr>
          <w:rFonts w:ascii="Arial" w:cs="Arial" w:eastAsia="Arial" w:hAnsi="Arial"/>
          <w:sz w:val="16"/>
          <w:szCs w:val="16"/>
          <w:color w:val="auto"/>
        </w:rPr>
        <w:t>already set for lower cost drugs and may be incorporated into existing payments for other services. Net prices for drugs may</w:t>
      </w:r>
    </w:p>
    <w:p>
      <w:pPr>
        <w:spacing w:after="0" w:line="229" w:lineRule="auto"/>
        <w:rPr>
          <w:sz w:val="20"/>
          <w:szCs w:val="20"/>
          <w:color w:val="auto"/>
        </w:rPr>
      </w:pPr>
      <w:r>
        <w:rPr>
          <w:rFonts w:ascii="Arial" w:cs="Arial" w:eastAsia="Arial" w:hAnsi="Arial"/>
          <w:sz w:val="16"/>
          <w:szCs w:val="16"/>
          <w:color w:val="auto"/>
        </w:rPr>
        <w:t>be reduced by mandatory discounts or rebates required by government healthcare programs or private payors and by any</w:t>
      </w:r>
    </w:p>
    <w:p>
      <w:pPr>
        <w:spacing w:after="0" w:line="229" w:lineRule="auto"/>
        <w:rPr>
          <w:sz w:val="20"/>
          <w:szCs w:val="20"/>
          <w:color w:val="auto"/>
        </w:rPr>
      </w:pPr>
      <w:r>
        <w:rPr>
          <w:rFonts w:ascii="Arial" w:cs="Arial" w:eastAsia="Arial" w:hAnsi="Arial"/>
          <w:sz w:val="16"/>
          <w:szCs w:val="16"/>
          <w:color w:val="auto"/>
        </w:rPr>
        <w:t>future relaxation of laws that presently restrict imports of drugs from countries where they may be sold at lower prices than in</w:t>
      </w:r>
    </w:p>
    <w:p>
      <w:pPr>
        <w:spacing w:after="0" w:line="176" w:lineRule="exact"/>
        <w:rPr>
          <w:sz w:val="20"/>
          <w:szCs w:val="20"/>
          <w:color w:val="auto"/>
        </w:rPr>
      </w:pPr>
      <w:r>
        <w:rPr>
          <w:rFonts w:ascii="Arial" w:cs="Arial" w:eastAsia="Arial" w:hAnsi="Arial"/>
          <w:sz w:val="16"/>
          <w:szCs w:val="16"/>
          <w:color w:val="auto"/>
        </w:rPr>
        <w:t>the United States. Third</w:t>
      </w:r>
      <w:r>
        <w:rPr>
          <w:rFonts w:ascii="MS PGothic" w:cs="MS PGothic" w:eastAsia="MS PGothic" w:hAnsi="MS PGothic"/>
          <w:sz w:val="16"/>
          <w:szCs w:val="16"/>
          <w:color w:val="auto"/>
        </w:rPr>
        <w:t>‑</w:t>
      </w:r>
      <w:r>
        <w:rPr>
          <w:rFonts w:ascii="Arial" w:cs="Arial" w:eastAsia="Arial" w:hAnsi="Arial"/>
          <w:sz w:val="16"/>
          <w:szCs w:val="16"/>
          <w:color w:val="auto"/>
        </w:rPr>
        <w:t>party payors often rely upon Medicare coverage policy and payment limitations in setting their own</w:t>
      </w:r>
    </w:p>
    <w:p>
      <w:pPr>
        <w:spacing w:after="0" w:line="203" w:lineRule="auto"/>
        <w:rPr>
          <w:sz w:val="20"/>
          <w:szCs w:val="20"/>
          <w:color w:val="auto"/>
        </w:rPr>
      </w:pPr>
      <w:r>
        <w:rPr>
          <w:rFonts w:ascii="Arial" w:cs="Arial" w:eastAsia="Arial" w:hAnsi="Arial"/>
          <w:sz w:val="18"/>
          <w:szCs w:val="18"/>
          <w:color w:val="auto"/>
        </w:rPr>
        <w:t>reimbursement policies. Our inability to promptly obtain coverage and profitable payment rates from both</w:t>
      </w:r>
    </w:p>
    <w:p>
      <w:pPr>
        <w:spacing w:after="0" w:line="176" w:lineRule="exact"/>
        <w:rPr>
          <w:sz w:val="20"/>
          <w:szCs w:val="20"/>
          <w:color w:val="auto"/>
        </w:rPr>
      </w:pPr>
      <w:r>
        <w:rPr>
          <w:rFonts w:ascii="Arial" w:cs="Arial" w:eastAsia="Arial" w:hAnsi="Arial"/>
          <w:sz w:val="16"/>
          <w:szCs w:val="16"/>
          <w:color w:val="auto"/>
        </w:rPr>
        <w:t>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drugs that we develop could have a material adverse effect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our ability to raise capital needed to commercialize drugs and our overall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6"/>
          <w:szCs w:val="16"/>
          <w:color w:val="auto"/>
        </w:rPr>
        <w:t>‑</w:t>
      </w:r>
      <w:r>
        <w:rPr>
          <w:rFonts w:ascii="Arial" w:cs="Arial" w:eastAsia="Arial" w:hAnsi="Arial"/>
          <w:sz w:val="16"/>
          <w:szCs w:val="16"/>
          <w:color w:val="auto"/>
        </w:rPr>
        <w:t>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67"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060" w:hanging="85"/>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060" w:right="220" w:hanging="85"/>
        <w:spacing w:after="0" w:line="23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060" w:right="740" w:hanging="85"/>
        <w:spacing w:after="0" w:line="23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99"/>
        <w:spacing w:after="0" w:line="194" w:lineRule="exact"/>
        <w:rPr>
          <w:sz w:val="20"/>
          <w:szCs w:val="20"/>
          <w:color w:val="auto"/>
        </w:rPr>
      </w:pPr>
      <w:r>
        <w:rPr>
          <w:rFonts w:ascii="Arial" w:cs="Arial" w:eastAsia="Arial" w:hAnsi="Arial"/>
          <w:sz w:val="15"/>
          <w:szCs w:val="15"/>
          <w:b w:val="1"/>
          <w:bCs w:val="1"/>
          <w:i w:val="1"/>
          <w:iCs w:val="1"/>
          <w:color w:val="auto"/>
        </w:rPr>
        <w:t>Our relationships with customers and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will be subject to applicable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ind w:right="19" w:firstLine="648"/>
        <w:spacing w:after="0" w:line="182" w:lineRule="exact"/>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w:t>
      </w:r>
      <w:r>
        <w:rPr>
          <w:rFonts w:ascii="MS PGothic" w:cs="MS PGothic" w:eastAsia="MS PGothic" w:hAnsi="MS PGothic"/>
          <w:sz w:val="16"/>
          <w:szCs w:val="16"/>
          <w:color w:val="auto"/>
        </w:rPr>
        <w:t>‑</w:t>
      </w:r>
      <w:r>
        <w:rPr>
          <w:rFonts w:ascii="Arial" w:cs="Arial" w:eastAsia="Arial" w:hAnsi="Arial"/>
          <w:sz w:val="16"/>
          <w:szCs w:val="16"/>
          <w:color w:val="auto"/>
        </w:rPr>
        <w:t>party payors play a primary role in the recommendation and prescription of any drug candidates for which we obtain marketing approval. Our future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400" w:right="59" w:hanging="73"/>
        <w:spacing w:after="0" w:line="187" w:lineRule="exact"/>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ind w:left="400" w:right="99" w:hanging="73"/>
        <w:spacing w:after="0" w:line="185" w:lineRule="exact"/>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162" w:lineRule="exact"/>
        <w:rPr>
          <w:rFonts w:ascii="Arial" w:cs="Arial" w:eastAsia="Arial" w:hAnsi="Arial"/>
          <w:sz w:val="18"/>
          <w:szCs w:val="18"/>
          <w:color w:val="auto"/>
        </w:rPr>
      </w:pPr>
    </w:p>
    <w:p>
      <w:pPr>
        <w:jc w:val="both"/>
        <w:ind w:left="400" w:right="59" w:hanging="73"/>
        <w:spacing w:after="0" w:line="187" w:lineRule="exact"/>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ind w:left="400" w:right="379" w:hanging="73"/>
        <w:spacing w:after="0" w:line="229" w:lineRule="auto"/>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61" w:lineRule="exact"/>
        <w:rPr>
          <w:rFonts w:ascii="Arial" w:cs="Arial" w:eastAsia="Arial" w:hAnsi="Arial"/>
          <w:sz w:val="17"/>
          <w:szCs w:val="17"/>
          <w:color w:val="auto"/>
        </w:rPr>
      </w:pPr>
    </w:p>
    <w:p>
      <w:pPr>
        <w:ind w:left="400" w:right="99" w:hanging="73"/>
        <w:spacing w:after="0" w:line="229" w:lineRule="auto"/>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61" w:lineRule="exact"/>
        <w:rPr>
          <w:rFonts w:ascii="Arial" w:cs="Arial" w:eastAsia="Arial" w:hAnsi="Arial"/>
          <w:sz w:val="17"/>
          <w:szCs w:val="17"/>
          <w:color w:val="auto"/>
        </w:rPr>
      </w:pPr>
    </w:p>
    <w:p>
      <w:pPr>
        <w:ind w:left="400" w:right="39" w:hanging="73"/>
        <w:spacing w:after="0" w:line="182" w:lineRule="exact"/>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that may apply to sales or marketing arrangements and claims involving healthcare items or services reimbursed by non</w:t>
      </w:r>
      <w:r>
        <w:rPr>
          <w:rFonts w:ascii="MS PGothic" w:cs="MS PGothic" w:eastAsia="MS PGothic" w:hAnsi="MS PGothic"/>
          <w:sz w:val="17"/>
          <w:szCs w:val="17"/>
          <w:color w:val="auto"/>
        </w:rPr>
        <w:t>‑</w:t>
      </w:r>
      <w:r>
        <w:rPr>
          <w:rFonts w:ascii="Arial" w:cs="Arial" w:eastAsia="Arial" w:hAnsi="Arial"/>
          <w:sz w:val="17"/>
          <w:szCs w:val="17"/>
          <w:color w:val="auto"/>
        </w:rPr>
        <w:t>governmental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060" w:hanging="85"/>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84" w:lineRule="exact"/>
        <w:rPr>
          <w:rFonts w:ascii="Arial" w:cs="Arial" w:eastAsia="Arial" w:hAnsi="Arial"/>
          <w:sz w:val="18"/>
          <w:szCs w:val="18"/>
          <w:color w:val="auto"/>
        </w:rPr>
      </w:pPr>
    </w:p>
    <w:p>
      <w:pPr>
        <w:ind w:left="1060" w:right="940" w:hanging="85"/>
        <w:spacing w:after="0" w:line="235"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96" w:lineRule="exact"/>
        <w:rPr>
          <w:rFonts w:ascii="Arial" w:cs="Arial" w:eastAsia="Arial" w:hAnsi="Arial"/>
          <w:sz w:val="17"/>
          <w:szCs w:val="17"/>
          <w:color w:val="auto"/>
        </w:rPr>
      </w:pPr>
    </w:p>
    <w:p>
      <w:pPr>
        <w:ind w:left="1140" w:hanging="1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84" w:lineRule="exact"/>
        <w:rPr>
          <w:rFonts w:ascii="Arial" w:cs="Arial" w:eastAsia="Arial" w:hAnsi="Arial"/>
          <w:sz w:val="18"/>
          <w:szCs w:val="18"/>
          <w:color w:val="auto"/>
        </w:rPr>
      </w:pPr>
    </w:p>
    <w:p>
      <w:pPr>
        <w:ind w:left="1200" w:hanging="225"/>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84"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9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drug candidate to other available therapies. If reimbursement of our drugs is unavailable or limited in scope or amount, or if pricing is set at unsatisfactory levels, our business could be harmed, possibly materially.</w:t>
      </w:r>
    </w:p>
    <w:p>
      <w:pPr>
        <w:spacing w:after="0" w:line="165"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7"/>
          <w:szCs w:val="17"/>
          <w:color w:val="auto"/>
        </w:rPr>
        <w:t>‑</w:t>
      </w:r>
      <w:r>
        <w:rPr>
          <w:rFonts w:ascii="Arial" w:cs="Arial" w:eastAsia="Arial" w:hAnsi="Arial"/>
          <w:sz w:val="17"/>
          <w:szCs w:val="17"/>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addition, our collaboration with Alexion and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240" w:hanging="2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140" w:hanging="165"/>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jc w:val="both"/>
        <w:ind w:right="60" w:firstLine="648"/>
        <w:spacing w:after="0" w:line="194"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 party manufacturers, reliance on third party manufacturers entails additional risks, including:</w:t>
      </w:r>
    </w:p>
    <w:p>
      <w:pPr>
        <w:spacing w:after="0" w:line="163" w:lineRule="exact"/>
        <w:rPr>
          <w:sz w:val="20"/>
          <w:szCs w:val="20"/>
          <w:color w:val="auto"/>
        </w:rPr>
      </w:pPr>
    </w:p>
    <w:p>
      <w:pPr>
        <w:ind w:left="4440" w:right="2580" w:hanging="3465"/>
        <w:spacing w:after="0" w:line="731" w:lineRule="auto"/>
        <w:tabs>
          <w:tab w:leader="none" w:pos="10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80" w:hanging="105"/>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060" w:hanging="85"/>
        <w:spacing w:after="0" w:line="184" w:lineRule="exact"/>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and</w:t>
      </w:r>
    </w:p>
    <w:p>
      <w:pPr>
        <w:spacing w:after="0" w:line="207" w:lineRule="exact"/>
        <w:rPr>
          <w:rFonts w:ascii="Arial" w:cs="Arial" w:eastAsia="Arial" w:hAnsi="Arial"/>
          <w:sz w:val="16"/>
          <w:szCs w:val="16"/>
          <w:color w:val="auto"/>
        </w:rPr>
      </w:pPr>
    </w:p>
    <w:p>
      <w:pPr>
        <w:ind w:left="1060" w:right="820" w:hanging="85"/>
        <w:spacing w:after="0" w:line="23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300" w:firstLine="648"/>
        <w:spacing w:after="0" w:line="249"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5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63"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w:t>
      </w:r>
      <w:r>
        <w:rPr>
          <w:rFonts w:ascii="MS PGothic" w:cs="MS PGothic" w:eastAsia="MS PGothic" w:hAnsi="MS PGothic"/>
          <w:sz w:val="17"/>
          <w:szCs w:val="17"/>
          <w:color w:val="auto"/>
        </w:rPr>
        <w:t>‑</w:t>
      </w:r>
      <w:r>
        <w:rPr>
          <w:rFonts w:ascii="Arial" w:cs="Arial" w:eastAsia="Arial" w:hAnsi="Arial"/>
          <w:sz w:val="17"/>
          <w:szCs w:val="17"/>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7"/>
          <w:szCs w:val="17"/>
          <w:color w:val="auto"/>
        </w:rPr>
        <w:t>‑</w:t>
      </w:r>
      <w:r>
        <w:rPr>
          <w:rFonts w:ascii="Arial" w:cs="Arial" w:eastAsia="Arial" w:hAnsi="Arial"/>
          <w:sz w:val="17"/>
          <w:szCs w:val="17"/>
          <w:color w:val="auto"/>
        </w:rPr>
        <w:t>source supply of any such API, drug product or drug substance in the event any of our current suppliers of such API, drug product and drug substance cease their operations for any reason.</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7"/>
          <w:szCs w:val="17"/>
          <w:color w:val="auto"/>
        </w:rPr>
        <w:t>‑</w:t>
      </w:r>
      <w:r>
        <w:rPr>
          <w:rFonts w:ascii="Arial" w:cs="Arial" w:eastAsia="Arial" w:hAnsi="Arial"/>
          <w:sz w:val="17"/>
          <w:szCs w:val="17"/>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and our core technologies, including our novel target discovery engine and our proprietary compound library and other know</w:t>
      </w:r>
      <w:r>
        <w:rPr>
          <w:rFonts w:ascii="MS PGothic" w:cs="MS PGothic" w:eastAsia="MS PGothic" w:hAnsi="MS PGothic"/>
          <w:sz w:val="17"/>
          <w:szCs w:val="17"/>
          <w:color w:val="auto"/>
        </w:rPr>
        <w:t>‑</w:t>
      </w:r>
      <w:r>
        <w:rPr>
          <w:rFonts w:ascii="Arial" w:cs="Arial" w:eastAsia="Arial" w:hAnsi="Arial"/>
          <w:sz w:val="17"/>
          <w:szCs w:val="17"/>
          <w:color w:val="auto"/>
        </w:rPr>
        <w:t>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proprietary and intellectual property position.</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We own patents and patent applications that relate to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as composition of matter. We also own applications relating to composition of matter for KIT Exon 17 inhibitors with different compound families, composition of matter for FGFR4 inhibitors with multiple compound families, composition of matter for inhibitors of the predicted RET resistant mutants, composition of matter for inhibitors of predicted NTRK resistant mutants, as well as methods of use for these novel compounds. The issued patent directed to BLU</w:t>
      </w:r>
      <w:r>
        <w:rPr>
          <w:rFonts w:ascii="MS PGothic" w:cs="MS PGothic" w:eastAsia="MS PGothic" w:hAnsi="MS PGothic"/>
          <w:sz w:val="16"/>
          <w:szCs w:val="16"/>
          <w:color w:val="auto"/>
        </w:rPr>
        <w:t>‑</w:t>
      </w:r>
      <w:r>
        <w:rPr>
          <w:rFonts w:ascii="Arial" w:cs="Arial" w:eastAsia="Arial" w:hAnsi="Arial"/>
          <w:sz w:val="16"/>
          <w:szCs w:val="16"/>
          <w:color w:val="auto"/>
        </w:rPr>
        <w:t>554 composition of matter has a statutory expiration date in 2033, the issued patent directed to BLU-285 composition of matter has a statutory expiration date in 2034 and any patents issuing from our pending patent applications are projected to expire between 2034 and 2036.</w:t>
      </w:r>
    </w:p>
    <w:p>
      <w:pPr>
        <w:spacing w:after="0" w:line="163"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As of February 29, 2016, we owned one patent, four pending U.S. patent applications, eight pending foreign patent applications in a number of jurisdictions, including Argentina, Bolivia, Pakistan, Taiwan and Venezuela, and three pending Patent Cooperation Treaty, or PCT, patent applications directed to our KIT program, including BLU-285. Any U.S. or ex-U.S. patents issuing from the pending applications covering BLU-285 will have a statutory expiration date of October 2034. Patent term adjustments or patent term extensions could result in later expiration dates.</w:t>
      </w:r>
    </w:p>
    <w:p>
      <w:pPr>
        <w:spacing w:after="0" w:line="161"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As of February 29, 2016, we owned two issued U.S. patents, three pending U.S. patent applications, 23 foreign patent applications in a number of jurisdictions, including Australia, Brazil, Canada, China, the European Union, Israel, India, Japan, South Korea, Mexico New Zealand, Russia, South Africa, and two pending PCT patent applications directed to our FGFR4 program, including BLU-554.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62"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As of February 29, 2016, we owned one PCT application and one provisional U.S. patent application directed to our RET program, which, if issued, will have statutory expiration dates of 2036. As of February 29, 2016, we owned two provisional U.S. patent applications directed to NTRK, which, if issued, will have statutory expiration dates of 2036.</w:t>
      </w:r>
    </w:p>
    <w:p>
      <w:pPr>
        <w:spacing w:after="0" w:line="161"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February 29, 2016, we owned two U.S. patent applications, two European Union patent applications and eight pending PCT patent applications directed to this technology, which, if issued, will have statutory expiration dates ranging from 2034 to 2035.</w:t>
      </w:r>
    </w:p>
    <w:p>
      <w:pPr>
        <w:spacing w:after="0" w:line="15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 For example, we are aware of a U.S. patent application filed by a third party that has pending generic composition of matter claims, which if issued as pending, could cover BLU-554. While we may decide to initiate proceedings to challenge the validity of any resulting patent in the future, we may be unsuccessful, and courts or patent offices in the United States and abroad could uphold the validity of any such patent.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w:t>
      </w:r>
      <w:r>
        <w:rPr>
          <w:rFonts w:ascii="MS PGothic" w:cs="MS PGothic" w:eastAsia="MS PGothic" w:hAnsi="MS PGothic"/>
          <w:sz w:val="16"/>
          <w:szCs w:val="16"/>
          <w:color w:val="auto"/>
        </w:rPr>
        <w:t>‑</w:t>
      </w:r>
      <w:r>
        <w:rPr>
          <w:rFonts w:ascii="Arial" w:cs="Arial" w:eastAsia="Arial" w:hAnsi="Arial"/>
          <w:sz w:val="16"/>
          <w:szCs w:val="16"/>
          <w:color w:val="auto"/>
        </w:rPr>
        <w:t xml:space="preserve">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w:t>
      </w:r>
      <w:r>
        <w:rPr>
          <w:rFonts w:ascii="MS PGothic" w:cs="MS PGothic" w:eastAsia="MS PGothic" w:hAnsi="MS PGothic"/>
          <w:sz w:val="16"/>
          <w:szCs w:val="16"/>
          <w:color w:val="auto"/>
        </w:rPr>
        <w:t>‑</w:t>
      </w:r>
      <w:r>
        <w:rPr>
          <w:rFonts w:ascii="Arial" w:cs="Arial" w:eastAsia="Arial" w:hAnsi="Arial"/>
          <w:sz w:val="16"/>
          <w:szCs w:val="16"/>
          <w:color w:val="auto"/>
        </w:rPr>
        <w:t>grant review or interference proceedings challenging our patent rights or the patent rights of others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w:t>
      </w:r>
      <w:r>
        <w:rPr>
          <w:rFonts w:ascii="MS PGothic" w:cs="MS PGothic" w:eastAsia="MS PGothic" w:hAnsi="MS PGothic"/>
          <w:sz w:val="17"/>
          <w:szCs w:val="17"/>
          <w:color w:val="auto"/>
        </w:rPr>
        <w:t>‑</w:t>
      </w:r>
      <w:r>
        <w:rPr>
          <w:rFonts w:ascii="Arial" w:cs="Arial" w:eastAsia="Arial" w:hAnsi="Arial"/>
          <w:sz w:val="17"/>
          <w:szCs w:val="17"/>
          <w:color w:val="auto"/>
        </w:rPr>
        <w:t>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jc w:val="both"/>
        <w:ind w:right="360" w:firstLine="648"/>
        <w:spacing w:after="0" w:line="24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47"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w:t>
      </w:r>
      <w:r>
        <w:rPr>
          <w:rFonts w:ascii="MS PGothic" w:cs="MS PGothic" w:eastAsia="MS PGothic" w:hAnsi="MS PGothic"/>
          <w:sz w:val="16"/>
          <w:szCs w:val="16"/>
          <w:color w:val="auto"/>
        </w:rPr>
        <w:t>‑</w:t>
      </w:r>
      <w:r>
        <w:rPr>
          <w:rFonts w:ascii="Arial" w:cs="Arial" w:eastAsia="Arial" w:hAnsi="Arial"/>
          <w:sz w:val="16"/>
          <w:szCs w:val="16"/>
          <w:color w:val="auto"/>
        </w:rPr>
        <w:t>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application filed by a third party that has pending generic composition of matter claims, which if issued as pending, could cover BLU-554.</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w:t>
      </w:r>
      <w:r>
        <w:rPr>
          <w:rFonts w:ascii="MS PGothic" w:cs="MS PGothic" w:eastAsia="MS PGothic" w:hAnsi="MS PGothic"/>
          <w:sz w:val="17"/>
          <w:szCs w:val="17"/>
          <w:color w:val="auto"/>
        </w:rPr>
        <w:t>‑</w:t>
      </w:r>
      <w:r>
        <w:rPr>
          <w:rFonts w:ascii="Arial" w:cs="Arial" w:eastAsia="Arial" w:hAnsi="Arial"/>
          <w:sz w:val="17"/>
          <w:szCs w:val="17"/>
          <w:color w:val="auto"/>
        </w:rPr>
        <w:t>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w:t>
      </w:r>
      <w:r>
        <w:rPr>
          <w:rFonts w:ascii="MS PGothic" w:cs="MS PGothic" w:eastAsia="MS PGothic" w:hAnsi="MS PGothic"/>
          <w:sz w:val="17"/>
          <w:szCs w:val="17"/>
          <w:color w:val="auto"/>
        </w:rPr>
        <w:t>‑</w:t>
      </w:r>
      <w:r>
        <w:rPr>
          <w:rFonts w:ascii="Arial" w:cs="Arial" w:eastAsia="Arial" w:hAnsi="Arial"/>
          <w:sz w:val="17"/>
          <w:szCs w:val="17"/>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62"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6"/>
          <w:szCs w:val="16"/>
          <w:color w:val="auto"/>
        </w:rPr>
        <w:t>‑</w:t>
      </w:r>
      <w:r>
        <w:rPr>
          <w:rFonts w:ascii="Arial" w:cs="Arial" w:eastAsia="Arial" w:hAnsi="Arial"/>
          <w:sz w:val="16"/>
          <w:szCs w:val="16"/>
          <w:color w:val="auto"/>
        </w:rPr>
        <w:t>party technology in question. Further, such third parties could counterclaim that we infringe their intellectual property or that a patent we have asserted against them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9"/>
        <w:spacing w:after="0" w:line="181" w:lineRule="exact"/>
        <w:rPr>
          <w:sz w:val="20"/>
          <w:szCs w:val="20"/>
          <w:color w:val="auto"/>
        </w:rPr>
      </w:pPr>
      <w:r>
        <w:rPr>
          <w:rFonts w:ascii="Arial" w:cs="Arial" w:eastAsia="Arial" w:hAnsi="Arial"/>
          <w:sz w:val="16"/>
          <w:szCs w:val="16"/>
          <w:color w:val="auto"/>
        </w:rPr>
        <w:t>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8" w:lineRule="exact"/>
        <w:rPr>
          <w:sz w:val="20"/>
          <w:szCs w:val="20"/>
          <w:color w:val="auto"/>
        </w:rPr>
      </w:pPr>
    </w:p>
    <w:p>
      <w:pPr>
        <w:ind w:right="59"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59"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19"/>
        <w:spacing w:after="0" w:line="194" w:lineRule="exact"/>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63"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7"/>
          <w:szCs w:val="17"/>
          <w:color w:val="auto"/>
        </w:rPr>
        <w:t>‑</w:t>
      </w:r>
      <w:r>
        <w:rPr>
          <w:rFonts w:ascii="Arial" w:cs="Arial" w:eastAsia="Arial" w:hAnsi="Arial"/>
          <w:sz w:val="17"/>
          <w:szCs w:val="17"/>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Leahy</w:t>
      </w:r>
      <w:r>
        <w:rPr>
          <w:rFonts w:ascii="MS PGothic" w:cs="MS PGothic" w:eastAsia="MS PGothic" w:hAnsi="MS PGothic"/>
          <w:sz w:val="16"/>
          <w:szCs w:val="16"/>
          <w:color w:val="auto"/>
        </w:rPr>
        <w:t>‑</w:t>
      </w:r>
      <w:r>
        <w:rPr>
          <w:rFonts w:ascii="Arial" w:cs="Arial" w:eastAsia="Arial" w:hAnsi="Arial"/>
          <w:sz w:val="16"/>
          <w:szCs w:val="16"/>
          <w:color w:val="auto"/>
        </w:rPr>
        <w:t>Smith Act, signed into law on September 16, 2011, could increase those uncertainties and costs. 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6"/>
          <w:szCs w:val="16"/>
          <w:color w:val="auto"/>
        </w:rPr>
        <w:t>‑</w:t>
      </w:r>
      <w:r>
        <w:rPr>
          <w:rFonts w:ascii="Arial" w:cs="Arial" w:eastAsia="Arial" w:hAnsi="Arial"/>
          <w:sz w:val="16"/>
          <w:szCs w:val="16"/>
          <w:color w:val="auto"/>
        </w:rPr>
        <w:t>effective avenues for competitors to challenge the validity of patents. In addition, the Leahy</w:t>
      </w:r>
      <w:r>
        <w:rPr>
          <w:rFonts w:ascii="MS PGothic" w:cs="MS PGothic" w:eastAsia="MS PGothic" w:hAnsi="MS PGothic"/>
          <w:sz w:val="16"/>
          <w:szCs w:val="16"/>
          <w:color w:val="auto"/>
        </w:rPr>
        <w:t>‑</w:t>
      </w:r>
      <w:r>
        <w:rPr>
          <w:rFonts w:ascii="Arial" w:cs="Arial" w:eastAsia="Arial" w:hAnsi="Arial"/>
          <w:sz w:val="16"/>
          <w:szCs w:val="16"/>
          <w:color w:val="auto"/>
        </w:rPr>
        <w:t>Smith Act has transformed the U.S. patent system into a “first to file” system. The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provisions, however, only became effective on March 16, 2013. Accordingly, it is not yet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6"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6"/>
          <w:szCs w:val="16"/>
          <w:color w:val="auto"/>
        </w:rPr>
        <w:t>‑</w:t>
      </w:r>
      <w:r>
        <w:rPr>
          <w:rFonts w:ascii="Arial" w:cs="Arial" w:eastAsia="Arial" w:hAnsi="Arial"/>
          <w:sz w:val="16"/>
          <w:szCs w:val="16"/>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300" w:firstLine="648"/>
        <w:spacing w:after="0" w:line="189" w:lineRule="exact"/>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to be our primary intellectual property. We seek to protect our proprietary technology and processes, in part, by entering into confidentiality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agreements with our collaborators, scientific advisors, employees and consultants, and invention assignment agreements with our consultants and employees. We may not be able to prevent the unauthorized disclosure or use of our technical know</w:t>
      </w:r>
      <w:r>
        <w:rPr>
          <w:rFonts w:ascii="MS PGothic" w:cs="MS PGothic" w:eastAsia="MS PGothic" w:hAnsi="MS PGothic"/>
          <w:sz w:val="17"/>
          <w:szCs w:val="17"/>
          <w:color w:val="auto"/>
        </w:rPr>
        <w:t>‑</w:t>
      </w:r>
      <w:r>
        <w:rPr>
          <w:rFonts w:ascii="Arial" w:cs="Arial" w:eastAsia="Arial" w:hAnsi="Arial"/>
          <w:sz w:val="17"/>
          <w:szCs w:val="17"/>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4"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100"/>
        <w:spacing w:after="0" w:line="203" w:lineRule="exact"/>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competition or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solicitation agreements with our competitors.</w:t>
      </w:r>
    </w:p>
    <w:p>
      <w:pPr>
        <w:spacing w:after="0" w:line="162" w:lineRule="exact"/>
        <w:rPr>
          <w:sz w:val="20"/>
          <w:szCs w:val="20"/>
          <w:color w:val="auto"/>
        </w:rPr>
      </w:pPr>
    </w:p>
    <w:p>
      <w:pPr>
        <w:ind w:right="60" w:firstLine="648"/>
        <w:spacing w:after="0" w:line="179" w:lineRule="exact"/>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6"/>
          <w:szCs w:val="16"/>
          <w:color w:val="auto"/>
        </w:rPr>
        <w:t>‑</w:t>
      </w:r>
      <w:r>
        <w:rPr>
          <w:rFonts w:ascii="Arial" w:cs="Arial" w:eastAsia="Arial" w:hAnsi="Arial"/>
          <w:sz w:val="16"/>
          <w:szCs w:val="16"/>
          <w:color w:val="auto"/>
        </w:rPr>
        <w:t>how or trade secrets of others in their work for us, we may in the future be subject to claims that we caused an employee to breach the terms of his or her non</w:t>
      </w:r>
      <w:r>
        <w:rPr>
          <w:rFonts w:ascii="MS PGothic" w:cs="MS PGothic" w:eastAsia="MS PGothic" w:hAnsi="MS PGothic"/>
          <w:sz w:val="16"/>
          <w:szCs w:val="16"/>
          <w:color w:val="auto"/>
        </w:rPr>
        <w:t>‑</w:t>
      </w:r>
      <w:r>
        <w:rPr>
          <w:rFonts w:ascii="Arial" w:cs="Arial" w:eastAsia="Arial" w:hAnsi="Arial"/>
          <w:sz w:val="16"/>
          <w:szCs w:val="16"/>
          <w:color w:val="auto"/>
        </w:rPr>
        <w:t>competition or non</w:t>
      </w:r>
      <w:r>
        <w:rPr>
          <w:rFonts w:ascii="MS PGothic" w:cs="MS PGothic" w:eastAsia="MS PGothic" w:hAnsi="MS PGothic"/>
          <w:sz w:val="16"/>
          <w:szCs w:val="16"/>
          <w:color w:val="auto"/>
        </w:rPr>
        <w:t>‑</w:t>
      </w:r>
      <w:r>
        <w:rPr>
          <w:rFonts w:ascii="Arial" w:cs="Arial" w:eastAsia="Arial" w:hAnsi="Arial"/>
          <w:sz w:val="16"/>
          <w:szCs w:val="16"/>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Jeffrey W. Albers, our President and Chief Executive Officer, Anthony L. Boral, our Chief Medical Officer, Christoph Lengauer, our Chief Scientific Officer, and Kathryn Haviland, our Chief Business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As of February 29, 2016 we had 81 full</w:t>
      </w:r>
      <w:r>
        <w:rPr>
          <w:rFonts w:ascii="MS PGothic" w:cs="MS PGothic" w:eastAsia="MS PGothic" w:hAnsi="MS PGothic"/>
          <w:sz w:val="16"/>
          <w:szCs w:val="16"/>
          <w:color w:val="auto"/>
        </w:rPr>
        <w:t>‑</w:t>
      </w:r>
      <w:r>
        <w:rPr>
          <w:rFonts w:ascii="Arial" w:cs="Arial" w:eastAsia="Arial" w:hAnsi="Arial"/>
          <w:sz w:val="16"/>
          <w:szCs w:val="16"/>
          <w:color w:val="auto"/>
        </w:rPr>
        <w:t>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40"/>
        <w:spacing w:after="0" w:line="203" w:lineRule="exact"/>
        <w:rPr>
          <w:sz w:val="20"/>
          <w:szCs w:val="20"/>
          <w:color w:val="auto"/>
        </w:rPr>
      </w:pPr>
      <w:r>
        <w:rPr>
          <w:rFonts w:ascii="Arial" w:cs="Arial" w:eastAsia="Arial" w:hAnsi="Arial"/>
          <w:sz w:val="15"/>
          <w:szCs w:val="15"/>
          <w:b w:val="1"/>
          <w:bCs w:val="1"/>
          <w:i w:val="1"/>
          <w:iCs w:val="1"/>
          <w:color w:val="auto"/>
        </w:rPr>
        <w:t>Our internal computer systems, or those of 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CROs or other contractors or consultants, may fail or suffer security breaches, which could result in a material disruption of our drug candidates’ development programs.</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Despite the implementation of security measures, our internal computer systems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8" w:lineRule="exact"/>
        <w:rPr>
          <w:sz w:val="20"/>
          <w:szCs w:val="20"/>
          <w:color w:val="auto"/>
        </w:rPr>
      </w:pPr>
    </w:p>
    <w:p>
      <w:pPr>
        <w:ind w:right="340"/>
        <w:spacing w:after="0" w:line="203" w:lineRule="exact"/>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20"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As a public company, we have incurred and expect to continue to incur, particularly after we are no longer an “emerging growth company,” significant legal, accounting and other expenses that we did not incur as a private company. In addition,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For example, we expect that these rules and regulations may make it more difficult and more expensive for us to obtain director and officer liability insurance.</w:t>
      </w:r>
    </w:p>
    <w:p>
      <w:pPr>
        <w:spacing w:after="0" w:line="15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5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$37.17 and a low price of $13.04 per share for the period April 30, 2015, our first day of trading on The NASDAQ Global Select Market, through March 10, 2016. As a result of this volatility, our stockholders could incur substantial losses. In addition, the market price for our common stock may be influenced by many factors, including:</w:t>
      </w:r>
    </w:p>
    <w:p>
      <w:pPr>
        <w:spacing w:after="0" w:line="152" w:lineRule="exact"/>
        <w:rPr>
          <w:sz w:val="20"/>
          <w:szCs w:val="20"/>
          <w:color w:val="auto"/>
        </w:rPr>
      </w:pPr>
    </w:p>
    <w:p>
      <w:pPr>
        <w:ind w:left="1120" w:hanging="14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71" w:lineRule="exact"/>
        <w:rPr>
          <w:rFonts w:ascii="Arial" w:cs="Arial" w:eastAsia="Arial" w:hAnsi="Arial"/>
          <w:sz w:val="18"/>
          <w:szCs w:val="18"/>
          <w:color w:val="auto"/>
        </w:rPr>
      </w:pPr>
    </w:p>
    <w:p>
      <w:pPr>
        <w:ind w:left="1080" w:hanging="105"/>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1120" w:hanging="14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82" w:lineRule="exact"/>
        <w:rPr>
          <w:rFonts w:ascii="Arial" w:cs="Arial" w:eastAsia="Arial" w:hAnsi="Arial"/>
          <w:sz w:val="17"/>
          <w:szCs w:val="17"/>
          <w:color w:val="auto"/>
        </w:rPr>
      </w:pPr>
    </w:p>
    <w:p>
      <w:pPr>
        <w:ind w:left="1060" w:right="200" w:hanging="85"/>
        <w:spacing w:after="0" w:line="235"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71" w:lineRule="exact"/>
        <w:rPr>
          <w:rFonts w:ascii="Arial" w:cs="Arial" w:eastAsia="Arial" w:hAnsi="Arial"/>
          <w:sz w:val="18"/>
          <w:szCs w:val="18"/>
          <w:color w:val="auto"/>
        </w:rPr>
      </w:pPr>
    </w:p>
    <w:p>
      <w:pPr>
        <w:ind w:left="1100" w:hanging="125"/>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71" w:lineRule="exact"/>
        <w:rPr>
          <w:rFonts w:ascii="Arial" w:cs="Arial" w:eastAsia="Arial" w:hAnsi="Arial"/>
          <w:sz w:val="18"/>
          <w:szCs w:val="18"/>
          <w:color w:val="auto"/>
        </w:rPr>
      </w:pPr>
    </w:p>
    <w:p>
      <w:pPr>
        <w:ind w:left="1080" w:hanging="105"/>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71" w:lineRule="exact"/>
        <w:rPr>
          <w:rFonts w:ascii="Arial" w:cs="Arial" w:eastAsia="Arial" w:hAnsi="Arial"/>
          <w:sz w:val="18"/>
          <w:szCs w:val="18"/>
          <w:color w:val="auto"/>
        </w:rPr>
      </w:pPr>
    </w:p>
    <w:p>
      <w:pPr>
        <w:ind w:left="1120" w:hanging="14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1100" w:hanging="125"/>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71"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47" w:lineRule="exact"/>
        <w:rPr>
          <w:sz w:val="20"/>
          <w:szCs w:val="20"/>
          <w:color w:val="auto"/>
        </w:rPr>
      </w:pPr>
    </w:p>
    <w:p>
      <w:pPr>
        <w:ind w:right="79"/>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35"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45"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48"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38" w:lineRule="exact"/>
        <w:rPr>
          <w:sz w:val="20"/>
          <w:szCs w:val="20"/>
          <w:color w:val="auto"/>
        </w:rPr>
      </w:pPr>
    </w:p>
    <w:p>
      <w:pPr>
        <w:ind w:right="359"/>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33" w:lineRule="exact"/>
        <w:rPr>
          <w:sz w:val="20"/>
          <w:szCs w:val="20"/>
          <w:color w:val="auto"/>
        </w:rPr>
      </w:pPr>
    </w:p>
    <w:p>
      <w:pPr>
        <w:ind w:right="79" w:firstLine="648"/>
        <w:spacing w:after="0" w:line="225" w:lineRule="auto"/>
        <w:rPr>
          <w:sz w:val="20"/>
          <w:szCs w:val="20"/>
          <w:color w:val="auto"/>
        </w:rPr>
      </w:pPr>
      <w:r>
        <w:rPr>
          <w:rFonts w:ascii="Arial" w:cs="Arial" w:eastAsia="Arial" w:hAnsi="Arial"/>
          <w:sz w:val="17"/>
          <w:szCs w:val="17"/>
          <w:color w:val="auto"/>
        </w:rPr>
        <w:t>The holdings of our executive officers, directors and stockholders who own more than 5% of our outstanding common stock, together with their affiliates and related persons, represent beneficial ownership, in the aggregate, approximately 50% of our common stock, based on the number of shares of our common stock outstanding as of December 31, 2015.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this concentration of ownership might adversely affect the market price of our common stock by:</w:t>
      </w:r>
    </w:p>
    <w:p>
      <w:pPr>
        <w:spacing w:after="0" w:line="169" w:lineRule="exact"/>
        <w:rPr>
          <w:sz w:val="20"/>
          <w:szCs w:val="20"/>
          <w:color w:val="auto"/>
        </w:rPr>
      </w:pPr>
    </w:p>
    <w:p>
      <w:pPr>
        <w:ind w:left="1100" w:hanging="125"/>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194"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Provisions in our amended and restated certificate of incorporation and amended and restated by</w:t>
      </w:r>
      <w:r>
        <w:rPr>
          <w:rFonts w:ascii="MS PGothic" w:cs="MS PGothic" w:eastAsia="MS PGothic" w:hAnsi="MS PGothic"/>
          <w:sz w:val="17"/>
          <w:szCs w:val="17"/>
          <w:color w:val="auto"/>
        </w:rPr>
        <w:t>‑</w:t>
      </w:r>
      <w:r>
        <w:rPr>
          <w:rFonts w:ascii="Arial" w:cs="Arial" w:eastAsia="Arial" w:hAnsi="Arial"/>
          <w:sz w:val="17"/>
          <w:szCs w:val="17"/>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40"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21"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size of future issuances or the effect, if any, that any future issuances may have on the market price for our common stock.</w:t>
      </w:r>
    </w:p>
    <w:p>
      <w:pPr>
        <w:spacing w:after="0" w:line="122"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3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w:t>
      </w:r>
      <w:r>
        <w:rPr>
          <w:rFonts w:ascii="MS PGothic" w:cs="MS PGothic" w:eastAsia="MS PGothic" w:hAnsi="MS PGothic"/>
          <w:sz w:val="16"/>
          <w:szCs w:val="16"/>
          <w:color w:val="auto"/>
        </w:rPr>
        <w:t>‑</w:t>
      </w:r>
      <w:r>
        <w:rPr>
          <w:rFonts w:ascii="Arial" w:cs="Arial" w:eastAsia="Arial" w:hAnsi="Arial"/>
          <w:sz w:val="16"/>
          <w:szCs w:val="16"/>
          <w:color w:val="auto"/>
        </w:rPr>
        <w:t>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27" w:lineRule="exact"/>
        <w:rPr>
          <w:sz w:val="20"/>
          <w:szCs w:val="20"/>
          <w:color w:val="auto"/>
        </w:rPr>
      </w:pPr>
    </w:p>
    <w:p>
      <w:pPr>
        <w:ind w:left="1060" w:right="220" w:hanging="85"/>
        <w:spacing w:after="0" w:line="203" w:lineRule="exact"/>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21" w:lineRule="exact"/>
        <w:rPr>
          <w:rFonts w:ascii="Arial" w:cs="Arial" w:eastAsia="Arial" w:hAnsi="Arial"/>
          <w:sz w:val="18"/>
          <w:szCs w:val="18"/>
          <w:color w:val="auto"/>
        </w:rPr>
      </w:pPr>
    </w:p>
    <w:p>
      <w:pPr>
        <w:ind w:left="1060" w:right="200" w:hanging="85"/>
        <w:spacing w:after="0" w:line="22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2" w:lineRule="exact"/>
        <w:rPr>
          <w:rFonts w:ascii="Arial" w:cs="Arial" w:eastAsia="Arial" w:hAnsi="Arial"/>
          <w:sz w:val="18"/>
          <w:szCs w:val="18"/>
          <w:color w:val="auto"/>
        </w:rPr>
      </w:pPr>
    </w:p>
    <w:p>
      <w:pPr>
        <w:jc w:val="both"/>
        <w:ind w:left="1060" w:hanging="85"/>
        <w:spacing w:after="0" w:line="22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22" w:lineRule="exact"/>
        <w:rPr>
          <w:rFonts w:ascii="Arial" w:cs="Arial" w:eastAsia="Arial" w:hAnsi="Arial"/>
          <w:sz w:val="18"/>
          <w:szCs w:val="18"/>
          <w:color w:val="auto"/>
        </w:rPr>
      </w:pPr>
    </w:p>
    <w:p>
      <w:pPr>
        <w:ind w:left="1080" w:hanging="105"/>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1060" w:right="420" w:hanging="85"/>
        <w:spacing w:after="0" w:line="258"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3"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2"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under the Loan and Security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98" w:lineRule="exact"/>
        <w:rPr>
          <w:sz w:val="20"/>
          <w:szCs w:val="20"/>
          <w:color w:val="auto"/>
        </w:rPr>
      </w:pPr>
    </w:p>
    <w:p>
      <w:pPr>
        <w:ind w:firstLine="648"/>
        <w:spacing w:after="0" w:line="220" w:lineRule="exact"/>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net operating loss carryforwards and certain other pre</w:t>
      </w:r>
      <w:r>
        <w:rPr>
          <w:rFonts w:ascii="MS PGothic" w:cs="MS PGothic" w:eastAsia="MS PGothic" w:hAnsi="MS PGothic"/>
          <w:sz w:val="17"/>
          <w:szCs w:val="17"/>
          <w:color w:val="auto"/>
        </w:rPr>
        <w:t>‑</w:t>
      </w:r>
      <w:r>
        <w:rPr>
          <w:rFonts w:ascii="Arial" w:cs="Arial" w:eastAsia="Arial" w:hAnsi="Arial"/>
          <w:sz w:val="17"/>
          <w:szCs w:val="17"/>
          <w:color w:val="auto"/>
        </w:rPr>
        <w:t>change tax attributes to offset its post</w:t>
      </w:r>
      <w:r>
        <w:rPr>
          <w:rFonts w:ascii="MS PGothic" w:cs="MS PGothic" w:eastAsia="MS PGothic" w:hAnsi="MS PGothic"/>
          <w:sz w:val="17"/>
          <w:szCs w:val="17"/>
          <w:color w:val="auto"/>
        </w:rPr>
        <w:t>‑</w:t>
      </w:r>
      <w:r>
        <w:rPr>
          <w:rFonts w:ascii="Arial" w:cs="Arial" w:eastAsia="Arial" w:hAnsi="Arial"/>
          <w:sz w:val="17"/>
          <w:szCs w:val="17"/>
          <w:color w:val="auto"/>
        </w:rPr>
        <w:t>change income may be limited. We may have experienced such ownership changes in the past, and we may experience ownership changes in the future as a result of shifts in our stock ownership, some of which are outside our control. As of December 31, 2015, we had federal net operating loss carryforwards of approximately $123.9 million, and our ability to utilize those net operating loss carryforwards could be limited by an “ownership change” as described above, which could result in increased tax liability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Our headquarters are located in Cambridge, Massachusetts where we occupy approximately 38,500 rentable square feet of office and laboratory space pursuant to a lease agreement that we entered into on February 12, 2015. The lease term commenced June 15, 2015 and ends on October 31, 2022. We have an option to extend the lease term for five additional years. We believe that this office and laboratory space is sufficient to meet our needs for the foreseeable future and that suitable additional space will be available as and when needed.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59"/>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189" w:lineRule="exact"/>
        <w:rPr>
          <w:sz w:val="20"/>
          <w:szCs w:val="20"/>
          <w:color w:val="auto"/>
        </w:rPr>
      </w:pPr>
    </w:p>
    <w:p>
      <w:pPr>
        <w:ind w:right="59" w:firstLine="648"/>
        <w:spacing w:after="0" w:line="219" w:lineRule="auto"/>
        <w:rPr>
          <w:sz w:val="20"/>
          <w:szCs w:val="20"/>
          <w:color w:val="auto"/>
        </w:rPr>
      </w:pPr>
      <w:r>
        <w:rPr>
          <w:rFonts w:ascii="Arial" w:cs="Arial" w:eastAsia="Arial" w:hAnsi="Arial"/>
          <w:sz w:val="18"/>
          <w:szCs w:val="18"/>
          <w:color w:val="auto"/>
        </w:rPr>
        <w:t>Our common stock trades under the symbol “BPMC” on the NASDAQ Global Select Market and has been publicly traded since April 30, 2015. Prior to this time, there was no public market for our common stock. The following table sets forth the high and low sales prices of our common stock as reported on the NASDAQ Global Market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ind w:left="120"/>
              <w:spacing w:after="0"/>
              <w:rPr>
                <w:sz w:val="20"/>
                <w:szCs w:val="20"/>
                <w:color w:val="auto"/>
              </w:rPr>
            </w:pPr>
            <w:r>
              <w:rPr>
                <w:rFonts w:ascii="Arial" w:cs="Arial" w:eastAsia="Arial" w:hAnsi="Arial"/>
                <w:sz w:val="18"/>
                <w:szCs w:val="18"/>
                <w:b w:val="1"/>
                <w:bCs w:val="1"/>
                <w:color w:val="auto"/>
              </w:rPr>
              <w:t>Year Ended December 31, 2015:</w:t>
            </w:r>
          </w:p>
        </w:tc>
        <w:tc>
          <w:tcPr>
            <w:tcW w:w="2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rPr>
              <w:t>Low</w:t>
            </w:r>
          </w:p>
        </w:tc>
      </w:tr>
      <w:tr>
        <w:trPr>
          <w:trHeight w:val="169"/>
        </w:trPr>
        <w:tc>
          <w:tcPr>
            <w:tcW w:w="480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Second Quarter (beginning April 30, 2015)</w:t>
            </w:r>
          </w:p>
        </w:tc>
        <w:tc>
          <w:tcPr>
            <w:tcW w:w="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37.17</w:t>
            </w: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18.00</w:t>
            </w:r>
          </w:p>
        </w:tc>
      </w:tr>
      <w:tr>
        <w:trPr>
          <w:trHeight w:val="176"/>
        </w:trPr>
        <w:tc>
          <w:tcPr>
            <w:tcW w:w="4800" w:type="dxa"/>
            <w:vAlign w:val="bottom"/>
          </w:tcPr>
          <w:p>
            <w:pPr>
              <w:ind w:left="440"/>
              <w:spacing w:after="0" w:line="176" w:lineRule="exact"/>
              <w:rPr>
                <w:sz w:val="20"/>
                <w:szCs w:val="20"/>
                <w:color w:val="auto"/>
              </w:rPr>
            </w:pPr>
            <w:r>
              <w:rPr>
                <w:rFonts w:ascii="Arial" w:cs="Arial" w:eastAsia="Arial" w:hAnsi="Arial"/>
                <w:sz w:val="18"/>
                <w:szCs w:val="18"/>
                <w:color w:val="auto"/>
              </w:rPr>
              <w:t>Third Quarter</w:t>
            </w:r>
          </w:p>
        </w:tc>
        <w:tc>
          <w:tcPr>
            <w:tcW w:w="2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33.10</w:t>
            </w:r>
          </w:p>
        </w:tc>
        <w:tc>
          <w:tcPr>
            <w:tcW w:w="300" w:type="dxa"/>
            <w:vAlign w:val="bottom"/>
          </w:tcPr>
          <w:p>
            <w:pPr>
              <w:spacing w:after="0"/>
              <w:rPr>
                <w:sz w:val="15"/>
                <w:szCs w:val="15"/>
                <w:color w:val="auto"/>
              </w:rPr>
            </w:pPr>
          </w:p>
        </w:tc>
        <w:tc>
          <w:tcPr>
            <w:tcW w:w="2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19.39</w:t>
            </w:r>
          </w:p>
        </w:tc>
      </w:tr>
      <w:tr>
        <w:trPr>
          <w:trHeight w:val="176"/>
        </w:trPr>
        <w:tc>
          <w:tcPr>
            <w:tcW w:w="48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27.00</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19.08</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199" w:firstLine="648"/>
        <w:spacing w:after="0" w:line="235" w:lineRule="auto"/>
        <w:rPr>
          <w:sz w:val="20"/>
          <w:szCs w:val="20"/>
          <w:color w:val="auto"/>
        </w:rPr>
      </w:pPr>
      <w:r>
        <w:rPr>
          <w:rFonts w:ascii="Arial" w:cs="Arial" w:eastAsia="Arial" w:hAnsi="Arial"/>
          <w:sz w:val="18"/>
          <w:szCs w:val="18"/>
          <w:color w:val="auto"/>
        </w:rPr>
        <w:t>As of February 29, 2016, there were approximately 59 holders of record of our common stock. This number does not include beneficial owners whose shares are held by nominees in street 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39" w:firstLine="648"/>
        <w:spacing w:after="0" w:line="237"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written consent of Silicon Valley Bank. Moreover, the terms of any future debt agreements may preclude us from paying dividends.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62" w:lineRule="exact"/>
        <w:rPr>
          <w:sz w:val="20"/>
          <w:szCs w:val="20"/>
          <w:color w:val="auto"/>
        </w:rPr>
      </w:pPr>
    </w:p>
    <w:p>
      <w:pPr>
        <w:ind w:right="119" w:firstLine="648"/>
        <w:spacing w:after="0" w:line="244" w:lineRule="auto"/>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 Index from April 30, 2015 (the first date that shares of our common stock were publicly traded) through December 31, 2015. The comparison assumes $100 was invested in our common stock and in each of the foregoing indices after the market closed on April 30, 2015, and it assumes reinvestment of dividends, if any. The stock price performance included in this graph is not necessarily indicative of future stock price performance.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135255</wp:posOffset>
            </wp:positionV>
            <wp:extent cx="5548630" cy="3490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4863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presently have no publicly announced share repurchase plan or program. All repurchased shares of common stock described in the following table were initially issued as equity incentive awards to employees, directors or consultants in the form of restricted stock or upon the exercise of early-exercisable but unvested stock options. All repurchases were made upon forfeiture of shares of common stock by the recipient of such equity incentive awards in connection with the termination of employment or other service relationship with us. Pursuant to the award agreements governing such grants, the repurchase price for all shares was equal to the price per share initially paid by the recipient. The following table provides information relating to our repurchase of shares of our common stock in the fourth quarter of 2015.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 Number</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(or Approximate</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Shares Purchased</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9"/>
              </w:rPr>
              <w:t>Average Price</w:t>
            </w:r>
          </w:p>
        </w:tc>
        <w:tc>
          <w:tcPr>
            <w:tcW w:w="18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as Part of</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8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Publicly</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60"/>
              <w:spacing w:after="0" w:line="176" w:lineRule="exact"/>
              <w:rPr>
                <w:sz w:val="20"/>
                <w:szCs w:val="20"/>
                <w:color w:val="auto"/>
              </w:rPr>
            </w:pPr>
            <w:r>
              <w:rPr>
                <w:rFonts w:ascii="Arial" w:cs="Arial" w:eastAsia="Arial" w:hAnsi="Arial"/>
                <w:sz w:val="18"/>
                <w:szCs w:val="18"/>
                <w:b w:val="1"/>
                <w:bCs w:val="1"/>
                <w:color w:val="auto"/>
                <w:w w:val="92"/>
              </w:rPr>
              <w:t>Paid per</w:t>
            </w:r>
          </w:p>
        </w:tc>
        <w:tc>
          <w:tcPr>
            <w:tcW w:w="18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Announced Plans</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03"/>
        </w:trPr>
        <w:tc>
          <w:tcPr>
            <w:tcW w:w="2540" w:type="dxa"/>
            <w:vAlign w:val="bottom"/>
            <w:gridSpan w:val="2"/>
            <w:vMerge w:val="continue"/>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Purchased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0"/>
              </w:rPr>
              <w:t>Share ($)</w:t>
            </w:r>
          </w:p>
        </w:tc>
        <w:tc>
          <w:tcPr>
            <w:tcW w:w="18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9"/>
              </w:rPr>
              <w:t>or Programs</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169"/>
        </w:trPr>
        <w:tc>
          <w:tcPr>
            <w:tcW w:w="22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October 1 - October 31</w:t>
            </w:r>
          </w:p>
        </w:tc>
        <w:tc>
          <w:tcPr>
            <w:tcW w:w="2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ind w:left="132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36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line="176" w:lineRule="exact"/>
              <w:rPr>
                <w:sz w:val="20"/>
                <w:szCs w:val="20"/>
                <w:color w:val="auto"/>
              </w:rPr>
            </w:pPr>
            <w:r>
              <w:rPr>
                <w:rFonts w:ascii="Arial" w:cs="Arial" w:eastAsia="Arial" w:hAnsi="Arial"/>
                <w:sz w:val="18"/>
                <w:szCs w:val="18"/>
                <w:color w:val="auto"/>
              </w:rPr>
              <w:t>November 1 - November 30</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0" w:type="dxa"/>
            <w:vAlign w:val="bottom"/>
            <w:gridSpan w:val="2"/>
          </w:tcPr>
          <w:p>
            <w:pPr>
              <w:ind w:left="1320"/>
              <w:spacing w:after="0" w:line="176" w:lineRule="exact"/>
              <w:rPr>
                <w:sz w:val="20"/>
                <w:szCs w:val="20"/>
                <w:color w:val="auto"/>
              </w:rPr>
            </w:pPr>
            <w:r>
              <w:rPr>
                <w:rFonts w:ascii="Arial" w:cs="Arial" w:eastAsia="Arial" w:hAnsi="Arial"/>
                <w:sz w:val="18"/>
                <w:szCs w:val="18"/>
                <w:color w:val="auto"/>
              </w:rPr>
              <w:t>—</w:t>
            </w:r>
          </w:p>
        </w:tc>
        <w:tc>
          <w:tcPr>
            <w:tcW w:w="1580" w:type="dxa"/>
            <w:vAlign w:val="bottom"/>
          </w:tcPr>
          <w:p>
            <w:pPr>
              <w:ind w:left="13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5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75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4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33" w:lineRule="exact"/>
        <w:rPr>
          <w:sz w:val="20"/>
          <w:szCs w:val="20"/>
          <w:color w:val="auto"/>
        </w:rPr>
      </w:pPr>
    </w:p>
    <w:p>
      <w:pPr>
        <w:ind w:right="80" w:firstLine="648"/>
        <w:spacing w:after="0" w:line="235" w:lineRule="auto"/>
        <w:rPr>
          <w:sz w:val="20"/>
          <w:szCs w:val="20"/>
          <w:color w:val="auto"/>
        </w:rPr>
      </w:pPr>
      <w:r>
        <w:rPr>
          <w:rFonts w:ascii="Arial" w:cs="Arial" w:eastAsia="Arial" w:hAnsi="Arial"/>
          <w:sz w:val="16"/>
          <w:szCs w:val="16"/>
          <w:color w:val="auto"/>
        </w:rPr>
        <w:t>We received approximately $154.8 million in net proceeds after deducting underwriting discounts and commissions and offering costs payable by us. As of December 31, 2015, we estimate that we have used approximately $38.8 million of the net proceeds from the offering as follows: approximately $8.1 million of external costs to fund our Phase 1 clinical trials for BLU-285 and BLU-554; approximately $11.3 million of external costs for new and ongoing research activities; approximately $8.4 million of internal research and development costs and approximately $11.0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 424(b)(4) under the Securities Act. We have invested the unused proceeds from the offering in cash equivalents in accordance with our investment policy.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4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You should read the following selected consolidated financial data together with our financial statements and the related notes appearing at the end of this Annual Report on Form 10-K and Item 7 “Management’s Discussion and Analysis of Financial Condition and Results of Operations” section of this Annual Report on Form 10-K. We have derived the consolidated statement of operations data for the years ended December 31, 2015, 2014 and 2013 and the consolidated balance sheet data as of December 31, 2015 and 2014 from our audited consolidated financial statements included elsewhere in this Annual Report on Form 10-K. We have derived consolidated balance sheet data as of December 31, 2013 from our audited consolidated financial statements and related notes not included in this Annual Report on Form 10-K. The selected historical financial information in this section is not intended to replace our financial statements and the related notes thereto. Our historical results for any prior period are not necessarily indicative of results to be expected in any future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8"/>
          </w:tcPr>
          <w:p>
            <w:pPr>
              <w:jc w:val="center"/>
              <w:ind w:right="51"/>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Interest and other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(52,769)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(40,285)</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Convertible preferred stock dividends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(55,922)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(46,050)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loss per share applicable to common stockholders — basic and diluted(1)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606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 applicable</w:t>
            </w: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18,236</w:t>
            </w: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spacing w:after="0" w:line="189" w:lineRule="exact"/>
              <w:rPr>
                <w:sz w:val="20"/>
                <w:szCs w:val="20"/>
                <w:color w:val="auto"/>
              </w:rPr>
            </w:pPr>
            <w:r>
              <w:rPr>
                <w:rFonts w:ascii="Arial" w:cs="Arial" w:eastAsia="Arial" w:hAnsi="Arial"/>
                <w:sz w:val="18"/>
                <w:szCs w:val="18"/>
                <w:color w:val="auto"/>
              </w:rPr>
              <w:t>to common stockholders — basic and diluted(1)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28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right="100" w:hanging="213"/>
        <w:spacing w:after="0" w:line="269"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See Note 10, “Net Loss per Share” in the accompanying notes to our audited consolidated financial statements appearing elsewhere in this Annual Report on Form 10-K for further details on the calculation of basic and diluted net loss per share applicable to common stockholders.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2015 (1)</w:t>
            </w: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7"/>
              <w:spacing w:after="0" w:line="155"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162,707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47,240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Working capital(2)</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151,776</w:t>
            </w:r>
          </w:p>
        </w:tc>
        <w:tc>
          <w:tcPr>
            <w:tcW w:w="300" w:type="dxa"/>
            <w:vAlign w:val="bottom"/>
          </w:tcPr>
          <w:p>
            <w:pPr>
              <w:spacing w:after="0"/>
              <w:rPr>
                <w:sz w:val="18"/>
                <w:szCs w:val="18"/>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41,510</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178,898</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49,925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Term loan payable, net of current portion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4,072</w:t>
            </w:r>
          </w:p>
        </w:tc>
        <w:tc>
          <w:tcPr>
            <w:tcW w:w="300" w:type="dxa"/>
            <w:vAlign w:val="bottom"/>
          </w:tcPr>
          <w:p>
            <w:pPr>
              <w:spacing w:after="0"/>
              <w:rPr>
                <w:sz w:val="18"/>
                <w:szCs w:val="18"/>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7,338</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114,811</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143,979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(79,382)</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3" w:lineRule="exact"/>
        <w:rPr>
          <w:sz w:val="20"/>
          <w:szCs w:val="20"/>
          <w:color w:val="auto"/>
        </w:rPr>
      </w:pPr>
    </w:p>
    <w:p>
      <w:pPr>
        <w:ind w:left="540" w:right="120" w:hanging="213"/>
        <w:spacing w:after="0" w:line="224"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Upon the closing of our IPO in May 2015, all outstanding shares of our convertible preferred stock were converted into 15,467,479 million shares of common stock, and warrants exercisable for convertible preferred stock were automatically converted into warrants exercisable for 42,423 shares of common stock.</w:t>
      </w:r>
    </w:p>
    <w:p>
      <w:pPr>
        <w:spacing w:after="0" w:line="170" w:lineRule="exact"/>
        <w:rPr>
          <w:rFonts w:ascii="Arial" w:cs="Arial" w:eastAsia="Arial" w:hAnsi="Arial"/>
          <w:sz w:val="14"/>
          <w:szCs w:val="14"/>
          <w:color w:val="auto"/>
        </w:rPr>
      </w:pPr>
    </w:p>
    <w:p>
      <w:pPr>
        <w:ind w:left="740" w:hanging="413"/>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179" w:lineRule="exact"/>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One of our lead drug candidates is BLU-285, which targets KIT Exon 17 mutants and PDGFRα D842V, abnormally active receptor tyrosine kinase mutants that are drivers of cancer and proliferative disorders. BLU-285 is currently being developed for patients with systemic mastocytosis, or SM,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6"/>
          <w:szCs w:val="16"/>
          <w:color w:val="auto"/>
        </w:rPr>
        <w:t>‑</w:t>
      </w:r>
      <w:r>
        <w:rPr>
          <w:rFonts w:ascii="Arial" w:cs="Arial" w:eastAsia="Arial" w:hAnsi="Arial"/>
          <w:sz w:val="16"/>
          <w:szCs w:val="16"/>
          <w:color w:val="auto"/>
        </w:rPr>
        <w:t>554, which targets FGFR4, a kinase that is aberrantly activated and is a driver of disease in a defined subset of patients with hepatocellular carcinoma, or HCC, the most common type of liver cancer. Both drug candidates have demonstrated proof of concept in pre-clinical models.</w:t>
      </w:r>
    </w:p>
    <w:p>
      <w:pPr>
        <w:spacing w:after="0" w:line="17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In June 2015, July 2015 and September 2015, respectively, the U.S. Food and Drug Administration, or FDA, accepted our Investigational New Drug, or IND, applications for BLU-554 for the treatment of advanced HCC and cholangiocarcinoma, a rare form of cancer that affects the bile ducts, BLU-285 for the treatment of unresectable, treatment-resistant GIST and BLU-285 for the treatment of advanced SM. We have initiated dose-escalation Phase 1 clinical trials for each of these indications and are currently enrolling patients in each of these clinical trials. We expect preliminary data for each of these Phase 1 clinical trials to be available by the end of 2016. In September 2015, the FDA granted orphan drug designation to BLU-554 for the treatment of HCC, and in January 2016, the FDA granted orphan drug designation to BLU-285 for the treatment of GIST and SM.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are also developing BLU-667, a drug candidate that targets RET, a receptor tyrosine kinase that can become abnormally activated by mutations or translocations, which occurs when a portion of the gene that encodes RET is joined to part of another gene to encode a fusion protein, and RET resistant mutants that we predict will arise from treatment with first generation therapies. 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 RET is a driver of disease in non-small cell lung cancer and cancers of the thyroid, and our research suggests that RET may be a driver of disease in subsets of colon and breast cancer. In pre-clinical studies, BLU6864, a structurally related compound that we identified in the course of developing BLU-667, induced tumor regression in disease models driven by the primary RET fusion and a predicted secondary on-target resistance mutation. We plan to initiate 28-day Good Laboratory Practice, or GLP, toxicology studies for BLU-667 in the first half of 2016 with the goal of identifying the dose limiting toxicity and anticipated first-in-human dose for BLU-667. We plan to file an IND for BLU-667 by the end of 2016.</w:t>
      </w:r>
    </w:p>
    <w:p>
      <w:pPr>
        <w:spacing w:after="0" w:line="170" w:lineRule="exact"/>
        <w:rPr>
          <w:sz w:val="20"/>
          <w:szCs w:val="20"/>
          <w:color w:val="auto"/>
        </w:rPr>
      </w:pPr>
    </w:p>
    <w:p>
      <w:pPr>
        <w:ind w:right="220" w:firstLine="648"/>
        <w:spacing w:after="0" w:line="212" w:lineRule="auto"/>
        <w:rPr>
          <w:sz w:val="20"/>
          <w:szCs w:val="20"/>
          <w:color w:val="auto"/>
        </w:rPr>
      </w:pPr>
      <w:r>
        <w:rPr>
          <w:rFonts w:ascii="Arial" w:cs="Arial" w:eastAsia="Arial" w:hAnsi="Arial"/>
          <w:sz w:val="18"/>
          <w:szCs w:val="18"/>
          <w:color w:val="auto"/>
        </w:rPr>
        <w:t>In addition, we have identified predicted resistance mutations in the neurotrophic tyrosine receptor kinase, or NTRK, some of which have recently been clinically observed by others. NTRK is believed to be a driver of disease in a broad set of cancers. We have nominated two development candidates for potential clinical development as inhibitors of NTRK and predicted NTRK resistant mutants. Leveraging our novel target discovery engine, we also have initiated efforts for a discovery program for an undisclosed kinase target and plan to nominate two more programs by the end of 2016, including at least one program focused on kinases as therapeutic targets in cancer immunotherapy, also referred to as immunokinases.</w:t>
      </w:r>
    </w:p>
    <w:p>
      <w:pPr>
        <w:spacing w:after="0" w:line="165"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pre-clinical studies, conducting pre-clinical studies, including Good Laboratory Practice, or GLP, toxicology studies and preparing to commence planned clinical development activities. We do not have any drugs approved for sale and have not generated any revenue from drug sales.</w:t>
      </w:r>
    </w:p>
    <w:p>
      <w:pPr>
        <w:spacing w:after="0" w:line="16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May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We received gross proceeds of $168.6 million before deducting underwriting discounts and commissions and offering costs payable by us. To date, we have financed our operations primarily through our IPO, private placements of our convertible preferred stock and, to a lesser extent, the research, development and commercialization agreement, or Alexion agreement, that we entered into in March 2015 with Alexion Pharma Holding, or Alexion, and a debt financing. Through December 31, 2015, we have received an aggregate of $310.5 million from such transactions, including $168.6 million in gross proceeds from our IPO, $115.1 million in gross proceeds from the issuance of convertible preferred stock, $16.8 million of upfront and milestone payments from Alexion and $10.0 million in gross proceeds from the debt financing.</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Since inception, we have incurred significant operating losses. Our net loss was $52.8 million for the year ended December 31, 2015, $40.3 million for the year ended December 31, 2014 and $20.9 million for the year ended December 31, 2013. As of December 31, 2015, we had an accumulated deficit of $135.0 million. We expect to continue to incur significant expenses and operating losses over the next several years. We anticipate that our expenses will increase significantly in connection with our ongoing activities, particularly as we:</w:t>
      </w:r>
    </w:p>
    <w:p>
      <w:pPr>
        <w:spacing w:after="0" w:line="162" w:lineRule="exact"/>
        <w:rPr>
          <w:sz w:val="20"/>
          <w:szCs w:val="20"/>
          <w:color w:val="auto"/>
        </w:rPr>
      </w:pPr>
    </w:p>
    <w:p>
      <w:pPr>
        <w:ind w:left="1060" w:hanging="85"/>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the planned clinical development activities for our lead drug candidates, BLU-285 and BLU-554;</w:t>
      </w:r>
    </w:p>
    <w:p>
      <w:pPr>
        <w:spacing w:after="0" w:line="196" w:lineRule="exact"/>
        <w:rPr>
          <w:rFonts w:ascii="Arial" w:cs="Arial" w:eastAsia="Arial" w:hAnsi="Arial"/>
          <w:sz w:val="17"/>
          <w:szCs w:val="17"/>
          <w:color w:val="auto"/>
        </w:rPr>
      </w:pPr>
    </w:p>
    <w:p>
      <w:pPr>
        <w:ind w:left="1060" w:hanging="85"/>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including BLU-667;</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hire additional research, development and business personnel;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Alexion</w:t>
      </w:r>
    </w:p>
    <w:p>
      <w:pPr>
        <w:spacing w:after="0" w:line="189"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In March 2015, we entered into the Alexion agreement to research, develop and commercialize drug candidates for an undisclosed activated kinase target, which is the cause of a rare genetic disease. Under the terms of this agreement, we are responsible for research and pre-clinical development activities related to drug candidates and Alexion is responsible for all clinical development, manufacturing and commercialization activities related to drug candidates.</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received a $1.75 million payment from Alexion in the second quarter of 2015 and payments of $0.25 million and $0.75 million from Alexion in the first quarter of 2016 following the achievement of three of the first pre-clinical milestones under the Alexion agreement. 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w:t>
      </w:r>
    </w:p>
    <w:p>
      <w:pPr>
        <w:spacing w:after="0" w:line="170"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Alexion has the right to terminate the Alexion agreement if we undergo a change of control or become an affiliate of a biotechnology or pharmaceutical company, and may terminate the agreement at will upon 90 days’ prior written notice. We and Alexion have the right to terminate the Alexion agreement in the event of the other party’s uncured breach or insolvency, and in certain other circumstances agreed to by the parties.</w:t>
      </w:r>
    </w:p>
    <w:p>
      <w:pPr>
        <w:spacing w:after="0" w:line="163"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During the year ended December 31, 2015, we recognized revenue under the Alexion agreement of $11.4 million, and we received $4.9 million related to reimbursable research and development costs under the Alexion agreement. As of December 31, 2015, we have recorded unbilled accounts receivable of $3.2 million related to reimbursable research and development costs under the Alexion agreement for activities performed during the fourth quarter of 2015.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To date, we have not generated any revenue from drug sales and do not expect to generate any revenue from the sale of drugs in the near future. Our revenue consists of collaboration revenue under the Alexion agreement, including amounts that are recognized related to an upfront payment, milestone payments and amounts due to us for research and development services. In the future, revenue may include additional milestone payments earned under the collaboration agreement and royalties on any net product sales.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62" w:lineRule="exact"/>
        <w:rPr>
          <w:sz w:val="20"/>
          <w:szCs w:val="20"/>
          <w:color w:val="auto"/>
        </w:rPr>
      </w:pPr>
    </w:p>
    <w:p>
      <w:pPr>
        <w:ind w:right="92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drug candidates, which include: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line="207" w:lineRule="exact"/>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060" w:right="340" w:hanging="85"/>
        <w:spacing w:after="0" w:line="23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240" w:hanging="265"/>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060" w:right="500" w:hanging="85"/>
        <w:spacing w:after="0" w:line="23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and clinical trial materials; and</w:t>
      </w:r>
    </w:p>
    <w:p>
      <w:pPr>
        <w:spacing w:after="0" w:line="161" w:lineRule="exact"/>
        <w:rPr>
          <w:rFonts w:ascii="Arial" w:cs="Arial" w:eastAsia="Arial" w:hAnsi="Arial"/>
          <w:sz w:val="18"/>
          <w:szCs w:val="18"/>
          <w:color w:val="auto"/>
        </w:rPr>
      </w:pPr>
    </w:p>
    <w:p>
      <w:pPr>
        <w:ind w:left="1060" w:right="780" w:hanging="85"/>
        <w:spacing w:after="0" w:line="23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060" w:hanging="85"/>
        <w:spacing w:after="0" w:line="207" w:lineRule="exact"/>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060" w:hanging="85"/>
        <w:spacing w:after="0" w:line="184" w:lineRule="exact"/>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207" w:lineRule="exact"/>
        <w:rPr>
          <w:rFonts w:ascii="Arial" w:cs="Arial" w:eastAsia="Arial" w:hAnsi="Arial"/>
          <w:sz w:val="16"/>
          <w:szCs w:val="16"/>
          <w:color w:val="auto"/>
        </w:rPr>
      </w:pPr>
    </w:p>
    <w:p>
      <w:pPr>
        <w:ind w:left="1060" w:right="820" w:hanging="85"/>
        <w:spacing w:after="0" w:line="235"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commercializing the drug candidates, if and when approved, whether alone or in collaboration with others; and</w:t>
      </w:r>
    </w:p>
    <w:p>
      <w:pPr>
        <w:spacing w:after="0" w:line="207" w:lineRule="exact"/>
        <w:rPr>
          <w:rFonts w:ascii="Arial" w:cs="Arial" w:eastAsia="Arial" w:hAnsi="Arial"/>
          <w:sz w:val="16"/>
          <w:szCs w:val="16"/>
          <w:color w:val="auto"/>
        </w:rPr>
      </w:pPr>
    </w:p>
    <w:p>
      <w:pPr>
        <w:ind w:left="1080" w:hanging="105"/>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right="160" w:firstLine="648"/>
        <w:spacing w:after="0" w:line="203" w:lineRule="exact"/>
        <w:rPr>
          <w:sz w:val="20"/>
          <w:szCs w:val="20"/>
          <w:color w:val="auto"/>
        </w:rPr>
      </w:pPr>
      <w:r>
        <w:rPr>
          <w:rFonts w:ascii="Arial" w:cs="Arial" w:eastAsia="Arial" w:hAnsi="Arial"/>
          <w:sz w:val="17"/>
          <w:szCs w:val="17"/>
          <w:color w:val="auto"/>
        </w:rPr>
        <w:t>A significant portion of our research and development expenses have been external expenses,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following nomination as a development candidate. Our internal research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220"/>
        <w:spacing w:after="0" w:line="194" w:lineRule="exact"/>
        <w:rPr>
          <w:sz w:val="20"/>
          <w:szCs w:val="20"/>
          <w:color w:val="auto"/>
        </w:rPr>
      </w:pPr>
      <w:r>
        <w:rPr>
          <w:rFonts w:ascii="Arial" w:cs="Arial" w:eastAsia="Arial" w:hAnsi="Arial"/>
          <w:sz w:val="18"/>
          <w:szCs w:val="18"/>
          <w:color w:val="auto"/>
        </w:rPr>
        <w:t>development expenses are primarily personnel</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stock-based compensation expense. We do not track our internal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as they are deployed across multiple projects under development.</w:t>
      </w:r>
    </w:p>
    <w:p>
      <w:pPr>
        <w:spacing w:after="0" w:line="163"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8"/>
          <w:szCs w:val="18"/>
          <w:color w:val="auto"/>
        </w:rPr>
        <w:t>The following table summarizes our external research and development expenses by program for the years ended December 31, 2015 and 2014. Pre</w:t>
      </w:r>
      <w:r>
        <w:rPr>
          <w:rFonts w:ascii="MS PGothic" w:cs="MS PGothic" w:eastAsia="MS PGothic" w:hAnsi="MS PGothic"/>
          <w:sz w:val="18"/>
          <w:szCs w:val="18"/>
          <w:color w:val="auto"/>
        </w:rPr>
        <w:t>‑</w:t>
      </w:r>
      <w:r>
        <w:rPr>
          <w:rFonts w:ascii="Arial" w:cs="Arial" w:eastAsia="Arial" w:hAnsi="Arial"/>
          <w:sz w:val="18"/>
          <w:szCs w:val="18"/>
          <w:color w:val="auto"/>
        </w:rPr>
        <w:t>development candidate expenses, unallocated expenses and internal research and development expenses have been classified separately. We had not yet nominated any development candidates for the year ended December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96"/>
              </w:rPr>
              <w:t>Year Ended</w:t>
            </w:r>
          </w:p>
        </w:tc>
        <w:tc>
          <w:tcPr>
            <w:tcW w:w="760" w:type="dxa"/>
            <w:vAlign w:val="bottom"/>
          </w:tcPr>
          <w:p>
            <w:pPr>
              <w:spacing w:after="0"/>
              <w:rPr>
                <w:sz w:val="15"/>
                <w:szCs w:val="15"/>
                <w:color w:val="auto"/>
              </w:rPr>
            </w:pPr>
          </w:p>
        </w:tc>
      </w:tr>
      <w:tr>
        <w:trPr>
          <w:trHeight w:val="171"/>
        </w:trPr>
        <w:tc>
          <w:tcPr>
            <w:tcW w:w="5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4"/>
                <w:szCs w:val="14"/>
                <w:color w:val="auto"/>
              </w:rPr>
            </w:pPr>
          </w:p>
        </w:tc>
      </w:tr>
      <w:tr>
        <w:trPr>
          <w:trHeight w:val="129"/>
        </w:trPr>
        <w:tc>
          <w:tcPr>
            <w:tcW w:w="5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73"/>
              <w:spacing w:after="0" w:line="129" w:lineRule="exact"/>
              <w:rPr>
                <w:sz w:val="20"/>
                <w:szCs w:val="20"/>
                <w:color w:val="auto"/>
              </w:rPr>
            </w:pPr>
            <w:r>
              <w:rPr>
                <w:rFonts w:ascii="Arial" w:cs="Arial" w:eastAsia="Arial" w:hAnsi="Arial"/>
                <w:sz w:val="14"/>
                <w:szCs w:val="14"/>
                <w:b w:val="1"/>
                <w:bCs w:val="1"/>
                <w:color w:val="auto"/>
                <w:w w:val="89"/>
              </w:rPr>
              <w:t>2014</w:t>
            </w:r>
          </w:p>
        </w:tc>
      </w:tr>
      <w:tr>
        <w:trPr>
          <w:trHeight w:val="156"/>
        </w:trPr>
        <w:tc>
          <w:tcPr>
            <w:tcW w:w="5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3"/>
                <w:szCs w:val="13"/>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BLU-285 external expenses</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BLU-554 external expenses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3,437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13,855</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9,262</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31,844</w:t>
            </w:r>
          </w:p>
        </w:tc>
      </w:tr>
      <w:tr>
        <w:trPr>
          <w:trHeight w:val="27"/>
        </w:trPr>
        <w:tc>
          <w:tcPr>
            <w:tcW w:w="5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bl>
    <w:p>
      <w:pPr>
        <w:spacing w:after="0" w:line="148"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resources functions.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includes expense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We expect that our general and administrative expenses will increase in the future to support continued research and development activities, including as we continue our existing clinical trials and initiate additional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Arial" w:cs="Arial" w:eastAsia="Arial" w:hAnsi="Arial"/>
          <w:sz w:val="18"/>
          <w:szCs w:val="18"/>
          <w:color w:val="auto"/>
        </w:rPr>
        <w:t>related services, director and officer insurance premiums and investor relations costs.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8"/>
          <w:szCs w:val="18"/>
          <w:color w:val="auto"/>
        </w:rPr>
        <w:t>Other income (expense) consists primarily of the re</w:t>
      </w:r>
      <w:r>
        <w:rPr>
          <w:rFonts w:ascii="MS PGothic" w:cs="MS PGothic" w:eastAsia="MS PGothic" w:hAnsi="MS PGothic"/>
          <w:sz w:val="18"/>
          <w:szCs w:val="18"/>
          <w:color w:val="auto"/>
        </w:rPr>
        <w:t>‑</w:t>
      </w:r>
      <w:r>
        <w:rPr>
          <w:rFonts w:ascii="Arial" w:cs="Arial" w:eastAsia="Arial" w:hAnsi="Arial"/>
          <w:sz w:val="18"/>
          <w:szCs w:val="18"/>
          <w:color w:val="auto"/>
        </w:rPr>
        <w:t>measurement gain or loss associated with the change in the fair value of the convertible preferred stock warrant liability and interest expense on amounts outstanding under a loan and security agreement, or Loan and Security Agreement, that we entered into with Silicon Valley Bank in May 2013, and amortization of debt discount.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will be reflected in the consolidated financial statements prospectively from the date of change in estimates.</w:t>
      </w:r>
    </w:p>
    <w:p>
      <w:pPr>
        <w:spacing w:after="0" w:line="185" w:lineRule="exact"/>
        <w:rPr>
          <w:sz w:val="20"/>
          <w:szCs w:val="20"/>
          <w:color w:val="auto"/>
        </w:rPr>
      </w:pPr>
    </w:p>
    <w:p>
      <w:pPr>
        <w:ind w:right="99" w:firstLine="648"/>
        <w:spacing w:after="0" w:line="259" w:lineRule="auto"/>
        <w:rPr>
          <w:sz w:val="20"/>
          <w:szCs w:val="20"/>
          <w:color w:val="auto"/>
        </w:rPr>
      </w:pPr>
      <w:r>
        <w:rPr>
          <w:rFonts w:ascii="Arial" w:cs="Arial" w:eastAsia="Arial" w:hAnsi="Arial"/>
          <w:sz w:val="16"/>
          <w:szCs w:val="16"/>
          <w:color w:val="auto"/>
        </w:rPr>
        <w:t>While our significant accounting policies are described in more detail in the notes to our audited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39" w:firstLine="648"/>
        <w:spacing w:after="0" w:line="224" w:lineRule="auto"/>
        <w:rPr>
          <w:sz w:val="20"/>
          <w:szCs w:val="20"/>
          <w:color w:val="auto"/>
        </w:rPr>
      </w:pPr>
      <w:r>
        <w:rPr>
          <w:rFonts w:ascii="Arial" w:cs="Arial" w:eastAsia="Arial" w:hAnsi="Arial"/>
          <w:sz w:val="18"/>
          <w:szCs w:val="18"/>
          <w:color w:val="auto"/>
        </w:rPr>
        <w:t xml:space="preserve">We recognize revenue from license and collaboration agreements in accordance with Financial Accounting Standards Board, or FASB, Accounting Standards Codification, or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or ASC 605. Accordingly, revenue is recognized when all of the following criteria are met:</w:t>
      </w:r>
    </w:p>
    <w:p>
      <w:pPr>
        <w:spacing w:after="0" w:line="163" w:lineRule="exact"/>
        <w:rPr>
          <w:sz w:val="20"/>
          <w:szCs w:val="20"/>
          <w:color w:val="auto"/>
        </w:rPr>
      </w:pPr>
    </w:p>
    <w:p>
      <w:pPr>
        <w:ind w:left="1120" w:hanging="145"/>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319"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Our revenue is currently generated through our collaboration agreement with Alexion. The terms of this agreement contain multiple elements, or deliverables, including an exclusive license granted by us to Alexion to research, develop, manufacture and commercialize the licensed products and the compounds in the field in the territory, as well as research and development activities to be performed by us on behalf of Alexion related to the licensed product candidates. In addition, the terms of this agreement include payments to us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we have received the upfront payment upon execution of the Alexion agreement, payments for the achievement of the certain pre-clinical milestones under the Alexion agreement and payments for certain research and development services. We are eligible to earn additional milestone payments under the Alexion agreement. We have not earned royalty revenue as a result of product sales.</w:t>
      </w:r>
    </w:p>
    <w:p>
      <w:pPr>
        <w:spacing w:after="0" w:line="166" w:lineRule="exact"/>
        <w:rPr>
          <w:sz w:val="20"/>
          <w:szCs w:val="20"/>
          <w:color w:val="auto"/>
        </w:rPr>
      </w:pPr>
    </w:p>
    <w:p>
      <w:pPr>
        <w:ind w:right="19" w:firstLine="648"/>
        <w:spacing w:after="0" w:line="219" w:lineRule="auto"/>
        <w:rPr>
          <w:sz w:val="20"/>
          <w:szCs w:val="20"/>
          <w:color w:val="auto"/>
        </w:rPr>
      </w:pPr>
      <w:r>
        <w:rPr>
          <w:rFonts w:ascii="Arial" w:cs="Arial" w:eastAsia="Arial" w:hAnsi="Arial"/>
          <w:sz w:val="17"/>
          <w:szCs w:val="17"/>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our control. In assessing whether an item has stand-alone value, we consider factors such as the research, manufacturing and commercialization capabilities of the collaboration partner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Our collaboration agreement with Alexion does not contain a general right of return relative to the delivered item(s).</w:t>
      </w:r>
    </w:p>
    <w:p>
      <w:pPr>
        <w:spacing w:after="0" w:line="171" w:lineRule="exact"/>
        <w:rPr>
          <w:sz w:val="20"/>
          <w:szCs w:val="20"/>
          <w:color w:val="auto"/>
        </w:rPr>
      </w:pPr>
    </w:p>
    <w:p>
      <w:pPr>
        <w:ind w:right="199" w:firstLine="648"/>
        <w:spacing w:after="0" w:line="258" w:lineRule="auto"/>
        <w:rPr>
          <w:sz w:val="20"/>
          <w:szCs w:val="20"/>
          <w:color w:val="auto"/>
        </w:rPr>
      </w:pPr>
      <w:r>
        <w:rPr>
          <w:rFonts w:ascii="Arial" w:cs="Arial" w:eastAsia="Arial" w:hAnsi="Arial"/>
          <w:sz w:val="17"/>
          <w:szCs w:val="17"/>
          <w:color w:val="auto"/>
        </w:rPr>
        <w:t>Arrangement consideration that is fixed or determinable is allocated among the separate units of accounting using the relative selling price method. Then, the applicable revenue recognition criteria in ASC 605-25 are applied to</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79"/>
        <w:spacing w:after="0" w:line="221" w:lineRule="auto"/>
        <w:rPr>
          <w:sz w:val="20"/>
          <w:szCs w:val="20"/>
          <w:color w:val="auto"/>
        </w:rPr>
      </w:pPr>
      <w:r>
        <w:rPr>
          <w:rFonts w:ascii="Arial" w:cs="Arial" w:eastAsia="Arial" w:hAnsi="Arial"/>
          <w:sz w:val="17"/>
          <w:szCs w:val="17"/>
          <w:color w:val="auto"/>
        </w:rPr>
        <w:t>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or BESP, if neither VSOE nor TPE is available. We typically use BESP to estimate the selling price, since it generally does not have VSOE or TPE of selling price for its units of accounting. Determining the BESP for a unit of accounting requires significant judgment. In developing the BESP for a unit of accounting, we consider applicable market conditions and relevant entity-specific factors, including factors that were contemplated in negotiating the agreement with the customer and estimated costs. We validate the BESP for units of accounting by evaluating whether changes in the key assumptions used to determine the BESP will have a significant effect on the allocation of arrangement consideration between multiple units of accounting.</w:t>
      </w:r>
    </w:p>
    <w:p>
      <w:pPr>
        <w:spacing w:after="0" w:line="167" w:lineRule="exact"/>
        <w:rPr>
          <w:sz w:val="20"/>
          <w:szCs w:val="20"/>
          <w:color w:val="auto"/>
        </w:rPr>
      </w:pPr>
    </w:p>
    <w:p>
      <w:pPr>
        <w:ind w:right="99"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we recognize revenue from the combined element over the period over which we expect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we recognize revenue under the arrangement using the proportional performance method. If there is no discernible pattern of performance and/or objectively measurable performance measures do not exist, then we recognize revenue under the arrangement on a straight-line basis over the period we are expected to complete our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multiple-element revenue arrangements may include the following: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Licenses</w:t>
      </w:r>
    </w:p>
    <w:p>
      <w:pPr>
        <w:spacing w:after="0" w:line="185" w:lineRule="exact"/>
        <w:rPr>
          <w:sz w:val="20"/>
          <w:szCs w:val="20"/>
          <w:color w:val="auto"/>
        </w:rPr>
      </w:pPr>
    </w:p>
    <w:p>
      <w:pPr>
        <w:ind w:right="39" w:firstLine="648"/>
        <w:spacing w:after="0" w:line="237" w:lineRule="auto"/>
        <w:rPr>
          <w:sz w:val="20"/>
          <w:szCs w:val="20"/>
          <w:color w:val="auto"/>
        </w:rPr>
      </w:pPr>
      <w:r>
        <w:rPr>
          <w:rFonts w:ascii="Arial" w:cs="Arial" w:eastAsia="Arial" w:hAnsi="Arial"/>
          <w:sz w:val="16"/>
          <w:szCs w:val="16"/>
          <w:color w:val="auto"/>
        </w:rPr>
        <w:t>The deliverables under our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We may recognize the arrangement consideration allocated to licenses upon delivery of the license if facts and circumstances indicate that the license has stand-alone value from the undelivered elements, which generally include research and development services. We defer arrangement consideration allocated to licenses if facts and circumstances indicate that the delivered license does not have stand-alone value from the undelivered elements.</w:t>
      </w:r>
    </w:p>
    <w:p>
      <w:pPr>
        <w:spacing w:after="0" w:line="167" w:lineRule="exact"/>
        <w:rPr>
          <w:sz w:val="20"/>
          <w:szCs w:val="20"/>
          <w:color w:val="auto"/>
        </w:rPr>
      </w:pPr>
    </w:p>
    <w:p>
      <w:pPr>
        <w:ind w:right="59" w:firstLine="648"/>
        <w:spacing w:after="0" w:line="239" w:lineRule="auto"/>
        <w:rPr>
          <w:sz w:val="20"/>
          <w:szCs w:val="20"/>
          <w:color w:val="auto"/>
        </w:rPr>
      </w:pPr>
      <w:r>
        <w:rPr>
          <w:rFonts w:ascii="Arial" w:cs="Arial" w:eastAsia="Arial" w:hAnsi="Arial"/>
          <w:sz w:val="16"/>
          <w:szCs w:val="16"/>
          <w:color w:val="auto"/>
        </w:rPr>
        <w:t>When management believes a license does not have stand-alone value from the other deliverables to be provided in the arrangement, we recognize revenue attributed to the license on a proportional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Services</w:t>
      </w:r>
    </w:p>
    <w:p>
      <w:pPr>
        <w:spacing w:after="0" w:line="185" w:lineRule="exact"/>
        <w:rPr>
          <w:sz w:val="20"/>
          <w:szCs w:val="20"/>
          <w:color w:val="auto"/>
        </w:rPr>
      </w:pPr>
    </w:p>
    <w:p>
      <w:pPr>
        <w:ind w:right="99" w:firstLine="648"/>
        <w:spacing w:after="0" w:line="216" w:lineRule="auto"/>
        <w:rPr>
          <w:sz w:val="20"/>
          <w:szCs w:val="20"/>
          <w:color w:val="auto"/>
        </w:rPr>
      </w:pPr>
      <w:r>
        <w:rPr>
          <w:rFonts w:ascii="Arial" w:cs="Arial" w:eastAsia="Arial" w:hAnsi="Arial"/>
          <w:sz w:val="18"/>
          <w:szCs w:val="18"/>
          <w:color w:val="auto"/>
        </w:rPr>
        <w:t>The deliverables under our collaboration agreements may include research and development services to be performed by us on behalf of the partner. Payments or reimbursements resulting from our research and development efforts are recognized as the services are performed and presented on a gross basis because we are the principal for such efforts, so long as there is persuasive evidence of an arrangement, the fee is fixed or determinable, and collection of the related amount is reasonably assured.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Revenue</w:t>
      </w:r>
    </w:p>
    <w:p>
      <w:pPr>
        <w:spacing w:after="0" w:line="185" w:lineRule="exact"/>
        <w:rPr>
          <w:sz w:val="20"/>
          <w:szCs w:val="20"/>
          <w:color w:val="auto"/>
        </w:rPr>
      </w:pPr>
    </w:p>
    <w:p>
      <w:pPr>
        <w:ind w:right="759" w:firstLine="648"/>
        <w:spacing w:after="0" w:line="235" w:lineRule="auto"/>
        <w:rPr>
          <w:sz w:val="20"/>
          <w:szCs w:val="20"/>
          <w:color w:val="auto"/>
        </w:rPr>
      </w:pPr>
      <w:r>
        <w:rPr>
          <w:rFonts w:ascii="Arial" w:cs="Arial" w:eastAsia="Arial" w:hAnsi="Arial"/>
          <w:sz w:val="18"/>
          <w:szCs w:val="18"/>
          <w:color w:val="auto"/>
        </w:rPr>
        <w:t>Our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6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1060" w:right="20" w:hanging="85"/>
        <w:spacing w:after="0" w:line="22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consideration is commensurate with either our performance to achieve the milestone or the enhancement of the value of the delivered item(s) as a result of a specific outcome resulting from the our performance to achieve the milestone;</w:t>
      </w:r>
    </w:p>
    <w:p>
      <w:pPr>
        <w:spacing w:after="0" w:line="163" w:lineRule="exact"/>
        <w:rPr>
          <w:rFonts w:ascii="Arial" w:cs="Arial" w:eastAsia="Arial" w:hAnsi="Arial"/>
          <w:sz w:val="18"/>
          <w:szCs w:val="18"/>
          <w:color w:val="auto"/>
        </w:rPr>
      </w:pPr>
    </w:p>
    <w:p>
      <w:pPr>
        <w:ind w:left="1100" w:hanging="125"/>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consideration is reasonable relative to all of the deliverables and payment terms within the arrangement.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evaluate factors such as the scientific, clinical, regulatory, commercial and other risks that must be overcome to</w:t>
      </w:r>
    </w:p>
    <w:p>
      <w:pPr>
        <w:spacing w:after="0"/>
        <w:rPr>
          <w:sz w:val="20"/>
          <w:szCs w:val="20"/>
          <w:color w:val="auto"/>
        </w:rPr>
      </w:pPr>
      <w:r>
        <w:rPr>
          <w:rFonts w:ascii="Arial" w:cs="Arial" w:eastAsia="Arial" w:hAnsi="Arial"/>
          <w:sz w:val="16"/>
          <w:szCs w:val="16"/>
          <w:color w:val="auto"/>
        </w:rPr>
        <w:t>achieve the respective milestone and the level of effort and investment required to achieve the respective milestone in making</w:t>
      </w:r>
    </w:p>
    <w:p>
      <w:pPr>
        <w:spacing w:after="0" w:line="215" w:lineRule="auto"/>
        <w:rPr>
          <w:sz w:val="20"/>
          <w:szCs w:val="20"/>
          <w:color w:val="auto"/>
        </w:rPr>
      </w:pPr>
      <w:r>
        <w:rPr>
          <w:rFonts w:ascii="Arial" w:cs="Arial" w:eastAsia="Arial" w:hAnsi="Arial"/>
          <w:sz w:val="17"/>
          <w:szCs w:val="17"/>
          <w:color w:val="auto"/>
        </w:rPr>
        <w:t>this assessment. There is considerable judgment involved in determining whether a milestone satisfies all of the criteria</w:t>
      </w:r>
    </w:p>
    <w:p>
      <w:pPr>
        <w:spacing w:after="0" w:line="229" w:lineRule="auto"/>
        <w:rPr>
          <w:sz w:val="20"/>
          <w:szCs w:val="20"/>
          <w:color w:val="auto"/>
        </w:rPr>
      </w:pPr>
      <w:r>
        <w:rPr>
          <w:rFonts w:ascii="Arial" w:cs="Arial" w:eastAsia="Arial" w:hAnsi="Arial"/>
          <w:sz w:val="16"/>
          <w:szCs w:val="16"/>
          <w:color w:val="auto"/>
        </w:rPr>
        <w:t>required to conclude that a milestone is substantive. Milestones that are not considered substantive are accounted for as</w:t>
      </w:r>
    </w:p>
    <w:p>
      <w:pPr>
        <w:spacing w:after="0" w:line="204" w:lineRule="auto"/>
        <w:rPr>
          <w:sz w:val="20"/>
          <w:szCs w:val="20"/>
          <w:color w:val="auto"/>
        </w:rPr>
      </w:pPr>
      <w:r>
        <w:rPr>
          <w:rFonts w:ascii="Arial" w:cs="Arial" w:eastAsia="Arial" w:hAnsi="Arial"/>
          <w:sz w:val="18"/>
          <w:szCs w:val="18"/>
          <w:color w:val="auto"/>
        </w:rPr>
        <w:t>license payments and recognized over the remaining period of performance from the date of achievement of the</w:t>
      </w:r>
    </w:p>
    <w:p>
      <w:pPr>
        <w:spacing w:after="0" w:line="229" w:lineRule="auto"/>
        <w:rPr>
          <w:sz w:val="20"/>
          <w:szCs w:val="20"/>
          <w:color w:val="auto"/>
        </w:rPr>
      </w:pPr>
      <w:r>
        <w:rPr>
          <w:rFonts w:ascii="Arial" w:cs="Arial" w:eastAsia="Arial" w:hAnsi="Arial"/>
          <w:sz w:val="16"/>
          <w:szCs w:val="16"/>
          <w:color w:val="auto"/>
        </w:rPr>
        <w:t>milestone. Milestones that are considered substantive will be recognized in their entirety upon successful accomplishment of</w:t>
      </w:r>
    </w:p>
    <w:p>
      <w:pPr>
        <w:spacing w:after="0"/>
        <w:rPr>
          <w:sz w:val="20"/>
          <w:szCs w:val="20"/>
          <w:color w:val="auto"/>
        </w:rPr>
      </w:pPr>
      <w:r>
        <w:rPr>
          <w:rFonts w:ascii="Arial" w:cs="Arial" w:eastAsia="Arial" w:hAnsi="Arial"/>
          <w:sz w:val="18"/>
          <w:szCs w:val="18"/>
          <w:color w:val="auto"/>
        </w:rPr>
        <w:t>the milestone, assuming all other revenue recognition criteria are met.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We will recognize royalty revenue in the period of sale of the related product(s), based on the underlying contract terms, provided that the reported sales are reliably measurable, and we have no remaining performance obligations, assuming all other revenue recognition criteria are met.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68"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8"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6"/>
          <w:szCs w:val="16"/>
          <w:color w:val="auto"/>
        </w:rPr>
        <w:t>We expense the fair value of employee stock awards, net of estimated forfeitures, adjusted to reflect actual forfeitures, over the requisite service period, which is typically the vesting period. Compensation cost for restricted stock awards issued to employees is measured using the grant date intrinsic value of the award, net of estimated forfeitures, and is adjusted to reflect actual forfeitures. We estimate the fair value of options granted to employees at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requires management to apply judgment and make estimates, including:</w:t>
      </w:r>
    </w:p>
    <w:p>
      <w:pPr>
        <w:spacing w:after="0" w:line="162" w:lineRule="exact"/>
        <w:rPr>
          <w:sz w:val="20"/>
          <w:szCs w:val="20"/>
          <w:color w:val="auto"/>
        </w:rPr>
      </w:pPr>
    </w:p>
    <w:p>
      <w:pPr>
        <w:ind w:left="1060" w:right="20" w:hanging="85"/>
        <w:spacing w:after="0" w:line="236"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expected volatility, which is calculated based on reported volatility data for a representative group of publicly traded companies for which historical information is available. Prior to April 30, 2015, we were a privately-held company and lacked company-specific historical and implied volatility information. As such, we have used an average of expected volatility based on the volatilities of a representative group of publicly traded biopharmaceutical companies for a period equal to the expected term of the option grant. Beginning in the fourth quarter of 2015, we began to include our own volatility into the average calculation. We intend to consistently apply this process using the same representative companies until a sufficient amount of historical information regarding the volatility of our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162" w:lineRule="exact"/>
        <w:rPr>
          <w:rFonts w:ascii="Arial" w:cs="Arial" w:eastAsia="Arial" w:hAnsi="Arial"/>
          <w:sz w:val="16"/>
          <w:szCs w:val="16"/>
          <w:color w:val="auto"/>
        </w:rPr>
      </w:pPr>
    </w:p>
    <w:p>
      <w:pPr>
        <w:ind w:left="1060" w:right="940" w:hanging="85"/>
        <w:spacing w:after="0" w:line="203" w:lineRule="exact"/>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life assumption;</w:t>
      </w:r>
    </w:p>
    <w:p>
      <w:pPr>
        <w:spacing w:after="0" w:line="161" w:lineRule="exact"/>
        <w:rPr>
          <w:rFonts w:ascii="Arial" w:cs="Arial" w:eastAsia="Arial" w:hAnsi="Arial"/>
          <w:sz w:val="18"/>
          <w:szCs w:val="18"/>
          <w:color w:val="auto"/>
        </w:rPr>
      </w:pPr>
    </w:p>
    <w:p>
      <w:pPr>
        <w:ind w:left="1060" w:right="140" w:hanging="85"/>
        <w:spacing w:after="0" w:line="194" w:lineRule="exact"/>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expected term, which we calculate using the simplified method, as prescribed by the Securities and Exchange Commission Staff Accounting Bulletin No. 107, </w:t>
      </w:r>
      <w:r>
        <w:rPr>
          <w:rFonts w:ascii="Arial" w:cs="Arial" w:eastAsia="Arial" w:hAnsi="Arial"/>
          <w:sz w:val="18"/>
          <w:szCs w:val="18"/>
          <w:i w:val="1"/>
          <w:iCs w:val="1"/>
          <w:color w:val="auto"/>
        </w:rPr>
        <w:t>Share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Payment,</w:t>
      </w:r>
      <w:r>
        <w:rPr>
          <w:rFonts w:ascii="Arial" w:cs="Arial" w:eastAsia="Arial" w:hAnsi="Arial"/>
          <w:sz w:val="18"/>
          <w:szCs w:val="18"/>
          <w:color w:val="auto"/>
        </w:rPr>
        <w:t xml:space="preserve"> as we have insufficient historical information regarding our stock options to provide a basis for an estimate;</w:t>
      </w:r>
    </w:p>
    <w:p>
      <w:pPr>
        <w:spacing w:after="0" w:line="163" w:lineRule="exact"/>
        <w:rPr>
          <w:rFonts w:ascii="Arial" w:cs="Arial" w:eastAsia="Arial" w:hAnsi="Arial"/>
          <w:sz w:val="18"/>
          <w:szCs w:val="18"/>
          <w:color w:val="auto"/>
        </w:rPr>
      </w:pPr>
    </w:p>
    <w:p>
      <w:pPr>
        <w:ind w:left="1060" w:right="160" w:hanging="85"/>
        <w:spacing w:after="0" w:line="187" w:lineRule="exact"/>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prior to becoming a public company, fair value estimates of the underlying shares of common stock, which were determined using the option</w:t>
      </w:r>
      <w:r>
        <w:rPr>
          <w:rFonts w:ascii="MS PGothic" w:cs="MS PGothic" w:eastAsia="MS PGothic" w:hAnsi="MS PGothic"/>
          <w:sz w:val="17"/>
          <w:szCs w:val="17"/>
          <w:color w:val="auto"/>
        </w:rPr>
        <w:t>‑</w:t>
      </w:r>
      <w:r>
        <w:rPr>
          <w:rFonts w:ascii="Arial" w:cs="Arial" w:eastAsia="Arial" w:hAnsi="Arial"/>
          <w:sz w:val="17"/>
          <w:szCs w:val="17"/>
          <w:color w:val="auto"/>
        </w:rPr>
        <w:t>pricing method, or OPM, or a hybrid of the probability</w:t>
      </w:r>
      <w:r>
        <w:rPr>
          <w:rFonts w:ascii="MS PGothic" w:cs="MS PGothic" w:eastAsia="MS PGothic" w:hAnsi="MS PGothic"/>
          <w:sz w:val="17"/>
          <w:szCs w:val="17"/>
          <w:color w:val="auto"/>
        </w:rPr>
        <w:t>‑</w:t>
      </w:r>
      <w:r>
        <w:rPr>
          <w:rFonts w:ascii="Arial" w:cs="Arial" w:eastAsia="Arial" w:hAnsi="Arial"/>
          <w:sz w:val="17"/>
          <w:szCs w:val="17"/>
          <w:color w:val="auto"/>
        </w:rPr>
        <w:t>weighted expected return method and the OPM and were approved by our board of directors. Upon becoming a public company, the fair value of the underlying shares of common stock equals the closing price of our stock on The NASDAQ Global Select Market on the date of grant; and</w:t>
      </w:r>
    </w:p>
    <w:p>
      <w:pPr>
        <w:spacing w:after="0" w:line="161" w:lineRule="exact"/>
        <w:rPr>
          <w:rFonts w:ascii="Arial" w:cs="Arial" w:eastAsia="Arial" w:hAnsi="Arial"/>
          <w:sz w:val="17"/>
          <w:szCs w:val="17"/>
          <w:color w:val="auto"/>
        </w:rPr>
      </w:pPr>
    </w:p>
    <w:p>
      <w:pPr>
        <w:ind w:left="1060" w:right="80" w:hanging="85"/>
        <w:spacing w:after="0" w:line="235"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we never paid cash dividends and do not expect to pay any cash dividends in the foreseeable future.</w:t>
      </w:r>
    </w:p>
    <w:p>
      <w:pPr>
        <w:spacing w:after="0" w:line="162" w:lineRule="exact"/>
        <w:rPr>
          <w:sz w:val="20"/>
          <w:szCs w:val="20"/>
          <w:color w:val="auto"/>
        </w:rPr>
      </w:pPr>
    </w:p>
    <w:p>
      <w:pPr>
        <w:ind w:right="700" w:firstLine="648"/>
        <w:spacing w:after="0" w:line="203" w:lineRule="exact"/>
        <w:rPr>
          <w:sz w:val="20"/>
          <w:szCs w:val="20"/>
          <w:color w:val="auto"/>
        </w:rPr>
      </w:pPr>
      <w:r>
        <w:rPr>
          <w:rFonts w:ascii="Arial" w:cs="Arial" w:eastAsia="Arial" w:hAnsi="Arial"/>
          <w:sz w:val="18"/>
          <w:szCs w:val="18"/>
          <w:color w:val="auto"/>
        </w:rPr>
        <w:t>We have computed the fair value of stock options at the date of grant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0"/>
              </w:rPr>
              <w:t>December 31, 2015</w:t>
            </w:r>
          </w:p>
        </w:tc>
        <w:tc>
          <w:tcPr>
            <w:tcW w:w="13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0"/>
              </w:rPr>
              <w:t>December 31, 2014</w:t>
            </w:r>
          </w:p>
        </w:tc>
        <w:tc>
          <w:tcPr>
            <w:tcW w:w="13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0"/>
              </w:rPr>
              <w:t>December 31, 2013</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500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85.43 %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92.99 %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88.96 %</w:t>
            </w:r>
          </w:p>
        </w:tc>
      </w:tr>
    </w:tbl>
    <w:p>
      <w:pPr>
        <w:spacing w:after="0" w:line="161"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including directors for non</w:t>
      </w:r>
      <w:r>
        <w:rPr>
          <w:rFonts w:ascii="MS PGothic" w:cs="MS PGothic" w:eastAsia="MS PGothic" w:hAnsi="MS PGothic"/>
          <w:sz w:val="17"/>
          <w:szCs w:val="17"/>
          <w:color w:val="auto"/>
        </w:rPr>
        <w:t>‑</w:t>
      </w:r>
      <w:r>
        <w:rPr>
          <w:rFonts w:ascii="Arial" w:cs="Arial" w:eastAsia="Arial" w:hAnsi="Arial"/>
          <w:sz w:val="17"/>
          <w:szCs w:val="17"/>
          <w:color w:val="auto"/>
        </w:rPr>
        <w:t>board related services, are accounted for based on the fair value of such services received or of the intrinsic value of equity instruments issued, whichever is more reliably measured. These stock</w:t>
      </w:r>
      <w:r>
        <w:rPr>
          <w:rFonts w:ascii="MS PGothic" w:cs="MS PGothic" w:eastAsia="MS PGothic" w:hAnsi="MS PGothic"/>
          <w:sz w:val="17"/>
          <w:szCs w:val="17"/>
          <w:color w:val="auto"/>
        </w:rPr>
        <w:t>‑</w:t>
      </w:r>
      <w:r>
        <w:rPr>
          <w:rFonts w:ascii="Arial" w:cs="Arial" w:eastAsia="Arial" w:hAnsi="Arial"/>
          <w:sz w:val="17"/>
          <w:szCs w:val="17"/>
          <w:color w:val="auto"/>
        </w:rPr>
        <w:t>based awards are revalued at each vesting date and period</w:t>
      </w:r>
      <w:r>
        <w:rPr>
          <w:rFonts w:ascii="MS PGothic" w:cs="MS PGothic" w:eastAsia="MS PGothic" w:hAnsi="MS PGothic"/>
          <w:sz w:val="17"/>
          <w:szCs w:val="17"/>
          <w:color w:val="auto"/>
        </w:rPr>
        <w:t>‑</w:t>
      </w:r>
      <w:r>
        <w:rPr>
          <w:rFonts w:ascii="Arial" w:cs="Arial" w:eastAsia="Arial" w:hAnsi="Arial"/>
          <w:sz w:val="17"/>
          <w:szCs w:val="17"/>
          <w:color w:val="auto"/>
        </w:rPr>
        <w:t>end. Stock</w:t>
      </w:r>
      <w:r>
        <w:rPr>
          <w:rFonts w:ascii="MS PGothic" w:cs="MS PGothic" w:eastAsia="MS PGothic" w:hAnsi="MS PGothic"/>
          <w:sz w:val="17"/>
          <w:szCs w:val="17"/>
          <w:color w:val="auto"/>
        </w:rPr>
        <w:t>‑</w:t>
      </w:r>
      <w:r>
        <w:rPr>
          <w:rFonts w:ascii="Arial" w:cs="Arial" w:eastAsia="Arial" w:hAnsi="Arial"/>
          <w:sz w:val="17"/>
          <w:szCs w:val="17"/>
          <w:color w:val="auto"/>
        </w:rPr>
        <w:t>based awards subject to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vesting period. In accordance with the Accounting Standards Codification, or ASC, 718, stock</w:t>
      </w:r>
      <w:r>
        <w:rPr>
          <w:rFonts w:ascii="MS PGothic" w:cs="MS PGothic" w:eastAsia="MS PGothic" w:hAnsi="MS PGothic"/>
          <w:sz w:val="17"/>
          <w:szCs w:val="17"/>
          <w:color w:val="auto"/>
        </w:rPr>
        <w:t>‑</w:t>
      </w:r>
      <w:r>
        <w:rPr>
          <w:rFonts w:ascii="Arial" w:cs="Arial" w:eastAsia="Arial" w:hAnsi="Arial"/>
          <w:sz w:val="17"/>
          <w:szCs w:val="17"/>
          <w:color w:val="auto"/>
        </w:rPr>
        <w:t>based awards subject to both performance</w:t>
      </w:r>
      <w:r>
        <w:rPr>
          <w:rFonts w:ascii="MS PGothic" w:cs="MS PGothic" w:eastAsia="MS PGothic" w:hAnsi="MS PGothic"/>
          <w:sz w:val="17"/>
          <w:szCs w:val="17"/>
          <w:color w:val="auto"/>
        </w:rPr>
        <w:t>‑</w:t>
      </w:r>
      <w:r>
        <w:rPr>
          <w:rFonts w:ascii="Arial" w:cs="Arial" w:eastAsia="Arial" w:hAnsi="Arial"/>
          <w:sz w:val="17"/>
          <w:szCs w:val="17"/>
          <w:color w:val="auto"/>
        </w:rPr>
        <w:t>and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are recognized using an accelerated attribution model.</w:t>
      </w:r>
    </w:p>
    <w:p>
      <w:pPr>
        <w:spacing w:after="0" w:line="138" w:lineRule="exact"/>
        <w:rPr>
          <w:sz w:val="20"/>
          <w:szCs w:val="20"/>
          <w:color w:val="auto"/>
        </w:rPr>
      </w:pPr>
    </w:p>
    <w:p>
      <w:pPr>
        <w:ind w:right="60" w:firstLine="648"/>
        <w:spacing w:after="0" w:line="194" w:lineRule="exact"/>
        <w:rPr>
          <w:sz w:val="20"/>
          <w:szCs w:val="20"/>
          <w:color w:val="auto"/>
        </w:rPr>
      </w:pPr>
      <w:r>
        <w:rPr>
          <w:rFonts w:ascii="Arial" w:cs="Arial" w:eastAsia="Arial" w:hAnsi="Arial"/>
          <w:sz w:val="17"/>
          <w:szCs w:val="17"/>
          <w:color w:val="auto"/>
        </w:rPr>
        <w:t>The amount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recognized during a period is based on the value of the portion of the awards that are expected to vest. Forfeitures are estimated at the time of grant and revised, if necessary, in subsequent periods if actual forfeitures differ from those estimates. The term “forfeitures” is distinct from</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“cancellations” or “expirations” and represents only the unvested portion of the surrendered option. We evaluate our forfeiture rate at each reporting period. Ultimately, the actual expense recognized over the vesting period will be for only those options that vest.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5" w:lineRule="exact"/>
        <w:rPr>
          <w:sz w:val="20"/>
          <w:szCs w:val="20"/>
          <w:color w:val="auto"/>
        </w:rPr>
      </w:pPr>
    </w:p>
    <w:p>
      <w:pPr>
        <w:ind w:right="160" w:firstLine="648"/>
        <w:spacing w:after="0" w:line="22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2"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2015 and 2014, together with the changes in those items in dollars and as a percentage: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6"/>
          </w:tcPr>
          <w:p>
            <w:pPr>
              <w:ind w:left="34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48,588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14,456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Other expense: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(52,769)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(40,285)</w:t>
            </w:r>
          </w:p>
        </w:tc>
        <w:tc>
          <w:tcPr>
            <w:tcW w:w="12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(12,484)</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jc w:val="both"/>
        <w:ind w:right="180" w:firstLine="648"/>
        <w:spacing w:after="0" w:line="235" w:lineRule="auto"/>
        <w:rPr>
          <w:sz w:val="20"/>
          <w:szCs w:val="20"/>
          <w:color w:val="auto"/>
        </w:rPr>
      </w:pPr>
      <w:r>
        <w:rPr>
          <w:rFonts w:ascii="Arial" w:cs="Arial" w:eastAsia="Arial" w:hAnsi="Arial"/>
          <w:sz w:val="18"/>
          <w:szCs w:val="18"/>
          <w:color w:val="auto"/>
        </w:rPr>
        <w:t>Collaboration revenue was $11.4 million for the year ended December 31, 2015 under the Alexion agreement. We did not record any collaboration revenue during the year ended December 31, 2014.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Research and development expense increased by $16.7 million from $31.8 million for the year ended December 31, 2014 to $48.6 million for the year ended December 31, 2015, an increase of 53%. The increase in research and development expense was primarily attributable to the following: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140" w:hanging="85"/>
        <w:spacing w:after="0" w:line="194" w:lineRule="exact"/>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approximately $6.0 million in increased personnel expense primarily due to a 49% increase in headcount, largely driven by growth in the clinical and non-clinical organizations as we advanced our lead drug candidates, BLU-285 and BLU-554, into clinical trials, as well as higher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p>
      <w:pPr>
        <w:spacing w:after="0" w:line="163" w:lineRule="exact"/>
        <w:rPr>
          <w:rFonts w:ascii="Arial" w:cs="Arial" w:eastAsia="Arial" w:hAnsi="Arial"/>
          <w:sz w:val="16"/>
          <w:szCs w:val="16"/>
          <w:color w:val="auto"/>
        </w:rPr>
      </w:pPr>
    </w:p>
    <w:p>
      <w:pPr>
        <w:ind w:left="1060" w:right="180" w:hanging="85"/>
        <w:spacing w:after="0" w:line="23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$6.0 million in external clinical activities as we advanced our lead drug candidates, BLU-285 and BLU-554, into clinical trials; and</w:t>
      </w:r>
    </w:p>
    <w:p>
      <w:pPr>
        <w:spacing w:after="0" w:line="161" w:lineRule="exact"/>
        <w:rPr>
          <w:rFonts w:ascii="Arial" w:cs="Arial" w:eastAsia="Arial" w:hAnsi="Arial"/>
          <w:sz w:val="18"/>
          <w:szCs w:val="18"/>
          <w:color w:val="auto"/>
        </w:rPr>
      </w:pPr>
    </w:p>
    <w:p>
      <w:pPr>
        <w:ind w:left="1060" w:right="20" w:hanging="85"/>
        <w:spacing w:after="0" w:line="289"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approximately $5.4 million as we continued to build our platform and advance our discovery pipeline forward, including costs associated with development of BLU-667 and costs related to the Alexion agreement.</w:t>
      </w:r>
    </w:p>
    <w:p>
      <w:pPr>
        <w:spacing w:after="0" w:line="124"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These increases were partially offset by $0.7 million of lower external IND</w:t>
      </w:r>
      <w:r>
        <w:rPr>
          <w:rFonts w:ascii="MS PGothic" w:cs="MS PGothic" w:eastAsia="MS PGothic" w:hAnsi="MS PGothic"/>
          <w:sz w:val="18"/>
          <w:szCs w:val="18"/>
          <w:color w:val="auto"/>
        </w:rPr>
        <w:t>‑</w:t>
      </w:r>
      <w:r>
        <w:rPr>
          <w:rFonts w:ascii="Arial" w:cs="Arial" w:eastAsia="Arial" w:hAnsi="Arial"/>
          <w:sz w:val="18"/>
          <w:szCs w:val="18"/>
          <w:color w:val="auto"/>
        </w:rPr>
        <w:t>enabling pre-clinical and toxicology studies as well as manufacturing activities primarily due to timing associated with toxicology studies for BLU-285 and BLU-554 during the year ended December 31, 2014.</w:t>
      </w:r>
    </w:p>
    <w:p>
      <w:pPr>
        <w:spacing w:after="0" w:line="163"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General and administrative expense increased by $6.6 million from $7.9 million for the year ended December 31, 2014 to $14.5 million for the year ended December 31, 2015, an increase of 83%. The increase in general and administrative expense was primarily attributable to the following:</w:t>
      </w:r>
    </w:p>
    <w:p>
      <w:pPr>
        <w:spacing w:after="0" w:line="163" w:lineRule="exact"/>
        <w:rPr>
          <w:sz w:val="20"/>
          <w:szCs w:val="20"/>
          <w:color w:val="auto"/>
        </w:rPr>
      </w:pPr>
    </w:p>
    <w:p>
      <w:pPr>
        <w:jc w:val="both"/>
        <w:ind w:left="1060" w:right="420" w:hanging="85"/>
        <w:spacing w:after="0" w:line="22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$3.5 million in increased personnel costs primarily due to an increase of 113% in business personnel headcount to support our overall growth as a publicly traded company as well as an increase in stock-based compensation expense; and</w:t>
      </w:r>
    </w:p>
    <w:p>
      <w:pPr>
        <w:spacing w:after="0" w:line="163" w:lineRule="exact"/>
        <w:rPr>
          <w:rFonts w:ascii="Arial" w:cs="Arial" w:eastAsia="Arial" w:hAnsi="Arial"/>
          <w:sz w:val="18"/>
          <w:szCs w:val="18"/>
          <w:color w:val="auto"/>
        </w:rPr>
      </w:pPr>
    </w:p>
    <w:p>
      <w:pPr>
        <w:ind w:left="1060" w:right="320" w:hanging="85"/>
        <w:spacing w:after="0" w:line="289"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approximately $2.5 million increase in professional fees, including external legal and audit fees, insurance premiums, public relations fees and recruiting costs and fees paid to members of our board of directors.</w:t>
      </w:r>
    </w:p>
    <w:p>
      <w:pPr>
        <w:spacing w:after="0" w:line="124"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Other expense, net, increased by $0.3 million from $0.1 million for the year ended December 31, 2014 to $0.4 million for the year ended December 31, 2015, an increase of 338%. The increase in other expense, net, was primarily related to the impact of the re</w:t>
      </w:r>
      <w:r>
        <w:rPr>
          <w:rFonts w:ascii="MS PGothic" w:cs="MS PGothic" w:eastAsia="MS PGothic" w:hAnsi="MS PGothic"/>
          <w:sz w:val="18"/>
          <w:szCs w:val="18"/>
          <w:color w:val="auto"/>
        </w:rPr>
        <w:t>‑</w:t>
      </w:r>
      <w:r>
        <w:rPr>
          <w:rFonts w:ascii="Arial" w:cs="Arial" w:eastAsia="Arial" w:hAnsi="Arial"/>
          <w:sz w:val="18"/>
          <w:szCs w:val="18"/>
          <w:color w:val="auto"/>
        </w:rPr>
        <w:t>measurement associated with the change in the fair value of the convertible preferred stock warrant liability.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6"/>
          <w:szCs w:val="16"/>
          <w:color w:val="auto"/>
        </w:rPr>
        <w:t>Interest expense increased by $0.2 million from $0.5 million for the year ended December 31, 2014 to $0.7 million for the year ended December 31, 2015, an increase of 54%. The increase in interest expense was primarily related to a higher outstanding principal balance under the Loan and Security Agreement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2014 and 2013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results of operations for the years ended December 31, 2014 and 2013,</w:t>
      </w:r>
    </w:p>
    <w:p>
      <w:pPr>
        <w:spacing w:after="0" w:line="19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changes in those items in dollars and as a percentage: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2013</w:t>
            </w:r>
          </w:p>
        </w:tc>
        <w:tc>
          <w:tcPr>
            <w:tcW w:w="136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5"/>
          </w:tcPr>
          <w:p>
            <w:pPr>
              <w:ind w:left="34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15,928</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15,916</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18,734</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income (expense):</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(40,285)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(20,912)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Research and development expense increased $15.9 million from $15.9 million for the year ended December 31, 2013 to $31.8 million for the year ended December 31, 2014, an increase of 100%. The increase in research and development expense was primarily attributable to the following:</w:t>
      </w:r>
    </w:p>
    <w:p>
      <w:pPr>
        <w:spacing w:after="0" w:line="163" w:lineRule="exact"/>
        <w:rPr>
          <w:sz w:val="20"/>
          <w:szCs w:val="20"/>
          <w:color w:val="auto"/>
        </w:rPr>
      </w:pPr>
    </w:p>
    <w:p>
      <w:pPr>
        <w:ind w:left="1060" w:right="600" w:hanging="85"/>
        <w:spacing w:after="0" w:line="203" w:lineRule="exact"/>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approximately $7.6 million for external IND</w:t>
      </w:r>
      <w:r>
        <w:rPr>
          <w:rFonts w:ascii="MS PGothic" w:cs="MS PGothic" w:eastAsia="MS PGothic" w:hAnsi="MS PGothic"/>
          <w:sz w:val="16"/>
          <w:szCs w:val="16"/>
          <w:color w:val="auto"/>
        </w:rPr>
        <w:t>‑</w:t>
      </w:r>
      <w:r>
        <w:rPr>
          <w:rFonts w:ascii="Arial" w:cs="Arial" w:eastAsia="Arial" w:hAnsi="Arial"/>
          <w:sz w:val="16"/>
          <w:szCs w:val="16"/>
          <w:color w:val="auto"/>
        </w:rPr>
        <w:t>enabling pre</w:t>
      </w:r>
      <w:r>
        <w:rPr>
          <w:rFonts w:ascii="MS PGothic" w:cs="MS PGothic" w:eastAsia="MS PGothic" w:hAnsi="MS PGothic"/>
          <w:sz w:val="16"/>
          <w:szCs w:val="16"/>
          <w:color w:val="auto"/>
        </w:rPr>
        <w:t>‑</w:t>
      </w:r>
      <w:r>
        <w:rPr>
          <w:rFonts w:ascii="Arial" w:cs="Arial" w:eastAsia="Arial" w:hAnsi="Arial"/>
          <w:sz w:val="16"/>
          <w:szCs w:val="16"/>
          <w:color w:val="auto"/>
        </w:rPr>
        <w:t>clinical and toxicology studies, as well as the commencement of manufacturing activities for our lead drug candidates, BLU-285 and BLU-554;</w:t>
      </w:r>
    </w:p>
    <w:p>
      <w:pPr>
        <w:spacing w:after="0" w:line="162" w:lineRule="exact"/>
        <w:rPr>
          <w:rFonts w:ascii="Arial" w:cs="Arial" w:eastAsia="Arial" w:hAnsi="Arial"/>
          <w:sz w:val="16"/>
          <w:szCs w:val="16"/>
          <w:color w:val="auto"/>
        </w:rPr>
      </w:pPr>
    </w:p>
    <w:p>
      <w:pPr>
        <w:jc w:val="both"/>
        <w:ind w:left="1060" w:right="260" w:hanging="85"/>
        <w:spacing w:after="0" w:line="194" w:lineRule="exact"/>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approximately $4.9 million in increased personnel costs primarily due to an increase of 46% in headcount as our programs advance towards clinical trials as well as higher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including expense associated with 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w:t>
      </w:r>
    </w:p>
    <w:p>
      <w:pPr>
        <w:spacing w:after="0" w:line="161" w:lineRule="exact"/>
        <w:rPr>
          <w:rFonts w:ascii="Arial" w:cs="Arial" w:eastAsia="Arial" w:hAnsi="Arial"/>
          <w:sz w:val="17"/>
          <w:szCs w:val="17"/>
          <w:color w:val="auto"/>
        </w:rPr>
      </w:pPr>
    </w:p>
    <w:p>
      <w:pPr>
        <w:ind w:left="1060" w:right="200" w:hanging="85"/>
        <w:spacing w:after="0" w:line="22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$1.9 million in chemistry expenses related to the further development of our proprietary compound library, increased chemical analysis for our lead drug candidates, BLU-285 and BLU-554, and the discovery efforts related to our drug candidate pipeline; and</w:t>
      </w:r>
    </w:p>
    <w:p>
      <w:pPr>
        <w:spacing w:after="0" w:line="163" w:lineRule="exact"/>
        <w:rPr>
          <w:rFonts w:ascii="Arial" w:cs="Arial" w:eastAsia="Arial" w:hAnsi="Arial"/>
          <w:sz w:val="18"/>
          <w:szCs w:val="18"/>
          <w:color w:val="auto"/>
        </w:rPr>
      </w:pPr>
    </w:p>
    <w:p>
      <w:pPr>
        <w:ind w:left="1060" w:right="80" w:hanging="85"/>
        <w:spacing w:after="0" w:line="203" w:lineRule="exact"/>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approximately $1.2 million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costs leading up to and following the nomination of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as lead programs.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General and administrative expense increased by $2.8 million from $5.1 million for the year ended December 31, 2013 to $7.9 million for the year ended December 31, 2014, an increase of 56%. The increase in general and administrative expense was primarily attributable to the following:</w:t>
      </w:r>
    </w:p>
    <w:p>
      <w:pPr>
        <w:spacing w:after="0" w:line="163" w:lineRule="exact"/>
        <w:rPr>
          <w:sz w:val="20"/>
          <w:szCs w:val="20"/>
          <w:color w:val="auto"/>
        </w:rPr>
      </w:pPr>
    </w:p>
    <w:p>
      <w:pPr>
        <w:ind w:left="1060" w:right="160" w:hanging="85"/>
        <w:spacing w:after="0" w:line="187" w:lineRule="exact"/>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$1.8 million in increased personnel costs primarily due to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including expenses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awards issued to consultants and non-employee directors, and a 23% increase in headcount as we build the infrastructure to support the growth of the research and development organization and advance our lead drug candidates, BLU-285 and BLU-554, in clinical trials; and</w:t>
      </w:r>
    </w:p>
    <w:p>
      <w:pPr>
        <w:spacing w:after="0" w:line="162" w:lineRule="exact"/>
        <w:rPr>
          <w:rFonts w:ascii="Arial" w:cs="Arial" w:eastAsia="Arial" w:hAnsi="Arial"/>
          <w:sz w:val="18"/>
          <w:szCs w:val="18"/>
          <w:color w:val="auto"/>
        </w:rPr>
      </w:pPr>
    </w:p>
    <w:p>
      <w:pPr>
        <w:ind w:left="1060" w:right="980" w:hanging="85"/>
        <w:spacing w:after="0" w:line="235"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$0.6 million in increase in professional fees including external legal fees, corporate communications and public relations costs.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right="140" w:firstLine="648"/>
        <w:spacing w:after="0" w:line="249" w:lineRule="auto"/>
        <w:rPr>
          <w:sz w:val="20"/>
          <w:szCs w:val="20"/>
          <w:color w:val="auto"/>
        </w:rPr>
      </w:pPr>
      <w:r>
        <w:rPr>
          <w:rFonts w:ascii="Arial" w:cs="Arial" w:eastAsia="Arial" w:hAnsi="Arial"/>
          <w:sz w:val="16"/>
          <w:szCs w:val="16"/>
          <w:color w:val="auto"/>
        </w:rPr>
        <w:t>Other income (expense), net, decreased by $0.3 million from $0.2 million for the year ended December 31, 2013 to $(0.1) million for the year ended December 31, 2014, a decrease of 143%. The decrease in other income (expense), net, was primarily related to the recognition of $0.2 million of other income in the year ended December 31, 2013 related to an award received from the Massachusetts Life Sciences Investment Tax Credit program and the impact</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12" w:right="135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194" w:lineRule="exact"/>
        <w:rPr>
          <w:sz w:val="20"/>
          <w:szCs w:val="20"/>
          <w:color w:val="auto"/>
        </w:rPr>
      </w:pPr>
      <w:r>
        <w:rPr>
          <w:rFonts w:ascii="Arial" w:cs="Arial" w:eastAsia="Arial" w:hAnsi="Arial"/>
          <w:sz w:val="18"/>
          <w:szCs w:val="18"/>
          <w:color w:val="auto"/>
        </w:rPr>
        <w:t>of the re</w:t>
      </w:r>
      <w:r>
        <w:rPr>
          <w:rFonts w:ascii="MS PGothic" w:cs="MS PGothic" w:eastAsia="MS PGothic" w:hAnsi="MS PGothic"/>
          <w:sz w:val="18"/>
          <w:szCs w:val="18"/>
          <w:color w:val="auto"/>
        </w:rPr>
        <w:t>‑</w:t>
      </w:r>
      <w:r>
        <w:rPr>
          <w:rFonts w:ascii="Arial" w:cs="Arial" w:eastAsia="Arial" w:hAnsi="Arial"/>
          <w:sz w:val="18"/>
          <w:szCs w:val="18"/>
          <w:color w:val="auto"/>
        </w:rPr>
        <w:t>measurement loss associated with the change in the fair value of the convertible preferred stock warrant liability. For the year ended December 31, 2014, we did not recognize other income related to the Massachusetts Life Sciences Investment Tax Credit program.</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260" w:firstLine="648"/>
        <w:spacing w:after="0" w:line="219" w:lineRule="auto"/>
        <w:rPr>
          <w:sz w:val="20"/>
          <w:szCs w:val="20"/>
          <w:color w:val="auto"/>
        </w:rPr>
      </w:pPr>
      <w:r>
        <w:rPr>
          <w:rFonts w:ascii="Arial" w:cs="Arial" w:eastAsia="Arial" w:hAnsi="Arial"/>
          <w:sz w:val="18"/>
          <w:szCs w:val="18"/>
          <w:color w:val="auto"/>
        </w:rPr>
        <w:t>Interest and other expense increased by $0.3 million from $0.1 million for the year ended December 31, 2013 to $0.4 million for the year ended December 31, 2014, an increase of 228%. The increase in interest expense was primarily related to a higher outstanding principal balance under the Loan and Security Agreement for the year ended December 31, 2014.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To date, we have financed our operations primarily through our IPO, private placements of our convertible preferred stock and, to a lesser extent, the Alexion agreement and a debt financing. Through December 31, 2015, we have received an aggregate of $310.5 million from such transactions, including $168.6 million in gross proceeds from our IPO, $115.1 million in gross proceeds from the issuance of convertible preferred stock, $16.8 million of upfront and milestone payments from Alexion and $10.0 million in gross proceeds from the debt financing.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we had cash and cash equivalents of $162.7 million.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2015, 2014 and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4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(31,676)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(19,025)</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(6,079)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80" w:type="dxa"/>
            <w:vAlign w:val="bottom"/>
            <w:shd w:val="clear" w:color="auto" w:fill="CCEEFF"/>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$ 115,467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45,253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8"/>
                <w:szCs w:val="18"/>
                <w:color w:val="auto"/>
              </w:rPr>
            </w:pPr>
          </w:p>
        </w:tc>
      </w:tr>
      <w:tr>
        <w:trPr>
          <w:trHeight w:val="27"/>
        </w:trPr>
        <w:tc>
          <w:tcPr>
            <w:tcW w:w="4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8"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Net cash used in operating activities was $31.7 million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compared to net cash used in operating activities of $35.4 million during year ended December 31, 2014. The decrease in cash used in operating activities was primarily due to the receipt of $16.8 million of upfront and milestone payments from Alexion, partially offset by an increase in net loss of $12.5 million for the year end December 31, 2015 as compared to the year ended December 31, 2014.</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Net cash used in operating activities was $35.4 million during the year ended December 31, 2014 compared to $19.0 million during the year ended December 31, 2013. The increase in cash used in operating activities was due to an increase in net loss of $19.4 million for the year ended December 31, 2014 as compared to the year ended December 31, 2013.</w:t>
      </w:r>
    </w:p>
    <w:p>
      <w:pPr>
        <w:spacing w:after="0" w:line="147"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Net cash used in investing activities was $6.1 million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compared to net cash used in investing activities of $0.7 million during the year ended December 31, 2014. Net cash used in investing activities for the year ended December 31, 2015 consisted of purchases of property and equipment as well as a security deposit payment for our new office lease agreement. Net cash used in investing activities for the year ended December 31, 2014 consisted of purchases of property and equipment.</w:t>
      </w:r>
    </w:p>
    <w:p>
      <w:pPr>
        <w:spacing w:after="0" w:line="15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6"/>
          <w:szCs w:val="16"/>
          <w:color w:val="auto"/>
        </w:rPr>
        <w:t>Net cash used in investing activities was $0.7 million during the year ended December 31, 2014 compared to net cash used in investing activities of $0.3 million during the year ended December 31, 2013. Net cash used in investing activities for the year ended December 31, 2014 and 2013 consisted of purchases of property and equipment.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Net Cash Provided by Financing Activities. </w:t>
      </w:r>
      <w:r>
        <w:rPr>
          <w:rFonts w:ascii="Arial" w:cs="Arial" w:eastAsia="Arial" w:hAnsi="Arial"/>
          <w:sz w:val="16"/>
          <w:szCs w:val="16"/>
          <w:color w:val="auto"/>
        </w:rPr>
        <w:t>Net cash provided by financing activities was $153.2 million during the</w:t>
      </w:r>
    </w:p>
    <w:p>
      <w:pPr>
        <w:spacing w:after="0"/>
        <w:rPr>
          <w:sz w:val="20"/>
          <w:szCs w:val="20"/>
          <w:color w:val="auto"/>
        </w:rPr>
      </w:pPr>
      <w:r>
        <w:rPr>
          <w:rFonts w:ascii="Arial" w:cs="Arial" w:eastAsia="Arial" w:hAnsi="Arial"/>
          <w:sz w:val="16"/>
          <w:szCs w:val="16"/>
          <w:color w:val="auto"/>
        </w:rPr>
        <w:t>year ended December 31, 2015 compared to net cash provided by financing activities of $81.4 million during the year ended</w:t>
      </w:r>
    </w:p>
    <w:p>
      <w:pPr>
        <w:spacing w:after="0" w:line="229" w:lineRule="auto"/>
        <w:rPr>
          <w:sz w:val="20"/>
          <w:szCs w:val="20"/>
          <w:color w:val="auto"/>
        </w:rPr>
      </w:pPr>
      <w:r>
        <w:rPr>
          <w:rFonts w:ascii="Arial" w:cs="Arial" w:eastAsia="Arial" w:hAnsi="Arial"/>
          <w:sz w:val="16"/>
          <w:szCs w:val="16"/>
          <w:color w:val="auto"/>
        </w:rPr>
        <w:t>December 31, 2014. Net cash provided by financing activities for the year ended December 31, 2015 was primarily due to</w:t>
      </w:r>
    </w:p>
    <w:p>
      <w:pPr>
        <w:spacing w:after="0" w:line="229" w:lineRule="auto"/>
        <w:rPr>
          <w:sz w:val="20"/>
          <w:szCs w:val="20"/>
          <w:color w:val="auto"/>
        </w:rPr>
      </w:pPr>
      <w:r>
        <w:rPr>
          <w:rFonts w:ascii="Arial" w:cs="Arial" w:eastAsia="Arial" w:hAnsi="Arial"/>
          <w:sz w:val="16"/>
          <w:szCs w:val="16"/>
          <w:color w:val="auto"/>
        </w:rPr>
        <w:t>$154.8 million in net proceeds from our IPO after deducting underwriting discounts, commissions and offering costs payable</w:t>
      </w:r>
    </w:p>
    <w:p>
      <w:pPr>
        <w:spacing w:after="0" w:line="229" w:lineRule="auto"/>
        <w:rPr>
          <w:sz w:val="20"/>
          <w:szCs w:val="20"/>
          <w:color w:val="auto"/>
        </w:rPr>
      </w:pPr>
      <w:r>
        <w:rPr>
          <w:rFonts w:ascii="Arial" w:cs="Arial" w:eastAsia="Arial" w:hAnsi="Arial"/>
          <w:sz w:val="16"/>
          <w:szCs w:val="16"/>
          <w:color w:val="auto"/>
        </w:rPr>
        <w:t>by us, partially offset by $1.8 million of principal payments on term loan payable. The cash provided by financing activities</w:t>
      </w:r>
    </w:p>
    <w:p>
      <w:pPr>
        <w:spacing w:after="0" w:line="215" w:lineRule="auto"/>
        <w:rPr>
          <w:sz w:val="20"/>
          <w:szCs w:val="20"/>
          <w:color w:val="auto"/>
        </w:rPr>
      </w:pPr>
      <w:r>
        <w:rPr>
          <w:rFonts w:ascii="Arial" w:cs="Arial" w:eastAsia="Arial" w:hAnsi="Arial"/>
          <w:sz w:val="17"/>
          <w:szCs w:val="17"/>
          <w:color w:val="auto"/>
        </w:rPr>
        <w:t>for the year ended December 31, 2014 was primarily due to $74.9 million of net proceeds received from the private</w:t>
      </w:r>
    </w:p>
    <w:p>
      <w:pPr>
        <w:spacing w:after="0" w:line="229" w:lineRule="auto"/>
        <w:rPr>
          <w:sz w:val="20"/>
          <w:szCs w:val="20"/>
          <w:color w:val="auto"/>
        </w:rPr>
      </w:pPr>
      <w:r>
        <w:rPr>
          <w:rFonts w:ascii="Arial" w:cs="Arial" w:eastAsia="Arial" w:hAnsi="Arial"/>
          <w:sz w:val="16"/>
          <w:szCs w:val="16"/>
          <w:color w:val="auto"/>
        </w:rPr>
        <w:t>placement of our Series B and Series C convertible preferred stock and $6.3 million of proceeds from our term loan, net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w:t>
      </w:r>
    </w:p>
    <w:p>
      <w:pPr>
        <w:spacing w:after="0" w:line="169"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Net cash provided by financing activities was $81.4 million during the year ended December 31, 2014 compared to $18.0 million during the year ended December 31, 2013. The cash provided by financing activities for the year ended December 31, 2014 was primarily the result of $74.9 million of net proceeds received from private placements of our convertible preferred stock and $7.0 million principal that we drew under the Loan and Security Agreement. The cash provided by financing activities for the year ended December 31, 2013 was primarily the result of $15.0 million of proceeds received from private placements of our convertible preferred stock and $3.0 million principal that we drew under the Loan and Security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the year ended December 31, 2014, we paid principal payments of $0.7 million on the first $3.0 million of advances. During the year ended December 31, 2015, we paid principal payments of $1.8 million on the $10.0 million of advances. We are required to pay a fee of 4.0% of the total loan advances at the end of the term of the loan. There are no outstanding financial covenants associated with the Loan and Security Agreement. As of December 31, 2015, we had $7.4 million in outstanding principal under the Loan and Security Agreement.</w:t>
      </w:r>
    </w:p>
    <w:p>
      <w:pPr>
        <w:spacing w:after="0" w:line="16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55"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See Note 6, “Term Loan,” in the accompanying notes to our audited consolidated financial statements for additional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As of December 31, 2015, we had cash and cash equivalents of $162.7 million. We expect that our existing cash and cash equivalents will be sufficient to enable us to fund our operating expenses and capital expenditure requirements into at least the third quarter of 2017. Our future capital requirements will depend on many factors, including:</w:t>
      </w:r>
    </w:p>
    <w:p>
      <w:pPr>
        <w:spacing w:after="0" w:line="147" w:lineRule="exact"/>
        <w:rPr>
          <w:sz w:val="20"/>
          <w:szCs w:val="20"/>
          <w:color w:val="auto"/>
        </w:rPr>
      </w:pPr>
    </w:p>
    <w:p>
      <w:pPr>
        <w:ind w:left="1060" w:right="520" w:hanging="85"/>
        <w:spacing w:after="0" w:line="235"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4" w:lineRule="exact"/>
        <w:rPr>
          <w:rFonts w:ascii="Arial" w:cs="Arial" w:eastAsia="Arial" w:hAnsi="Arial"/>
          <w:sz w:val="18"/>
          <w:szCs w:val="18"/>
          <w:color w:val="auto"/>
        </w:rPr>
      </w:pPr>
    </w:p>
    <w:p>
      <w:pPr>
        <w:ind w:left="1060" w:right="800" w:hanging="85"/>
        <w:spacing w:after="0" w:line="235"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1" w:lineRule="exact"/>
        <w:rPr>
          <w:rFonts w:ascii="Arial" w:cs="Arial" w:eastAsia="Arial" w:hAnsi="Arial"/>
          <w:sz w:val="18"/>
          <w:szCs w:val="18"/>
          <w:color w:val="auto"/>
        </w:rPr>
      </w:pPr>
    </w:p>
    <w:p>
      <w:pPr>
        <w:ind w:left="1060" w:right="300" w:hanging="85"/>
        <w:spacing w:after="0" w:line="235"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060" w:right="260" w:hanging="85"/>
        <w:spacing w:after="0" w:line="203" w:lineRule="exact"/>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84" w:lineRule="exact"/>
        <w:rPr>
          <w:rFonts w:ascii="Arial" w:cs="Arial" w:eastAsia="Arial" w:hAnsi="Arial"/>
          <w:sz w:val="18"/>
          <w:szCs w:val="18"/>
          <w:color w:val="auto"/>
        </w:rPr>
      </w:pPr>
    </w:p>
    <w:p>
      <w:pPr>
        <w:ind w:left="1060" w:right="20" w:hanging="85"/>
        <w:spacing w:after="0" w:line="235"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Identifying potential drug candidates and conducting pre-clinical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6"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 with Alexion.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780" w:type="dxa"/>
            <w:vAlign w:val="bottom"/>
            <w:tcBorders>
              <w:top w:val="single" w:sz="8" w:color="auto"/>
              <w:bottom w:val="single" w:sz="8" w:color="auto"/>
            </w:tcBorders>
            <w:gridSpan w:val="8"/>
          </w:tcPr>
          <w:p>
            <w:pPr>
              <w:ind w:left="840"/>
              <w:spacing w:after="0" w:line="189" w:lineRule="exact"/>
              <w:rPr>
                <w:sz w:val="20"/>
                <w:szCs w:val="20"/>
                <w:color w:val="auto"/>
              </w:rPr>
            </w:pPr>
            <w:r>
              <w:rPr>
                <w:rFonts w:ascii="Arial" w:cs="Arial" w:eastAsia="Arial" w:hAnsi="Arial"/>
                <w:sz w:val="18"/>
                <w:szCs w:val="18"/>
                <w:b w:val="1"/>
                <w:bCs w:val="1"/>
                <w:color w:val="auto"/>
                <w:w w:val="90"/>
              </w:rPr>
              <w:t>Payments Due by Period</w:t>
            </w:r>
          </w:p>
        </w:tc>
        <w:tc>
          <w:tcPr>
            <w:tcW w:w="10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1"/>
                <w:szCs w:val="11"/>
                <w:color w:val="auto"/>
              </w:rPr>
            </w:pPr>
          </w:p>
        </w:tc>
        <w:tc>
          <w:tcPr>
            <w:tcW w:w="10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rPr>
              <w:t>Less than 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1 to 3 Years</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3"/>
              </w:rPr>
              <w:t>3 to 5 Years</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More than 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Year</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lease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17,350</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(1)</w:t>
            </w: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repayments (2)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93</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14408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860" w:right="200" w:hanging="209"/>
        <w:spacing w:after="0" w:line="236" w:lineRule="auto"/>
        <w:tabs>
          <w:tab w:leader="none" w:pos="8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non-cancelable operating leases, which expire in October 2022. The minimum lease payments above do not include any related common area maintenance charges or real estate taxes.</w:t>
      </w:r>
    </w:p>
    <w:p>
      <w:pPr>
        <w:spacing w:after="0" w:line="61" w:lineRule="exact"/>
        <w:rPr>
          <w:rFonts w:ascii="Arial" w:cs="Arial" w:eastAsia="Arial" w:hAnsi="Arial"/>
          <w:sz w:val="14"/>
          <w:szCs w:val="14"/>
          <w:color w:val="auto"/>
        </w:rPr>
      </w:pPr>
    </w:p>
    <w:p>
      <w:pPr>
        <w:ind w:left="860" w:right="200" w:hanging="209"/>
        <w:spacing w:after="0" w:line="236" w:lineRule="auto"/>
        <w:tabs>
          <w:tab w:leader="none" w:pos="8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Consists of payment obligations for principal and interest under the Loan and Security Agreement. As of December 31, 2015, we had $7.4 million in outstanding principal under the Loan and Security Agreement.</w:t>
      </w:r>
    </w:p>
    <w:p>
      <w:pPr>
        <w:spacing w:after="0" w:line="6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generally cancelable at any time by us upon 30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2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62"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We are exposed to market risk related to changes in interest rates. As of December 31, 2015 and 2014, respectively, we had cash and cash equivalents of $162.7 million and $47.2 million. Our primary exposure to market risk is interest rate sensitivity, which is affected by changes in the general level of U.S. interest rates, particularly because our cash and cash equivalents, are in a money market fund that invests in U.S. Treasury obligations. Due to the short-term nature of our cash equivalents, a sudden change in interest rates would not be expected to have a material effect on our business, financial condition or results of operations.</w:t>
      </w:r>
    </w:p>
    <w:p>
      <w:pPr>
        <w:spacing w:after="0" w:line="122"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We are also exposed to market risk related to changes in foreign currency exchange rates. We contract with vendors that are located Asia and the European Union, which are denominated in foreign currencies. We are subject to fluctuations in foreign currency rates in connection with these agreements. We do not currently hedge our foreign currency exchange rate risk. As of December 30, 2015 and 2014, we had minimal or no liabilities denominated in foreign currencies.</w:t>
      </w:r>
    </w:p>
    <w:p>
      <w:pPr>
        <w:spacing w:after="0" w:line="128"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 ended December 31,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of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December 31, 2015. Based upon such evaluation, our Chief Executive Officer and Vice President of Finance have concluded that, as of December 31, 2015,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December 31, 2015 that has materially affected, or is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Kathryn Haviland</w:t>
      </w:r>
    </w:p>
    <w:p>
      <w:pPr>
        <w:spacing w:after="0" w:line="18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On March 10, 2016, we entered into an employment agreement with Kathryn Haviland, our Chief Business Officer. The employment agreement provides for “at will” employment and supersedes and replaces in all respects the terms of the offer letter agreement that we previously entered into with Ms. Haviland.</w:t>
      </w:r>
    </w:p>
    <w:p>
      <w:pPr>
        <w:spacing w:after="0" w:line="163" w:lineRule="exact"/>
        <w:rPr>
          <w:sz w:val="20"/>
          <w:szCs w:val="20"/>
          <w:color w:val="auto"/>
        </w:rPr>
      </w:pPr>
    </w:p>
    <w:p>
      <w:pPr>
        <w:ind w:firstLine="648"/>
        <w:spacing w:after="0" w:line="218" w:lineRule="auto"/>
        <w:rPr>
          <w:sz w:val="20"/>
          <w:szCs w:val="20"/>
          <w:color w:val="auto"/>
        </w:rPr>
      </w:pPr>
      <w:r>
        <w:rPr>
          <w:rFonts w:ascii="Arial" w:cs="Arial" w:eastAsia="Arial" w:hAnsi="Arial"/>
          <w:sz w:val="17"/>
          <w:szCs w:val="17"/>
          <w:color w:val="auto"/>
        </w:rPr>
        <w:t>The employment agreement entitles Ms. Haviland to an initial base salary of $340,000, which is subject to periodic review and adjustment Ms. Haviland is also eligible for an annual performance bonus targeted at 35% of her base salary. Ms. Haviland is eligible to participate in the employee benefit plans generally available to full-time employees, subject to the terms of those plans. If Ms. Haviland’s employment is terminated by us without cause (as defined in her employment agreement) or by Ms. Haviland for good reason (as defined in her employment agreement), and subject to Ms. Haviland’s execution of a release of potential claims against us, Ms. Haviland will be entitled to receive: (i) a lump sum in cash in an amount equal to 12 months of base salary and (ii) a monthly cash payment for 12 months for medical and dental benefits or Ms. Haviland’s COBRA health continuation period, whichever ends earlier. However, in the event that Ms. Haviland’s employment is terminated by us without cause, or Ms. Haviland terminates her employment with us for good reason, in either case within 12 months following the occurrence of a sale event (as defined in her employment agreement), in lieu of the severance payments and benefits described in the preceding sentence and subject to Ms. Haviland’s execution of a release of potential claims against us, Ms. Haviland will be entitled to receive: (i) a lump sum in cash in an amount equal to the sum of 12 months of Ms. Haviland’s base salary then in effect plus Ms. Haviland’s target annual incentive compensation for the year in which the termination occurs, (ii) a monthly cash payment for 12 months for medical and dental benefits or Ms. Haviland’s COBRA health continuation period, whichever ends earlier, and (iii) full and immediate vesting and exercisability of all time-based stock options and other time-based stock-based awards held by Ms. Haviland. In addition, the employment agreement provides that if Ms. Haviland’s employment is terminated by us for cause or by Ms. Haviland without good reason, in either case, within 12 months of the commencement of Ms. Haviland’s employment with us, Ms. Haviland is required to repay in full the initial sign-on bonus of $75,000 that she received upon the commencement of her employment with us.</w:t>
      </w:r>
    </w:p>
    <w:p>
      <w:pPr>
        <w:spacing w:after="0" w:line="176"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Ms. Haviland has also previously entered into a Non-Competition, Non-Solicitation, Confidentiality and Assignment Agreement that contains, among other things, non-competition and non-solicitation provisions that apply during the term of Ms. Haviland’s employment and for 12 months thereafter.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 with Michael Landsittel</w:t>
      </w:r>
    </w:p>
    <w:p>
      <w:pPr>
        <w:spacing w:after="0" w:line="185" w:lineRule="exact"/>
        <w:rPr>
          <w:sz w:val="20"/>
          <w:szCs w:val="20"/>
          <w:color w:val="auto"/>
        </w:rPr>
      </w:pPr>
    </w:p>
    <w:p>
      <w:pPr>
        <w:ind w:right="19" w:firstLine="648"/>
        <w:spacing w:after="0" w:line="249" w:lineRule="auto"/>
        <w:rPr>
          <w:sz w:val="20"/>
          <w:szCs w:val="20"/>
          <w:color w:val="auto"/>
        </w:rPr>
      </w:pPr>
      <w:r>
        <w:rPr>
          <w:rFonts w:ascii="Arial" w:cs="Arial" w:eastAsia="Arial" w:hAnsi="Arial"/>
          <w:sz w:val="16"/>
          <w:szCs w:val="16"/>
          <w:color w:val="auto"/>
        </w:rPr>
        <w:t>On March 10, 2016, we entered into a change in control agreement with Michael Landsittel, our Vice President of Finance and Principal Financial and Accounting Officer. The change in control agreement supersedes and replaces any terms of the offer letter agreement that we previously entered into with Mr. Landsittel regarding severance pay and benefits upon a termination of employment in connection with the closing of a sale event (as defined in the change in control agreement).</w:t>
      </w:r>
    </w:p>
    <w:p>
      <w:pPr>
        <w:spacing w:after="0" w:line="155" w:lineRule="exact"/>
        <w:rPr>
          <w:sz w:val="20"/>
          <w:szCs w:val="20"/>
          <w:color w:val="auto"/>
        </w:rPr>
      </w:pPr>
    </w:p>
    <w:p>
      <w:pPr>
        <w:ind w:right="159" w:firstLine="648"/>
        <w:spacing w:after="0" w:line="210" w:lineRule="auto"/>
        <w:rPr>
          <w:sz w:val="20"/>
          <w:szCs w:val="20"/>
          <w:color w:val="auto"/>
        </w:rPr>
      </w:pPr>
      <w:r>
        <w:rPr>
          <w:rFonts w:ascii="Arial" w:cs="Arial" w:eastAsia="Arial" w:hAnsi="Arial"/>
          <w:sz w:val="18"/>
          <w:szCs w:val="18"/>
          <w:color w:val="auto"/>
        </w:rPr>
        <w:t>Pursuant to the change in control agreement, if Mr. Landsittel’s employment is terminated by us without cause (as defined in his change in control agreement) or by Mr. Landsittel for good reason (as defined in his change in control agreement), and subject to Mr. Landsittel’s execution of a release of potential claims against us, Mr. Landsittel will be entitled to receive: (i) a lump sum in cash in an amount equal to six months of base salary, plus one times Mr. Landsittel’s target annual cash incentive compensation as determined by our board of directors or the compensation committee of our board of directors, (ii) a monthly cash payment for medical and dental benefits for the period of time that Mr. Landsittel is entitled to base salary continuation or Mr. Landsittel’s COBRA health continuation period, whichever ends earlier, and (iii) full and immediate vesting and exercisability of all time-based stock options and other time-based stock-based awards held by Mr. Landsittel.</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2016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2016 Annual Meeting of Stockholders and is incorporated herein by reference.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(1)</w:t>
            </w:r>
          </w:p>
        </w:tc>
        <w:tc>
          <w:tcPr>
            <w:tcW w:w="7580" w:type="dxa"/>
            <w:vAlign w:val="bottom"/>
            <w:gridSpan w:val="8"/>
          </w:tcPr>
          <w:p>
            <w:pPr>
              <w:ind w:left="200"/>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660" w:type="dxa"/>
            <w:vAlign w:val="bottom"/>
            <w:gridSpan w:val="9"/>
          </w:tcPr>
          <w:p>
            <w:pPr>
              <w:ind w:left="660"/>
              <w:spacing w:after="0"/>
              <w:rPr>
                <w:sz w:val="20"/>
                <w:szCs w:val="20"/>
                <w:color w:val="auto"/>
              </w:rPr>
            </w:pPr>
            <w:r>
              <w:rPr>
                <w:rFonts w:ascii="Arial" w:cs="Arial" w:eastAsia="Arial" w:hAnsi="Arial"/>
                <w:sz w:val="18"/>
                <w:szCs w:val="18"/>
                <w:color w:val="auto"/>
                <w:w w:val="91"/>
              </w:rPr>
              <w:t>The following documents are included on pages F-1 through F-24 attached hereto and are filed as part of this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60" w:type="dxa"/>
            <w:vAlign w:val="bottom"/>
            <w:gridSpan w:val="9"/>
          </w:tcPr>
          <w:p>
            <w:pPr>
              <w:spacing w:after="0"/>
              <w:rPr>
                <w:sz w:val="20"/>
                <w:szCs w:val="20"/>
                <w:color w:val="auto"/>
              </w:rPr>
            </w:pPr>
            <w:r>
              <w:rPr>
                <w:rFonts w:ascii="Arial" w:cs="Arial" w:eastAsia="Arial" w:hAnsi="Arial"/>
                <w:sz w:val="18"/>
                <w:szCs w:val="18"/>
                <w:color w:val="auto"/>
              </w:rPr>
              <w:t>Annual Report on Form 10-K.</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660" w:type="dxa"/>
            <w:vAlign w:val="bottom"/>
            <w:gridSpan w:val="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 of Independent Registered Public Accounting Firm</w:t>
              </w:r>
            </w:hyperlink>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4"/>
          </w:tcPr>
          <w:p>
            <w:pPr>
              <w:spacing w:after="0" w:line="15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Consolidated Balance Sheets as of December 31, 2015 and</w:t>
              </w:r>
            </w:hyperlink>
          </w:p>
        </w:tc>
        <w:tc>
          <w:tcPr>
            <w:tcW w:w="4440" w:type="dxa"/>
            <w:vAlign w:val="bottom"/>
            <w:gridSpan w:val="5"/>
          </w:tcPr>
          <w:p>
            <w:pPr>
              <w:ind w:left="80"/>
              <w:spacing w:after="0" w:line="156" w:lineRule="exact"/>
              <w:rPr>
                <w:rFonts w:ascii="Arial" w:cs="Arial" w:eastAsia="Arial" w:hAnsi="Arial"/>
                <w:sz w:val="18"/>
                <w:szCs w:val="18"/>
                <w:color w:val="0000EE"/>
              </w:rPr>
            </w:pPr>
            <w:hyperlink w:anchor="page104">
              <w:r>
                <w:rPr>
                  <w:rFonts w:ascii="Arial" w:cs="Arial" w:eastAsia="Arial" w:hAnsi="Arial"/>
                  <w:sz w:val="18"/>
                  <w:szCs w:val="18"/>
                  <w:color w:val="0000EE"/>
                </w:rPr>
                <w:t>December 31, 2014</w:t>
              </w:r>
            </w:hyperlink>
          </w:p>
        </w:tc>
        <w:tc>
          <w:tcPr>
            <w:tcW w:w="400" w:type="dxa"/>
            <w:vAlign w:val="bottom"/>
          </w:tcPr>
          <w:p>
            <w:pPr>
              <w:ind w:left="160"/>
              <w:spacing w:after="0" w:line="15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56"/>
        </w:trPr>
        <w:tc>
          <w:tcPr>
            <w:tcW w:w="5700" w:type="dxa"/>
            <w:vAlign w:val="bottom"/>
            <w:tcBorders>
              <w:top w:val="single" w:sz="8" w:color="0000EE"/>
            </w:tcBorders>
            <w:gridSpan w:val="5"/>
          </w:tcPr>
          <w:p>
            <w:pPr>
              <w:spacing w:after="0" w:line="15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Consolidated Statements of Operations for the years ended December 31, 2015,</w:t>
              </w:r>
            </w:hyperlink>
          </w:p>
        </w:tc>
        <w:tc>
          <w:tcPr>
            <w:tcW w:w="2960" w:type="dxa"/>
            <w:vAlign w:val="bottom"/>
            <w:gridSpan w:val="4"/>
          </w:tcPr>
          <w:p>
            <w:pPr>
              <w:ind w:left="80"/>
              <w:spacing w:after="0" w:line="156" w:lineRule="exact"/>
              <w:rPr>
                <w:rFonts w:ascii="Arial" w:cs="Arial" w:eastAsia="Arial" w:hAnsi="Arial"/>
                <w:sz w:val="18"/>
                <w:szCs w:val="18"/>
                <w:color w:val="0000EE"/>
              </w:rPr>
            </w:pPr>
            <w:hyperlink w:anchor="page105">
              <w:r>
                <w:rPr>
                  <w:rFonts w:ascii="Arial" w:cs="Arial" w:eastAsia="Arial" w:hAnsi="Arial"/>
                  <w:sz w:val="18"/>
                  <w:szCs w:val="18"/>
                  <w:color w:val="0000EE"/>
                </w:rPr>
                <w:t>2014 and 2013</w:t>
              </w:r>
            </w:hyperlink>
          </w:p>
        </w:tc>
        <w:tc>
          <w:tcPr>
            <w:tcW w:w="400" w:type="dxa"/>
            <w:vAlign w:val="bottom"/>
          </w:tcPr>
          <w:p>
            <w:pPr>
              <w:ind w:left="160"/>
              <w:spacing w:after="0" w:line="15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56"/>
        </w:trPr>
        <w:tc>
          <w:tcPr>
            <w:tcW w:w="6860" w:type="dxa"/>
            <w:vAlign w:val="bottom"/>
            <w:tcBorders>
              <w:top w:val="single" w:sz="8" w:color="0000EE"/>
            </w:tcBorders>
            <w:gridSpan w:val="6"/>
          </w:tcPr>
          <w:p>
            <w:pPr>
              <w:spacing w:after="0" w:line="15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Consolidated Statements of Convertible Preferred Stock and Stockholders’ (Deficit) Equity for</w:t>
              </w:r>
            </w:hyperlink>
          </w:p>
        </w:tc>
        <w:tc>
          <w:tcPr>
            <w:tcW w:w="1800" w:type="dxa"/>
            <w:vAlign w:val="bottom"/>
            <w:gridSpan w:val="3"/>
          </w:tcPr>
          <w:p>
            <w:pPr>
              <w:ind w:left="20"/>
              <w:spacing w:after="0" w:line="156" w:lineRule="exact"/>
              <w:rPr>
                <w:rFonts w:ascii="Arial" w:cs="Arial" w:eastAsia="Arial" w:hAnsi="Arial"/>
                <w:sz w:val="18"/>
                <w:szCs w:val="18"/>
                <w:color w:val="0000EE"/>
              </w:rPr>
            </w:pPr>
            <w:hyperlink w:anchor="page106">
              <w:r>
                <w:rPr>
                  <w:rFonts w:ascii="Arial" w:cs="Arial" w:eastAsia="Arial" w:hAnsi="Arial"/>
                  <w:sz w:val="18"/>
                  <w:szCs w:val="18"/>
                  <w:color w:val="0000EE"/>
                </w:rPr>
                <w:t>the years ended</w:t>
              </w:r>
            </w:hyperlink>
          </w:p>
        </w:tc>
        <w:tc>
          <w:tcPr>
            <w:tcW w:w="400" w:type="dxa"/>
            <w:vAlign w:val="bottom"/>
          </w:tcPr>
          <w:p>
            <w:pPr>
              <w:ind w:left="160"/>
              <w:spacing w:after="0" w:line="15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56"/>
        </w:trPr>
        <w:tc>
          <w:tcPr>
            <w:tcW w:w="25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December 31, 2015, 2014 and 2013</w:t>
              </w:r>
            </w:hyperlink>
          </w:p>
        </w:tc>
        <w:tc>
          <w:tcPr>
            <w:tcW w:w="5420" w:type="dxa"/>
            <w:vAlign w:val="bottom"/>
            <w:tcBorders>
              <w:top w:val="single" w:sz="8" w:color="0000EE"/>
            </w:tcBorders>
            <w:gridSpan w:val="6"/>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vMerge w:val="restart"/>
          </w:tcPr>
          <w:p>
            <w:pPr>
              <w:ind w:left="16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56"/>
        </w:trPr>
        <w:tc>
          <w:tcPr>
            <w:tcW w:w="8660" w:type="dxa"/>
            <w:vAlign w:val="bottom"/>
            <w:gridSpan w:val="9"/>
          </w:tcPr>
          <w:p>
            <w:pPr>
              <w:spacing w:after="0" w:line="15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Cash Flows for the years ended December 31, 2015, 2014 and 2013</w:t>
              </w:r>
            </w:hyperlink>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Notes to Consolidated Financial Statements</w:t>
              </w:r>
            </w:hyperlink>
          </w:p>
        </w:tc>
        <w:tc>
          <w:tcPr>
            <w:tcW w:w="3760" w:type="dxa"/>
            <w:vAlign w:val="bottom"/>
            <w:tcBorders>
              <w:top w:val="single" w:sz="8" w:color="0000EE"/>
            </w:tcBorders>
            <w:gridSpan w:val="4"/>
          </w:tcPr>
          <w:p>
            <w:pPr>
              <w:spacing w:after="0"/>
              <w:rPr>
                <w:sz w:val="13"/>
                <w:szCs w:val="13"/>
                <w:color w:val="auto"/>
              </w:rPr>
            </w:pPr>
          </w:p>
        </w:tc>
        <w:tc>
          <w:tcPr>
            <w:tcW w:w="1740" w:type="dxa"/>
            <w:vAlign w:val="bottom"/>
            <w:gridSpan w:val="2"/>
          </w:tcPr>
          <w:p>
            <w:pPr>
              <w:spacing w:after="0"/>
              <w:rPr>
                <w:sz w:val="13"/>
                <w:szCs w:val="13"/>
                <w:color w:val="auto"/>
              </w:rPr>
            </w:pPr>
          </w:p>
        </w:tc>
        <w:tc>
          <w:tcPr>
            <w:tcW w:w="400" w:type="dxa"/>
            <w:vAlign w:val="bottom"/>
          </w:tcPr>
          <w:p>
            <w:pPr>
              <w:ind w:left="160"/>
              <w:spacing w:after="0" w:line="15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280" w:hanging="629"/>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7"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54" w:lineRule="exact"/>
        <w:rPr>
          <w:sz w:val="20"/>
          <w:szCs w:val="20"/>
          <w:color w:val="auto"/>
        </w:rPr>
      </w:pPr>
    </w:p>
    <w:p>
      <w:pPr>
        <w:ind w:left="1280" w:hanging="629"/>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right="840" w:firstLine="648"/>
        <w:spacing w:after="0" w:line="258" w:lineRule="auto"/>
        <w:rPr>
          <w:sz w:val="20"/>
          <w:szCs w:val="20"/>
          <w:color w:val="auto"/>
        </w:rPr>
      </w:pPr>
      <w:r>
        <w:rPr>
          <w:rFonts w:ascii="Arial" w:cs="Arial" w:eastAsia="Arial" w:hAnsi="Arial"/>
          <w:sz w:val="17"/>
          <w:szCs w:val="17"/>
          <w:color w:val="auto"/>
        </w:rPr>
        <w:t>The exhibits filed or furnished as part of this Annual Report on Form 10-K are listed in the Exhibit Index immediately preceding such Exhibits, which Exhibit Index is incorporated herein by reference.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860" w:val="left"/>
          <w:tab w:leader="none" w:pos="5380" w:val="left"/>
        </w:tabs>
        <w:rPr>
          <w:sz w:val="20"/>
          <w:szCs w:val="20"/>
          <w:color w:val="auto"/>
        </w:rPr>
      </w:pPr>
      <w:r>
        <w:rPr>
          <w:rFonts w:ascii="Arial" w:cs="Arial" w:eastAsia="Arial" w:hAnsi="Arial"/>
          <w:sz w:val="18"/>
          <w:szCs w:val="18"/>
          <w:color w:val="auto"/>
        </w:rPr>
        <w:t>Date: March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6350</wp:posOffset>
            </wp:positionV>
            <wp:extent cx="23241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Jeffrey W. Albers</w:t>
      </w: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44"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2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8"/>
                <w:szCs w:val="18"/>
                <w:color w:val="auto"/>
              </w:rPr>
              <w:t>/s/ Jeffrey W. Albers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5"/>
              </w:rPr>
              <w:t>President, Chief Executive Officer and 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Jeffrey W. Albers</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8"/>
                <w:szCs w:val="18"/>
                <w:color w:val="auto"/>
              </w:rPr>
              <w:t>/s/ Michael Landsittel</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Vice President of Finance</w:t>
            </w:r>
          </w:p>
        </w:tc>
        <w:tc>
          <w:tcPr>
            <w:tcW w:w="16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Michael Landsittel</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Daniel S. Lynch</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Nicholas Lydon,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Alexis Borisy</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Mark Goldberg,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Charles A. Rowland, Jr.</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George Demetri,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Lonnel Coats</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8420" w:type="dxa"/>
            <w:vAlign w:val="bottom"/>
            <w:gridSpan w:val="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0563C1"/>
            </w:tcBorders>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6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w w:val="92"/>
              </w:rPr>
              <w:t>Blueprint Medicines Corporation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4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 of Independent Registered Public Accounting Firm</w:t>
              </w:r>
            </w:hyperlink>
          </w:p>
        </w:tc>
        <w:tc>
          <w:tcPr>
            <w:tcW w:w="640" w:type="dxa"/>
            <w:vAlign w:val="bottom"/>
          </w:tcPr>
          <w:p>
            <w:pPr>
              <w:ind w:left="40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4"/>
          </w:tcPr>
          <w:p>
            <w:pPr>
              <w:spacing w:after="0" w:line="15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Consolidated Balance Sheets as of December 31, 2015 and</w:t>
              </w:r>
            </w:hyperlink>
          </w:p>
        </w:tc>
        <w:tc>
          <w:tcPr>
            <w:tcW w:w="4200" w:type="dxa"/>
            <w:vAlign w:val="bottom"/>
            <w:gridSpan w:val="5"/>
          </w:tcPr>
          <w:p>
            <w:pPr>
              <w:ind w:left="80"/>
              <w:spacing w:after="0" w:line="156" w:lineRule="exact"/>
              <w:rPr>
                <w:rFonts w:ascii="Arial" w:cs="Arial" w:eastAsia="Arial" w:hAnsi="Arial"/>
                <w:sz w:val="18"/>
                <w:szCs w:val="18"/>
                <w:color w:val="0000EE"/>
              </w:rPr>
            </w:pPr>
            <w:hyperlink w:anchor="page104">
              <w:r>
                <w:rPr>
                  <w:rFonts w:ascii="Arial" w:cs="Arial" w:eastAsia="Arial" w:hAnsi="Arial"/>
                  <w:sz w:val="18"/>
                  <w:szCs w:val="18"/>
                  <w:color w:val="0000EE"/>
                </w:rPr>
                <w:t>December 31, 2014</w:t>
              </w:r>
            </w:hyperlink>
          </w:p>
        </w:tc>
        <w:tc>
          <w:tcPr>
            <w:tcW w:w="640" w:type="dxa"/>
            <w:vAlign w:val="bottom"/>
          </w:tcPr>
          <w:p>
            <w:pPr>
              <w:ind w:left="400"/>
              <w:spacing w:after="0" w:line="15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56"/>
        </w:trPr>
        <w:tc>
          <w:tcPr>
            <w:tcW w:w="5700" w:type="dxa"/>
            <w:vAlign w:val="bottom"/>
            <w:tcBorders>
              <w:top w:val="single" w:sz="8" w:color="0000EE"/>
            </w:tcBorders>
            <w:gridSpan w:val="5"/>
          </w:tcPr>
          <w:p>
            <w:pPr>
              <w:spacing w:after="0" w:line="15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Consolidated Statements of Operations for the years ended December 31, 2015,</w:t>
              </w:r>
            </w:hyperlink>
          </w:p>
        </w:tc>
        <w:tc>
          <w:tcPr>
            <w:tcW w:w="2720" w:type="dxa"/>
            <w:vAlign w:val="bottom"/>
            <w:gridSpan w:val="4"/>
          </w:tcPr>
          <w:p>
            <w:pPr>
              <w:ind w:left="80"/>
              <w:spacing w:after="0" w:line="156" w:lineRule="exact"/>
              <w:rPr>
                <w:rFonts w:ascii="Arial" w:cs="Arial" w:eastAsia="Arial" w:hAnsi="Arial"/>
                <w:sz w:val="18"/>
                <w:szCs w:val="18"/>
                <w:color w:val="0000EE"/>
              </w:rPr>
            </w:pPr>
            <w:hyperlink w:anchor="page105">
              <w:r>
                <w:rPr>
                  <w:rFonts w:ascii="Arial" w:cs="Arial" w:eastAsia="Arial" w:hAnsi="Arial"/>
                  <w:sz w:val="18"/>
                  <w:szCs w:val="18"/>
                  <w:color w:val="0000EE"/>
                </w:rPr>
                <w:t>2014 and 2013</w:t>
              </w:r>
            </w:hyperlink>
          </w:p>
        </w:tc>
        <w:tc>
          <w:tcPr>
            <w:tcW w:w="640" w:type="dxa"/>
            <w:vAlign w:val="bottom"/>
          </w:tcPr>
          <w:p>
            <w:pPr>
              <w:ind w:left="400"/>
              <w:spacing w:after="0" w:line="15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56"/>
        </w:trPr>
        <w:tc>
          <w:tcPr>
            <w:tcW w:w="6860" w:type="dxa"/>
            <w:vAlign w:val="bottom"/>
            <w:tcBorders>
              <w:top w:val="single" w:sz="8" w:color="0000EE"/>
            </w:tcBorders>
            <w:gridSpan w:val="6"/>
          </w:tcPr>
          <w:p>
            <w:pPr>
              <w:spacing w:after="0" w:line="15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Consolidated Statements of Convertible Preferred Stock and Stockholders’ (Deficit) Equity for</w:t>
              </w:r>
            </w:hyperlink>
          </w:p>
        </w:tc>
        <w:tc>
          <w:tcPr>
            <w:tcW w:w="1560" w:type="dxa"/>
            <w:vAlign w:val="bottom"/>
            <w:gridSpan w:val="3"/>
          </w:tcPr>
          <w:p>
            <w:pPr>
              <w:ind w:left="20"/>
              <w:spacing w:after="0" w:line="156" w:lineRule="exact"/>
              <w:rPr>
                <w:rFonts w:ascii="Arial" w:cs="Arial" w:eastAsia="Arial" w:hAnsi="Arial"/>
                <w:sz w:val="18"/>
                <w:szCs w:val="18"/>
                <w:color w:val="0000EE"/>
              </w:rPr>
            </w:pPr>
            <w:hyperlink w:anchor="page106">
              <w:r>
                <w:rPr>
                  <w:rFonts w:ascii="Arial" w:cs="Arial" w:eastAsia="Arial" w:hAnsi="Arial"/>
                  <w:sz w:val="18"/>
                  <w:szCs w:val="18"/>
                  <w:color w:val="0000EE"/>
                </w:rPr>
                <w:t>the years ended</w:t>
              </w:r>
            </w:hyperlink>
          </w:p>
        </w:tc>
        <w:tc>
          <w:tcPr>
            <w:tcW w:w="640" w:type="dxa"/>
            <w:vAlign w:val="bottom"/>
          </w:tcPr>
          <w:p>
            <w:pPr>
              <w:ind w:left="400"/>
              <w:spacing w:after="0" w:line="15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56"/>
        </w:trPr>
        <w:tc>
          <w:tcPr>
            <w:tcW w:w="25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December 31, 2015, 2014 and 2013</w:t>
              </w:r>
            </w:hyperlink>
          </w:p>
        </w:tc>
        <w:tc>
          <w:tcPr>
            <w:tcW w:w="5420" w:type="dxa"/>
            <w:vAlign w:val="bottom"/>
            <w:tcBorders>
              <w:top w:val="single" w:sz="8" w:color="0000EE"/>
            </w:tcBorders>
            <w:gridSpan w:val="6"/>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56"/>
        </w:trPr>
        <w:tc>
          <w:tcPr>
            <w:tcW w:w="8420" w:type="dxa"/>
            <w:vAlign w:val="bottom"/>
            <w:gridSpan w:val="9"/>
          </w:tcPr>
          <w:p>
            <w:pPr>
              <w:spacing w:after="0" w:line="15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Cash Flows for the years ended December 31, 2015, 2014 and 2013</w:t>
              </w:r>
            </w:hyperlink>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2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08">
              <w:r>
                <w:rPr>
                  <w:rFonts w:ascii="Arial" w:cs="Arial" w:eastAsia="Arial" w:hAnsi="Arial"/>
                  <w:sz w:val="18"/>
                  <w:szCs w:val="18"/>
                  <w:color w:val="0000EE"/>
                </w:rPr>
                <w:t>Notes to Consolidated Financial Statements</w:t>
              </w:r>
            </w:hyperlink>
          </w:p>
        </w:tc>
        <w:tc>
          <w:tcPr>
            <w:tcW w:w="1500" w:type="dxa"/>
            <w:vAlign w:val="bottom"/>
            <w:gridSpan w:val="2"/>
          </w:tcPr>
          <w:p>
            <w:pPr>
              <w:spacing w:after="0"/>
              <w:rPr>
                <w:sz w:val="13"/>
                <w:szCs w:val="13"/>
                <w:color w:val="auto"/>
              </w:rPr>
            </w:pPr>
          </w:p>
        </w:tc>
        <w:tc>
          <w:tcPr>
            <w:tcW w:w="640" w:type="dxa"/>
            <w:vAlign w:val="bottom"/>
          </w:tcPr>
          <w:p>
            <w:pPr>
              <w:ind w:left="400"/>
              <w:spacing w:after="0" w:line="15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200" w:type="dxa"/>
            <w:vAlign w:val="bottom"/>
            <w:gridSpan w:val="5"/>
          </w:tcPr>
          <w:p>
            <w:pPr>
              <w:jc w:val="center"/>
              <w:ind w:right="3580"/>
              <w:spacing w:after="0"/>
              <w:rPr>
                <w:sz w:val="20"/>
                <w:szCs w:val="20"/>
                <w:color w:val="auto"/>
              </w:rPr>
            </w:pPr>
            <w:r>
              <w:rPr>
                <w:rFonts w:ascii="Arial" w:cs="Arial" w:eastAsia="Arial" w:hAnsi="Arial"/>
                <w:sz w:val="18"/>
                <w:szCs w:val="18"/>
                <w:color w:val="auto"/>
                <w:w w:val="96"/>
              </w:rPr>
              <w:t>F-1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rPr>
          <w:sz w:val="20"/>
          <w:szCs w:val="20"/>
          <w:color w:val="auto"/>
        </w:rPr>
      </w:pPr>
      <w:r>
        <w:rPr>
          <w:rFonts w:ascii="Arial" w:cs="Arial" w:eastAsia="Arial" w:hAnsi="Arial"/>
          <w:sz w:val="18"/>
          <w:szCs w:val="18"/>
          <w:color w:val="auto"/>
        </w:rPr>
        <w:t>Blueprint Medicines Corporation</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have audited the accompanying consolidated balance sheets of Blueprint Medicines Corporation (the “Company”) as of December 31, 2015 and 2014 and the related consolidated statements of operations, convertible preferred stock and stockholders’ equity (deficit),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at December 31, 2015 and 2014, and the consolidated results of its operations and its cash flows for each of the three years in the period ended December 31, 2015,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11, 2016</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162,707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Unbilled accounts receivable</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170,416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48,274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6,661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178,898</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49,925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40" w:type="dxa"/>
            <w:vAlign w:val="bottom"/>
          </w:tcPr>
          <w:p>
            <w:pPr>
              <w:spacing w:after="0"/>
              <w:rPr>
                <w:sz w:val="20"/>
                <w:szCs w:val="20"/>
                <w:color w:val="auto"/>
              </w:rPr>
            </w:pPr>
            <w:r>
              <w:rPr>
                <w:rFonts w:ascii="Arial" w:cs="Arial" w:eastAsia="Arial" w:hAnsi="Arial"/>
                <w:sz w:val="14"/>
                <w:szCs w:val="14"/>
                <w:color w:val="auto"/>
              </w:rPr>
              <w:t>Liabilities, convertible preferred stock and stockholders’ equity (deficit)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20"/>
              <w:spacing w:after="0"/>
              <w:rPr>
                <w:sz w:val="20"/>
                <w:szCs w:val="20"/>
                <w:color w:val="auto"/>
              </w:rPr>
            </w:pPr>
            <w:r>
              <w:rPr>
                <w:rFonts w:ascii="Arial" w:cs="Arial" w:eastAsia="Arial" w:hAnsi="Arial"/>
                <w:sz w:val="14"/>
                <w:szCs w:val="14"/>
                <w:color w:val="auto"/>
              </w:rPr>
              <w:t>Deferred rent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liability</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20"/>
              <w:spacing w:after="0"/>
              <w:rPr>
                <w:sz w:val="20"/>
                <w:szCs w:val="20"/>
                <w:color w:val="auto"/>
              </w:rPr>
            </w:pPr>
            <w:r>
              <w:rPr>
                <w:rFonts w:ascii="Arial" w:cs="Arial" w:eastAsia="Arial" w:hAnsi="Arial"/>
                <w:sz w:val="14"/>
                <w:szCs w:val="14"/>
                <w:color w:val="auto"/>
              </w:rPr>
              <w:t>Current portion of deferred revenue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5,898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lease incentive obligation</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Current portion of term loan payable</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18,640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6,764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Deferred rent, net of current portion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liability, net of current portion</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Warrant liability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net of current portion</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Lease incentive obligation, net of current portion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3,370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Term loan payable, net of current portion</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Other long term liabilities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Commitments (Note 12)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840" w:type="dxa"/>
            <w:vAlign w:val="bottom"/>
          </w:tcPr>
          <w:p>
            <w:pPr>
              <w:spacing w:after="0" w:line="108" w:lineRule="exact"/>
              <w:rPr>
                <w:sz w:val="20"/>
                <w:szCs w:val="20"/>
                <w:color w:val="auto"/>
              </w:rPr>
            </w:pPr>
            <w:r>
              <w:rPr>
                <w:rFonts w:ascii="Arial" w:cs="Arial" w:eastAsia="Arial" w:hAnsi="Arial"/>
                <w:sz w:val="12"/>
                <w:szCs w:val="12"/>
                <w:color w:val="auto"/>
              </w:rPr>
              <w:t>Series A convertible preferred stock, $0.001 par value: no shares and 40,150,000 shares authorized at December 31,</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40"/>
              <w:spacing w:after="0" w:line="135" w:lineRule="exact"/>
              <w:rPr>
                <w:sz w:val="20"/>
                <w:szCs w:val="20"/>
                <w:color w:val="auto"/>
              </w:rPr>
            </w:pPr>
            <w:r>
              <w:rPr>
                <w:rFonts w:ascii="Arial" w:cs="Arial" w:eastAsia="Arial" w:hAnsi="Arial"/>
                <w:sz w:val="14"/>
                <w:szCs w:val="14"/>
                <w:color w:val="auto"/>
                <w:w w:val="93"/>
              </w:rPr>
              <w:t>2015 and December 31, 2014, respectively; no shares and 40,000,000 shares issued and outstanding at December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39,958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40"/>
              <w:spacing w:after="0"/>
              <w:rPr>
                <w:sz w:val="20"/>
                <w:szCs w:val="20"/>
                <w:color w:val="auto"/>
              </w:rPr>
            </w:pPr>
            <w:r>
              <w:rPr>
                <w:rFonts w:ascii="Arial" w:cs="Arial" w:eastAsia="Arial" w:hAnsi="Arial"/>
                <w:sz w:val="14"/>
                <w:szCs w:val="14"/>
                <w:color w:val="auto"/>
              </w:rPr>
              <w:t>31, 2015 and December 31, 2014, respectively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8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B convertible preferred stock, $0.001 par value: no shares and 20,999,996 shares authorized at December</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31,2015 and December 31, 2014, respectively; no shares and 20,916,663 shares issued and outstanding at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2015 and December 31, 2014, respectively</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840" w:type="dxa"/>
            <w:vAlign w:val="bottom"/>
          </w:tcPr>
          <w:p>
            <w:pPr>
              <w:spacing w:after="0" w:line="108" w:lineRule="exact"/>
              <w:rPr>
                <w:sz w:val="20"/>
                <w:szCs w:val="20"/>
                <w:color w:val="auto"/>
              </w:rPr>
            </w:pPr>
            <w:r>
              <w:rPr>
                <w:rFonts w:ascii="Arial" w:cs="Arial" w:eastAsia="Arial" w:hAnsi="Arial"/>
                <w:sz w:val="12"/>
                <w:szCs w:val="12"/>
                <w:color w:val="auto"/>
              </w:rPr>
              <w:t>Series C convertible preferred stock, $0.001 par value: no shares and 24,154,589 shares authorized at December 31,</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40"/>
              <w:spacing w:after="0" w:line="135" w:lineRule="exact"/>
              <w:rPr>
                <w:sz w:val="20"/>
                <w:szCs w:val="20"/>
                <w:color w:val="auto"/>
              </w:rPr>
            </w:pPr>
            <w:r>
              <w:rPr>
                <w:rFonts w:ascii="Arial" w:cs="Arial" w:eastAsia="Arial" w:hAnsi="Arial"/>
                <w:sz w:val="14"/>
                <w:szCs w:val="14"/>
                <w:color w:val="auto"/>
                <w:w w:val="93"/>
              </w:rPr>
              <w:t>2015 and December 31, 2014, respectively; no shares and 24,154,589 shares issued and outstanding at December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49,868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40"/>
              <w:spacing w:after="0"/>
              <w:rPr>
                <w:sz w:val="20"/>
                <w:szCs w:val="20"/>
                <w:color w:val="auto"/>
              </w:rPr>
            </w:pPr>
            <w:r>
              <w:rPr>
                <w:rFonts w:ascii="Arial" w:cs="Arial" w:eastAsia="Arial" w:hAnsi="Arial"/>
                <w:sz w:val="14"/>
                <w:szCs w:val="14"/>
                <w:color w:val="auto"/>
              </w:rPr>
              <w:t>31, 2015 and December 31, 2014, respectively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840" w:type="dxa"/>
            <w:vAlign w:val="bottom"/>
          </w:tcPr>
          <w:p>
            <w:pPr>
              <w:spacing w:after="0" w:line="108" w:lineRule="exact"/>
              <w:rPr>
                <w:sz w:val="20"/>
                <w:szCs w:val="20"/>
                <w:color w:val="auto"/>
              </w:rPr>
            </w:pPr>
            <w:r>
              <w:rPr>
                <w:rFonts w:ascii="Arial" w:cs="Arial" w:eastAsia="Arial" w:hAnsi="Arial"/>
                <w:sz w:val="12"/>
                <w:szCs w:val="12"/>
                <w:color w:val="auto"/>
              </w:rPr>
              <w:t>Preferred stock, $0.001 par value; 5,000,000 shares authorized; no shares issued and outstanding at December 31,</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840" w:type="dxa"/>
            <w:vAlign w:val="bottom"/>
          </w:tcPr>
          <w:p>
            <w:pPr>
              <w:ind w:left="140"/>
              <w:spacing w:after="0"/>
              <w:rPr>
                <w:sz w:val="20"/>
                <w:szCs w:val="20"/>
                <w:color w:val="auto"/>
              </w:rPr>
            </w:pPr>
            <w:r>
              <w:rPr>
                <w:rFonts w:ascii="Arial" w:cs="Arial" w:eastAsia="Arial" w:hAnsi="Arial"/>
                <w:sz w:val="14"/>
                <w:szCs w:val="14"/>
                <w:color w:val="auto"/>
              </w:rPr>
              <w:t>2015 and December 31, 2014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8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120,000,000 shares authorized; 27,196,053 and 2,218,652 shares issued at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6"/>
              </w:rPr>
              <w:t>December 31, 2015 and December 31, 2014, respectively, and 27,065,558 and 1,626,738 shares outstanding at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2015 and December 31, 2014, respectively</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278,927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(134,975)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(82,206)</w:t>
            </w:r>
          </w:p>
        </w:tc>
        <w:tc>
          <w:tcPr>
            <w:tcW w:w="0" w:type="dxa"/>
            <w:vAlign w:val="bottom"/>
          </w:tcPr>
          <w:p>
            <w:pPr>
              <w:spacing w:after="0"/>
              <w:rPr>
                <w:sz w:val="1"/>
                <w:szCs w:val="1"/>
                <w:color w:val="auto"/>
              </w:rPr>
            </w:pPr>
          </w:p>
        </w:tc>
      </w:tr>
      <w:tr>
        <w:trPr>
          <w:trHeight w:val="156"/>
        </w:trPr>
        <w:tc>
          <w:tcPr>
            <w:tcW w:w="68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1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143,979</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(79,382)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equity (deficit)</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178,898</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49,925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0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2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(52,769)</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(40,285)</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dividends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(55,922)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(46,050)</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602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 applicable</w:t>
            </w: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18,236</w:t>
            </w:r>
          </w:p>
        </w:tc>
        <w:tc>
          <w:tcPr>
            <w:tcW w:w="1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line="189" w:lineRule="exact"/>
              <w:rPr>
                <w:sz w:val="20"/>
                <w:szCs w:val="20"/>
                <w:color w:val="auto"/>
              </w:rPr>
            </w:pPr>
            <w:r>
              <w:rPr>
                <w:rFonts w:ascii="Arial" w:cs="Arial" w:eastAsia="Arial" w:hAnsi="Arial"/>
                <w:sz w:val="18"/>
                <w:szCs w:val="18"/>
                <w:color w:val="auto"/>
              </w:rPr>
              <w:t>to common stockholders — basic and diluted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6020" w:type="dxa"/>
            <w:vAlign w:val="bottom"/>
          </w:tcPr>
          <w:p>
            <w:pPr>
              <w:ind w:left="4400"/>
              <w:spacing w:after="0"/>
              <w:rPr>
                <w:sz w:val="20"/>
                <w:szCs w:val="20"/>
                <w:color w:val="auto"/>
              </w:rPr>
            </w:pPr>
            <w:r>
              <w:rPr>
                <w:rFonts w:ascii="Arial" w:cs="Arial" w:eastAsia="Arial" w:hAnsi="Arial"/>
                <w:sz w:val="18"/>
                <w:szCs w:val="18"/>
                <w:color w:val="auto"/>
              </w:rPr>
              <w:t>F-4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jc w:val="center"/>
        <w:ind w:right="40"/>
        <w:spacing w:after="0" w:line="203" w:lineRule="auto"/>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40" w:type="dxa"/>
            <w:vAlign w:val="bottom"/>
          </w:tcPr>
          <w:p>
            <w:pPr>
              <w:spacing w:after="0"/>
              <w:rPr>
                <w:sz w:val="14"/>
                <w:szCs w:val="14"/>
                <w:color w:val="auto"/>
              </w:rPr>
            </w:pPr>
          </w:p>
        </w:tc>
        <w:tc>
          <w:tcPr>
            <w:tcW w:w="880" w:type="dxa"/>
            <w:vAlign w:val="bottom"/>
            <w:gridSpan w:val="3"/>
          </w:tcPr>
          <w:p>
            <w:pPr>
              <w:jc w:val="center"/>
              <w:ind w:left="377"/>
              <w:spacing w:after="0"/>
              <w:rPr>
                <w:sz w:val="20"/>
                <w:szCs w:val="20"/>
                <w:color w:val="auto"/>
              </w:rPr>
            </w:pPr>
            <w:r>
              <w:rPr>
                <w:rFonts w:ascii="Arial" w:cs="Arial" w:eastAsia="Arial" w:hAnsi="Arial"/>
                <w:sz w:val="13"/>
                <w:szCs w:val="13"/>
                <w:b w:val="1"/>
                <w:bCs w:val="1"/>
                <w:color w:val="auto"/>
                <w:w w:val="84"/>
              </w:rPr>
              <w:t>Series A</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left="377"/>
              <w:spacing w:after="0"/>
              <w:rPr>
                <w:sz w:val="20"/>
                <w:szCs w:val="20"/>
                <w:color w:val="auto"/>
              </w:rPr>
            </w:pPr>
            <w:r>
              <w:rPr>
                <w:rFonts w:ascii="Arial" w:cs="Arial" w:eastAsia="Arial" w:hAnsi="Arial"/>
                <w:sz w:val="13"/>
                <w:szCs w:val="13"/>
                <w:b w:val="1"/>
                <w:bCs w:val="1"/>
                <w:color w:val="auto"/>
                <w:w w:val="84"/>
              </w:rPr>
              <w:t>Series B</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left="377"/>
              <w:spacing w:after="0"/>
              <w:rPr>
                <w:sz w:val="20"/>
                <w:szCs w:val="20"/>
                <w:color w:val="auto"/>
              </w:rPr>
            </w:pPr>
            <w:r>
              <w:rPr>
                <w:rFonts w:ascii="Arial" w:cs="Arial" w:eastAsia="Arial" w:hAnsi="Arial"/>
                <w:sz w:val="13"/>
                <w:szCs w:val="13"/>
                <w:b w:val="1"/>
                <w:bCs w:val="1"/>
                <w:color w:val="auto"/>
                <w:w w:val="84"/>
              </w:rPr>
              <w:t>Series C</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9"/>
              </w:rPr>
              <w:t>Convertible</w:t>
            </w:r>
          </w:p>
        </w:tc>
        <w:tc>
          <w:tcPr>
            <w:tcW w:w="14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9"/>
              </w:rPr>
              <w:t>Convertible</w:t>
            </w:r>
          </w:p>
        </w:tc>
        <w:tc>
          <w:tcPr>
            <w:tcW w:w="14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Convertible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440" w:type="dxa"/>
            <w:vAlign w:val="bottom"/>
            <w:gridSpan w:val="5"/>
          </w:tcPr>
          <w:p>
            <w:pPr>
              <w:jc w:val="center"/>
              <w:ind w:right="140"/>
              <w:spacing w:after="0" w:line="146" w:lineRule="exact"/>
              <w:rPr>
                <w:sz w:val="20"/>
                <w:szCs w:val="20"/>
                <w:color w:val="auto"/>
              </w:rPr>
            </w:pPr>
            <w:r>
              <w:rPr>
                <w:rFonts w:ascii="Arial" w:cs="Arial" w:eastAsia="Arial" w:hAnsi="Arial"/>
                <w:sz w:val="13"/>
                <w:szCs w:val="13"/>
                <w:b w:val="1"/>
                <w:bCs w:val="1"/>
                <w:color w:val="auto"/>
                <w:w w:val="88"/>
              </w:rPr>
              <w:t>Preferred Stock</w:t>
            </w:r>
          </w:p>
        </w:tc>
        <w:tc>
          <w:tcPr>
            <w:tcW w:w="1440" w:type="dxa"/>
            <w:vAlign w:val="bottom"/>
            <w:gridSpan w:val="5"/>
          </w:tcPr>
          <w:p>
            <w:pPr>
              <w:jc w:val="center"/>
              <w:ind w:right="120"/>
              <w:spacing w:after="0" w:line="146" w:lineRule="exact"/>
              <w:rPr>
                <w:sz w:val="20"/>
                <w:szCs w:val="20"/>
                <w:color w:val="auto"/>
              </w:rPr>
            </w:pPr>
            <w:r>
              <w:rPr>
                <w:rFonts w:ascii="Arial" w:cs="Arial" w:eastAsia="Arial" w:hAnsi="Arial"/>
                <w:sz w:val="13"/>
                <w:szCs w:val="13"/>
                <w:b w:val="1"/>
                <w:bCs w:val="1"/>
                <w:color w:val="auto"/>
                <w:w w:val="86"/>
              </w:rPr>
              <w:t>Preferred Stock</w:t>
            </w:r>
          </w:p>
        </w:tc>
        <w:tc>
          <w:tcPr>
            <w:tcW w:w="1460" w:type="dxa"/>
            <w:vAlign w:val="bottom"/>
            <w:gridSpan w:val="5"/>
          </w:tcPr>
          <w:p>
            <w:pPr>
              <w:jc w:val="center"/>
              <w:ind w:right="140"/>
              <w:spacing w:after="0" w:line="146" w:lineRule="exact"/>
              <w:rPr>
                <w:sz w:val="20"/>
                <w:szCs w:val="20"/>
                <w:color w:val="auto"/>
              </w:rPr>
            </w:pPr>
            <w:r>
              <w:rPr>
                <w:rFonts w:ascii="Arial" w:cs="Arial" w:eastAsia="Arial" w:hAnsi="Arial"/>
                <w:sz w:val="13"/>
                <w:szCs w:val="13"/>
                <w:b w:val="1"/>
                <w:bCs w:val="1"/>
                <w:color w:val="auto"/>
                <w:w w:val="86"/>
              </w:rPr>
              <w:t>Preferred Stock</w:t>
            </w:r>
          </w:p>
        </w:tc>
        <w:tc>
          <w:tcPr>
            <w:tcW w:w="1240" w:type="dxa"/>
            <w:vAlign w:val="bottom"/>
            <w:gridSpan w:val="5"/>
          </w:tcPr>
          <w:p>
            <w:pPr>
              <w:ind w:left="160"/>
              <w:spacing w:after="0" w:line="146"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Paid-in</w:t>
            </w:r>
          </w:p>
        </w:tc>
        <w:tc>
          <w:tcPr>
            <w:tcW w:w="900" w:type="dxa"/>
            <w:vAlign w:val="bottom"/>
            <w:gridSpan w:val="4"/>
          </w:tcPr>
          <w:p>
            <w:pPr>
              <w:ind w:left="60"/>
              <w:spacing w:after="0" w:line="146"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64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60" w:type="dxa"/>
            <w:vAlign w:val="bottom"/>
            <w:tcBorders>
              <w:top w:val="single" w:sz="8" w:color="auto"/>
            </w:tcBorders>
          </w:tcPr>
          <w:p>
            <w:pPr>
              <w:jc w:val="right"/>
              <w:ind w:right="97"/>
              <w:spacing w:after="0" w:line="122"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22"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22"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ind w:right="57"/>
              <w:spacing w:after="0" w:line="12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3"/>
          </w:tcPr>
          <w:p>
            <w:pPr>
              <w:ind w:left="140"/>
              <w:spacing w:after="0" w:line="122" w:lineRule="exact"/>
              <w:rPr>
                <w:sz w:val="20"/>
                <w:szCs w:val="20"/>
                <w:color w:val="auto"/>
              </w:rPr>
            </w:pPr>
            <w:r>
              <w:rPr>
                <w:rFonts w:ascii="Arial" w:cs="Arial" w:eastAsia="Arial" w:hAnsi="Arial"/>
                <w:sz w:val="13"/>
                <w:szCs w:val="13"/>
                <w:b w:val="1"/>
                <w:bCs w:val="1"/>
                <w:color w:val="auto"/>
                <w:w w:val="81"/>
              </w:rPr>
              <w:t>Amount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75"/>
        </w:trPr>
        <w:tc>
          <w:tcPr>
            <w:tcW w:w="1140" w:type="dxa"/>
            <w:vAlign w:val="bottom"/>
            <w:tcBorders>
              <w:top w:val="single" w:sz="8" w:color="CCEEFF"/>
            </w:tcBorders>
            <w:shd w:val="clear" w:color="auto" w:fill="CCEEFF"/>
          </w:tcPr>
          <w:p>
            <w:pPr>
              <w:spacing w:after="0" w:line="75" w:lineRule="exact"/>
              <w:rPr>
                <w:sz w:val="20"/>
                <w:szCs w:val="20"/>
                <w:color w:val="auto"/>
              </w:rPr>
            </w:pPr>
            <w:r>
              <w:rPr>
                <w:rFonts w:ascii="Arial" w:cs="Arial" w:eastAsia="Arial" w:hAnsi="Arial"/>
                <w:sz w:val="8"/>
                <w:szCs w:val="8"/>
                <w:color w:val="auto"/>
              </w:rPr>
              <w:t>Balance at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92"/>
              </w:rPr>
              <w:t>25,000,000</w:t>
            </w:r>
          </w:p>
        </w:tc>
        <w:tc>
          <w:tcPr>
            <w:tcW w:w="140" w:type="dxa"/>
            <w:vAlign w:val="bottom"/>
            <w:tcBorders>
              <w:top w:val="single" w:sz="8" w:color="CCEEFF"/>
            </w:tcBorders>
            <w:vMerge w:val="restart"/>
            <w:shd w:val="clear" w:color="auto" w:fill="CCEEFF"/>
          </w:tcPr>
          <w:p>
            <w:pPr>
              <w:spacing w:after="0"/>
              <w:rPr>
                <w:sz w:val="6"/>
                <w:szCs w:val="6"/>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90"/>
              </w:rPr>
              <w:t>24,970</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vMerge w:val="restart"/>
            <w:shd w:val="clear" w:color="auto" w:fill="CCEEFF"/>
          </w:tcPr>
          <w:p>
            <w:pPr>
              <w:spacing w:after="0"/>
              <w:rPr>
                <w:sz w:val="6"/>
                <w:szCs w:val="6"/>
                <w:color w:val="auto"/>
              </w:rPr>
            </w:pPr>
          </w:p>
        </w:tc>
        <w:tc>
          <w:tcPr>
            <w:tcW w:w="660" w:type="dxa"/>
            <w:vAlign w:val="bottom"/>
            <w:tcBorders>
              <w:top w:val="single" w:sz="8" w:color="auto"/>
            </w:tcBorders>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vMerge w:val="restart"/>
            <w:shd w:val="clear" w:color="auto" w:fill="CCEEFF"/>
          </w:tcPr>
          <w:p>
            <w:pPr>
              <w:spacing w:after="0"/>
              <w:rPr>
                <w:sz w:val="6"/>
                <w:szCs w:val="6"/>
                <w:color w:val="auto"/>
              </w:rPr>
            </w:pP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720,031</w:t>
            </w:r>
          </w:p>
        </w:tc>
        <w:tc>
          <w:tcPr>
            <w:tcW w:w="140" w:type="dxa"/>
            <w:vAlign w:val="bottom"/>
            <w:tcBorders>
              <w:top w:val="single" w:sz="8" w:color="CCEEFF"/>
            </w:tcBorders>
            <w:vMerge w:val="restart"/>
            <w:shd w:val="clear" w:color="auto" w:fill="CCEEFF"/>
          </w:tcPr>
          <w:p>
            <w:pPr>
              <w:spacing w:after="0"/>
              <w:rPr>
                <w:sz w:val="6"/>
                <w:szCs w:val="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vMerge w:val="restart"/>
            <w:shd w:val="clear" w:color="auto" w:fill="CCEEFF"/>
          </w:tcPr>
          <w:p>
            <w:pPr>
              <w:spacing w:after="0"/>
              <w:rPr>
                <w:sz w:val="6"/>
                <w:szCs w:val="6"/>
                <w:color w:val="auto"/>
              </w:rPr>
            </w:pPr>
          </w:p>
        </w:tc>
        <w:tc>
          <w:tcPr>
            <w:tcW w:w="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92</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vMerge w:val="restart"/>
            <w:shd w:val="clear" w:color="auto" w:fill="CCEEFF"/>
          </w:tcPr>
          <w:p>
            <w:pPr>
              <w:spacing w:after="0"/>
              <w:rPr>
                <w:sz w:val="6"/>
                <w:szCs w:val="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(21,009)</w:t>
            </w: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(20,916)</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w w:val="98"/>
              </w:rPr>
              <w:t>December 31, 2012</w:t>
            </w:r>
          </w:p>
        </w:tc>
        <w:tc>
          <w:tcPr>
            <w:tcW w:w="66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Issuance of Series</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A convertible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preferred stock at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w w:val="96"/>
              </w:rPr>
              <w:t>$1.00 per share, net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w w:val="98"/>
              </w:rPr>
              <w:t>of issuance costs of</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15,000,000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w w:val="90"/>
              </w:rPr>
              <w:t>14,988</w:t>
            </w:r>
          </w:p>
        </w:tc>
        <w:tc>
          <w:tcPr>
            <w:tcW w:w="140" w:type="dxa"/>
            <w:vAlign w:val="bottom"/>
          </w:tcPr>
          <w:p>
            <w:pPr>
              <w:spacing w:after="0"/>
              <w:rPr>
                <w:sz w:val="10"/>
                <w:szCs w:val="10"/>
                <w:color w:val="auto"/>
              </w:rPr>
            </w:pP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ind w:lef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$12</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Issuance of</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common stock</w:t>
            </w:r>
          </w:p>
        </w:tc>
        <w:tc>
          <w:tcPr>
            <w:tcW w:w="6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501,299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23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23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under stock plan</w:t>
            </w: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Stock based</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compensation</w:t>
            </w: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351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351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expense</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(20,912)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(20,912)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140" w:type="dxa"/>
            <w:vAlign w:val="bottom"/>
          </w:tcPr>
          <w:p>
            <w:pPr>
              <w:spacing w:after="0" w:line="75" w:lineRule="exact"/>
              <w:rPr>
                <w:sz w:val="20"/>
                <w:szCs w:val="20"/>
                <w:color w:val="auto"/>
              </w:rPr>
            </w:pPr>
            <w:r>
              <w:rPr>
                <w:rFonts w:ascii="Arial" w:cs="Arial" w:eastAsia="Arial" w:hAnsi="Arial"/>
                <w:sz w:val="8"/>
                <w:szCs w:val="8"/>
                <w:color w:val="auto"/>
              </w:rPr>
              <w:t>Balance at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40,000,000</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w w:val="90"/>
              </w:rPr>
              <w:t>39,958</w:t>
            </w:r>
          </w:p>
        </w:tc>
        <w:tc>
          <w:tcPr>
            <w:tcW w:w="140" w:type="dxa"/>
            <w:vAlign w:val="bottom"/>
          </w:tcPr>
          <w:p>
            <w:pPr>
              <w:spacing w:after="0"/>
              <w:rPr>
                <w:sz w:val="6"/>
                <w:szCs w:val="6"/>
                <w:color w:val="auto"/>
              </w:rPr>
            </w:pP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1,221,330</w:t>
            </w:r>
          </w:p>
        </w:tc>
        <w:tc>
          <w:tcPr>
            <w:tcW w:w="2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6"/>
                <w:szCs w:val="6"/>
                <w:color w:val="auto"/>
              </w:rPr>
            </w:pPr>
          </w:p>
        </w:tc>
        <w:tc>
          <w:tcPr>
            <w:tcW w:w="140" w:type="dxa"/>
            <w:vAlign w:val="bottom"/>
            <w:gridSpan w:val="2"/>
            <w:vMerge w:val="restart"/>
          </w:tcPr>
          <w:p>
            <w:pPr>
              <w:ind w:left="80"/>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2"/>
              </w:rPr>
              <w:t>466</w:t>
            </w:r>
          </w:p>
        </w:tc>
        <w:tc>
          <w:tcPr>
            <w:tcW w:w="80" w:type="dxa"/>
            <w:vAlign w:val="bottom"/>
          </w:tcPr>
          <w:p>
            <w:pPr>
              <w:spacing w:after="0"/>
              <w:rPr>
                <w:sz w:val="6"/>
                <w:szCs w:val="6"/>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6"/>
              </w:rPr>
              <w:t>(41,921)</w:t>
            </w:r>
          </w:p>
        </w:tc>
        <w:tc>
          <w:tcPr>
            <w:tcW w:w="140" w:type="dxa"/>
            <w:vAlign w:val="bottom"/>
          </w:tcPr>
          <w:p>
            <w:pPr>
              <w:spacing w:after="0"/>
              <w:rPr>
                <w:sz w:val="6"/>
                <w:szCs w:val="6"/>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6"/>
              </w:rPr>
              <w:t>(41,454)</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w w:val="98"/>
              </w:rPr>
              <w:t>December 31, 2013</w:t>
            </w: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Issuance of Series</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B convertible</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preferred stock at</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w w:val="96"/>
              </w:rPr>
              <w:t>$1.20 per share, net</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w w:val="98"/>
              </w:rPr>
              <w:t>of issuance costs of</w:t>
            </w:r>
          </w:p>
        </w:tc>
        <w:tc>
          <w:tcPr>
            <w:tcW w:w="6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2"/>
              </w:rPr>
              <w:t>20,916,663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0"/>
              </w:rPr>
              <w:t>24,985</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$115</w:t>
            </w: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Issuance of Series</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C convertible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preferred stock at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w w:val="96"/>
              </w:rPr>
              <w:t>$2.07 per share, net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of issuance cost of</w:t>
            </w: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24,154,589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5"/>
              </w:rPr>
              <w:t>49,868</w:t>
            </w:r>
          </w:p>
        </w:tc>
        <w:tc>
          <w:tcPr>
            <w:tcW w:w="140" w:type="dxa"/>
            <w:vAlign w:val="bottom"/>
          </w:tcPr>
          <w:p>
            <w:pPr>
              <w:spacing w:after="0"/>
              <w:rPr>
                <w:sz w:val="10"/>
                <w:szCs w:val="10"/>
                <w:color w:val="auto"/>
              </w:rPr>
            </w:pPr>
          </w:p>
        </w:tc>
        <w:tc>
          <w:tcPr>
            <w:tcW w:w="6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$131</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Issuance of</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common stock</w:t>
            </w:r>
          </w:p>
        </w:tc>
        <w:tc>
          <w:tcPr>
            <w:tcW w:w="6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405,408</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30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31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under stock plan</w:t>
            </w: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Stock based</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compensation</w:t>
            </w: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5"/>
              </w:rPr>
              <w:t>2,326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5"/>
              </w:rPr>
              <w:t>2,326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expense</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(40,285)</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(40,285)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140" w:type="dxa"/>
            <w:vAlign w:val="bottom"/>
          </w:tcPr>
          <w:p>
            <w:pPr>
              <w:spacing w:after="0" w:line="75" w:lineRule="exact"/>
              <w:rPr>
                <w:sz w:val="20"/>
                <w:szCs w:val="20"/>
                <w:color w:val="auto"/>
              </w:rPr>
            </w:pPr>
            <w:r>
              <w:rPr>
                <w:rFonts w:ascii="Arial" w:cs="Arial" w:eastAsia="Arial" w:hAnsi="Arial"/>
                <w:sz w:val="8"/>
                <w:szCs w:val="8"/>
                <w:color w:val="auto"/>
              </w:rPr>
              <w:t>Balance at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40,000,000</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w w:val="90"/>
              </w:rPr>
              <w:t>39,958</w:t>
            </w:r>
          </w:p>
        </w:tc>
        <w:tc>
          <w:tcPr>
            <w:tcW w:w="14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20,916,663</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5"/>
              </w:rPr>
              <w:t>24,985</w:t>
            </w:r>
          </w:p>
        </w:tc>
        <w:tc>
          <w:tcPr>
            <w:tcW w:w="12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24,154,589</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95"/>
              </w:rPr>
              <w:t>49,868</w:t>
            </w:r>
          </w:p>
        </w:tc>
        <w:tc>
          <w:tcPr>
            <w:tcW w:w="14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3"/>
              </w:rPr>
              <w:t>1,626,738</w:t>
            </w:r>
          </w:p>
        </w:tc>
        <w:tc>
          <w:tcPr>
            <w:tcW w:w="28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6"/>
                <w:szCs w:val="6"/>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2,822</w:t>
            </w:r>
          </w:p>
        </w:tc>
        <w:tc>
          <w:tcPr>
            <w:tcW w:w="80" w:type="dxa"/>
            <w:vAlign w:val="bottom"/>
          </w:tcPr>
          <w:p>
            <w:pPr>
              <w:spacing w:after="0"/>
              <w:rPr>
                <w:sz w:val="6"/>
                <w:szCs w:val="6"/>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(82,206)</w:t>
            </w:r>
          </w:p>
        </w:tc>
        <w:tc>
          <w:tcPr>
            <w:tcW w:w="140" w:type="dxa"/>
            <w:vAlign w:val="bottom"/>
          </w:tcPr>
          <w:p>
            <w:pPr>
              <w:spacing w:after="0"/>
              <w:rPr>
                <w:sz w:val="6"/>
                <w:szCs w:val="6"/>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(79,382)</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w w:val="98"/>
              </w:rPr>
              <w:t>December 31, 2014</w:t>
            </w: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Conversion of</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preferred stock into</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(40,000,000)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(39,958)</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(20,916,663)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(24,985)</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(24,154,589)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(49,868)</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15,467,479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9"/>
              </w:rPr>
              <w:t>114,792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114,807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Initial public</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offering, net of</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3"/>
              </w:rPr>
              <w:t>9,367,708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89"/>
              </w:rPr>
              <w:t>154,743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154,752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issuance costs</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Reclassification of</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warrant</w:t>
            </w: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Issuance of</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common stock</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upon warrant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32,438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exercise</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Issuance of</w:t>
            </w: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common stock</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571,195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under stock plan</w:t>
            </w: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line="95" w:lineRule="exact"/>
              <w:rPr>
                <w:sz w:val="20"/>
                <w:szCs w:val="20"/>
                <w:color w:val="auto"/>
              </w:rPr>
            </w:pPr>
            <w:r>
              <w:rPr>
                <w:rFonts w:ascii="Arial" w:cs="Arial" w:eastAsia="Arial" w:hAnsi="Arial"/>
                <w:sz w:val="9"/>
                <w:szCs w:val="9"/>
                <w:color w:val="auto"/>
              </w:rPr>
              <w:t>Stock-based</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color w:val="auto"/>
              </w:rPr>
              <w:t>compensation</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5,180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expense</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(52,769)</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(52,769)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140" w:type="dxa"/>
            <w:vAlign w:val="bottom"/>
          </w:tcPr>
          <w:p>
            <w:pPr>
              <w:spacing w:after="0" w:line="75" w:lineRule="exact"/>
              <w:rPr>
                <w:sz w:val="20"/>
                <w:szCs w:val="20"/>
                <w:color w:val="auto"/>
              </w:rPr>
            </w:pPr>
            <w:r>
              <w:rPr>
                <w:rFonts w:ascii="Arial" w:cs="Arial" w:eastAsia="Arial" w:hAnsi="Arial"/>
                <w:sz w:val="8"/>
                <w:szCs w:val="8"/>
                <w:color w:val="auto"/>
              </w:rPr>
              <w:t>Balance at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82"/>
              </w:rPr>
              <w:t>27,065,558</w:t>
            </w:r>
          </w:p>
        </w:tc>
        <w:tc>
          <w:tcPr>
            <w:tcW w:w="28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6"/>
                <w:szCs w:val="6"/>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89"/>
              </w:rPr>
              <w:t>278,927</w:t>
            </w:r>
          </w:p>
        </w:tc>
        <w:tc>
          <w:tcPr>
            <w:tcW w:w="80" w:type="dxa"/>
            <w:vAlign w:val="bottom"/>
          </w:tcPr>
          <w:p>
            <w:pPr>
              <w:spacing w:after="0"/>
              <w:rPr>
                <w:sz w:val="6"/>
                <w:szCs w:val="6"/>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6"/>
              </w:rPr>
              <w:t>(134,975)</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143,979</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line="135" w:lineRule="exact"/>
              <w:rPr>
                <w:sz w:val="20"/>
                <w:szCs w:val="20"/>
                <w:color w:val="auto"/>
              </w:rPr>
            </w:pPr>
            <w:r>
              <w:rPr>
                <w:rFonts w:ascii="Arial" w:cs="Arial" w:eastAsia="Arial" w:hAnsi="Arial"/>
                <w:sz w:val="13"/>
                <w:szCs w:val="13"/>
                <w:color w:val="auto"/>
                <w:w w:val="98"/>
              </w:rPr>
              <w:t>December 31, 2015</w:t>
            </w:r>
          </w:p>
        </w:tc>
        <w:tc>
          <w:tcPr>
            <w:tcW w:w="6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169"/>
        </w:trPr>
        <w:tc>
          <w:tcPr>
            <w:tcW w:w="62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(52,769)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(40,285)</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(20,912)</w:t>
            </w:r>
          </w:p>
        </w:tc>
        <w:tc>
          <w:tcPr>
            <w:tcW w:w="80" w:type="dxa"/>
            <w:vAlign w:val="bottom"/>
          </w:tcPr>
          <w:p>
            <w:pPr>
              <w:spacing w:after="0"/>
              <w:rPr>
                <w:sz w:val="18"/>
                <w:szCs w:val="18"/>
                <w:color w:val="auto"/>
              </w:rPr>
            </w:pPr>
          </w:p>
        </w:tc>
      </w:tr>
      <w:tr>
        <w:trPr>
          <w:trHeight w:val="176"/>
        </w:trPr>
        <w:tc>
          <w:tcPr>
            <w:tcW w:w="6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r>
      <w:tr>
        <w:trPr>
          <w:trHeight w:val="176"/>
        </w:trPr>
        <w:tc>
          <w:tcPr>
            <w:tcW w:w="620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Unbilled accounts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13,641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(31,676)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(19,025)</w:t>
            </w:r>
          </w:p>
        </w:tc>
        <w:tc>
          <w:tcPr>
            <w:tcW w:w="80" w:type="dxa"/>
            <w:vAlign w:val="bottom"/>
          </w:tcPr>
          <w:p>
            <w:pPr>
              <w:spacing w:after="0"/>
              <w:rPr>
                <w:sz w:val="18"/>
                <w:szCs w:val="18"/>
                <w:color w:val="auto"/>
              </w:rPr>
            </w:pPr>
          </w:p>
        </w:tc>
      </w:tr>
      <w:tr>
        <w:trPr>
          <w:trHeight w:val="176"/>
        </w:trPr>
        <w:tc>
          <w:tcPr>
            <w:tcW w:w="62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r>
      <w:tr>
        <w:trPr>
          <w:trHeight w:val="176"/>
        </w:trPr>
        <w:tc>
          <w:tcPr>
            <w:tcW w:w="62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Proceeds from term loan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loan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w w:val="90"/>
              </w:rPr>
              <w:t>Proceeds from issuance of Series A convertible preferred stock, net of issuance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14,987</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0"/>
              </w:rPr>
              <w:t>Proceeds from issuance of Series B convertible preferred stock, net of issuance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w w:val="90"/>
              </w:rPr>
              <w:t>Proceeds from issuance of Series C convertible preferred stock, net of issuance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IPO, net of commissions and underwriting discounts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156,815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net of repurchases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153,222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115,467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47,240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162,707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47,240</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8"/>
                <w:szCs w:val="18"/>
                <w:color w:val="auto"/>
              </w:rPr>
            </w:pPr>
          </w:p>
        </w:tc>
      </w:tr>
      <w:tr>
        <w:trPr>
          <w:trHeight w:val="176"/>
        </w:trPr>
        <w:tc>
          <w:tcPr>
            <w:tcW w:w="62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r>
      <w:tr>
        <w:trPr>
          <w:trHeight w:val="27"/>
        </w:trPr>
        <w:tc>
          <w:tcPr>
            <w:tcW w:w="6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114,808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Reclassification of warrant liability to additional paid-in-capital</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810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incurred but unpaid at period end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Issuance of warrants in connection with term loan</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r>
      <w:tr>
        <w:trPr>
          <w:trHeight w:val="594"/>
        </w:trPr>
        <w:tc>
          <w:tcPr>
            <w:tcW w:w="6200" w:type="dxa"/>
            <w:vAlign w:val="bottom"/>
          </w:tcPr>
          <w:p>
            <w:pPr>
              <w:ind w:left="4400"/>
              <w:spacing w:after="0"/>
              <w:rPr>
                <w:sz w:val="20"/>
                <w:szCs w:val="20"/>
                <w:color w:val="auto"/>
              </w:rPr>
            </w:pPr>
            <w:r>
              <w:rPr>
                <w:rFonts w:ascii="Arial" w:cs="Arial" w:eastAsia="Arial" w:hAnsi="Arial"/>
                <w:sz w:val="18"/>
                <w:szCs w:val="18"/>
                <w:color w:val="auto"/>
              </w:rPr>
              <w:t>F-6</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6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with therapeutic windows that may provide significant and durable clinical response to patients without adequate treatment options.</w:t>
      </w:r>
    </w:p>
    <w:p>
      <w:pPr>
        <w:spacing w:after="0" w:line="161"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6"/>
          <w:szCs w:val="16"/>
          <w:color w:val="auto"/>
        </w:rPr>
        <w:t>‑</w:t>
      </w:r>
      <w:r>
        <w:rPr>
          <w:rFonts w:ascii="Arial" w:cs="Arial" w:eastAsia="Arial" w:hAnsi="Arial"/>
          <w:sz w:val="16"/>
          <w:szCs w:val="16"/>
          <w:color w:val="auto"/>
        </w:rPr>
        <w:t>license certain of its research and development programs or future commercialization efforts.</w:t>
      </w:r>
    </w:p>
    <w:p>
      <w:pPr>
        <w:spacing w:after="0" w:line="163"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including 1,221,874 shares of common stock sold by the Company pursuant to the exercise in full by the underwriters of their option to purchase additional shares in connection with the offering, at a price to the public of $18.00 per share. The Company received net proceeds of $154.8 million after deducting underwriting discounts and commissions and offering costs payable by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6"/>
          <w:szCs w:val="16"/>
          <w:color w:val="auto"/>
        </w:rPr>
        <w:t>The audited consolidated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w:t>
      </w:r>
    </w:p>
    <w:p>
      <w:pPr>
        <w:spacing w:after="0" w:line="147"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17"/>
          <w:szCs w:val="17"/>
          <w:color w:val="auto"/>
        </w:rPr>
        <w:t>The accompanying consolidated financial statements include the accounts of Blueprint Medicines Corporation and its wholly owned subsidiary, Blueprint Medicines Security Corporation, which is a Massachusetts subsidiary created to buy, sell and hold securities. All intercompany transactions and balances have been eliminated.</w:t>
      </w:r>
    </w:p>
    <w:p>
      <w:pPr>
        <w:spacing w:after="0" w:line="161"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In connection with preparing for its IPO, the Company effected a 1</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 Upon the closing of the IPO in May 2015, all of the Company’s outstanding convertible preferred stock automatically converted into 15,467,479 shares of common stock, and warrants exercisable for convertible preferred stock automatically converted into warrants exercisable for 42,423 shares of common stock. In addition, the Company is authorized to issue 120,000,000 shares of common stock and 5,000,000 shares of preferred stock. The significant increase in shares outstanding in the year ended December 31, 2015 is expected to impact the year-over-year comparability of the Company’s net loss per share calculations until the second quarter of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194" w:lineRule="exact"/>
        <w:rPr>
          <w:sz w:val="20"/>
          <w:szCs w:val="20"/>
          <w:color w:val="auto"/>
        </w:rPr>
      </w:pPr>
      <w:r>
        <w:rPr>
          <w:rFonts w:ascii="Arial" w:cs="Arial" w:eastAsia="Arial" w:hAnsi="Arial"/>
          <w:sz w:val="18"/>
          <w:szCs w:val="18"/>
          <w:color w:val="auto"/>
        </w:rPr>
        <w:t>reasonable estimates. Estimates are used in the following areas, among others: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including estimating the fair value of the Company’s common stock prior to the IPO; revenue recognition; the valuation of liability</w:t>
      </w:r>
      <w:r>
        <w:rPr>
          <w:rFonts w:ascii="MS PGothic" w:cs="MS PGothic" w:eastAsia="MS PGothic" w:hAnsi="MS PGothic"/>
          <w:sz w:val="18"/>
          <w:szCs w:val="18"/>
          <w:color w:val="auto"/>
        </w:rPr>
        <w:t>‑</w:t>
      </w:r>
      <w:r>
        <w:rPr>
          <w:rFonts w:ascii="Arial" w:cs="Arial" w:eastAsia="Arial" w:hAnsi="Arial"/>
          <w:sz w:val="18"/>
          <w:szCs w:val="18"/>
          <w:color w:val="auto"/>
        </w:rPr>
        <w:t>classified warrants prior to the IPO; accrued expenses; and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The Company recognizes revenue from license and collaboration agreements in accordance with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Accordingly, revenue is recognized when all of the following criteria are met:</w:t>
      </w:r>
    </w:p>
    <w:p>
      <w:pPr>
        <w:spacing w:after="0" w:line="124" w:lineRule="exact"/>
        <w:rPr>
          <w:sz w:val="20"/>
          <w:szCs w:val="20"/>
          <w:color w:val="auto"/>
        </w:rPr>
      </w:pPr>
    </w:p>
    <w:p>
      <w:pPr>
        <w:ind w:left="1140" w:hanging="16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180" w:hanging="205"/>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the Company’s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Company’s revenue is currently generated through its collaboration agreement with Alexion Pharma Holding (Alexion). The terms of this agreement contain multiple elements, or deliverables, including an exclusive license granted by the Company to Alexion to research, develop, manufacture and commercialize the licensed products and the compounds in the field in the territory, as well as research and development activities to be performed by the Company on behalf of Alexion related to the licensed product candidates. In addition, the terms of this agreement include payments to the Company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the Company has received the upfront payment, payments for the achievement of certain pre-clinical milestones under the Alexion agreement and payments for certain research and development services. The Company is eligible to earn additional milestone payments under the Alexion agreement. The Company has not earned royalty revenue as a result of product sales. See Note 13 for additional information on this agreement.</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deliverable(s) for their intended purpose without the receipt of the remaining element(s), whether the value of the deliverable is dependent on the undelivered item(s) and whether there are other vendors that can provide the undelivered element(s). The Company’s collaboration agreement with Alexion does not contain a general right of return relative to the delivered item(s).</w:t>
      </w:r>
    </w:p>
    <w:p>
      <w:pPr>
        <w:spacing w:after="0" w:line="16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since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63"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the Company recognizes revenue from the combined element over the period over which it expects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the Company recognizes revenue under the arrangement using the proportional performance method. If there is no discernible pattern of performance and/or objectively measurable performance measures do not exist, then the Company recognizes revenue under the arrangement on a straight-line basis over the period the Company is expected to complete its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multiple-element revenue arrangements may include the following: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Licenses</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deliverables under the Company’s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The Company may recognize the arrangement consideration allocated to licenses upon delivery of the license if facts and circumstances indicate that the license has stand-alone value from the undelivered elements, which generally include research and development services. The Company defers arrangement consideration allocated to licenses if facts and circumstances indicate that the delivered license does not have stand-alone value from the undelivered elements.</w:t>
      </w:r>
    </w:p>
    <w:p>
      <w:pPr>
        <w:spacing w:after="0" w:line="167"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When management believes a license does not have stand-alone value from the other deliverables to be provided in the arrangement, the Company recognizes revenue attributed to the license on a proportional basis over the Company’s contractual or estimated performance period, which is typically the term of the Company’s research and development obligations. If management cannot reasonably estimate when the Company’s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185" w:lineRule="exact"/>
        <w:rPr>
          <w:sz w:val="20"/>
          <w:szCs w:val="20"/>
          <w:color w:val="auto"/>
        </w:rPr>
      </w:pPr>
    </w:p>
    <w:p>
      <w:pPr>
        <w:jc w:val="both"/>
        <w:ind w:right="40" w:firstLine="648"/>
        <w:spacing w:after="0" w:line="216" w:lineRule="auto"/>
        <w:rPr>
          <w:sz w:val="20"/>
          <w:szCs w:val="20"/>
          <w:color w:val="auto"/>
        </w:rPr>
      </w:pPr>
      <w:r>
        <w:rPr>
          <w:rFonts w:ascii="Arial" w:cs="Arial" w:eastAsia="Arial" w:hAnsi="Arial"/>
          <w:sz w:val="18"/>
          <w:szCs w:val="18"/>
          <w:color w:val="auto"/>
        </w:rPr>
        <w:t>The deliverables under the Company’s collaboration agreements may include 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so long as there is persuasive evidence of an arrangement, the fee is fixed or determinable, and collection of the related amount is reasonably assured.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71"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Company’s collaboration agreements may include contingent milestone payments related to specified pre-clinical milestones, development milestones and sales-based commercial milestones.</w:t>
      </w:r>
    </w:p>
    <w:p>
      <w:pPr>
        <w:spacing w:after="0" w:line="135"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w:t>
      </w:r>
    </w:p>
    <w:p>
      <w:pPr>
        <w:spacing w:after="0" w:line="150" w:lineRule="exact"/>
        <w:rPr>
          <w:sz w:val="20"/>
          <w:szCs w:val="20"/>
          <w:color w:val="auto"/>
        </w:rPr>
      </w:pPr>
    </w:p>
    <w:p>
      <w:pPr>
        <w:ind w:left="1060" w:right="340" w:hanging="85"/>
        <w:spacing w:after="0" w:line="22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Company’s performance to achieve the milestone or the enhancement of the value of the delivered item(s) as a result of a specific outcome resulting from the Company’s performance to achieve the milestone;</w:t>
      </w:r>
    </w:p>
    <w:p>
      <w:pPr>
        <w:spacing w:after="0" w:line="149" w:lineRule="exact"/>
        <w:rPr>
          <w:rFonts w:ascii="Arial" w:cs="Arial" w:eastAsia="Arial" w:hAnsi="Arial"/>
          <w:sz w:val="18"/>
          <w:szCs w:val="18"/>
          <w:color w:val="auto"/>
        </w:rPr>
      </w:pPr>
    </w:p>
    <w:p>
      <w:pPr>
        <w:ind w:left="1120" w:hanging="145"/>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consideration is reasonable relative to all of the deliverables and payment terms within the arrangement.</w:t>
      </w:r>
    </w:p>
    <w:p>
      <w:pPr>
        <w:spacing w:after="0" w:line="194" w:lineRule="exact"/>
        <w:rPr>
          <w:sz w:val="20"/>
          <w:szCs w:val="20"/>
          <w:color w:val="auto"/>
        </w:rPr>
      </w:pPr>
    </w:p>
    <w:p>
      <w:pPr>
        <w:ind w:firstLine="324"/>
        <w:spacing w:after="0" w:line="225" w:lineRule="auto"/>
        <w:rPr>
          <w:sz w:val="20"/>
          <w:szCs w:val="20"/>
          <w:color w:val="auto"/>
        </w:rPr>
      </w:pPr>
      <w:r>
        <w:rPr>
          <w:rFonts w:ascii="Arial" w:cs="Arial" w:eastAsia="Arial" w:hAnsi="Arial"/>
          <w:sz w:val="17"/>
          <w:szCs w:val="17"/>
          <w:color w:val="auto"/>
        </w:rPr>
        <w:t>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assuming all other revenue recognition criteria are met.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58" w:lineRule="exact"/>
        <w:rPr>
          <w:sz w:val="20"/>
          <w:szCs w:val="20"/>
          <w:color w:val="auto"/>
        </w:rPr>
      </w:pPr>
    </w:p>
    <w:p>
      <w:pPr>
        <w:jc w:val="both"/>
        <w:ind w:right="400" w:firstLine="324"/>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71" w:lineRule="exact"/>
        <w:rPr>
          <w:sz w:val="20"/>
          <w:szCs w:val="20"/>
          <w:color w:val="auto"/>
        </w:rPr>
      </w:pPr>
    </w:p>
    <w:p>
      <w:pPr>
        <w:ind w:right="40" w:firstLine="648"/>
        <w:spacing w:after="0" w:line="194" w:lineRule="exact"/>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For the years ended December 31, 2015, 2014 and 2013, comprehensive loss was equal to net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December 31, 2015 and December 31, 2014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62"/>
        </w:trPr>
        <w:tc>
          <w:tcPr>
            <w:tcW w:w="414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3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3660" w:type="dxa"/>
            <w:vAlign w:val="bottom"/>
            <w:gridSpan w:val="2"/>
            <w:shd w:val="clear" w:color="auto" w:fill="CCEEFF"/>
          </w:tcPr>
          <w:p>
            <w:pPr>
              <w:jc w:val="center"/>
              <w:ind w:left="2550"/>
              <w:spacing w:after="0"/>
              <w:rPr>
                <w:sz w:val="20"/>
                <w:szCs w:val="20"/>
                <w:color w:val="auto"/>
              </w:rPr>
            </w:pPr>
            <w:r>
              <w:rPr>
                <w:rFonts w:ascii="Arial" w:cs="Arial" w:eastAsia="Arial" w:hAnsi="Arial"/>
                <w:sz w:val="18"/>
                <w:szCs w:val="18"/>
                <w:color w:val="auto"/>
                <w:w w:val="99"/>
              </w:rPr>
              <w:t>$   162,707</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47,240</w:t>
            </w:r>
          </w:p>
        </w:tc>
        <w:tc>
          <w:tcPr>
            <w:tcW w:w="100" w:type="dxa"/>
            <w:vAlign w:val="bottom"/>
            <w:shd w:val="clear" w:color="auto" w:fill="CCEEFF"/>
          </w:tcPr>
          <w:p>
            <w:pPr>
              <w:spacing w:after="0"/>
              <w:rPr>
                <w:sz w:val="20"/>
                <w:szCs w:val="20"/>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162" w:lineRule="exact"/>
        <w:rPr>
          <w:sz w:val="20"/>
          <w:szCs w:val="20"/>
          <w:color w:val="auto"/>
        </w:rPr>
      </w:pPr>
    </w:p>
    <w:p>
      <w:pPr>
        <w:ind w:left="1060" w:hanging="85"/>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84" w:lineRule="exact"/>
        <w:rPr>
          <w:rFonts w:ascii="Arial" w:cs="Arial" w:eastAsia="Arial" w:hAnsi="Arial"/>
          <w:sz w:val="18"/>
          <w:szCs w:val="18"/>
          <w:color w:val="auto"/>
        </w:rPr>
      </w:pPr>
    </w:p>
    <w:p>
      <w:pPr>
        <w:ind w:left="1060" w:right="160" w:hanging="85"/>
        <w:spacing w:after="0" w:line="235"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220" w:hanging="85"/>
        <w:spacing w:after="0" w:line="259"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47"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2015, are classified below based on the fair value hierarchy described above: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r>
      <w:tr>
        <w:trPr>
          <w:trHeight w:val="169"/>
        </w:trPr>
        <w:tc>
          <w:tcPr>
            <w:tcW w:w="5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included in cash equivalents</w:t>
            </w:r>
          </w:p>
        </w:tc>
        <w:tc>
          <w:tcPr>
            <w:tcW w:w="1020" w:type="dxa"/>
            <w:vAlign w:val="bottom"/>
            <w:gridSpan w:val="2"/>
            <w:shd w:val="clear" w:color="auto" w:fill="CCEEFF"/>
          </w:tcPr>
          <w:p>
            <w:pPr>
              <w:jc w:val="center"/>
              <w:ind w:left="42"/>
              <w:spacing w:after="0"/>
              <w:rPr>
                <w:sz w:val="20"/>
                <w:szCs w:val="20"/>
                <w:color w:val="auto"/>
              </w:rPr>
            </w:pPr>
            <w:r>
              <w:rPr>
                <w:rFonts w:ascii="Arial" w:cs="Arial" w:eastAsia="Arial" w:hAnsi="Arial"/>
                <w:sz w:val="18"/>
                <w:szCs w:val="18"/>
                <w:color w:val="auto"/>
                <w:w w:val="96"/>
              </w:rPr>
              <w:t>$  162,707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$ 162,707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2014, are classified below based on the fair value hierarchy described above: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r>
      <w:tr>
        <w:trPr>
          <w:trHeight w:val="169"/>
        </w:trPr>
        <w:tc>
          <w:tcPr>
            <w:tcW w:w="5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included in cash equivalents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47,240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76"/>
        </w:trPr>
        <w:tc>
          <w:tcPr>
            <w:tcW w:w="5120" w:type="dxa"/>
            <w:vAlign w:val="bottom"/>
          </w:tcPr>
          <w:p>
            <w:pPr>
              <w:spacing w:after="0"/>
              <w:rPr>
                <w:sz w:val="20"/>
                <w:szCs w:val="20"/>
                <w:color w:val="auto"/>
              </w:rPr>
            </w:pPr>
            <w:r>
              <w:rPr>
                <w:rFonts w:ascii="Arial" w:cs="Arial" w:eastAsia="Arial" w:hAnsi="Arial"/>
                <w:sz w:val="14"/>
                <w:szCs w:val="14"/>
                <w:b w:val="1"/>
                <w:bCs w:val="1"/>
                <w:color w:val="auto"/>
              </w:rPr>
              <w:t>Financial Liabilities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At December 31, 2015 and December 31, 2014, all of the Company’s cash equivalents were comprised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159"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The fair value of the preferred stock warrant liability was determined based on Level 3 inputs and utilizing the Black-Scholes option pricing model (see Note 7). On May 5, 2015, upon completion of the IPO, the warrants to purchase preferred stock converted into warrants to purchase common stock and the Company reclassified the fair value of the warrants as of May 5, 2015 to additional paid-in capital. The following table presents activity in the preferred stock warrant liability during the year ended December 31, 2015 and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59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Issuance of warrant at fair value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Reclassification of fair value to additional paid-in capital</w:t>
            </w: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r>
      <w:tr>
        <w:trPr>
          <w:trHeight w:val="27"/>
        </w:trPr>
        <w:tc>
          <w:tcPr>
            <w:tcW w:w="59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85"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other assets until such financings are consummated. After completion of the IPO in May 2015, $2.1 million of these costs were recorded in stockholders’ equity (deficit) as a reduction of additional paid-in capital. As of December 31, 2014, the Company recorded $0.1 million of deferred offering costs, included in other assets in the accompanying balance sheet, in contemplation of its IPO.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platform.</w:t>
      </w:r>
    </w:p>
    <w:p>
      <w:pPr>
        <w:spacing w:after="0" w:line="8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As of December 31, 2015 and 2014, the Company had prepaid expenses of approximately $0.4 million and $0.1 million, respectively, related to nonrefundable advance payments to vendors.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90"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w:t>
      </w:r>
    </w:p>
    <w:p>
      <w:pPr>
        <w:spacing w:after="0" w:line="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44"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w:t>
      </w:r>
      <w:r>
        <w:rPr>
          <w:rFonts w:ascii="MS PGothic" w:cs="MS PGothic" w:eastAsia="MS PGothic" w:hAnsi="MS PGothic"/>
          <w:sz w:val="17"/>
          <w:szCs w:val="17"/>
          <w:color w:val="auto"/>
        </w:rPr>
        <w:t>‑</w:t>
      </w:r>
      <w:r>
        <w:rPr>
          <w:rFonts w:ascii="Arial" w:cs="Arial" w:eastAsia="Arial" w:hAnsi="Arial"/>
          <w:sz w:val="17"/>
          <w:szCs w:val="17"/>
          <w:color w:val="auto"/>
        </w:rPr>
        <w:t>lived assets may warrant revision or that the carrying value of these assets may be impaired. The Company has not recognized any impairment charges through December 31,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completion of a liquidation event, including the IPO, at which time the warrant liability was reclassified to stockholders’ equity. The warrant liability totaled $0.4 million at December 31, 2014 (see Note 7).</w:t>
      </w:r>
    </w:p>
    <w:p>
      <w:pPr>
        <w:spacing w:after="0" w:line="1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44"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6"/>
          <w:szCs w:val="16"/>
          <w:color w:val="auto"/>
        </w:rPr>
        <w:t>The Company expenses the fair value of employee stock awards net of estimated forfeitures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requisite service period, which generally is the vesting period. Compensation cost for restricted stock awards issued to employees is measured using the grant date intrinsic value of the award, net of estimated forfeitures, adjusted to reflect actual forfeitures. The Company estimates the fair value of the options granted to employees at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requires management to apply judgment and make estimates, including:</w:t>
      </w:r>
    </w:p>
    <w:p>
      <w:pPr>
        <w:spacing w:after="0" w:line="135" w:lineRule="exact"/>
        <w:rPr>
          <w:sz w:val="20"/>
          <w:szCs w:val="20"/>
          <w:color w:val="auto"/>
        </w:rPr>
      </w:pPr>
    </w:p>
    <w:p>
      <w:pPr>
        <w:ind w:left="1060" w:right="20" w:hanging="85"/>
        <w:spacing w:after="0" w:line="221"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Prior to April 30, 2015, the Company was a privately-held company and lacked company-specific historical and implied volatility information. As such, the Company has used an average of expected volatility based on the volatilities of a representative group of publicly traded biopharmaceutical companies for a period equal to the expected term of the option grant. Beginning in the fourth quarter of 2015, the Company began to include its own volatility into the average calculation. The Company intends to consistently apply this process using the same representative companies until a sufficient amount of historical information regarding the volatility of its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126" w:lineRule="exact"/>
        <w:rPr>
          <w:rFonts w:ascii="Arial" w:cs="Arial" w:eastAsia="Arial" w:hAnsi="Arial"/>
          <w:sz w:val="17"/>
          <w:szCs w:val="17"/>
          <w:color w:val="auto"/>
        </w:rPr>
      </w:pPr>
    </w:p>
    <w:p>
      <w:pPr>
        <w:ind w:left="1060" w:right="900" w:hanging="85"/>
        <w:spacing w:after="0" w:line="203" w:lineRule="exact"/>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life assumption;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40" w:hanging="85"/>
        <w:spacing w:after="0" w:line="194" w:lineRule="exact"/>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w:t>
      </w:r>
      <w:r>
        <w:rPr>
          <w:rFonts w:ascii="Arial" w:cs="Arial" w:eastAsia="Arial" w:hAnsi="Arial"/>
          <w:sz w:val="17"/>
          <w:szCs w:val="17"/>
          <w:color w:val="auto"/>
        </w:rPr>
        <w:t xml:space="preserve"> as the Company has insufficient historical information regarding stock options to provide a basis for an estimate;</w:t>
      </w:r>
    </w:p>
    <w:p>
      <w:pPr>
        <w:spacing w:after="0" w:line="120" w:lineRule="exact"/>
        <w:rPr>
          <w:rFonts w:ascii="Arial" w:cs="Arial" w:eastAsia="Arial" w:hAnsi="Arial"/>
          <w:sz w:val="17"/>
          <w:szCs w:val="17"/>
          <w:color w:val="auto"/>
        </w:rPr>
      </w:pPr>
    </w:p>
    <w:p>
      <w:pPr>
        <w:ind w:left="1060" w:right="120" w:hanging="85"/>
        <w:spacing w:after="0" w:line="187" w:lineRule="exact"/>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prior to becoming a public company, fair value estimates of the underlying common shares, which were determined using the option</w:t>
      </w:r>
      <w:r>
        <w:rPr>
          <w:rFonts w:ascii="MS PGothic" w:cs="MS PGothic" w:eastAsia="MS PGothic" w:hAnsi="MS PGothic"/>
          <w:sz w:val="17"/>
          <w:szCs w:val="17"/>
          <w:color w:val="auto"/>
        </w:rPr>
        <w:t>‑</w:t>
      </w:r>
      <w:r>
        <w:rPr>
          <w:rFonts w:ascii="Arial" w:cs="Arial" w:eastAsia="Arial" w:hAnsi="Arial"/>
          <w:sz w:val="17"/>
          <w:szCs w:val="17"/>
          <w:color w:val="auto"/>
        </w:rPr>
        <w:t>pricing method (OPM) or a hybrid of the probability</w:t>
      </w:r>
      <w:r>
        <w:rPr>
          <w:rFonts w:ascii="MS PGothic" w:cs="MS PGothic" w:eastAsia="MS PGothic" w:hAnsi="MS PGothic"/>
          <w:sz w:val="17"/>
          <w:szCs w:val="17"/>
          <w:color w:val="auto"/>
        </w:rPr>
        <w:t>‑</w:t>
      </w:r>
      <w:r>
        <w:rPr>
          <w:rFonts w:ascii="Arial" w:cs="Arial" w:eastAsia="Arial" w:hAnsi="Arial"/>
          <w:sz w:val="17"/>
          <w:szCs w:val="17"/>
          <w:color w:val="auto"/>
        </w:rPr>
        <w:t>weighted expected return method and the OPM and were approved by the Company’s board of directors. Upon becoming a public company, the fair value of the underlying common shares equals the closing price of the Company’s stock on The NASDAQ Global Select Market on the date of grant; and</w:t>
      </w:r>
    </w:p>
    <w:p>
      <w:pPr>
        <w:spacing w:after="0" w:line="120" w:lineRule="exact"/>
        <w:rPr>
          <w:rFonts w:ascii="Arial" w:cs="Arial" w:eastAsia="Arial" w:hAnsi="Arial"/>
          <w:sz w:val="17"/>
          <w:szCs w:val="17"/>
          <w:color w:val="auto"/>
        </w:rPr>
      </w:pPr>
    </w:p>
    <w:p>
      <w:pPr>
        <w:ind w:left="1060" w:right="500" w:hanging="85"/>
        <w:spacing w:after="0" w:line="235"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the Company never paid cash dividends and does not expect to pay any cash dividends in the foreseeable future.</w:t>
      </w:r>
    </w:p>
    <w:p>
      <w:pPr>
        <w:spacing w:after="0" w:line="121"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The amount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during a period is based on the fair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The Company evaluates its forfeiture rate at each reporting period. Ultimately, the actual expense recognized over the vesting period will be for only those options that vest.</w:t>
      </w:r>
    </w:p>
    <w:p>
      <w:pPr>
        <w:spacing w:after="0" w:line="122"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w:t>
      </w:r>
      <w:r>
        <w:rPr>
          <w:rFonts w:ascii="MS PGothic" w:cs="MS PGothic" w:eastAsia="MS PGothic" w:hAnsi="MS PGothic"/>
          <w:sz w:val="16"/>
          <w:szCs w:val="16"/>
          <w:color w:val="auto"/>
        </w:rPr>
        <w:t>‑</w:t>
      </w:r>
      <w:r>
        <w:rPr>
          <w:rFonts w:ascii="Arial" w:cs="Arial" w:eastAsia="Arial" w:hAnsi="Arial"/>
          <w:sz w:val="16"/>
          <w:szCs w:val="16"/>
          <w:color w:val="auto"/>
        </w:rPr>
        <w:t>related services, are accounted for based on the fair value of such services received or of the intrinsic value of equity instruments issued, whichever is more reliably measured. These stock</w:t>
      </w:r>
      <w:r>
        <w:rPr>
          <w:rFonts w:ascii="MS PGothic" w:cs="MS PGothic" w:eastAsia="MS PGothic" w:hAnsi="MS PGothic"/>
          <w:sz w:val="16"/>
          <w:szCs w:val="16"/>
          <w:color w:val="auto"/>
        </w:rPr>
        <w:t>‑</w:t>
      </w:r>
      <w:r>
        <w:rPr>
          <w:rFonts w:ascii="Arial" w:cs="Arial" w:eastAsia="Arial" w:hAnsi="Arial"/>
          <w:sz w:val="16"/>
          <w:szCs w:val="16"/>
          <w:color w:val="auto"/>
        </w:rPr>
        <w:t>based awards are revalued at each vesting date and period</w:t>
      </w:r>
      <w:r>
        <w:rPr>
          <w:rFonts w:ascii="MS PGothic" w:cs="MS PGothic" w:eastAsia="MS PGothic" w:hAnsi="MS PGothic"/>
          <w:sz w:val="16"/>
          <w:szCs w:val="16"/>
          <w:color w:val="auto"/>
        </w:rPr>
        <w:t>‑</w:t>
      </w:r>
      <w:r>
        <w:rPr>
          <w:rFonts w:ascii="Arial" w:cs="Arial" w:eastAsia="Arial" w:hAnsi="Arial"/>
          <w:sz w:val="16"/>
          <w:szCs w:val="16"/>
          <w:color w:val="auto"/>
        </w:rPr>
        <w:t>end. Stock</w:t>
      </w:r>
      <w:r>
        <w:rPr>
          <w:rFonts w:ascii="MS PGothic" w:cs="MS PGothic" w:eastAsia="MS PGothic" w:hAnsi="MS PGothic"/>
          <w:sz w:val="16"/>
          <w:szCs w:val="16"/>
          <w:color w:val="auto"/>
        </w:rPr>
        <w:t>‑</w:t>
      </w:r>
      <w:r>
        <w:rPr>
          <w:rFonts w:ascii="Arial" w:cs="Arial" w:eastAsia="Arial" w:hAnsi="Arial"/>
          <w:sz w:val="16"/>
          <w:szCs w:val="16"/>
          <w:color w:val="auto"/>
        </w:rPr>
        <w:t>based awards subject to service</w:t>
      </w:r>
      <w:r>
        <w:rPr>
          <w:rFonts w:ascii="MS PGothic" w:cs="MS PGothic" w:eastAsia="MS PGothic" w:hAnsi="MS PGothic"/>
          <w:sz w:val="16"/>
          <w:szCs w:val="16"/>
          <w:color w:val="auto"/>
        </w:rPr>
        <w:t>‑</w:t>
      </w:r>
      <w:r>
        <w:rPr>
          <w:rFonts w:ascii="Arial" w:cs="Arial" w:eastAsia="Arial" w:hAnsi="Arial"/>
          <w:sz w:val="16"/>
          <w:szCs w:val="16"/>
          <w:color w:val="auto"/>
        </w:rPr>
        <w:t>based vesting conditions are expensed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vesting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2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Sheet Risk</w:t>
      </w:r>
    </w:p>
    <w:p>
      <w:pPr>
        <w:spacing w:after="0" w:line="158"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w:t>
      </w:r>
      <w:r>
        <w:rPr>
          <w:rFonts w:ascii="MS PGothic" w:cs="MS PGothic" w:eastAsia="MS PGothic" w:hAnsi="MS PGothic"/>
          <w:sz w:val="18"/>
          <w:szCs w:val="18"/>
          <w:color w:val="auto"/>
        </w:rPr>
        <w:t>‑</w:t>
      </w:r>
      <w:r>
        <w:rPr>
          <w:rFonts w:ascii="Arial" w:cs="Arial" w:eastAsia="Arial" w:hAnsi="Arial"/>
          <w:sz w:val="18"/>
          <w:szCs w:val="18"/>
          <w:color w:val="auto"/>
        </w:rPr>
        <w:t>sheet risk such as foreign exchange contracts, option contracts, or other foreign hedging arrangements. Financial instruments that potentially expose the Company to concentrations of credit risk primarily consist of cash and cash equivalents and accounts receivable.</w:t>
      </w:r>
    </w:p>
    <w:p>
      <w:pPr>
        <w:spacing w:after="0" w:line="123"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The Company maintains its cash and cash equivalents in a custodian account at a high quality financial institution, and consequently, the Company believes that such funds are subject to minimal credit risk.</w:t>
      </w:r>
    </w:p>
    <w:p>
      <w:pPr>
        <w:spacing w:after="0" w:line="121"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Accounts receivable represents amounts due from the Company’s collaboration partner. The Company monitors economic conditions to identify facts or circumstances that may indicate that its accounts receivable is at risk of collection.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44"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the revenue recognition requirements in ASC 605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is in the process of evaluating the new guidance and determining the expected effects of the adoption of this standard on its consolidated financial statements.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 xml:space="preserve">On April 7,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(ASU 2015-03),which requires debt issuance costs to be presented in the balance sheet as a direct deduction from the carrying value of the associated debt liability, consistent with the presentation of a debt discount. ASU 2015-03 will be effective for the Company on January 1, 2016, with early adoption permitted. ASU 2015-03 will be applied on a retrospective basis. The Company has assessed and determined the impact of the adoption of ASU 2015-03 on its financial statements will be immaterial.</w:t>
      </w:r>
    </w:p>
    <w:p>
      <w:pPr>
        <w:spacing w:after="0" w:line="162"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new accounting standard will impact the disclosure in the Company’s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w:t>
      </w:r>
    </w:p>
    <w:p>
      <w:pPr>
        <w:spacing w:after="0" w:line="189"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At December 31, 2015 and 2014, $1.4 million and $0.2 million, respectively, of the Company’s cash is restricted by a bank. As of December 31, 2015 and 2014, $0.1 million of the restricted cash was included in current assets as collateral for a stand</w:t>
      </w:r>
      <w:r>
        <w:rPr>
          <w:rFonts w:ascii="MS PGothic" w:cs="MS PGothic" w:eastAsia="MS PGothic" w:hAnsi="MS PGothic"/>
          <w:sz w:val="16"/>
          <w:szCs w:val="16"/>
          <w:color w:val="auto"/>
        </w:rPr>
        <w:t>‑</w:t>
      </w:r>
      <w:r>
        <w:rPr>
          <w:rFonts w:ascii="Arial" w:cs="Arial" w:eastAsia="Arial" w:hAnsi="Arial"/>
          <w:sz w:val="16"/>
          <w:szCs w:val="16"/>
          <w:color w:val="auto"/>
        </w:rPr>
        <w:t>by letter of credit issued by the Company to its landlord in connection with the lease of the Company’s corporate headquarters, which ended in October 2015. As of December 31, 2015, $1.3 million of restricted cash was included in long-term assets on the Company’s balance sheet related to a security deposit for the lease agreement entered on February 12,</w:t>
      </w:r>
    </w:p>
    <w:p>
      <w:pPr>
        <w:spacing w:after="0" w:line="1" w:lineRule="exact"/>
        <w:rPr>
          <w:sz w:val="20"/>
          <w:szCs w:val="20"/>
          <w:color w:val="auto"/>
        </w:rPr>
      </w:pPr>
    </w:p>
    <w:p>
      <w:pPr>
        <w:ind w:right="220"/>
        <w:spacing w:after="0" w:line="195" w:lineRule="exact"/>
        <w:rPr>
          <w:sz w:val="20"/>
          <w:szCs w:val="20"/>
          <w:color w:val="auto"/>
        </w:rPr>
      </w:pPr>
      <w:r>
        <w:rPr>
          <w:rFonts w:ascii="Arial" w:cs="Arial" w:eastAsia="Arial" w:hAnsi="Arial"/>
          <w:sz w:val="18"/>
          <w:szCs w:val="18"/>
          <w:color w:val="auto"/>
        </w:rPr>
        <w:t>2015 for the Company’s new corporate headquarters. In addition, $0.1 million of restricted cash was included in long</w:t>
      </w:r>
      <w:r>
        <w:rPr>
          <w:rFonts w:ascii="MS PGothic" w:cs="MS PGothic" w:eastAsia="MS PGothic" w:hAnsi="MS PGothic"/>
          <w:sz w:val="18"/>
          <w:szCs w:val="18"/>
          <w:color w:val="auto"/>
        </w:rPr>
        <w:t>‑</w:t>
      </w:r>
      <w:r>
        <w:rPr>
          <w:rFonts w:ascii="Arial" w:cs="Arial" w:eastAsia="Arial" w:hAnsi="Arial"/>
          <w:sz w:val="18"/>
          <w:szCs w:val="18"/>
          <w:color w:val="auto"/>
        </w:rPr>
        <w:t>term assets related to the Company’s corporate credit card agreement as of December 31, 2014.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Term of lease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3,028</w:t>
            </w:r>
          </w:p>
        </w:tc>
        <w:tc>
          <w:tcPr>
            <w:tcW w:w="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4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00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6,661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1,482</w:t>
            </w:r>
          </w:p>
        </w:tc>
        <w:tc>
          <w:tcPr>
            <w:tcW w:w="4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Depreciation expense for the years ended December 31, 2015, 2014 and 2013 was $0.9 million, $0.6 million and $0.5 million,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4680" w:type="dxa"/>
            <w:vAlign w:val="bottom"/>
            <w:tcBorders>
              <w:bottom w:val="single" w:sz="8" w:color="CCEEFF"/>
            </w:tcBorders>
          </w:tcPr>
          <w:p>
            <w:pPr>
              <w:spacing w:after="0"/>
              <w:rPr>
                <w:sz w:val="11"/>
                <w:szCs w:val="11"/>
                <w:color w:val="auto"/>
              </w:rPr>
            </w:pPr>
          </w:p>
        </w:tc>
        <w:tc>
          <w:tcPr>
            <w:tcW w:w="2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1"/>
                <w:szCs w:val="1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2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External research and development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costs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Professional fees and other</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Consulting</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offering costs</w:t>
            </w:r>
          </w:p>
        </w:tc>
        <w:tc>
          <w:tcPr>
            <w:tcW w:w="2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r>
      <w:tr>
        <w:trPr>
          <w:trHeight w:val="27"/>
        </w:trPr>
        <w:tc>
          <w:tcPr>
            <w:tcW w:w="4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89"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66"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540" w:type="dxa"/>
            <w:vAlign w:val="bottom"/>
            <w:gridSpan w:val="4"/>
          </w:tcPr>
          <w:p>
            <w:pPr>
              <w:ind w:left="140"/>
              <w:spacing w:after="0"/>
              <w:rPr>
                <w:sz w:val="20"/>
                <w:szCs w:val="20"/>
                <w:color w:val="auto"/>
              </w:rPr>
            </w:pPr>
            <w:r>
              <w:rPr>
                <w:rFonts w:ascii="Arial" w:cs="Arial" w:eastAsia="Arial" w:hAnsi="Arial"/>
                <w:sz w:val="18"/>
                <w:szCs w:val="18"/>
                <w:color w:val="auto"/>
                <w:w w:val="93"/>
              </w:rPr>
              <w:t>Scheduled monthly principal payments on the term loan, as of December 31, 2015, are as follows (in thousands):</w:t>
            </w:r>
          </w:p>
        </w:tc>
      </w:tr>
      <w:tr>
        <w:trPr>
          <w:trHeight w:val="203"/>
        </w:trPr>
        <w:tc>
          <w:tcPr>
            <w:tcW w:w="5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6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2017</w:t>
            </w:r>
          </w:p>
        </w:tc>
        <w:tc>
          <w:tcPr>
            <w:tcW w:w="8380" w:type="dxa"/>
            <w:vAlign w:val="bottom"/>
            <w:gridSpan w:val="3"/>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60" w:type="dxa"/>
            <w:vAlign w:val="bottom"/>
            <w:shd w:val="clear" w:color="auto" w:fill="CCEEFF"/>
          </w:tcPr>
          <w:p>
            <w:pPr>
              <w:spacing w:after="0"/>
              <w:rPr>
                <w:sz w:val="18"/>
                <w:szCs w:val="18"/>
                <w:color w:val="auto"/>
              </w:rPr>
            </w:pPr>
          </w:p>
        </w:tc>
      </w:tr>
      <w:tr>
        <w:trPr>
          <w:trHeight w:val="217"/>
        </w:trPr>
        <w:tc>
          <w:tcPr>
            <w:tcW w:w="520" w:type="dxa"/>
            <w:vAlign w:val="bottom"/>
          </w:tcPr>
          <w:p>
            <w:pPr>
              <w:spacing w:after="0"/>
              <w:rPr>
                <w:sz w:val="20"/>
                <w:szCs w:val="20"/>
                <w:color w:val="auto"/>
              </w:rPr>
            </w:pPr>
            <w:r>
              <w:rPr>
                <w:rFonts w:ascii="Arial" w:cs="Arial" w:eastAsia="Arial" w:hAnsi="Arial"/>
                <w:sz w:val="18"/>
                <w:szCs w:val="18"/>
                <w:color w:val="auto"/>
              </w:rPr>
              <w:t>Total</w:t>
            </w:r>
          </w:p>
        </w:tc>
        <w:tc>
          <w:tcPr>
            <w:tcW w:w="7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7,444</w:t>
            </w:r>
          </w:p>
        </w:tc>
        <w:tc>
          <w:tcPr>
            <w:tcW w:w="160" w:type="dxa"/>
            <w:vAlign w:val="bottom"/>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189"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Arial" w:cs="Arial" w:eastAsia="Arial" w:hAnsi="Arial"/>
          <w:sz w:val="18"/>
          <w:szCs w:val="18"/>
          <w:color w:val="auto"/>
        </w:rPr>
        <w:t>year life.</w:t>
      </w:r>
    </w:p>
    <w:p>
      <w:pPr>
        <w:spacing w:after="0" w:line="16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7"/>
          <w:szCs w:val="17"/>
          <w:color w:val="auto"/>
        </w:rPr>
        <w:t>The Company initially valued the Series A Warrant and the Series B Warrant at issuance and at the balance sheet dates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7"/>
          <w:szCs w:val="17"/>
          <w:color w:val="auto"/>
        </w:rPr>
        <w:t>‑</w:t>
      </w:r>
      <w:r>
        <w:rPr>
          <w:rFonts w:ascii="Arial" w:cs="Arial" w:eastAsia="Arial" w:hAnsi="Arial"/>
          <w:sz w:val="17"/>
          <w:szCs w:val="17"/>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61"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In accordance with ASC 480, the characteristics of these warrants and the rights and privileges of the underlying preferred stock resulted in the classification of these warrants as a liability and were re</w:t>
      </w:r>
      <w:r>
        <w:rPr>
          <w:rFonts w:ascii="MS PGothic" w:cs="MS PGothic" w:eastAsia="MS PGothic" w:hAnsi="MS PGothic"/>
          <w:sz w:val="16"/>
          <w:szCs w:val="16"/>
          <w:color w:val="auto"/>
        </w:rPr>
        <w:t>‑</w:t>
      </w:r>
      <w:r>
        <w:rPr>
          <w:rFonts w:ascii="Arial" w:cs="Arial" w:eastAsia="Arial" w:hAnsi="Arial"/>
          <w:sz w:val="16"/>
          <w:szCs w:val="16"/>
          <w:color w:val="auto"/>
        </w:rPr>
        <w:t>measured to the</w:t>
      </w:r>
      <w:r>
        <w:rPr>
          <w:rFonts w:ascii="MS PGothic" w:cs="MS PGothic" w:eastAsia="MS PGothic" w:hAnsi="MS PGothic"/>
          <w:sz w:val="16"/>
          <w:szCs w:val="16"/>
          <w:color w:val="auto"/>
        </w:rPr>
        <w:t>‑</w:t>
      </w:r>
      <w:r>
        <w:rPr>
          <w:rFonts w:ascii="Arial" w:cs="Arial" w:eastAsia="Arial" w:hAnsi="Arial"/>
          <w:sz w:val="16"/>
          <w:szCs w:val="16"/>
          <w:color w:val="auto"/>
        </w:rPr>
        <w:t>then current fair value at each balance sheet date. Re</w:t>
      </w:r>
      <w:r>
        <w:rPr>
          <w:rFonts w:ascii="MS PGothic" w:cs="MS PGothic" w:eastAsia="MS PGothic" w:hAnsi="MS PGothic"/>
          <w:sz w:val="16"/>
          <w:szCs w:val="16"/>
          <w:color w:val="auto"/>
        </w:rPr>
        <w:t>‑</w:t>
      </w:r>
      <w:r>
        <w:rPr>
          <w:rFonts w:ascii="Arial" w:cs="Arial" w:eastAsia="Arial" w:hAnsi="Arial"/>
          <w:sz w:val="16"/>
          <w:szCs w:val="16"/>
          <w:color w:val="auto"/>
        </w:rPr>
        <w:t>measurement gains or losses were recorded in other income (expense) in the statements of operations. Changes in the fair value of the warrants represented a recurring measurement that was classified within Level 3 of the fair value hierarchy wherein fair value is estimated using significant unobservable inputs.</w:t>
      </w:r>
    </w:p>
    <w:p>
      <w:pPr>
        <w:spacing w:after="0" w:line="16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The Company used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 in its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Series A Warrant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Series B Warrant</w:t>
            </w:r>
          </w:p>
        </w:tc>
      </w:tr>
      <w:tr>
        <w:trPr>
          <w:trHeight w:val="173"/>
        </w:trPr>
        <w:tc>
          <w:tcPr>
            <w:tcW w:w="3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Issuance</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Issuance</w:t>
            </w:r>
          </w:p>
        </w:tc>
        <w:tc>
          <w:tcPr>
            <w:tcW w:w="24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underlying instrument</w:t>
            </w: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1.97</w:t>
            </w:r>
          </w:p>
        </w:tc>
        <w:tc>
          <w:tcPr>
            <w:tcW w:w="24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89.98 %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80.70 %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87.38 %</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87.18 %</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2.15 %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2.58 %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2.24 %</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2.36 %</w:t>
            </w: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 %</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a debt discount upon issuance of the warrants, which is being accreted as interest expense</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over the remaining term of the loan. The Company recorded interest expense related to the Series A Warrant and the Series B Warrant of less than $0.1 million in each of the years ended December 31, 2015, 2014 and 2013.</w:t>
      </w:r>
    </w:p>
    <w:p>
      <w:pPr>
        <w:spacing w:after="0" w:line="148"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with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Series A Warrant</w:t>
            </w: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Series B Warrant</w:t>
            </w:r>
          </w:p>
        </w:tc>
        <w:tc>
          <w:tcPr>
            <w:tcW w:w="220" w:type="dxa"/>
            <w:vAlign w:val="bottom"/>
          </w:tcPr>
          <w:p>
            <w:pPr>
              <w:spacing w:after="0"/>
              <w:rPr>
                <w:sz w:val="14"/>
                <w:szCs w:val="14"/>
                <w:color w:val="auto"/>
              </w:rPr>
            </w:pPr>
          </w:p>
        </w:tc>
      </w:tr>
      <w:tr>
        <w:trPr>
          <w:trHeight w:val="173"/>
        </w:trPr>
        <w:tc>
          <w:tcPr>
            <w:tcW w:w="3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May 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May 5,</w:t>
            </w:r>
          </w:p>
        </w:tc>
      </w:tr>
      <w:tr>
        <w:trPr>
          <w:trHeight w:val="171"/>
        </w:trPr>
        <w:tc>
          <w:tcPr>
            <w:tcW w:w="346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CEEFF"/>
            </w:tcBorders>
          </w:tcPr>
          <w:p>
            <w:pPr>
              <w:spacing w:after="0"/>
              <w:rPr>
                <w:sz w:val="14"/>
                <w:szCs w:val="14"/>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underlying instrument</w:t>
            </w:r>
          </w:p>
        </w:tc>
        <w:tc>
          <w:tcPr>
            <w:tcW w:w="30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91.58 %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87.75 %</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2.06 %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2.19 %</w:t>
            </w:r>
          </w:p>
        </w:tc>
      </w:tr>
      <w:tr>
        <w:trPr>
          <w:trHeight w:val="176"/>
        </w:trPr>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2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 %</w:t>
            </w:r>
          </w:p>
        </w:tc>
      </w:tr>
      <w:tr>
        <w:trPr>
          <w:trHeight w:val="594"/>
        </w:trPr>
        <w:tc>
          <w:tcPr>
            <w:tcW w:w="3460" w:type="dxa"/>
            <w:vAlign w:val="bottom"/>
          </w:tcPr>
          <w:p>
            <w:pPr>
              <w:spacing w:after="0"/>
              <w:rPr>
                <w:sz w:val="24"/>
                <w:szCs w:val="24"/>
                <w:color w:val="auto"/>
              </w:rPr>
            </w:pPr>
          </w:p>
        </w:tc>
        <w:tc>
          <w:tcPr>
            <w:tcW w:w="3080" w:type="dxa"/>
            <w:vAlign w:val="bottom"/>
            <w:gridSpan w:val="2"/>
          </w:tcPr>
          <w:p>
            <w:pPr>
              <w:jc w:val="right"/>
              <w:ind w:right="1768"/>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2"/>
        </w:trPr>
        <w:tc>
          <w:tcPr>
            <w:tcW w:w="346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fair value of the warrants at May 5, 2015 was $0.8 million. The Company recorded other expense of $0.4 million in the statement of operations during the twelve months ended December 31, 2015 equal to the change in fair value of the warrants from December 31, 2014 to May 5, 2015. The Company reclassified the fair value of the warrants at May 5, 2015, of $0.8 million, to additional paid-in capital.</w:t>
      </w:r>
    </w:p>
    <w:p>
      <w:pPr>
        <w:spacing w:after="0" w:line="163"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89"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In January and September 2013, the Company issued 10,000,000 and 5,000,000 shares, respectively, of Series A Convertible Preferred Stock at a price of $1.00 per share, resulting in net proceeds of $15.0 million. In January 2014, the Company issued a total of 20,916,663 shares of Series B Convertible Preferred Stock at $1.20 per share for net proceeds of $25.0 million. In November 2014, the Company issued a total of 24,154,589 shares of Series C Convertible Preferred Stock at $2.07 per share for net proceeds of $49.9 million.</w:t>
      </w:r>
    </w:p>
    <w:p>
      <w:pPr>
        <w:spacing w:after="0" w:line="162"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Upon the closing of the IPO in May 2015, all of the Company’s outstanding convertible preferred stock automatically converted into 15,467,479 shares of common stock. In addition, upon the completion of the IPO, the Company’s board of directors was authorized, without action by the stockholders, to designate and issue up to an aggregate of 5,000,000 shares of preferred stock in one or more series. The board of directors can designate the rights, preferences and privileges of the shares of each series and any of its qualifications, limitations or restrictions.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no shares of preferred stock were issued or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March 2015 and April 2015, respectively, the Company’s board of directors and stockholders approved the 2015</w:t>
      </w:r>
    </w:p>
    <w:p>
      <w:pPr>
        <w:spacing w:after="0"/>
        <w:rPr>
          <w:sz w:val="20"/>
          <w:szCs w:val="20"/>
          <w:color w:val="auto"/>
        </w:rPr>
      </w:pPr>
      <w:r>
        <w:rPr>
          <w:rFonts w:ascii="Arial" w:cs="Arial" w:eastAsia="Arial" w:hAnsi="Arial"/>
          <w:sz w:val="16"/>
          <w:szCs w:val="16"/>
          <w:color w:val="auto"/>
        </w:rPr>
        <w:t>Stock Option and Incentive Plan (the 2015 Plan), which became effective upon the closing of the IPO in May 2015. The Plan</w:t>
      </w:r>
    </w:p>
    <w:p>
      <w:pPr>
        <w:spacing w:after="0" w:line="229" w:lineRule="auto"/>
        <w:rPr>
          <w:sz w:val="20"/>
          <w:szCs w:val="20"/>
          <w:color w:val="auto"/>
        </w:rPr>
      </w:pPr>
      <w:r>
        <w:rPr>
          <w:rFonts w:ascii="Arial" w:cs="Arial" w:eastAsia="Arial" w:hAnsi="Arial"/>
          <w:sz w:val="16"/>
          <w:szCs w:val="16"/>
          <w:color w:val="auto"/>
        </w:rPr>
        <w:t>replaced the Company’s 2011 Stock Option and Grant Plan, as amended (the 2011 Plan). Any options or awards outstanding</w:t>
      </w:r>
    </w:p>
    <w:p>
      <w:pPr>
        <w:spacing w:after="0" w:line="215" w:lineRule="auto"/>
        <w:rPr>
          <w:sz w:val="20"/>
          <w:szCs w:val="20"/>
          <w:color w:val="auto"/>
        </w:rPr>
      </w:pPr>
      <w:r>
        <w:rPr>
          <w:rFonts w:ascii="Arial" w:cs="Arial" w:eastAsia="Arial" w:hAnsi="Arial"/>
          <w:sz w:val="17"/>
          <w:szCs w:val="17"/>
          <w:color w:val="auto"/>
        </w:rPr>
        <w:t>under the 2011 Plan remain outstanding and effective. The 2015 Plan provides the Company flexibility to use various</w:t>
      </w:r>
    </w:p>
    <w:p>
      <w:pPr>
        <w:spacing w:after="0" w:line="176" w:lineRule="exact"/>
        <w:rPr>
          <w:sz w:val="20"/>
          <w:szCs w:val="20"/>
          <w:color w:val="auto"/>
        </w:rPr>
      </w:pPr>
      <w:r>
        <w:rPr>
          <w:rFonts w:ascii="Arial" w:cs="Arial" w:eastAsia="Arial" w:hAnsi="Arial"/>
          <w:sz w:val="16"/>
          <w:szCs w:val="16"/>
          <w:color w:val="auto"/>
        </w:rPr>
        <w:t>equity</w:t>
      </w:r>
      <w:r>
        <w:rPr>
          <w:rFonts w:ascii="MS PGothic" w:cs="MS PGothic" w:eastAsia="MS PGothic" w:hAnsi="MS PGothic"/>
          <w:sz w:val="16"/>
          <w:szCs w:val="16"/>
          <w:color w:val="auto"/>
        </w:rPr>
        <w:t>‑</w:t>
      </w:r>
      <w:r>
        <w:rPr>
          <w:rFonts w:ascii="Arial" w:cs="Arial" w:eastAsia="Arial" w:hAnsi="Arial"/>
          <w:sz w:val="16"/>
          <w:szCs w:val="16"/>
          <w:color w:val="auto"/>
        </w:rPr>
        <w:t>based incentive and other awards as compensation tools to motivate its workforce. These tools include incentive stock</w:t>
      </w:r>
    </w:p>
    <w:p>
      <w:pPr>
        <w:spacing w:after="0" w:line="204" w:lineRule="auto"/>
        <w:rPr>
          <w:sz w:val="20"/>
          <w:szCs w:val="20"/>
          <w:color w:val="auto"/>
        </w:rPr>
      </w:pPr>
      <w:r>
        <w:rPr>
          <w:rFonts w:ascii="Arial" w:cs="Arial" w:eastAsia="Arial" w:hAnsi="Arial"/>
          <w:sz w:val="18"/>
          <w:szCs w:val="18"/>
          <w:color w:val="auto"/>
        </w:rPr>
        <w:t>options (ISO), nonstatutory stock options (NSO), stock appreciation rights, restricted stock, restricted stock units,</w:t>
      </w:r>
    </w:p>
    <w:p>
      <w:pPr>
        <w:spacing w:after="0" w:line="176" w:lineRule="exact"/>
        <w:rPr>
          <w:sz w:val="20"/>
          <w:szCs w:val="20"/>
          <w:color w:val="auto"/>
        </w:rPr>
      </w:pPr>
      <w:r>
        <w:rPr>
          <w:rFonts w:ascii="Arial" w:cs="Arial" w:eastAsia="Arial" w:hAnsi="Arial"/>
          <w:sz w:val="16"/>
          <w:szCs w:val="16"/>
          <w:color w:val="auto"/>
        </w:rPr>
        <w:t>unrestricted stock, performance share awards and cash</w:t>
      </w:r>
      <w:r>
        <w:rPr>
          <w:rFonts w:ascii="MS PGothic" w:cs="MS PGothic" w:eastAsia="MS PGothic" w:hAnsi="MS PGothic"/>
          <w:sz w:val="16"/>
          <w:szCs w:val="16"/>
          <w:color w:val="auto"/>
        </w:rPr>
        <w:t>‑</w:t>
      </w:r>
      <w:r>
        <w:rPr>
          <w:rFonts w:ascii="Arial" w:cs="Arial" w:eastAsia="Arial" w:hAnsi="Arial"/>
          <w:sz w:val="16"/>
          <w:szCs w:val="16"/>
          <w:color w:val="auto"/>
        </w:rPr>
        <w:t>based awards. The Company initially reserved a total of 1,460,084</w:t>
      </w:r>
    </w:p>
    <w:p>
      <w:pPr>
        <w:spacing w:after="0" w:line="229" w:lineRule="auto"/>
        <w:rPr>
          <w:sz w:val="20"/>
          <w:szCs w:val="20"/>
          <w:color w:val="auto"/>
        </w:rPr>
      </w:pPr>
      <w:r>
        <w:rPr>
          <w:rFonts w:ascii="Arial" w:cs="Arial" w:eastAsia="Arial" w:hAnsi="Arial"/>
          <w:sz w:val="16"/>
          <w:szCs w:val="16"/>
          <w:color w:val="auto"/>
        </w:rPr>
        <w:t>shares of common stock for the issuance of awards under the 2015 Plan, which will be cumulatively increased on January 1</w:t>
      </w:r>
    </w:p>
    <w:p>
      <w:pPr>
        <w:spacing w:after="0" w:line="229" w:lineRule="auto"/>
        <w:rPr>
          <w:sz w:val="20"/>
          <w:szCs w:val="20"/>
          <w:color w:val="auto"/>
        </w:rPr>
      </w:pPr>
      <w:r>
        <w:rPr>
          <w:rFonts w:ascii="Arial" w:cs="Arial" w:eastAsia="Arial" w:hAnsi="Arial"/>
          <w:sz w:val="16"/>
          <w:szCs w:val="16"/>
          <w:color w:val="auto"/>
        </w:rPr>
        <w:t>of each calendar year by 4% of the number of shares of common stock issued and outstanding on the immediately preceding</w:t>
      </w:r>
    </w:p>
    <w:p>
      <w:pPr>
        <w:spacing w:after="0" w:line="229" w:lineRule="auto"/>
        <w:rPr>
          <w:sz w:val="20"/>
          <w:szCs w:val="20"/>
          <w:color w:val="auto"/>
        </w:rPr>
      </w:pPr>
      <w:r>
        <w:rPr>
          <w:rFonts w:ascii="Arial" w:cs="Arial" w:eastAsia="Arial" w:hAnsi="Arial"/>
          <w:sz w:val="16"/>
          <w:szCs w:val="16"/>
          <w:color w:val="auto"/>
        </w:rPr>
        <w:t>December 31 or such lesser amount as specified by the compensation committee of the board of directors. For the calendar</w:t>
      </w:r>
    </w:p>
    <w:p>
      <w:pPr>
        <w:spacing w:after="0" w:line="229" w:lineRule="auto"/>
        <w:rPr>
          <w:sz w:val="20"/>
          <w:szCs w:val="20"/>
          <w:color w:val="auto"/>
        </w:rPr>
      </w:pPr>
      <w:r>
        <w:rPr>
          <w:rFonts w:ascii="Arial" w:cs="Arial" w:eastAsia="Arial" w:hAnsi="Arial"/>
          <w:sz w:val="16"/>
          <w:szCs w:val="16"/>
          <w:color w:val="auto"/>
        </w:rPr>
        <w:t>year beginning January 1, 2016, the number of shares reserved for issuance under the 2015 Plan was increased by 1,087,842</w:t>
      </w:r>
    </w:p>
    <w:p>
      <w:pPr>
        <w:spacing w:after="0" w:line="229" w:lineRule="auto"/>
        <w:rPr>
          <w:sz w:val="20"/>
          <w:szCs w:val="20"/>
          <w:color w:val="auto"/>
        </w:rPr>
      </w:pPr>
      <w:r>
        <w:rPr>
          <w:rFonts w:ascii="Arial" w:cs="Arial" w:eastAsia="Arial" w:hAnsi="Arial"/>
          <w:sz w:val="16"/>
          <w:szCs w:val="16"/>
          <w:color w:val="auto"/>
        </w:rPr>
        <w:t>shares. In addition, the total number of shares reserved for issuance is subject to adjustment in the event of a stock split, stock</w:t>
      </w:r>
    </w:p>
    <w:p>
      <w:pPr>
        <w:spacing w:after="0" w:line="229" w:lineRule="auto"/>
        <w:rPr>
          <w:sz w:val="20"/>
          <w:szCs w:val="20"/>
          <w:color w:val="auto"/>
        </w:rPr>
      </w:pPr>
      <w:r>
        <w:rPr>
          <w:rFonts w:ascii="Arial" w:cs="Arial" w:eastAsia="Arial" w:hAnsi="Arial"/>
          <w:sz w:val="16"/>
          <w:szCs w:val="16"/>
          <w:color w:val="auto"/>
        </w:rPr>
        <w:t>dividend or other change in our capitalization. At December 31, 2015, there were 1,439,717 shares available for future grant</w:t>
      </w:r>
    </w:p>
    <w:p>
      <w:pPr>
        <w:spacing w:after="0" w:line="229" w:lineRule="auto"/>
        <w:rPr>
          <w:sz w:val="20"/>
          <w:szCs w:val="20"/>
          <w:color w:val="auto"/>
        </w:rPr>
      </w:pPr>
      <w:r>
        <w:rPr>
          <w:rFonts w:ascii="Arial" w:cs="Arial" w:eastAsia="Arial" w:hAnsi="Arial"/>
          <w:sz w:val="16"/>
          <w:szCs w:val="16"/>
          <w:color w:val="auto"/>
        </w:rPr>
        <w:t>under the 2015 Plan. ISOs may not be granted at less than fair value on the date of the grant. The exercise price of ISOs</w:t>
      </w:r>
    </w:p>
    <w:p>
      <w:pPr>
        <w:spacing w:after="0" w:line="229" w:lineRule="auto"/>
        <w:rPr>
          <w:sz w:val="20"/>
          <w:szCs w:val="20"/>
          <w:color w:val="auto"/>
        </w:rPr>
      </w:pPr>
      <w:r>
        <w:rPr>
          <w:rFonts w:ascii="Arial" w:cs="Arial" w:eastAsia="Arial" w:hAnsi="Arial"/>
          <w:sz w:val="16"/>
          <w:szCs w:val="16"/>
          <w:color w:val="auto"/>
        </w:rPr>
        <w:t>granted to an employee, who at the time of grant is a 10% shareholder, may not be less than 110% of the fair value on the</w:t>
      </w:r>
    </w:p>
    <w:p>
      <w:pPr>
        <w:spacing w:after="0"/>
        <w:rPr>
          <w:sz w:val="20"/>
          <w:szCs w:val="20"/>
          <w:color w:val="auto"/>
        </w:rPr>
      </w:pPr>
      <w:r>
        <w:rPr>
          <w:rFonts w:ascii="Arial" w:cs="Arial" w:eastAsia="Arial" w:hAnsi="Arial"/>
          <w:sz w:val="18"/>
          <w:szCs w:val="18"/>
          <w:color w:val="auto"/>
        </w:rPr>
        <w:t>date of grant.</w:t>
      </w:r>
    </w:p>
    <w:p>
      <w:pPr>
        <w:spacing w:after="0" w:line="169"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Terms of restricted stock awards and stock option agreements, including vesting requirements, are determined by the board of directors or compensation committee of the board of directors, subject to the provisions of the applicable plan. Options and restricted stock awards granted by the Company generally vest ratably over four years, with a one</w:t>
      </w:r>
      <w:r>
        <w:rPr>
          <w:rFonts w:ascii="MS PGothic" w:cs="MS PGothic" w:eastAsia="MS PGothic" w:hAnsi="MS PGothic"/>
          <w:sz w:val="16"/>
          <w:szCs w:val="16"/>
          <w:color w:val="auto"/>
        </w:rPr>
        <w:t>‑</w:t>
      </w:r>
      <w:r>
        <w:rPr>
          <w:rFonts w:ascii="Arial" w:cs="Arial" w:eastAsia="Arial" w:hAnsi="Arial"/>
          <w:sz w:val="16"/>
          <w:szCs w:val="16"/>
          <w:color w:val="auto"/>
        </w:rPr>
        <w:t>year cliff for new employee awards, and are exercisable from the date of grant for a period of ten years. For options and restricted stock awards granted prior to the IPO,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60"/>
        <w:spacing w:after="0" w:line="189" w:lineRule="exact"/>
        <w:rPr>
          <w:sz w:val="20"/>
          <w:szCs w:val="20"/>
          <w:color w:val="auto"/>
        </w:rPr>
      </w:pPr>
      <w:r>
        <w:rPr>
          <w:rFonts w:ascii="Arial" w:cs="Arial" w:eastAsia="Arial" w:hAnsi="Arial"/>
          <w:sz w:val="18"/>
          <w:szCs w:val="18"/>
          <w:color w:val="auto"/>
        </w:rPr>
        <w:t>performed common stock valuations with the assistance of a third</w:t>
      </w:r>
      <w:r>
        <w:rPr>
          <w:rFonts w:ascii="MS PGothic" w:cs="MS PGothic" w:eastAsia="MS PGothic" w:hAnsi="MS PGothic"/>
          <w:sz w:val="18"/>
          <w:szCs w:val="18"/>
          <w:color w:val="auto"/>
        </w:rPr>
        <w:t>‑</w:t>
      </w:r>
      <w:r>
        <w:rPr>
          <w:rFonts w:ascii="Arial" w:cs="Arial" w:eastAsia="Arial" w:hAnsi="Arial"/>
          <w:sz w:val="18"/>
          <w:szCs w:val="18"/>
          <w:color w:val="auto"/>
        </w:rPr>
        <w:t>party specialist, as of January 6, 2014, July 30, 2014, November 10, 2014, February 1, 2015 and March 1, 2015 to determine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Upon completion of the IPO, the fair value of the common stock on the grant date was based on the closing price of the stock on the date of grant.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unvested restricted stock and related information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12"/>
                <w:szCs w:val="12"/>
                <w:color w:val="auto"/>
              </w:rPr>
            </w:pPr>
          </w:p>
        </w:tc>
        <w:tc>
          <w:tcPr>
            <w:tcW w:w="8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68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425,279</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6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Repurchased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(22,826)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The Company has granted restricted stock to non</w:t>
      </w:r>
      <w:r>
        <w:rPr>
          <w:rFonts w:ascii="MS PGothic" w:cs="MS PGothic" w:eastAsia="MS PGothic" w:hAnsi="MS PGothic"/>
          <w:sz w:val="17"/>
          <w:szCs w:val="17"/>
          <w:color w:val="auto"/>
        </w:rPr>
        <w:t>‑</w:t>
      </w:r>
      <w:r>
        <w:rPr>
          <w:rFonts w:ascii="Arial" w:cs="Arial" w:eastAsia="Arial" w:hAnsi="Arial"/>
          <w:sz w:val="17"/>
          <w:szCs w:val="17"/>
          <w:color w:val="auto"/>
        </w:rPr>
        <w:t>employees which contain both performance</w:t>
      </w:r>
      <w:r>
        <w:rPr>
          <w:rFonts w:ascii="MS PGothic" w:cs="MS PGothic" w:eastAsia="MS PGothic" w:hAnsi="MS PGothic"/>
          <w:sz w:val="17"/>
          <w:szCs w:val="17"/>
          <w:color w:val="auto"/>
        </w:rPr>
        <w:t>‑</w:t>
      </w:r>
      <w:r>
        <w:rPr>
          <w:rFonts w:ascii="Arial" w:cs="Arial" w:eastAsia="Arial" w:hAnsi="Arial"/>
          <w:sz w:val="17"/>
          <w:szCs w:val="17"/>
          <w:color w:val="auto"/>
        </w:rPr>
        <w:t>based and service</w:t>
      </w:r>
      <w:r>
        <w:rPr>
          <w:rFonts w:ascii="MS PGothic" w:cs="MS PGothic" w:eastAsia="MS PGothic" w:hAnsi="MS PGothic"/>
          <w:sz w:val="17"/>
          <w:szCs w:val="17"/>
          <w:color w:val="auto"/>
        </w:rPr>
        <w:t>‑</w:t>
      </w:r>
      <w:r>
        <w:rPr>
          <w:rFonts w:ascii="Arial" w:cs="Arial" w:eastAsia="Arial" w:hAnsi="Arial"/>
          <w:sz w:val="17"/>
          <w:szCs w:val="17"/>
          <w:color w:val="auto"/>
        </w:rPr>
        <w:t>based vesting criteria.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is recognized if the performance condition is considered probable of achievement using management’s best estimates. In the year ended December 31, 2014 management concluded that the milestones associated with 181,818 shares of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were probable of achievement, and the Company began to record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using the accelerated attribution method, accordingly. The Company recorded $1.4 million and $0.9 million of stock-based compensation expense for non</w:t>
      </w:r>
      <w:r>
        <w:rPr>
          <w:rFonts w:ascii="MS PGothic" w:cs="MS PGothic" w:eastAsia="MS PGothic" w:hAnsi="MS PGothic"/>
          <w:sz w:val="17"/>
          <w:szCs w:val="17"/>
          <w:color w:val="auto"/>
        </w:rPr>
        <w:t>‑</w:t>
      </w:r>
      <w:r>
        <w:rPr>
          <w:rFonts w:ascii="Arial" w:cs="Arial" w:eastAsia="Arial" w:hAnsi="Arial"/>
          <w:sz w:val="17"/>
          <w:szCs w:val="17"/>
          <w:color w:val="auto"/>
        </w:rPr>
        <w:t>employee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in the years ended December 31, 2015 and 2014, respectively, related to the achievement of both milestones.</w:t>
      </w:r>
    </w:p>
    <w:p>
      <w:pPr>
        <w:spacing w:after="0" w:line="127"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The total fair value of restricted stock that vested during the years ended December 31, 2015, 2014 and 2013 was $4.9 million, $1.5 million and $0.5 million, respectively.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2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Intrinsic</w:t>
            </w:r>
          </w:p>
        </w:tc>
      </w:tr>
      <w:tr>
        <w:trPr>
          <w:trHeight w:val="176"/>
        </w:trPr>
        <w:tc>
          <w:tcPr>
            <w:tcW w:w="2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Value(2)</w:t>
            </w:r>
          </w:p>
        </w:tc>
      </w:tr>
      <w:tr>
        <w:trPr>
          <w:trHeight w:val="171"/>
        </w:trPr>
        <w:tc>
          <w:tcPr>
            <w:tcW w:w="228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bottom w:val="single" w:sz="8" w:color="CCEEFF"/>
            </w:tcBorders>
          </w:tcPr>
          <w:p>
            <w:pPr>
              <w:spacing w:after="0"/>
              <w:rPr>
                <w:sz w:val="14"/>
                <w:szCs w:val="14"/>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1,501,912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40" w:type="dxa"/>
            <w:vAlign w:val="bottom"/>
            <w:shd w:val="clear" w:color="auto" w:fill="CCEEFF"/>
          </w:tcPr>
          <w:p>
            <w:pPr>
              <w:spacing w:after="0"/>
              <w:rPr>
                <w:sz w:val="18"/>
                <w:szCs w:val="18"/>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716,573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0"/>
        </w:trPr>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1,802,802</w:t>
            </w: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37,008</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0"/>
        </w:trPr>
        <w:tc>
          <w:tcPr>
            <w:tcW w:w="53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Exercisable at December 31, 2015</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430,939</w:t>
            </w:r>
          </w:p>
        </w:tc>
        <w:tc>
          <w:tcPr>
            <w:tcW w:w="300" w:type="dxa"/>
            <w:vAlign w:val="bottom"/>
            <w:tcBorders>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8.56</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9,847</w:t>
            </w:r>
          </w:p>
        </w:tc>
        <w:tc>
          <w:tcPr>
            <w:tcW w:w="40" w:type="dxa"/>
            <w:vAlign w:val="bottom"/>
            <w:tcBorders>
              <w:bottom w:val="single" w:sz="8" w:color="CCEEFF"/>
            </w:tcBorders>
          </w:tcPr>
          <w:p>
            <w:pPr>
              <w:spacing w:after="0"/>
              <w:rPr>
                <w:sz w:val="18"/>
                <w:szCs w:val="18"/>
                <w:color w:val="auto"/>
              </w:rPr>
            </w:pPr>
          </w:p>
        </w:tc>
      </w:tr>
      <w:tr>
        <w:trPr>
          <w:trHeight w:val="223"/>
        </w:trPr>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2015(1)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1,757,456</w:t>
            </w: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0" w:lineRule="exact"/>
        <w:rPr>
          <w:sz w:val="20"/>
          <w:szCs w:val="20"/>
          <w:color w:val="auto"/>
        </w:rPr>
      </w:pPr>
    </w:p>
    <w:p>
      <w:pPr>
        <w:ind w:left="460" w:right="240" w:hanging="457"/>
        <w:spacing w:after="0" w:line="23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the number of vested options as of December 31, 2015, plus the number of unvested options expected to vest as of December 31, 2015 based on a forfeiture rate of 2.5%.</w:t>
      </w:r>
    </w:p>
    <w:p>
      <w:pPr>
        <w:spacing w:after="0" w:line="161" w:lineRule="exact"/>
        <w:rPr>
          <w:rFonts w:ascii="Arial" w:cs="Arial" w:eastAsia="Arial" w:hAnsi="Arial"/>
          <w:sz w:val="18"/>
          <w:szCs w:val="18"/>
          <w:color w:val="auto"/>
        </w:rPr>
      </w:pPr>
    </w:p>
    <w:p>
      <w:pPr>
        <w:ind w:left="460" w:right="560" w:hanging="457"/>
        <w:spacing w:after="0" w:line="23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December 31, 2015 of the underlying common stock exceeds the exercise price of the option.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8"/>
              </w:rPr>
              <w:t>Year Ended</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5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w w:val="94"/>
              </w:rPr>
              <w:t>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20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5"/>
                <w:szCs w:val="15"/>
                <w:color w:val="auto"/>
              </w:rPr>
            </w:pPr>
          </w:p>
        </w:tc>
        <w:tc>
          <w:tcPr>
            <w:tcW w:w="1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85.43 %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92.99 %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88.96 %</w:t>
            </w:r>
          </w:p>
        </w:tc>
      </w:tr>
    </w:tbl>
    <w:p>
      <w:pPr>
        <w:spacing w:after="0" w:line="121"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years ended December 31, 2015, 2014 and 2013 was $8.55, $3.46 and $1.18, respectively. The total intrinsic value of options exercised in the years ended December 31, 2015 and 2014 was $6.8 million and $0.1 million, respectively. There were no options exercised in the year ended December 31, 2013.</w:t>
      </w:r>
    </w:p>
    <w:p>
      <w:pPr>
        <w:spacing w:after="0" w:line="163" w:lineRule="exact"/>
        <w:rPr>
          <w:sz w:val="20"/>
          <w:szCs w:val="20"/>
          <w:color w:val="auto"/>
        </w:rPr>
      </w:pPr>
    </w:p>
    <w:p>
      <w:pPr>
        <w:ind w:right="22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1"/>
        </w:trPr>
        <w:tc>
          <w:tcPr>
            <w:tcW w:w="4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9"/>
        </w:trPr>
        <w:tc>
          <w:tcPr>
            <w:tcW w:w="46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127</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7"/>
        </w:trPr>
        <w:tc>
          <w:tcPr>
            <w:tcW w:w="46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r>
    </w:tbl>
    <w:p>
      <w:pPr>
        <w:spacing w:after="0" w:line="148"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8"/>
          <w:szCs w:val="18"/>
          <w:color w:val="auto"/>
        </w:rPr>
        <w:t>At December 31, 2015, there was $8.1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2.36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In March 2015 and April 2015, respectively, the Company’s board of directors and stockholders approved the 2015 Employee Stock Purchase Plan (the 2015 ESPP), which became effective upon the closing of the IPO in May 2015. The Company initially reserved a total of 243,347 shares of common stock for issuance under the 2015 ESPP, which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ESPP was increased by 271,960 shares. The first offering period under the 2015 Employee Stock Purchase Plan commenced on December 1, 2015.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8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 The following common stock equivalents were excluded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60"/>
        <w:spacing w:after="0" w:line="203" w:lineRule="exact"/>
        <w:rPr>
          <w:sz w:val="20"/>
          <w:szCs w:val="20"/>
          <w:color w:val="auto"/>
        </w:rPr>
      </w:pPr>
      <w:r>
        <w:rPr>
          <w:rFonts w:ascii="Arial" w:cs="Arial" w:eastAsia="Arial" w:hAnsi="Arial"/>
          <w:sz w:val="18"/>
          <w:szCs w:val="18"/>
          <w:color w:val="auto"/>
        </w:rPr>
        <w:t>from the calculation of diluted net loss per share applicable to common stockholders for the periods indicated because including them would have had an anti</w:t>
      </w:r>
      <w:r>
        <w:rPr>
          <w:rFonts w:ascii="MS PGothic" w:cs="MS PGothic" w:eastAsia="MS PGothic" w:hAnsi="MS PGothic"/>
          <w:sz w:val="18"/>
          <w:szCs w:val="18"/>
          <w:color w:val="auto"/>
        </w:rPr>
        <w:t>‑</w:t>
      </w:r>
      <w:r>
        <w:rPr>
          <w:rFonts w:ascii="Arial" w:cs="Arial" w:eastAsia="Arial" w:hAnsi="Arial"/>
          <w:sz w:val="18"/>
          <w:szCs w:val="18"/>
          <w:color w:val="auto"/>
        </w:rPr>
        <w:t>dilutive effect.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6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06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15,467,479</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7,272,726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42,423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27,272</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1,802,802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1,501,912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385,250</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Unvested restricted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130,495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425,279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836,712</w:t>
            </w:r>
          </w:p>
        </w:tc>
        <w:tc>
          <w:tcPr>
            <w:tcW w:w="80" w:type="dxa"/>
            <w:vAlign w:val="bottom"/>
          </w:tcPr>
          <w:p>
            <w:pPr>
              <w:spacing w:after="0"/>
              <w:rPr>
                <w:sz w:val="18"/>
                <w:szCs w:val="18"/>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1,933,297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17,437,093</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8,521,960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18,235,614 and 1,420,518 for the years ended December 31, 2015 and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A reconciliation of the U.S. statutory income tax rate to the Company’s effective tax rate is as follows for the years ended December 31, 2015, 2014 and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68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Permanent differences</w:t>
            </w:r>
          </w:p>
        </w:tc>
        <w:tc>
          <w:tcPr>
            <w:tcW w:w="780" w:type="dxa"/>
            <w:vAlign w:val="bottom"/>
            <w:gridSpan w:val="2"/>
          </w:tcPr>
          <w:p>
            <w:pPr>
              <w:jc w:val="right"/>
              <w:ind w:right="159"/>
              <w:spacing w:after="0"/>
              <w:rPr>
                <w:sz w:val="20"/>
                <w:szCs w:val="20"/>
                <w:color w:val="auto"/>
              </w:rPr>
            </w:pPr>
            <w:r>
              <w:rPr>
                <w:rFonts w:ascii="Arial" w:cs="Arial" w:eastAsia="Arial" w:hAnsi="Arial"/>
                <w:sz w:val="18"/>
                <w:szCs w:val="18"/>
                <w:color w:val="auto"/>
              </w:rPr>
              <w:t>(3.30)</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(1.87)</w:t>
            </w:r>
          </w:p>
        </w:tc>
        <w:tc>
          <w:tcPr>
            <w:tcW w:w="540" w:type="dxa"/>
            <w:vAlign w:val="bottom"/>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 credits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54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(37.</w:t>
            </w:r>
            <w:r>
              <w:rPr>
                <w:rFonts w:ascii="Arial" w:cs="Arial" w:eastAsia="Arial" w:hAnsi="Arial"/>
                <w:sz w:val="18"/>
                <w:szCs w:val="18"/>
                <w:u w:val="single" w:color="auto"/>
                <w:color w:val="auto"/>
                <w:w w:val="91"/>
              </w:rPr>
              <w:t>62)</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w:t>
            </w:r>
            <w:r>
              <w:rPr>
                <w:rFonts w:ascii="Arial" w:cs="Arial" w:eastAsia="Arial" w:hAnsi="Arial"/>
                <w:sz w:val="18"/>
                <w:szCs w:val="18"/>
                <w:u w:val="single" w:color="auto"/>
                <w:color w:val="auto"/>
                <w:w w:val="87"/>
              </w:rPr>
              <w:t>06)</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(43.</w:t>
            </w:r>
            <w:r>
              <w:rPr>
                <w:rFonts w:ascii="Arial" w:cs="Arial" w:eastAsia="Arial" w:hAnsi="Arial"/>
                <w:sz w:val="18"/>
                <w:szCs w:val="18"/>
                <w:u w:val="single" w:color="auto"/>
                <w:color w:val="auto"/>
                <w:w w:val="91"/>
              </w:rPr>
              <w:t>08)</w:t>
            </w:r>
          </w:p>
        </w:tc>
        <w:tc>
          <w:tcPr>
            <w:tcW w:w="180" w:type="dxa"/>
            <w:vAlign w:val="bottom"/>
            <w:tcBorders>
              <w:bottom w:val="single" w:sz="8" w:color="CCEEFF"/>
            </w:tcBorders>
          </w:tcPr>
          <w:p>
            <w:pPr>
              <w:spacing w:after="0"/>
              <w:rPr>
                <w:sz w:val="18"/>
                <w:szCs w:val="18"/>
                <w:color w:val="auto"/>
              </w:rPr>
            </w:pPr>
          </w:p>
        </w:tc>
      </w:tr>
      <w:tr>
        <w:trPr>
          <w:trHeight w:val="176"/>
        </w:trPr>
        <w:tc>
          <w:tcPr>
            <w:tcW w:w="6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Effective income tax rate</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9"/>
              <w:spacing w:after="0" w:line="170" w:lineRule="exact"/>
              <w:rPr>
                <w:sz w:val="20"/>
                <w:szCs w:val="20"/>
                <w:color w:val="auto"/>
              </w:rPr>
            </w:pPr>
            <w:r>
              <w:rPr>
                <w:rFonts w:ascii="Arial" w:cs="Arial" w:eastAsia="Arial" w:hAnsi="Arial"/>
                <w:sz w:val="18"/>
                <w:szCs w:val="18"/>
                <w:color w:val="auto"/>
                <w:w w:val="74"/>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bl>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The Company had net losses in all periods presented and therefore has not recognized any federal or state income tax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deferred tax assets and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0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169"/>
        </w:trPr>
        <w:tc>
          <w:tcPr>
            <w:tcW w:w="5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48,291</w:t>
            </w:r>
          </w:p>
        </w:tc>
        <w:tc>
          <w:tcPr>
            <w:tcW w:w="6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30,603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15,993</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 carryforwards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Deferred lease incentive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rent</w:t>
            </w: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(52,924)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(17,339)</w:t>
            </w:r>
          </w:p>
        </w:tc>
        <w:tc>
          <w:tcPr>
            <w:tcW w:w="80" w:type="dxa"/>
            <w:vAlign w:val="bottom"/>
          </w:tcPr>
          <w:p>
            <w:pPr>
              <w:spacing w:after="0"/>
              <w:rPr>
                <w:sz w:val="18"/>
                <w:szCs w:val="18"/>
                <w:color w:val="auto"/>
              </w:rPr>
            </w:pPr>
          </w:p>
        </w:tc>
      </w:tr>
      <w:tr>
        <w:trPr>
          <w:trHeight w:val="176"/>
        </w:trPr>
        <w:tc>
          <w:tcPr>
            <w:tcW w:w="50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 asset</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220" w:firstLine="648"/>
        <w:spacing w:after="0" w:line="249" w:lineRule="auto"/>
        <w:rPr>
          <w:sz w:val="20"/>
          <w:szCs w:val="20"/>
          <w:color w:val="auto"/>
        </w:rPr>
      </w:pPr>
      <w:r>
        <w:rPr>
          <w:rFonts w:ascii="Arial" w:cs="Arial" w:eastAsia="Arial" w:hAnsi="Arial"/>
          <w:sz w:val="16"/>
          <w:szCs w:val="16"/>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$52.9 million, $33.0 million and $17.3 million has been established at December 31, 2015, 2014 and 2013, respectively. The change in the valuation allowance was $19.8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million, $15.7 million and $9.0 million for the years ended December 31, 2015, 2014 and 2013, respectively. The Company has incurred net operating losses (NOL) since inception. At December 31, 2015, the Company had federal and state NOL carryforwards of $123.2 million and $121.3 million, respectively, which expire beginning in 2030. As of December 31, 2015, the Company had federal and state research and development tax credit carryforwards of $2.1 million and $1.1 million, respectively, which expire beginning in 2025. The Company had net NOLs related to stock compensation in the amount of $0.6 million that is not included in the deferred tax assets. When the excess stock-based compensation related to NOL carryover tax assets are realized, the benefit will be credited directly to equity. As of December 31, 2015, the Company had federal orphan drug credits of $0.3 million, which expire beginning in 2025.</w:t>
      </w:r>
    </w:p>
    <w:p>
      <w:pPr>
        <w:spacing w:after="0" w:line="168" w:lineRule="exact"/>
        <w:rPr>
          <w:sz w:val="20"/>
          <w:szCs w:val="20"/>
          <w:color w:val="auto"/>
        </w:rPr>
      </w:pPr>
    </w:p>
    <w:p>
      <w:pPr>
        <w:ind w:right="140" w:firstLine="648"/>
        <w:spacing w:after="0" w:line="236" w:lineRule="auto"/>
        <w:rPr>
          <w:sz w:val="20"/>
          <w:szCs w:val="20"/>
          <w:color w:val="auto"/>
        </w:rPr>
      </w:pPr>
      <w:r>
        <w:rPr>
          <w:rFonts w:ascii="Arial" w:cs="Arial" w:eastAsia="Arial" w:hAnsi="Arial"/>
          <w:sz w:val="16"/>
          <w:szCs w:val="16"/>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In addition, U.S. tax laws limit the time during which these carryforwards may be applied against future taxes. Therefore, the Company may not be able to take full advantage of these carryforwards for federal or state income tax purposes.</w:t>
      </w:r>
    </w:p>
    <w:p>
      <w:pPr>
        <w:spacing w:after="0" w:line="168"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statements of operations. As of December 31, 2015 and 2014, the Company has no accrued interest related to uncertain tax positions.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jc w:val="both"/>
        <w:ind w:right="120" w:firstLine="648"/>
        <w:spacing w:after="0" w:line="194" w:lineRule="exact"/>
        <w:rPr>
          <w:sz w:val="20"/>
          <w:szCs w:val="20"/>
          <w:color w:val="auto"/>
        </w:rPr>
      </w:pPr>
      <w:r>
        <w:rPr>
          <w:rFonts w:ascii="Arial" w:cs="Arial" w:eastAsia="Arial" w:hAnsi="Arial"/>
          <w:sz w:val="18"/>
          <w:szCs w:val="18"/>
          <w:color w:val="auto"/>
        </w:rPr>
        <w:t>The Company leased its prior corporate headquarters under an operating lease that expired on November 1, 2015. On February 1, 2015, the Company’s option to extend the term of the lease for an additional three</w:t>
      </w:r>
      <w:r>
        <w:rPr>
          <w:rFonts w:ascii="MS PGothic" w:cs="MS PGothic" w:eastAsia="MS PGothic" w:hAnsi="MS PGothic"/>
          <w:sz w:val="18"/>
          <w:szCs w:val="18"/>
          <w:color w:val="auto"/>
        </w:rPr>
        <w:t>‑</w:t>
      </w:r>
      <w:r>
        <w:rPr>
          <w:rFonts w:ascii="Arial" w:cs="Arial" w:eastAsia="Arial" w:hAnsi="Arial"/>
          <w:sz w:val="18"/>
          <w:szCs w:val="18"/>
          <w:color w:val="auto"/>
        </w:rPr>
        <w:t>year period expired. The Company did not exercise its option to extend the term of the lease.</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On February 12, 2015, the Company entered into a lease for its current corporate headquarters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increases periodically until it reaches approximately $2.8 million. The current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consolidated balance sheets. As of December 31, 2015, the Company had other current assets of $1.3 million related to the reimbursement of leasehold improvement costs from the landlord. The lease agreement required the Company to pay a security deposit of $1.3 million, which was recorded in restricted cash on the consolidated balance sheets.</w:t>
      </w:r>
    </w:p>
    <w:p>
      <w:pPr>
        <w:sectPr>
          <w:pgSz w:w="11900" w:h="16838" w:orient="portrait"/>
          <w:cols w:equalWidth="0" w:num="1">
            <w:col w:w="9040"/>
          </w:cols>
          <w:pgMar w:left="1420" w:top="112" w:right="14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future minimum lease payments at December 31, 2015,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158115</wp:posOffset>
            </wp:positionV>
            <wp:extent cx="575437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minimum lease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368" w:hanging="368"/>
        <w:spacing w:after="0"/>
        <w:tabs>
          <w:tab w:leader="none" w:pos="368" w:val="left"/>
        </w:tabs>
        <w:numPr>
          <w:ilvl w:val="0"/>
          <w:numId w:val="70"/>
        </w:numPr>
        <w:rPr>
          <w:rFonts w:ascii="Arial" w:cs="Arial" w:eastAsia="Arial" w:hAnsi="Arial"/>
          <w:sz w:val="15"/>
          <w:szCs w:val="15"/>
          <w:color w:val="auto"/>
        </w:rPr>
      </w:pPr>
      <w:r>
        <w:rPr>
          <w:rFonts w:ascii="Arial" w:cs="Arial" w:eastAsia="Arial" w:hAnsi="Arial"/>
          <w:sz w:val="15"/>
          <w:szCs w:val="15"/>
          <w:color w:val="auto"/>
        </w:rPr>
        <w:t>2,326</w:t>
      </w:r>
    </w:p>
    <w:p>
      <w:pPr>
        <w:spacing w:after="0" w:line="59" w:lineRule="exact"/>
        <w:rPr>
          <w:rFonts w:ascii="Arial" w:cs="Arial" w:eastAsia="Arial" w:hAnsi="Arial"/>
          <w:sz w:val="15"/>
          <w:szCs w:val="15"/>
          <w:color w:val="auto"/>
        </w:rPr>
      </w:pPr>
    </w:p>
    <w:p>
      <w:pPr>
        <w:ind w:left="368"/>
        <w:spacing w:after="0"/>
        <w:rPr>
          <w:rFonts w:ascii="Arial" w:cs="Arial" w:eastAsia="Arial" w:hAnsi="Arial"/>
          <w:sz w:val="15"/>
          <w:szCs w:val="15"/>
          <w:color w:val="auto"/>
        </w:rPr>
      </w:pPr>
      <w:r>
        <w:rPr>
          <w:rFonts w:ascii="Arial" w:cs="Arial" w:eastAsia="Arial" w:hAnsi="Arial"/>
          <w:sz w:val="15"/>
          <w:szCs w:val="15"/>
          <w:color w:val="auto"/>
        </w:rPr>
        <w:t>2,396</w:t>
      </w:r>
    </w:p>
    <w:p>
      <w:pPr>
        <w:spacing w:after="0" w:line="41" w:lineRule="exact"/>
        <w:rPr>
          <w:rFonts w:ascii="Arial" w:cs="Arial" w:eastAsia="Arial" w:hAnsi="Arial"/>
          <w:sz w:val="15"/>
          <w:szCs w:val="15"/>
          <w:color w:val="auto"/>
        </w:rPr>
      </w:pPr>
    </w:p>
    <w:p>
      <w:pPr>
        <w:ind w:left="368"/>
        <w:spacing w:after="0"/>
        <w:rPr>
          <w:rFonts w:ascii="Arial" w:cs="Arial" w:eastAsia="Arial" w:hAnsi="Arial"/>
          <w:sz w:val="15"/>
          <w:szCs w:val="15"/>
          <w:color w:val="auto"/>
        </w:rPr>
      </w:pPr>
      <w:r>
        <w:rPr>
          <w:rFonts w:ascii="Arial" w:cs="Arial" w:eastAsia="Arial" w:hAnsi="Arial"/>
          <w:sz w:val="15"/>
          <w:szCs w:val="15"/>
          <w:color w:val="auto"/>
        </w:rPr>
        <w:t>2,468</w:t>
      </w:r>
    </w:p>
    <w:p>
      <w:pPr>
        <w:spacing w:after="0" w:line="43" w:lineRule="exact"/>
        <w:rPr>
          <w:rFonts w:ascii="Arial" w:cs="Arial" w:eastAsia="Arial" w:hAnsi="Arial"/>
          <w:sz w:val="15"/>
          <w:szCs w:val="15"/>
          <w:color w:val="auto"/>
        </w:rPr>
      </w:pPr>
    </w:p>
    <w:p>
      <w:pPr>
        <w:ind w:left="368"/>
        <w:spacing w:after="0"/>
        <w:rPr>
          <w:rFonts w:ascii="Arial" w:cs="Arial" w:eastAsia="Arial" w:hAnsi="Arial"/>
          <w:sz w:val="15"/>
          <w:szCs w:val="15"/>
          <w:color w:val="auto"/>
        </w:rPr>
      </w:pPr>
      <w:r>
        <w:rPr>
          <w:rFonts w:ascii="Arial" w:cs="Arial" w:eastAsia="Arial" w:hAnsi="Arial"/>
          <w:sz w:val="15"/>
          <w:szCs w:val="15"/>
          <w:color w:val="auto"/>
        </w:rPr>
        <w:t>2,542</w:t>
      </w:r>
    </w:p>
    <w:p>
      <w:pPr>
        <w:spacing w:after="0" w:line="43" w:lineRule="exact"/>
        <w:rPr>
          <w:rFonts w:ascii="Arial" w:cs="Arial" w:eastAsia="Arial" w:hAnsi="Arial"/>
          <w:sz w:val="15"/>
          <w:szCs w:val="15"/>
          <w:color w:val="auto"/>
        </w:rPr>
      </w:pPr>
    </w:p>
    <w:p>
      <w:pPr>
        <w:ind w:left="368"/>
        <w:spacing w:after="0"/>
        <w:rPr>
          <w:rFonts w:ascii="Arial" w:cs="Arial" w:eastAsia="Arial" w:hAnsi="Arial"/>
          <w:sz w:val="15"/>
          <w:szCs w:val="15"/>
          <w:color w:val="auto"/>
        </w:rPr>
      </w:pPr>
      <w:r>
        <w:rPr>
          <w:rFonts w:ascii="Arial" w:cs="Arial" w:eastAsia="Arial" w:hAnsi="Arial"/>
          <w:sz w:val="15"/>
          <w:szCs w:val="15"/>
          <w:color w:val="auto"/>
        </w:rPr>
        <w:t>2,618</w:t>
      </w:r>
    </w:p>
    <w:p>
      <w:pPr>
        <w:spacing w:after="0" w:line="43" w:lineRule="exact"/>
        <w:rPr>
          <w:rFonts w:ascii="Arial" w:cs="Arial" w:eastAsia="Arial" w:hAnsi="Arial"/>
          <w:sz w:val="15"/>
          <w:szCs w:val="15"/>
          <w:color w:val="auto"/>
        </w:rPr>
      </w:pPr>
    </w:p>
    <w:p>
      <w:pPr>
        <w:ind w:left="368"/>
        <w:spacing w:after="0"/>
        <w:rPr>
          <w:rFonts w:ascii="Arial" w:cs="Arial" w:eastAsia="Arial" w:hAnsi="Arial"/>
          <w:sz w:val="15"/>
          <w:szCs w:val="15"/>
          <w:color w:val="auto"/>
        </w:rPr>
      </w:pPr>
      <w:r>
        <w:rPr>
          <w:rFonts w:ascii="Arial" w:cs="Arial" w:eastAsia="Arial" w:hAnsi="Arial"/>
          <w:sz w:val="15"/>
          <w:szCs w:val="15"/>
          <w:color w:val="auto"/>
        </w:rPr>
        <w:t>5,000</w:t>
      </w:r>
    </w:p>
    <w:p>
      <w:pPr>
        <w:spacing w:after="0" w:line="44" w:lineRule="exact"/>
        <w:rPr>
          <w:sz w:val="20"/>
          <w:szCs w:val="20"/>
          <w:color w:val="auto"/>
        </w:rPr>
      </w:pPr>
    </w:p>
    <w:p>
      <w:pPr>
        <w:ind w:left="268" w:hanging="268"/>
        <w:spacing w:after="0"/>
        <w:tabs>
          <w:tab w:leader="none" w:pos="268" w:val="left"/>
        </w:tabs>
        <w:numPr>
          <w:ilvl w:val="0"/>
          <w:numId w:val="7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17,350</w:t>
      </w:r>
    </w:p>
    <w:p>
      <w:pPr>
        <w:spacing w:after="0" w:line="220" w:lineRule="exact"/>
        <w:rPr>
          <w:sz w:val="20"/>
          <w:szCs w:val="20"/>
          <w:color w:val="auto"/>
        </w:rPr>
      </w:pPr>
    </w:p>
    <w:p>
      <w:pPr>
        <w:sectPr>
          <w:pgSz w:w="11900" w:h="16838" w:orient="portrait"/>
          <w:cols w:equalWidth="0" w:num="2">
            <w:col w:w="7372" w:space="720"/>
            <w:col w:w="948"/>
          </w:cols>
          <w:pgMar w:left="1420" w:top="112" w:right="1439" w:bottom="1440" w:gutter="0" w:footer="0" w:header="0"/>
          <w:type w:val="continuous"/>
        </w:sectPr>
      </w:pPr>
    </w:p>
    <w:p>
      <w:pPr>
        <w:jc w:val="center"/>
        <w:ind w:right="340"/>
        <w:spacing w:after="0" w:line="481" w:lineRule="auto"/>
        <w:rPr>
          <w:sz w:val="20"/>
          <w:szCs w:val="20"/>
          <w:color w:val="auto"/>
        </w:rPr>
      </w:pPr>
      <w:r>
        <w:rPr>
          <w:rFonts w:ascii="Arial" w:cs="Arial" w:eastAsia="Arial" w:hAnsi="Arial"/>
          <w:sz w:val="18"/>
          <w:szCs w:val="18"/>
          <w:color w:val="auto"/>
        </w:rPr>
        <w:t>The Company records rent expense under its lease agreements on a straight line basis. For the years ended December 31,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2015, 2014, and 2013, rent expense was $1.8 million, $0.8 million, and $0.6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In March 2015, the Company entered into a research, development and commercialization agreement with Alexion to research, develop and commercialize drug candidates for an undisclosed activated kinase target, which is the cause of a rare genetic disease. Under the terms of this agreement, the Company is responsible for research and pre-clinical development activities related to drug candidates and Alexion is responsible for all clinical development, manufacturing and commercialization activities related to drug candidates.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Alexion is responsible for funding 100% of the Company’s research and development costs incurred under the research plan, including pass</w:t>
      </w:r>
      <w:r>
        <w:rPr>
          <w:rFonts w:ascii="MS PGothic" w:cs="MS PGothic" w:eastAsia="MS PGothic" w:hAnsi="MS PGothic"/>
          <w:sz w:val="17"/>
          <w:szCs w:val="17"/>
          <w:color w:val="auto"/>
        </w:rPr>
        <w:t>‑</w:t>
      </w:r>
      <w:r>
        <w:rPr>
          <w:rFonts w:ascii="Arial" w:cs="Arial" w:eastAsia="Arial" w:hAnsi="Arial"/>
          <w:sz w:val="17"/>
          <w:szCs w:val="17"/>
          <w:color w:val="auto"/>
        </w:rPr>
        <w:t>through costs and a negotiated yearly rate per full</w:t>
      </w:r>
      <w:r>
        <w:rPr>
          <w:rFonts w:ascii="MS PGothic" w:cs="MS PGothic" w:eastAsia="MS PGothic" w:hAnsi="MS PGothic"/>
          <w:sz w:val="17"/>
          <w:szCs w:val="17"/>
          <w:color w:val="auto"/>
        </w:rPr>
        <w:t>‑</w:t>
      </w:r>
      <w:r>
        <w:rPr>
          <w:rFonts w:ascii="Arial" w:cs="Arial" w:eastAsia="Arial" w:hAnsi="Arial"/>
          <w:sz w:val="17"/>
          <w:szCs w:val="17"/>
          <w:color w:val="auto"/>
        </w:rPr>
        <w:t>time equivalent for its employees’ time and their associated overhead expenses. The Company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in March 2015 upon execution of the agreement and is eligible to receive over $250.0 million in payments upon the successful achievement of pre</w:t>
      </w:r>
      <w:r>
        <w:rPr>
          <w:rFonts w:ascii="MS PGothic" w:cs="MS PGothic" w:eastAsia="MS PGothic" w:hAnsi="MS PGothic"/>
          <w:sz w:val="17"/>
          <w:szCs w:val="17"/>
          <w:color w:val="auto"/>
        </w:rPr>
        <w:t>‑</w:t>
      </w:r>
      <w:r>
        <w:rPr>
          <w:rFonts w:ascii="Arial" w:cs="Arial" w:eastAsia="Arial" w:hAnsi="Arial"/>
          <w:sz w:val="17"/>
          <w:szCs w:val="17"/>
          <w:color w:val="auto"/>
        </w:rPr>
        <w:t>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7"/>
          <w:szCs w:val="17"/>
          <w:color w:val="auto"/>
        </w:rPr>
        <w:t>‑</w:t>
      </w:r>
      <w:r>
        <w:rPr>
          <w:rFonts w:ascii="Arial" w:cs="Arial" w:eastAsia="Arial" w:hAnsi="Arial"/>
          <w:sz w:val="17"/>
          <w:szCs w:val="17"/>
          <w:color w:val="auto"/>
        </w:rPr>
        <w:t>single to low</w:t>
      </w:r>
      <w:r>
        <w:rPr>
          <w:rFonts w:ascii="MS PGothic" w:cs="MS PGothic" w:eastAsia="MS PGothic" w:hAnsi="MS PGothic"/>
          <w:sz w:val="17"/>
          <w:szCs w:val="17"/>
          <w:color w:val="auto"/>
        </w:rPr>
        <w:t>‑</w:t>
      </w:r>
      <w:r>
        <w:rPr>
          <w:rFonts w:ascii="Arial" w:cs="Arial" w:eastAsia="Arial" w:hAnsi="Arial"/>
          <w:sz w:val="17"/>
          <w:szCs w:val="17"/>
          <w:color w:val="auto"/>
        </w:rPr>
        <w:t>double digit percentages,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licensed-product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of specified patents covering such licensed product, (ii) the expiration of the applicable regulatory exclusivity period, and (iii) 10 or 15 years from specified commercial sales. There are no refund provisions in the agreement.</w:t>
      </w:r>
    </w:p>
    <w:p>
      <w:pPr>
        <w:spacing w:after="0" w:line="165"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Alexion has the right to terminate the Alexion agreement if the Company undergoes a change of control or becomes an affiliate of a biotechnology or pharmaceutical company, and may terminate the agreement at will upon 90 days prior written notice. The Company and Alexion have the right to terminate the agreement in the event of the other party’s uncured breach or insolvency, and in certain other circumstances agreed to by the parties</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Alexion agreement.</w:t>
      </w:r>
    </w:p>
    <w:p>
      <w:pPr>
        <w:spacing w:after="0" w:line="168"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The Company evaluated whether the milestones that may be received in connection with the agreement are substantive or non-substantive milestones. The Company concluded that the first pre-clinical milestone payment in the agreement is non-substantive due to the certainty at the date the arrangement was entered into that the event will be achieved. In the second quarter of 2015, the Company achieved the first pre-clinical milestone under the Alexion agreement and received a $1.75 million payment from Alexion. The Company is recognizing revenues from the related milestone payment over the period of performance.</w:t>
      </w:r>
    </w:p>
    <w:p>
      <w:pPr>
        <w:spacing w:after="0" w:line="162"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The Company recognized the first substantive milestone of $0.25 million in the fourth quarter of 2015 and received payment from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Alexion in the first quarter of 2016. In the first quarter of 2016, the Company recognized the second substantive milestone of $0.75 million. Milestones that are not 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161"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During the year ended December 31, 2015, the Company recognized revenue under the Alexion agreement of $11.4 million, and the Company received $4.9 million related to reimbursable research and development costs under the Alexion agreement. As of December 31, 2015, the Company has recorded unbilled accounts receivable of $3.2 million related to reimbursable research and development costs under the Alexion agreement for activities performed during the fourth quarter of 2015.</w:t>
      </w:r>
    </w:p>
    <w:p>
      <w:pPr>
        <w:spacing w:after="0" w:line="1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received consulting and management services from one of its investors, Third Rock</w:t>
      </w:r>
    </w:p>
    <w:p>
      <w:pPr>
        <w:ind w:right="60"/>
        <w:spacing w:after="0" w:line="218" w:lineRule="auto"/>
        <w:rPr>
          <w:sz w:val="20"/>
          <w:szCs w:val="20"/>
          <w:color w:val="auto"/>
        </w:rPr>
      </w:pPr>
      <w:r>
        <w:rPr>
          <w:rFonts w:ascii="Arial" w:cs="Arial" w:eastAsia="Arial" w:hAnsi="Arial"/>
          <w:sz w:val="18"/>
          <w:szCs w:val="18"/>
          <w:color w:val="auto"/>
        </w:rPr>
        <w:t>Ventures LLC (Third Rock Ventures). The Company paid Third Rock Ventures $0.4 million for these services during each of the years ended December 31, 2014 and 2013. The Company did not receive any consulting services from Third Rock Ventures during the year ended December 31,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Benefit Plan</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Company maintains a 401(k) plan for employees (the 401(k) Plan). The 401(k) Plan is intended to qualify under Section 401(k) of the Internal Revenue Service Code of 1986, as amended, so that contributions to the 401(k) Plan by employees or by the Company, and the investment earnings thereon,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Effective September 1, 2015, the Company instituted an employer match of 50% of eligible contributions up to 6% of employee contributions. For the year ended December 31, 2015, the Company contributed $0.1 million to the 401(k)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following table contains selected quarterly financial information for 2015 and 2014.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June 30, 2015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September 30, 2015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3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20,056</w:t>
            </w:r>
          </w:p>
        </w:tc>
        <w:tc>
          <w:tcPr>
            <w:tcW w:w="0" w:type="dxa"/>
            <w:vAlign w:val="bottom"/>
          </w:tcPr>
          <w:p>
            <w:pPr>
              <w:spacing w:after="0"/>
              <w:rPr>
                <w:sz w:val="1"/>
                <w:szCs w:val="1"/>
                <w:color w:val="auto"/>
              </w:rPr>
            </w:pPr>
          </w:p>
        </w:tc>
      </w:tr>
      <w:tr>
        <w:trPr>
          <w:trHeight w:val="216"/>
        </w:trPr>
        <w:tc>
          <w:tcPr>
            <w:tcW w:w="2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(11,572)</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(12,980)</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(12,642)</w:t>
            </w:r>
          </w:p>
        </w:tc>
        <w:tc>
          <w:tcPr>
            <w:tcW w:w="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7"/>
        </w:trPr>
        <w:tc>
          <w:tcPr>
            <w:tcW w:w="2780" w:type="dxa"/>
            <w:vAlign w:val="bottom"/>
            <w:tcBorders>
              <w:right w:val="single" w:sz="8" w:color="CCEEFF"/>
            </w:tcBorders>
            <w:vMerge w:val="restart"/>
            <w:shd w:val="clear" w:color="auto" w:fill="CCEEFF"/>
          </w:tcPr>
          <w:p>
            <w:pPr>
              <w:spacing w:after="0" w:line="162" w:lineRule="exact"/>
              <w:rPr>
                <w:sz w:val="20"/>
                <w:szCs w:val="20"/>
                <w:color w:val="auto"/>
              </w:rPr>
            </w:pPr>
            <w:r>
              <w:rPr>
                <w:rFonts w:ascii="Arial" w:cs="Arial" w:eastAsia="Arial" w:hAnsi="Arial"/>
                <w:sz w:val="18"/>
                <w:szCs w:val="18"/>
                <w:color w:val="auto"/>
              </w:rPr>
              <w:t>Net loss applicable to common</w:t>
            </w: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Borders>
              <w:right w:val="single" w:sz="8" w:color="CCEEFF"/>
            </w:tcBorders>
            <w:vMerge w:val="continue"/>
            <w:shd w:val="clear" w:color="auto" w:fill="CCEEFF"/>
          </w:tcPr>
          <w:p>
            <w:pPr>
              <w:spacing w:after="0"/>
              <w:rPr>
                <w:sz w:val="11"/>
                <w:szCs w:val="11"/>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60" w:type="dxa"/>
            <w:vAlign w:val="bottom"/>
            <w:vMerge w:val="restart"/>
            <w:shd w:val="clear" w:color="auto" w:fill="CCEEFF"/>
          </w:tcPr>
          <w:p>
            <w:pPr>
              <w:spacing w:after="0"/>
              <w:rPr>
                <w:sz w:val="11"/>
                <w:szCs w:val="11"/>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(13,863)</w:t>
            </w:r>
          </w:p>
        </w:tc>
        <w:tc>
          <w:tcPr>
            <w:tcW w:w="300" w:type="dxa"/>
            <w:vAlign w:val="bottom"/>
            <w:tcBorders>
              <w:left w:val="single" w:sz="8" w:color="CCEEFF"/>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(12,642)</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09"/>
        </w:trPr>
        <w:tc>
          <w:tcPr>
            <w:tcW w:w="2780" w:type="dxa"/>
            <w:vAlign w:val="bottom"/>
            <w:tcBorders>
              <w:right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stockholders</w:t>
            </w:r>
          </w:p>
        </w:tc>
        <w:tc>
          <w:tcPr>
            <w:tcW w:w="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78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Net loss per share applicable to</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w w:val="92"/>
              </w:rPr>
              <w:t>common stockholders — basic and</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(8.23)</w:t>
            </w:r>
          </w:p>
        </w:tc>
        <w:tc>
          <w:tcPr>
            <w:tcW w:w="160" w:type="dxa"/>
            <w:vAlign w:val="bottom"/>
            <w:vMerge w:val="restart"/>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(0.81)</w:t>
            </w: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(0.47)</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8"/>
                <w:szCs w:val="18"/>
                <w:color w:val="auto"/>
              </w:rPr>
              <w:t>diluted</w:t>
            </w:r>
          </w:p>
        </w:tc>
        <w:tc>
          <w:tcPr>
            <w:tcW w:w="2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2"/>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F-23</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33"/>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30, 2014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vMerge w:val="restart"/>
          </w:tcPr>
          <w:p>
            <w:pPr>
              <w:spacing w:after="0" w:line="142" w:lineRule="exact"/>
              <w:rPr>
                <w:sz w:val="20"/>
                <w:szCs w:val="20"/>
                <w:color w:val="auto"/>
              </w:rPr>
            </w:pPr>
            <w:r>
              <w:rPr>
                <w:rFonts w:ascii="Arial" w:cs="Arial" w:eastAsia="Arial" w:hAnsi="Arial"/>
                <w:sz w:val="16"/>
                <w:szCs w:val="16"/>
                <w:color w:val="auto"/>
              </w:rPr>
              <w:t>Net loss applicable to common</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(8,276)</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(9,585)</w:t>
            </w:r>
          </w:p>
        </w:tc>
        <w:tc>
          <w:tcPr>
            <w:tcW w:w="80" w:type="dxa"/>
            <w:vAlign w:val="bottom"/>
          </w:tcPr>
          <w:p>
            <w:pPr>
              <w:spacing w:after="0"/>
              <w:rPr>
                <w:sz w:val="10"/>
                <w:szCs w:val="10"/>
                <w:color w:val="auto"/>
              </w:rPr>
            </w:pPr>
          </w:p>
        </w:tc>
        <w:tc>
          <w:tcPr>
            <w:tcW w:w="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(11,816)</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(16,373)</w:t>
            </w:r>
          </w:p>
        </w:tc>
        <w:tc>
          <w:tcPr>
            <w:tcW w:w="0" w:type="dxa"/>
            <w:vAlign w:val="bottom"/>
          </w:tcPr>
          <w:p>
            <w:pPr>
              <w:spacing w:after="0"/>
              <w:rPr>
                <w:sz w:val="1"/>
                <w:szCs w:val="1"/>
                <w:color w:val="auto"/>
              </w:rPr>
            </w:pPr>
          </w:p>
        </w:tc>
      </w:tr>
      <w:tr>
        <w:trPr>
          <w:trHeight w:val="196"/>
        </w:trPr>
        <w:tc>
          <w:tcPr>
            <w:tcW w:w="2800" w:type="dxa"/>
            <w:vAlign w:val="bottom"/>
          </w:tcPr>
          <w:p>
            <w:pPr>
              <w:ind w:left="140"/>
              <w:spacing w:after="0" w:line="189" w:lineRule="exact"/>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00" w:type="dxa"/>
            <w:vAlign w:val="bottom"/>
            <w:tcBorders>
              <w:top w:val="single" w:sz="8" w:color="CCEEFF"/>
              <w:right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Net loss per share applicable to</w:t>
            </w: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00" w:type="dxa"/>
            <w:vAlign w:val="bottom"/>
            <w:tcBorders>
              <w:right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common stockholders — basic and</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(6.99)</w:t>
            </w: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189"/>
        </w:trPr>
        <w:tc>
          <w:tcPr>
            <w:tcW w:w="2800" w:type="dxa"/>
            <w:vAlign w:val="bottom"/>
            <w:tcBorders>
              <w:right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diluted</w:t>
            </w:r>
          </w:p>
        </w:tc>
        <w:tc>
          <w:tcPr>
            <w:tcW w:w="22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8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52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42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41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Fifth Amended and Restated Certificate of Incorporation</w:t>
            </w:r>
          </w:p>
        </w:tc>
        <w:tc>
          <w:tcPr>
            <w:tcW w:w="12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10-Q</w:t>
            </w:r>
          </w:p>
        </w:tc>
        <w:tc>
          <w:tcPr>
            <w:tcW w:w="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001-37359</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November 9,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of the Registrant</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Amended and Restated Bylaws of the Registrant</w:t>
            </w:r>
          </w:p>
        </w:tc>
        <w:tc>
          <w:tcPr>
            <w:tcW w:w="1600" w:type="dxa"/>
            <w:vAlign w:val="bottom"/>
            <w:gridSpan w:val="4"/>
          </w:tcPr>
          <w:p>
            <w:pPr>
              <w:ind w:left="60"/>
              <w:spacing w:after="0"/>
              <w:rPr>
                <w:sz w:val="20"/>
                <w:szCs w:val="20"/>
                <w:color w:val="auto"/>
              </w:rPr>
            </w:pPr>
            <w:r>
              <w:rPr>
                <w:rFonts w:ascii="Arial" w:cs="Arial" w:eastAsia="Arial" w:hAnsi="Arial"/>
                <w:sz w:val="18"/>
                <w:szCs w:val="18"/>
                <w:color w:val="auto"/>
              </w:rPr>
              <w:t>10-Q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Specimen Common Stock Certificate</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S-1/A</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Second Amended and Restated Investors’ Rights</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Agreement, dated as of November 7, 2014, by and</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9"/>
              </w:rPr>
              <w:t>among the Registrant and the Investors listed therein</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4.3</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Second Amended and Restated Stockholders’</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Agreement, dated as of November 7, 2014, by and</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3"/>
              </w:rPr>
              <w:t>among the Registrant and the Stockholders listed therein</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9"/>
              </w:rPr>
              <w:t>2011 Stock Option and Grant Plan, as amended, and</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forms of award agreements thereunder</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10.2</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2015 Stock Option and Incentive Plan and forms of</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award agreements thereunder</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10.3</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2015 Employee Stock Purchase Plan</w:t>
            </w:r>
          </w:p>
        </w:tc>
        <w:tc>
          <w:tcPr>
            <w:tcW w:w="1600" w:type="dxa"/>
            <w:vAlign w:val="bottom"/>
            <w:gridSpan w:val="4"/>
          </w:tcPr>
          <w:p>
            <w:pPr>
              <w:ind w:left="120"/>
              <w:spacing w:after="0"/>
              <w:rPr>
                <w:sz w:val="20"/>
                <w:szCs w:val="20"/>
                <w:color w:val="auto"/>
              </w:rPr>
            </w:pPr>
            <w:r>
              <w:rPr>
                <w:rFonts w:ascii="Arial" w:cs="Arial" w:eastAsia="Arial" w:hAnsi="Arial"/>
                <w:sz w:val="18"/>
                <w:szCs w:val="18"/>
                <w:color w:val="auto"/>
              </w:rPr>
              <w:t>S-8  333-203749</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April 30,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10.4</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Lease Agreement, dated February 11, 2015, by and</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between the Registrant and 38 Sidney Street Limited</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Partnership</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10.5#</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8"/>
              </w:rPr>
              <w:t>Employment Agreement, dated November 6, 2015, by</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Jeffrey W. Albers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10.6#</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8"/>
              </w:rPr>
              <w:t>Employment Agreement, dated November 6, 2015, by</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Christoph Lengauer</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10.7#</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8"/>
              </w:rPr>
              <w:t>Employment Agreement, dated November 6, 2015, by</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Anthony L. Boral</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10.8†</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5"/>
              </w:rPr>
              <w:t>Resignation Agreement, dated August 13, 2015, by and</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Kyle D. Kuvalanka</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5"/>
              </w:rPr>
              <w:t>Employment Agreement, dated March 10, 2016, by and</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Kathryn Haviland</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3"/>
              </w:rPr>
              <w:t>Change in Control Agreement, dated March 10, 2016, by</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Michael Landsittel</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6"/>
              </w:rPr>
              <w:t>Loan and Security Agreement, dated May 24, 2013, by</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5"/>
              </w:rPr>
              <w:t>and between the Registrant and Silicon Valley Bank, as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4"/>
              </w:rPr>
              <w:t>amended by First Amendment, dated January 21, 2014,</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Second Amendment, dated June 27, 2014, Third</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4"/>
              </w:rPr>
              <w:t>Amendment, dated November 4, 2014 and Consent and</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Fourth Amendment, dated December 22, 2015</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Research, Development &amp; Commercialization</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S-1/A</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April 10,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8"/>
              </w:rPr>
              <w:t>Agreement, dated March 2, 2015, by and between the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Registrant and Alexion Pharma Holding</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Form of Indemnification Agreement entered into</w:t>
            </w:r>
          </w:p>
        </w:tc>
        <w:tc>
          <w:tcPr>
            <w:tcW w:w="52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its directors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52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File No.</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2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10.14</w:t>
            </w:r>
          </w:p>
        </w:tc>
        <w:tc>
          <w:tcPr>
            <w:tcW w:w="100" w:type="dxa"/>
            <w:vAlign w:val="bottom"/>
          </w:tcPr>
          <w:p>
            <w:pPr>
              <w:spacing w:after="0"/>
              <w:rPr>
                <w:sz w:val="12"/>
                <w:szCs w:val="12"/>
                <w:color w:val="auto"/>
              </w:rPr>
            </w:pPr>
          </w:p>
        </w:tc>
        <w:tc>
          <w:tcPr>
            <w:tcW w:w="41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Form of Indemnification Agreement entered into</w:t>
            </w:r>
          </w:p>
        </w:tc>
        <w:tc>
          <w:tcPr>
            <w:tcW w:w="12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w w:val="96"/>
              </w:rPr>
              <w:t>S-1</w:t>
            </w:r>
          </w:p>
        </w:tc>
        <w:tc>
          <w:tcPr>
            <w:tcW w:w="6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333-202938</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w w:val="99"/>
              </w:rPr>
              <w:t>10.12</w:t>
            </w:r>
          </w:p>
        </w:tc>
        <w:tc>
          <w:tcPr>
            <w:tcW w:w="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March 23,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its officers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Senior Executive Cash Incentive Bonus Plan</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21.1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Subsidiaries of the Registrant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Consent of Ernst &amp; Young LLP</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9"/>
              </w:rPr>
              <w:t>Certification of Principal Executive Officer pursuant to</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6"/>
              </w:rPr>
              <w:t>Rule 13a-14(a) or Rule 15d-14(a) of the Exchange Act,</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9"/>
              </w:rPr>
              <w:t>as adopted pursuant to Section 302 of the Sarbanes-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Oxley Act of 2002</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Certification of Principal Financial Officer pursuant to</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6"/>
              </w:rPr>
              <w:t>Rule 13a-14(a) or Rule 15d-14(a) of the Exchange Act,</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9"/>
              </w:rPr>
              <w:t>as adopted pursuant to Section 302 of the Sarbanes-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Oxley Act of 2002</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Certifications of Principal Executive Officer and</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4"/>
              </w:rPr>
              <w:t>Principal Financial Officer pursuant to 18 U.S.C. Section</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1350, as adopted pursuant to Section 906 of the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w w:val="97"/>
              </w:rPr>
              <w:t>XBRL Taxonomy Extension Label Linkbase Document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14408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77" w:lineRule="exact"/>
        <w:rPr>
          <w:sz w:val="20"/>
          <w:szCs w:val="20"/>
          <w:color w:val="auto"/>
        </w:rPr>
      </w:pPr>
    </w:p>
    <w:p>
      <w:pPr>
        <w:ind w:left="200" w:right="99" w:hanging="197"/>
        <w:spacing w:after="0" w:line="235" w:lineRule="auto"/>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39" w:hanging="197"/>
        <w:spacing w:after="0" w:line="219" w:lineRule="auto"/>
        <w:tabs>
          <w:tab w:leader="none" w:pos="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532765</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27" w:name="page128"/>
    <w:bookmarkEnd w:id="127"/>
    <w:p>
      <w:pPr>
        <w:jc w:val="right"/>
        <w:ind w:right="139"/>
        <w:spacing w:after="0"/>
        <w:rPr>
          <w:sz w:val="20"/>
          <w:szCs w:val="20"/>
          <w:color w:val="auto"/>
        </w:rPr>
      </w:pPr>
      <w:r>
        <w:rPr>
          <w:rFonts w:ascii="Arial" w:cs="Arial" w:eastAsia="Arial" w:hAnsi="Arial"/>
          <w:sz w:val="22"/>
          <w:szCs w:val="22"/>
          <w:b w:val="1"/>
          <w:bCs w:val="1"/>
          <w:color w:val="auto"/>
        </w:rPr>
        <w:t>Exhibit 10.10</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CHANGE IN CONTROL AGREEMENT</w:t>
      </w:r>
    </w:p>
    <w:p>
      <w:pPr>
        <w:spacing w:after="0" w:line="200" w:lineRule="exact"/>
        <w:rPr>
          <w:sz w:val="20"/>
          <w:szCs w:val="20"/>
          <w:color w:val="auto"/>
        </w:rPr>
      </w:pPr>
    </w:p>
    <w:p>
      <w:pPr>
        <w:spacing w:after="0" w:line="215" w:lineRule="exact"/>
        <w:rPr>
          <w:sz w:val="20"/>
          <w:szCs w:val="20"/>
          <w:color w:val="auto"/>
        </w:rPr>
      </w:pPr>
    </w:p>
    <w:p>
      <w:pPr>
        <w:ind w:left="160" w:right="819" w:firstLine="648"/>
        <w:spacing w:after="0"/>
        <w:rPr>
          <w:sz w:val="20"/>
          <w:szCs w:val="20"/>
          <w:color w:val="auto"/>
        </w:rPr>
      </w:pPr>
      <w:r>
        <w:rPr>
          <w:rFonts w:ascii="Arial" w:cs="Arial" w:eastAsia="Arial" w:hAnsi="Arial"/>
          <w:sz w:val="22"/>
          <w:szCs w:val="22"/>
          <w:color w:val="auto"/>
        </w:rPr>
        <w:t>This Change in Control Agreement (“Agreement”) is dated as of March 10, 2016 (the “Effective Date”), between Blueprint Medicines Corporation, a Delaware corporation (the “Company”), and Michael Landsittel (the “Employee”).</w:t>
      </w:r>
    </w:p>
    <w:p>
      <w:pPr>
        <w:spacing w:after="0" w:line="186" w:lineRule="exact"/>
        <w:rPr>
          <w:sz w:val="20"/>
          <w:szCs w:val="20"/>
          <w:color w:val="auto"/>
        </w:rPr>
      </w:pPr>
    </w:p>
    <w:p>
      <w:pPr>
        <w:ind w:left="160" w:right="179" w:firstLine="648"/>
        <w:spacing w:after="0"/>
        <w:rPr>
          <w:sz w:val="20"/>
          <w:szCs w:val="20"/>
          <w:color w:val="auto"/>
        </w:rPr>
      </w:pPr>
      <w:r>
        <w:rPr>
          <w:rFonts w:ascii="Arial" w:cs="Arial" w:eastAsia="Arial" w:hAnsi="Arial"/>
          <w:sz w:val="22"/>
          <w:szCs w:val="22"/>
          <w:color w:val="auto"/>
        </w:rPr>
        <w:t>WHEREAS, the Company and the Employee previously entered in an offer letter agreement, dated August 26, 2014 (the “Prior Agreement”), which the Company and the Employee intend to supplement with this Agreement; and</w:t>
      </w:r>
    </w:p>
    <w:p>
      <w:pPr>
        <w:spacing w:after="0" w:line="186" w:lineRule="exact"/>
        <w:rPr>
          <w:sz w:val="20"/>
          <w:szCs w:val="20"/>
          <w:color w:val="auto"/>
        </w:rPr>
      </w:pPr>
    </w:p>
    <w:p>
      <w:pPr>
        <w:ind w:left="160" w:right="239" w:firstLine="648"/>
        <w:spacing w:after="0" w:line="238" w:lineRule="auto"/>
        <w:rPr>
          <w:sz w:val="20"/>
          <w:szCs w:val="20"/>
          <w:color w:val="auto"/>
        </w:rPr>
      </w:pPr>
      <w:r>
        <w:rPr>
          <w:rFonts w:ascii="Arial" w:cs="Arial" w:eastAsia="Arial" w:hAnsi="Arial"/>
          <w:sz w:val="22"/>
          <w:szCs w:val="22"/>
          <w:color w:val="auto"/>
        </w:rPr>
        <w:t>WHEREAS, to assure and encourage in advance the Employee’s continued attention and dedication to his assigned duties and his objectivity during the pendency and after the occurrence of a Sale Event (as defined below), the Company desires to make the following arrangements with the Employee.</w:t>
      </w:r>
    </w:p>
    <w:p>
      <w:pPr>
        <w:spacing w:after="0" w:line="185" w:lineRule="exact"/>
        <w:rPr>
          <w:sz w:val="20"/>
          <w:szCs w:val="20"/>
          <w:color w:val="auto"/>
        </w:rPr>
      </w:pPr>
    </w:p>
    <w:p>
      <w:pPr>
        <w:ind w:left="160" w:right="259"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6" w:lineRule="exact"/>
        <w:rPr>
          <w:sz w:val="20"/>
          <w:szCs w:val="20"/>
          <w:color w:val="auto"/>
        </w:rPr>
      </w:pPr>
    </w:p>
    <w:p>
      <w:pPr>
        <w:ind w:left="160" w:right="179" w:firstLine="639"/>
        <w:spacing w:after="0" w:line="234" w:lineRule="auto"/>
        <w:tabs>
          <w:tab w:leader="none" w:pos="1483"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Sale Event Payment</w:t>
      </w:r>
      <w:r>
        <w:rPr>
          <w:rFonts w:ascii="Arial" w:cs="Arial" w:eastAsia="Arial" w:hAnsi="Arial"/>
          <w:sz w:val="22"/>
          <w:szCs w:val="22"/>
          <w:color w:val="auto"/>
        </w:rPr>
        <w:t>. If within twelve (12) months after the closing of a Sale Event, the Employee’s employment is terminated by the Company without Cause or the Employee terminates his employment for Good Reason, then, subject to the Employee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87" w:lineRule="exact"/>
        <w:rPr>
          <w:rFonts w:ascii="Arial" w:cs="Arial" w:eastAsia="Arial" w:hAnsi="Arial"/>
          <w:sz w:val="22"/>
          <w:szCs w:val="22"/>
          <w:color w:val="auto"/>
        </w:rPr>
      </w:pPr>
    </w:p>
    <w:p>
      <w:pPr>
        <w:jc w:val="both"/>
        <w:ind w:left="160" w:right="219" w:firstLine="1287"/>
        <w:spacing w:after="0" w:line="238" w:lineRule="auto"/>
        <w:tabs>
          <w:tab w:leader="none" w:pos="2142"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Company shall pay the Employee a lump sum in cash in an amount equal to the sum of (i) six months (the “Base Salary Continuation Period”) of the Employee’s Base Salary plus (ii) one (1) times the Employee’s Target Incentive Compensation, prorated based upon such Employee’s Date of Termination; and</w:t>
      </w:r>
    </w:p>
    <w:p>
      <w:pPr>
        <w:spacing w:after="0" w:line="185" w:lineRule="exact"/>
        <w:rPr>
          <w:rFonts w:ascii="Arial" w:cs="Arial" w:eastAsia="Arial" w:hAnsi="Arial"/>
          <w:sz w:val="22"/>
          <w:szCs w:val="22"/>
          <w:color w:val="auto"/>
        </w:rPr>
      </w:pPr>
    </w:p>
    <w:p>
      <w:pPr>
        <w:ind w:left="160" w:right="159" w:firstLine="1287"/>
        <w:spacing w:after="0" w:line="234" w:lineRule="auto"/>
        <w:tabs>
          <w:tab w:leader="none" w:pos="2154" w:val="left"/>
        </w:tabs>
        <w:numPr>
          <w:ilvl w:val="1"/>
          <w:numId w:val="74"/>
        </w:numPr>
        <w:rPr>
          <w:rFonts w:ascii="Arial" w:cs="Arial" w:eastAsia="Arial" w:hAnsi="Arial"/>
          <w:sz w:val="22"/>
          <w:szCs w:val="22"/>
          <w:color w:val="auto"/>
        </w:rPr>
      </w:pPr>
      <w:r>
        <w:rPr>
          <w:rFonts w:ascii="Arial" w:cs="Arial" w:eastAsia="Arial" w:hAnsi="Arial"/>
          <w:sz w:val="22"/>
          <w:szCs w:val="22"/>
          <w:color w:val="auto"/>
        </w:rPr>
        <w:t>if the Employee was participating in the Company’s group health plan immediately prior to the Date of Termination and elects COBRA health continuation, then the Company shall pay to the Employee a monthly cash payment for a period equal to the Base Salary Continuation Period or the Employee’s COBRA health continuation period, whichever ends earlier, in an amount equal to the monthly employer contribution that the Company would have made to provide health insurance to the Employee if the Employee had remained employed by the Company; and</w:t>
      </w:r>
    </w:p>
    <w:p>
      <w:pPr>
        <w:spacing w:after="0" w:line="191" w:lineRule="exact"/>
        <w:rPr>
          <w:rFonts w:ascii="Arial" w:cs="Arial" w:eastAsia="Arial" w:hAnsi="Arial"/>
          <w:sz w:val="22"/>
          <w:szCs w:val="22"/>
          <w:color w:val="auto"/>
        </w:rPr>
      </w:pPr>
    </w:p>
    <w:p>
      <w:pPr>
        <w:jc w:val="both"/>
        <w:ind w:left="160" w:right="379" w:firstLine="1287"/>
        <w:spacing w:after="0"/>
        <w:tabs>
          <w:tab w:leader="none" w:pos="2155" w:val="left"/>
        </w:tabs>
        <w:numPr>
          <w:ilvl w:val="1"/>
          <w:numId w:val="74"/>
        </w:numPr>
        <w:rPr>
          <w:rFonts w:ascii="Arial" w:cs="Arial" w:eastAsia="Arial" w:hAnsi="Arial"/>
          <w:sz w:val="22"/>
          <w:szCs w:val="22"/>
          <w:color w:val="auto"/>
        </w:rPr>
      </w:pPr>
      <w:r>
        <w:rPr>
          <w:rFonts w:ascii="Arial" w:cs="Arial" w:eastAsia="Arial" w:hAnsi="Arial"/>
          <w:sz w:val="22"/>
          <w:szCs w:val="22"/>
          <w:color w:val="auto"/>
        </w:rPr>
        <w:t>all time-based stock options and other time–based stock-based awards held by the Employee shall accelerate and become fully exercisable or nonforfeitable as of the Date of Termination.</w:t>
      </w:r>
    </w:p>
    <w:p>
      <w:pPr>
        <w:spacing w:after="0" w:line="186" w:lineRule="exact"/>
        <w:rPr>
          <w:sz w:val="20"/>
          <w:szCs w:val="20"/>
          <w:color w:val="auto"/>
        </w:rPr>
      </w:pPr>
    </w:p>
    <w:p>
      <w:pPr>
        <w:ind w:left="160" w:right="539"/>
        <w:spacing w:after="0" w:line="328" w:lineRule="auto"/>
        <w:rPr>
          <w:sz w:val="20"/>
          <w:szCs w:val="20"/>
          <w:color w:val="auto"/>
        </w:rPr>
      </w:pPr>
      <w:r>
        <w:rPr>
          <w:rFonts w:ascii="Arial" w:cs="Arial" w:eastAsia="Arial" w:hAnsi="Arial"/>
          <w:sz w:val="19"/>
          <w:szCs w:val="19"/>
          <w:color w:val="auto"/>
        </w:rPr>
        <w:t>The amounts payable under Section 1(a) and (b) shall be paid or commence to be paid within 60 days after the Date of Termination; provided, however, that if the 60-day period begins in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80645</wp:posOffset>
            </wp:positionV>
            <wp:extent cx="554863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8" w:name="page129"/>
    <w:bookmarkEnd w:id="128"/>
    <w:p>
      <w:pPr>
        <w:ind w:left="160" w:right="339"/>
        <w:spacing w:after="0" w:line="252" w:lineRule="auto"/>
        <w:rPr>
          <w:sz w:val="20"/>
          <w:szCs w:val="20"/>
          <w:color w:val="auto"/>
        </w:rPr>
      </w:pPr>
      <w:r>
        <w:rPr>
          <w:rFonts w:ascii="Arial" w:cs="Arial" w:eastAsia="Arial" w:hAnsi="Arial"/>
          <w:sz w:val="21"/>
          <w:szCs w:val="21"/>
          <w:color w:val="auto"/>
        </w:rPr>
        <w:t>calendar year and ends in a second calendar year, such payment shall be paid or commence to be paid in the second calendar year by the last day of such 60-day period. Each payment under this Section 1 shall be a separate payment within the meaning of Section 409A of the Internal Revenue Code of 1986, as amended (the “Code”).</w:t>
      </w:r>
    </w:p>
    <w:p>
      <w:pPr>
        <w:spacing w:after="0" w:line="175" w:lineRule="exact"/>
        <w:rPr>
          <w:sz w:val="20"/>
          <w:szCs w:val="20"/>
          <w:color w:val="auto"/>
        </w:rPr>
      </w:pPr>
    </w:p>
    <w:p>
      <w:pPr>
        <w:ind w:left="2140" w:hanging="693"/>
        <w:spacing w:after="0"/>
        <w:tabs>
          <w:tab w:leader="none" w:pos="21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00" w:right="139" w:firstLine="1295"/>
        <w:spacing w:after="0" w:line="270" w:lineRule="auto"/>
        <w:tabs>
          <w:tab w:leader="none" w:pos="2814"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Employee,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Employee becomes subject to the excise tax imposed by Section 4999 of the Code; provided that such reduction shall only occur if it would result in the Employee receiving a higher After Tax Amount (as defined below) than the Employee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62" w:lineRule="exact"/>
        <w:rPr>
          <w:rFonts w:ascii="Arial" w:cs="Arial" w:eastAsia="Arial" w:hAnsi="Arial"/>
          <w:sz w:val="19"/>
          <w:szCs w:val="19"/>
          <w:color w:val="auto"/>
        </w:rPr>
      </w:pPr>
    </w:p>
    <w:p>
      <w:pPr>
        <w:ind w:left="800" w:right="199" w:firstLine="1295"/>
        <w:spacing w:after="0" w:line="274" w:lineRule="auto"/>
        <w:tabs>
          <w:tab w:leader="none" w:pos="2847" w:val="left"/>
        </w:tabs>
        <w:numPr>
          <w:ilvl w:val="1"/>
          <w:numId w:val="75"/>
        </w:numPr>
        <w:rPr>
          <w:rFonts w:ascii="Arial" w:cs="Arial" w:eastAsia="Arial" w:hAnsi="Arial"/>
          <w:sz w:val="19"/>
          <w:szCs w:val="19"/>
          <w:color w:val="auto"/>
        </w:rPr>
      </w:pPr>
      <w:r>
        <w:rPr>
          <w:rFonts w:ascii="Arial" w:cs="Arial" w:eastAsia="Arial" w:hAnsi="Arial"/>
          <w:sz w:val="19"/>
          <w:szCs w:val="19"/>
          <w:color w:val="auto"/>
        </w:rPr>
        <w:t>For purposes of this Section 1(d), the “After Tax Amount” means the amount of the Aggregate Payments less all federal, state, and local income, excise and employment taxes imposed on the Employee as a result of the Employee’s receipt of the Aggregate Payments. For purposes of determining the After Tax Amount, the Employee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8" w:lineRule="exact"/>
        <w:rPr>
          <w:rFonts w:ascii="Arial" w:cs="Arial" w:eastAsia="Arial" w:hAnsi="Arial"/>
          <w:sz w:val="19"/>
          <w:szCs w:val="19"/>
          <w:color w:val="auto"/>
        </w:rPr>
      </w:pPr>
    </w:p>
    <w:p>
      <w:pPr>
        <w:ind w:left="800" w:right="219" w:firstLine="1295"/>
        <w:spacing w:after="0" w:line="247" w:lineRule="auto"/>
        <w:tabs>
          <w:tab w:leader="none" w:pos="2866"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Aggregate Payments shall be made pursuant to Section 1(d)(i) shall be made by a nationally recognized accounting firm selected by the Company (the “Accounting Firm”), which shall provide detailed supporting calculations both to the Company and the Employee within 15 business days of the Date of Termination, if applicable, or at such earlier time as is reasonably requested by the Company or the Employee. Any determination by the Accounting Firm shall be binding upon the Company and the Employee.</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ind w:left="160" w:right="439" w:firstLine="1287"/>
        <w:spacing w:after="0" w:line="251" w:lineRule="auto"/>
        <w:tabs>
          <w:tab w:leader="none" w:pos="214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1, the following terms shall have the following meanings: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“Base Salary” </w:t>
      </w:r>
      <w:r>
        <w:rPr>
          <w:rFonts w:ascii="Arial" w:cs="Arial" w:eastAsia="Arial" w:hAnsi="Arial"/>
          <w:sz w:val="19"/>
          <w:szCs w:val="19"/>
          <w:color w:val="auto"/>
        </w:rPr>
        <w:t>shall mean the Employee’s annual base salary in effect at any given time.</w:t>
      </w:r>
    </w:p>
    <w:p>
      <w:pPr>
        <w:spacing w:after="0" w:line="241" w:lineRule="exact"/>
        <w:rPr>
          <w:sz w:val="20"/>
          <w:szCs w:val="20"/>
          <w:color w:val="auto"/>
        </w:rPr>
      </w:pPr>
    </w:p>
    <w:p>
      <w:pPr>
        <w:ind w:left="160" w:right="159" w:firstLine="648"/>
        <w:spacing w:after="0" w:line="270" w:lineRule="auto"/>
        <w:rPr>
          <w:sz w:val="20"/>
          <w:szCs w:val="20"/>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shall mean: (i) conduct by the Employee constituting a material act of misconduct</w:t>
      </w:r>
      <w:r>
        <w:rPr>
          <w:rFonts w:ascii="Arial" w:cs="Arial" w:eastAsia="Arial" w:hAnsi="Arial"/>
          <w:sz w:val="19"/>
          <w:szCs w:val="19"/>
          <w:i w:val="1"/>
          <w:iCs w:val="1"/>
          <w:color w:val="auto"/>
        </w:rPr>
        <w:t xml:space="preserve"> </w:t>
      </w:r>
      <w:r>
        <w:rPr>
          <w:rFonts w:ascii="Arial" w:cs="Arial" w:eastAsia="Arial" w:hAnsi="Arial"/>
          <w:sz w:val="19"/>
          <w:szCs w:val="19"/>
          <w:color w:val="auto"/>
        </w:rPr>
        <w:t>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Employee of any felony or a misdemeanor involving moral turpitude, deceit, dishonesty or fraud, or any conduct by the Employee that would reasonably be expected to result in material injury or reputational harm to the Company or any of its subsidiaries and affiliates if he were retained in his position; (iii) continued non-performance by the Employee of his duties hereunder (other than by reason of the Employee’s physical or mental illness, incapacity or disability) which has continued for more than 30 days following written notice of such non-performance from such Employee’s supervisor; (iv) a material breach by the Employee of any of the provisions contained in any agreement between such Employee and the Company; (v) a material violation by the Employee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0" w:lineRule="exact"/>
        <w:rPr>
          <w:sz w:val="20"/>
          <w:szCs w:val="20"/>
          <w:color w:val="auto"/>
        </w:rPr>
      </w:pPr>
    </w:p>
    <w:p>
      <w:pPr>
        <w:ind w:left="160" w:right="179" w:firstLine="648"/>
        <w:spacing w:after="0" w:line="247" w:lineRule="auto"/>
        <w:rPr>
          <w:sz w:val="20"/>
          <w:szCs w:val="20"/>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shall mean: (i) if the Employee’s employment is terminated by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without Cause, the date on which a notice of termination is given; and (ii) if the Employee’s employment is terminated by the Employee with Good Reason, the date on which a notice of termination is given after the end of the Cure Period. Notwithstanding the foregoing, in the event that the Employee gives a notice of termination to the Company, the Company may unilaterally accelerate the Date of Termination and such acceleration shall not result in a termination by the Company for purposes of this Agreement.</w:t>
      </w:r>
    </w:p>
    <w:p>
      <w:pPr>
        <w:spacing w:after="0" w:line="178" w:lineRule="exact"/>
        <w:rPr>
          <w:sz w:val="20"/>
          <w:szCs w:val="20"/>
          <w:color w:val="auto"/>
        </w:rPr>
      </w:pPr>
    </w:p>
    <w:p>
      <w:pPr>
        <w:ind w:left="160" w:right="299" w:firstLine="648"/>
        <w:spacing w:after="0" w:line="275"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that the Employee has complied with the “Good Reason</w:t>
      </w:r>
      <w:r>
        <w:rPr>
          <w:rFonts w:ascii="Arial" w:cs="Arial" w:eastAsia="Arial" w:hAnsi="Arial"/>
          <w:sz w:val="19"/>
          <w:szCs w:val="19"/>
          <w:i w:val="1"/>
          <w:iCs w:val="1"/>
          <w:color w:val="auto"/>
        </w:rPr>
        <w:t xml:space="preserve"> </w:t>
      </w:r>
      <w:r>
        <w:rPr>
          <w:rFonts w:ascii="Arial" w:cs="Arial" w:eastAsia="Arial" w:hAnsi="Arial"/>
          <w:sz w:val="19"/>
          <w:szCs w:val="19"/>
          <w:color w:val="auto"/>
        </w:rPr>
        <w:t>Process” (as defined below) following the occurrence of any of the following events without the Employee’s express written consent: (i) a material diminution in the Employee’s responsibilities, authority or duties without the Employee’s consent; (ii) a material diminution in the Employee’s Base Salary and/or Target Incentive Compensation without the Employee’s consent (unless such diminution is in connection with a proportional reduction in compensation to all or substantially all of the Company’s employees); or (iii) a material change of more than 50 miles in the geographic location at which the Employee provides services to the Company.</w:t>
      </w:r>
    </w:p>
    <w:p>
      <w:pPr>
        <w:spacing w:after="0" w:line="158" w:lineRule="exact"/>
        <w:rPr>
          <w:sz w:val="20"/>
          <w:szCs w:val="20"/>
          <w:color w:val="auto"/>
        </w:rPr>
      </w:pPr>
    </w:p>
    <w:p>
      <w:pPr>
        <w:ind w:left="160" w:right="359" w:firstLine="648"/>
        <w:spacing w:after="0" w:line="270" w:lineRule="auto"/>
        <w:rPr>
          <w:sz w:val="20"/>
          <w:szCs w:val="20"/>
          <w:color w:val="auto"/>
        </w:rPr>
      </w:pPr>
      <w:r>
        <w:rPr>
          <w:rFonts w:ascii="Arial" w:cs="Arial" w:eastAsia="Arial" w:hAnsi="Arial"/>
          <w:sz w:val="19"/>
          <w:szCs w:val="19"/>
          <w:i w:val="1"/>
          <w:iCs w:val="1"/>
          <w:color w:val="auto"/>
        </w:rPr>
        <w:t xml:space="preserve">“Good Reason Process” </w:t>
      </w:r>
      <w:r>
        <w:rPr>
          <w:rFonts w:ascii="Arial" w:cs="Arial" w:eastAsia="Arial" w:hAnsi="Arial"/>
          <w:sz w:val="19"/>
          <w:szCs w:val="19"/>
          <w:color w:val="auto"/>
        </w:rPr>
        <w:t>shall mean that (i) the Employee reasonably determines in good</w:t>
      </w:r>
      <w:r>
        <w:rPr>
          <w:rFonts w:ascii="Arial" w:cs="Arial" w:eastAsia="Arial" w:hAnsi="Arial"/>
          <w:sz w:val="19"/>
          <w:szCs w:val="19"/>
          <w:i w:val="1"/>
          <w:iCs w:val="1"/>
          <w:color w:val="auto"/>
        </w:rPr>
        <w:t xml:space="preserve"> </w:t>
      </w:r>
      <w:r>
        <w:rPr>
          <w:rFonts w:ascii="Arial" w:cs="Arial" w:eastAsia="Arial" w:hAnsi="Arial"/>
          <w:sz w:val="19"/>
          <w:szCs w:val="19"/>
          <w:color w:val="auto"/>
        </w:rPr>
        <w:t>faith that a “Good Reason” condition has occurred; (ii) the Employee notifies the Company in writing of the first occurrence of the Good Reason condition within 60 days of the first occurrence of such condition; (iii) the Employee cooperates in good faith with the Company’s efforts, for a period not less than 30 days following such notice (the “Cure Period”) to remedy the condition;</w:t>
      </w:r>
    </w:p>
    <w:p>
      <w:pPr>
        <w:spacing w:after="0" w:line="4" w:lineRule="exact"/>
        <w:rPr>
          <w:sz w:val="20"/>
          <w:szCs w:val="20"/>
          <w:color w:val="auto"/>
        </w:rPr>
      </w:pPr>
    </w:p>
    <w:p>
      <w:pPr>
        <w:ind w:left="4380" w:right="1959" w:hanging="4229"/>
        <w:spacing w:after="0" w:line="439" w:lineRule="auto"/>
        <w:tabs>
          <w:tab w:leader="none" w:pos="509"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0" w:name="page131"/>
    <w:bookmarkEnd w:id="130"/>
    <w:p>
      <w:pPr>
        <w:ind w:left="160" w:right="199"/>
        <w:spacing w:after="0" w:line="241" w:lineRule="auto"/>
        <w:rPr>
          <w:sz w:val="20"/>
          <w:szCs w:val="20"/>
          <w:color w:val="auto"/>
        </w:rPr>
      </w:pPr>
      <w:r>
        <w:rPr>
          <w:rFonts w:ascii="Arial" w:cs="Arial" w:eastAsia="Arial" w:hAnsi="Arial"/>
          <w:sz w:val="22"/>
          <w:szCs w:val="22"/>
          <w:color w:val="auto"/>
        </w:rPr>
        <w:t>and (v) the Employee terminates his employment within 60 days after the end of the Cure Period. If the Company cures the Good Reason condition during the Cure Period, Good Reason shall be deemed not to have occurred.</w:t>
      </w:r>
    </w:p>
    <w:p>
      <w:pPr>
        <w:spacing w:after="0" w:line="184" w:lineRule="exact"/>
        <w:rPr>
          <w:sz w:val="20"/>
          <w:szCs w:val="20"/>
          <w:color w:val="auto"/>
        </w:rPr>
      </w:pPr>
    </w:p>
    <w:p>
      <w:pPr>
        <w:ind w:left="160" w:right="159" w:firstLine="702"/>
        <w:spacing w:after="0" w:line="273" w:lineRule="auto"/>
        <w:rPr>
          <w:sz w:val="20"/>
          <w:szCs w:val="20"/>
          <w:color w:val="auto"/>
        </w:rPr>
      </w:pPr>
      <w:r>
        <w:rPr>
          <w:rFonts w:ascii="Arial" w:cs="Arial" w:eastAsia="Arial" w:hAnsi="Arial"/>
          <w:sz w:val="19"/>
          <w:szCs w:val="19"/>
          <w:i w:val="1"/>
          <w:iCs w:val="1"/>
          <w:color w:val="auto"/>
        </w:rPr>
        <w:t xml:space="preserve">“Sale Event” </w:t>
      </w:r>
      <w:r>
        <w:rPr>
          <w:rFonts w:ascii="Arial" w:cs="Arial" w:eastAsia="Arial" w:hAnsi="Arial"/>
          <w:sz w:val="19"/>
          <w:szCs w:val="19"/>
          <w:color w:val="auto"/>
        </w:rPr>
        <w:t>shall mean (i) the sale of all or substantially all of the assets of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6" w:lineRule="exact"/>
        <w:rPr>
          <w:sz w:val="20"/>
          <w:szCs w:val="20"/>
          <w:color w:val="auto"/>
        </w:rPr>
      </w:pPr>
    </w:p>
    <w:p>
      <w:pPr>
        <w:ind w:left="160" w:right="379"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Target Incentive Compensation</w:t>
      </w:r>
      <w:r>
        <w:rPr>
          <w:rFonts w:ascii="Arial" w:cs="Arial" w:eastAsia="Arial" w:hAnsi="Arial"/>
          <w:sz w:val="22"/>
          <w:szCs w:val="22"/>
          <w:color w:val="auto"/>
        </w:rPr>
        <w:t>” shall mean, if any, the Employee’s target annual cash incentive compensation as determined by the Board of Directors of the Company (the “Board”) or the Compensation Committee of the Board.</w:t>
      </w:r>
    </w:p>
    <w:p>
      <w:pPr>
        <w:spacing w:after="0" w:line="186" w:lineRule="exact"/>
        <w:rPr>
          <w:sz w:val="20"/>
          <w:szCs w:val="20"/>
          <w:color w:val="auto"/>
        </w:rPr>
      </w:pPr>
    </w:p>
    <w:p>
      <w:pPr>
        <w:ind w:left="1480" w:hanging="681"/>
        <w:spacing w:after="0"/>
        <w:tabs>
          <w:tab w:leader="none" w:pos="14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79" w:firstLine="1287"/>
        <w:spacing w:after="0" w:line="272" w:lineRule="auto"/>
        <w:tabs>
          <w:tab w:leader="none" w:pos="2142" w:val="left"/>
        </w:tabs>
        <w:numPr>
          <w:ilvl w:val="1"/>
          <w:numId w:val="78"/>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Employee’s separation from service within the meaning of Section 409A of the Code, the Company determines that the Employee is a “specified employee” within the meaning of Section 409A(a)(2)(B)(i) of the Code, then to the extent any payment or benefit that the Employee becomes entitled to under this Agreement on account of the Employee’s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Employee’s separation from service, or (B) the Employee’s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7" w:lineRule="exact"/>
        <w:rPr>
          <w:rFonts w:ascii="Arial" w:cs="Arial" w:eastAsia="Arial" w:hAnsi="Arial"/>
          <w:sz w:val="19"/>
          <w:szCs w:val="19"/>
          <w:color w:val="auto"/>
        </w:rPr>
      </w:pPr>
    </w:p>
    <w:p>
      <w:pPr>
        <w:ind w:left="160" w:right="439" w:firstLine="1287"/>
        <w:spacing w:after="0" w:line="248" w:lineRule="exact"/>
        <w:tabs>
          <w:tab w:leader="none" w:pos="2154" w:val="left"/>
        </w:tabs>
        <w:numPr>
          <w:ilvl w:val="1"/>
          <w:numId w:val="78"/>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Employee’s termination of employment, then such payments or benefits shall be payable only upon the Employee’s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1(h).</w:t>
      </w:r>
    </w:p>
    <w:p>
      <w:pPr>
        <w:spacing w:after="0" w:line="188" w:lineRule="exact"/>
        <w:rPr>
          <w:rFonts w:ascii="Arial" w:cs="Arial" w:eastAsia="Arial" w:hAnsi="Arial"/>
          <w:sz w:val="19"/>
          <w:szCs w:val="19"/>
          <w:color w:val="auto"/>
        </w:rPr>
      </w:pPr>
    </w:p>
    <w:p>
      <w:pPr>
        <w:jc w:val="both"/>
        <w:ind w:left="160" w:right="479" w:firstLine="1287"/>
        <w:spacing w:after="0" w:line="328" w:lineRule="auto"/>
        <w:tabs>
          <w:tab w:leader="none" w:pos="2155"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p>
      <w:pPr>
        <w:ind w:left="160" w:right="199"/>
        <w:spacing w:after="0" w:line="248" w:lineRule="exact"/>
        <w:rPr>
          <w:sz w:val="20"/>
          <w:szCs w:val="20"/>
          <w:color w:val="auto"/>
        </w:rPr>
      </w:pPr>
      <w:r>
        <w:rPr>
          <w:rFonts w:ascii="Arial" w:cs="Arial" w:eastAsia="Arial" w:hAnsi="Arial"/>
          <w:sz w:val="19"/>
          <w:szCs w:val="19"/>
          <w:color w:val="auto"/>
        </w:rPr>
        <w:t>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5" w:lineRule="exact"/>
        <w:rPr>
          <w:sz w:val="20"/>
          <w:szCs w:val="20"/>
          <w:color w:val="auto"/>
        </w:rPr>
      </w:pPr>
    </w:p>
    <w:p>
      <w:pPr>
        <w:ind w:left="160" w:right="319" w:firstLine="1287"/>
        <w:spacing w:after="0" w:line="238" w:lineRule="auto"/>
        <w:tabs>
          <w:tab w:leader="none" w:pos="2154"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Employee or any other person if any provisions of this Agreement are determined to constitute deferred compensation subject to Section 409A of the Code but do not satisfy an exemption from, or the conditions of, such Section.</w:t>
      </w:r>
    </w:p>
    <w:p>
      <w:pPr>
        <w:spacing w:after="0" w:line="185" w:lineRule="exact"/>
        <w:rPr>
          <w:rFonts w:ascii="Arial" w:cs="Arial" w:eastAsia="Arial" w:hAnsi="Arial"/>
          <w:sz w:val="22"/>
          <w:szCs w:val="22"/>
          <w:color w:val="auto"/>
        </w:rPr>
      </w:pPr>
    </w:p>
    <w:p>
      <w:pPr>
        <w:ind w:left="160" w:right="239" w:firstLine="639"/>
        <w:spacing w:after="0" w:line="236" w:lineRule="auto"/>
        <w:tabs>
          <w:tab w:leader="none" w:pos="148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and Cooperation</w:t>
      </w:r>
      <w:r>
        <w:rPr>
          <w:rFonts w:ascii="Arial" w:cs="Arial" w:eastAsia="Arial" w:hAnsi="Arial"/>
          <w:sz w:val="22"/>
          <w:szCs w:val="22"/>
          <w:color w:val="auto"/>
        </w:rPr>
        <w:t>. The Employee agrees to the terms of the Non-Solicitation, Non-Competition, Confidentiality and Assignment Agreement, dated as of September 8, 2014, by and between the Company and the Employee (the “Restrictive Covenant Agreement”), the terms of which are hereby are incorporated by reference as material terms of this Agreement.</w:t>
      </w:r>
    </w:p>
    <w:p>
      <w:pPr>
        <w:spacing w:after="0" w:line="187" w:lineRule="exact"/>
        <w:rPr>
          <w:rFonts w:ascii="Arial" w:cs="Arial" w:eastAsia="Arial" w:hAnsi="Arial"/>
          <w:sz w:val="22"/>
          <w:szCs w:val="22"/>
          <w:color w:val="auto"/>
        </w:rPr>
      </w:pPr>
    </w:p>
    <w:p>
      <w:pPr>
        <w:ind w:left="160" w:right="159" w:firstLine="639"/>
        <w:spacing w:after="0" w:line="271" w:lineRule="auto"/>
        <w:tabs>
          <w:tab w:leader="none" w:pos="1483"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4 shall be specifically enforceable. Notwithstanding the foregoing, this Section 4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4.</w:t>
      </w:r>
    </w:p>
    <w:p>
      <w:pPr>
        <w:spacing w:after="0" w:line="158" w:lineRule="exact"/>
        <w:rPr>
          <w:rFonts w:ascii="Arial" w:cs="Arial" w:eastAsia="Arial" w:hAnsi="Arial"/>
          <w:sz w:val="19"/>
          <w:szCs w:val="19"/>
          <w:color w:val="auto"/>
        </w:rPr>
      </w:pPr>
    </w:p>
    <w:p>
      <w:pPr>
        <w:ind w:left="160" w:right="199" w:firstLine="639"/>
        <w:spacing w:after="0" w:line="247" w:lineRule="auto"/>
        <w:tabs>
          <w:tab w:leader="none" w:pos="1483"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4 of this Agreement, the parties hereby consent to the jurisdiction of the Superior Court of the Commonwealth of Massachusetts and the United States District Court for the District of Massachusetts. Accordingly, with respect to any such court action, the Employee (a) submits to the personal jurisdiction of such courts; (b) 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1"/>
          <w:szCs w:val="21"/>
          <w:color w:val="auto"/>
        </w:rPr>
      </w:pPr>
    </w:p>
    <w:p>
      <w:pPr>
        <w:ind w:left="160" w:right="519" w:firstLine="639"/>
        <w:spacing w:after="0" w:line="328" w:lineRule="auto"/>
        <w:tabs>
          <w:tab w:leader="none" w:pos="1483"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the subject matter hereof and expressly supersedes, any provisions regarding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2" w:name="page133"/>
    <w:bookmarkEnd w:id="132"/>
    <w:p>
      <w:pPr>
        <w:ind w:left="160" w:right="439"/>
        <w:spacing w:after="0" w:line="241" w:lineRule="auto"/>
        <w:rPr>
          <w:sz w:val="20"/>
          <w:szCs w:val="20"/>
          <w:color w:val="auto"/>
        </w:rPr>
      </w:pPr>
      <w:r>
        <w:rPr>
          <w:rFonts w:ascii="Arial" w:cs="Arial" w:eastAsia="Arial" w:hAnsi="Arial"/>
          <w:sz w:val="22"/>
          <w:szCs w:val="22"/>
          <w:color w:val="auto"/>
        </w:rPr>
        <w:t>severance pay and benefits upon a termination of employment in connection with the closing of a Sale Event in the Prior Agreement as well as all other prior agreements between the parties concerning such subject matter.</w:t>
      </w:r>
    </w:p>
    <w:p>
      <w:pPr>
        <w:spacing w:after="0" w:line="184" w:lineRule="exact"/>
        <w:rPr>
          <w:sz w:val="20"/>
          <w:szCs w:val="20"/>
          <w:color w:val="auto"/>
        </w:rPr>
      </w:pPr>
    </w:p>
    <w:p>
      <w:pPr>
        <w:ind w:left="160" w:right="339" w:firstLine="639"/>
        <w:spacing w:after="0"/>
        <w:tabs>
          <w:tab w:leader="none" w:pos="148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Employee under this Agreement shall be net of any tax or other amounts required to be withheld by the Company under applicable law.</w:t>
      </w:r>
    </w:p>
    <w:p>
      <w:pPr>
        <w:spacing w:after="0" w:line="186" w:lineRule="exact"/>
        <w:rPr>
          <w:rFonts w:ascii="Arial" w:cs="Arial" w:eastAsia="Arial" w:hAnsi="Arial"/>
          <w:sz w:val="22"/>
          <w:szCs w:val="22"/>
          <w:color w:val="auto"/>
        </w:rPr>
      </w:pPr>
    </w:p>
    <w:p>
      <w:pPr>
        <w:ind w:left="160" w:right="219" w:firstLine="639"/>
        <w:spacing w:after="0" w:line="234" w:lineRule="auto"/>
        <w:tabs>
          <w:tab w:leader="none" w:pos="148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Successor to the Employee</w:t>
      </w:r>
      <w:r>
        <w:rPr>
          <w:rFonts w:ascii="Arial" w:cs="Arial" w:eastAsia="Arial" w:hAnsi="Arial"/>
          <w:sz w:val="22"/>
          <w:szCs w:val="22"/>
          <w:color w:val="auto"/>
        </w:rPr>
        <w:t>. This Agreement shall inure to the benefit of and be enforceable by the Employee’s personal representatives, executors, administrators, heirs, distributees, devisees and legatees. In the event of the Employee’s death after his termination of employment but prior to the completion by the Company of all payments due him under this Agreement, the Company shall continue such payments to the Employee’s beneficiary designated in writing to the Company prior to his death (or to his estate, if the Employee fails to make such designation).</w:t>
      </w:r>
    </w:p>
    <w:p>
      <w:pPr>
        <w:spacing w:after="0" w:line="191" w:lineRule="exact"/>
        <w:rPr>
          <w:rFonts w:ascii="Arial" w:cs="Arial" w:eastAsia="Arial" w:hAnsi="Arial"/>
          <w:sz w:val="22"/>
          <w:szCs w:val="22"/>
          <w:color w:val="auto"/>
        </w:rPr>
      </w:pPr>
    </w:p>
    <w:p>
      <w:pPr>
        <w:ind w:left="160" w:right="199" w:firstLine="639"/>
        <w:spacing w:after="0" w:line="279" w:lineRule="auto"/>
        <w:tabs>
          <w:tab w:leader="none" w:pos="148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9"/>
          <w:szCs w:val="19"/>
          <w:color w:val="auto"/>
        </w:rPr>
      </w:pPr>
    </w:p>
    <w:p>
      <w:pPr>
        <w:ind w:left="160" w:right="519" w:firstLine="639"/>
        <w:spacing w:after="0" w:line="236" w:lineRule="auto"/>
        <w:tabs>
          <w:tab w:leader="none" w:pos="1483"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Employee’s employment to the extent necessary to effectuate the terms contained herein. Notwithstanding the foregoing, these provisions shall terminate and be of no further force or effect beginning twelve (12) months after the closing of a Sale Event.</w:t>
      </w:r>
    </w:p>
    <w:p>
      <w:pPr>
        <w:spacing w:after="0" w:line="187" w:lineRule="exact"/>
        <w:rPr>
          <w:rFonts w:ascii="Arial" w:cs="Arial" w:eastAsia="Arial" w:hAnsi="Arial"/>
          <w:sz w:val="22"/>
          <w:szCs w:val="22"/>
          <w:color w:val="auto"/>
        </w:rPr>
      </w:pPr>
    </w:p>
    <w:p>
      <w:pPr>
        <w:ind w:left="160" w:right="239" w:firstLine="639"/>
        <w:spacing w:after="0" w:line="236" w:lineRule="auto"/>
        <w:tabs>
          <w:tab w:leader="none" w:pos="1475"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2"/>
          <w:szCs w:val="22"/>
          <w:color w:val="auto"/>
        </w:rPr>
      </w:pPr>
    </w:p>
    <w:p>
      <w:pPr>
        <w:ind w:left="160" w:right="259" w:firstLine="639"/>
        <w:spacing w:after="0" w:line="282" w:lineRule="auto"/>
        <w:tabs>
          <w:tab w:leader="none" w:pos="148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Employee at the last address the Employee has filed in writing with the Company or, in the case of the Company, at its main offices, attention of the Board.</w:t>
      </w:r>
    </w:p>
    <w:p>
      <w:pPr>
        <w:spacing w:after="0" w:line="147" w:lineRule="exact"/>
        <w:rPr>
          <w:rFonts w:ascii="Arial" w:cs="Arial" w:eastAsia="Arial" w:hAnsi="Arial"/>
          <w:sz w:val="19"/>
          <w:szCs w:val="19"/>
          <w:color w:val="auto"/>
        </w:rPr>
      </w:pPr>
    </w:p>
    <w:p>
      <w:pPr>
        <w:jc w:val="both"/>
        <w:ind w:left="160" w:right="819" w:firstLine="639"/>
        <w:spacing w:after="0" w:line="328" w:lineRule="auto"/>
        <w:tabs>
          <w:tab w:leader="none" w:pos="148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Employee and by a duly authorized representative of the Company.</w:t>
      </w:r>
    </w:p>
    <w:p>
      <w:pPr>
        <w:spacing w:after="0" w:line="105" w:lineRule="exact"/>
        <w:rPr>
          <w:rFonts w:ascii="Arial" w:cs="Arial" w:eastAsia="Arial" w:hAnsi="Arial"/>
          <w:sz w:val="19"/>
          <w:szCs w:val="19"/>
          <w:color w:val="auto"/>
        </w:rPr>
      </w:pPr>
    </w:p>
    <w:p>
      <w:pPr>
        <w:ind w:left="160" w:right="339" w:firstLine="639"/>
        <w:spacing w:after="0" w:line="297" w:lineRule="auto"/>
        <w:tabs>
          <w:tab w:leader="none" w:pos="148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3" w:name="page134"/>
    <w:bookmarkEnd w:id="133"/>
    <w:p>
      <w:pPr>
        <w:ind w:left="160" w:right="359"/>
        <w:spacing w:after="0" w:line="329" w:lineRule="auto"/>
        <w:rPr>
          <w:sz w:val="20"/>
          <w:szCs w:val="20"/>
          <w:color w:val="auto"/>
        </w:rPr>
      </w:pPr>
      <w:r>
        <w:rPr>
          <w:rFonts w:ascii="Arial" w:cs="Arial" w:eastAsia="Arial" w:hAnsi="Arial"/>
          <w:sz w:val="19"/>
          <w:szCs w:val="19"/>
          <w:color w:val="auto"/>
        </w:rPr>
        <w:t>disputes concerning federal law, such disputes shall be determined in accordance with the law as it would be interpreted and applied by the United States Court of Appeals for the First Circuit.</w:t>
      </w:r>
    </w:p>
    <w:p>
      <w:pPr>
        <w:spacing w:after="0" w:line="104" w:lineRule="exact"/>
        <w:rPr>
          <w:sz w:val="20"/>
          <w:szCs w:val="20"/>
          <w:color w:val="auto"/>
        </w:rPr>
      </w:pPr>
    </w:p>
    <w:p>
      <w:pPr>
        <w:jc w:val="both"/>
        <w:ind w:left="160" w:right="159" w:firstLine="639"/>
        <w:spacing w:after="0"/>
        <w:tabs>
          <w:tab w:leader="none" w:pos="148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left="160" w:right="159" w:firstLine="639"/>
        <w:spacing w:after="0" w:line="279" w:lineRule="auto"/>
        <w:tabs>
          <w:tab w:leader="none" w:pos="1483"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0" w:lineRule="exact"/>
        <w:rPr>
          <w:rFonts w:ascii="Arial" w:cs="Arial" w:eastAsia="Arial" w:hAnsi="Arial"/>
          <w:sz w:val="19"/>
          <w:szCs w:val="19"/>
          <w:color w:val="auto"/>
        </w:rPr>
      </w:pPr>
    </w:p>
    <w:p>
      <w:pPr>
        <w:ind w:left="160" w:right="339" w:firstLine="639"/>
        <w:spacing w:after="0" w:line="328" w:lineRule="auto"/>
        <w:tabs>
          <w:tab w:leader="none" w:pos="1483"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Gender Neutral</w:t>
      </w:r>
      <w:r>
        <w:rPr>
          <w:rFonts w:ascii="Arial" w:cs="Arial" w:eastAsia="Arial" w:hAnsi="Arial"/>
          <w:sz w:val="19"/>
          <w:szCs w:val="19"/>
          <w:color w:val="auto"/>
        </w:rPr>
        <w:t>. Wherever used herein, a pronoun in the masculine gender shall be considered as including the feminine gender unless the context clearly indicates otherwise.</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4" w:name="page135"/>
    <w:bookmarkEnd w:id="134"/>
    <w:p>
      <w:pPr>
        <w:ind w:left="160" w:right="43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167"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BLUEPRINT MEDICINES CORPORATION</w:t>
      </w:r>
    </w:p>
    <w:p>
      <w:pPr>
        <w:spacing w:after="0" w:line="239" w:lineRule="exact"/>
        <w:rPr>
          <w:sz w:val="20"/>
          <w:szCs w:val="20"/>
          <w:color w:val="auto"/>
        </w:rPr>
      </w:pPr>
    </w:p>
    <w:p>
      <w:pPr>
        <w:ind w:left="4120"/>
        <w:spacing w:after="0"/>
        <w:tabs>
          <w:tab w:leader="none" w:pos="4740" w:val="left"/>
        </w:tabs>
        <w:rPr>
          <w:sz w:val="20"/>
          <w:szCs w:val="20"/>
          <w:color w:val="auto"/>
        </w:rPr>
      </w:pPr>
      <w:r>
        <w:rPr>
          <w:rFonts w:ascii="Arial" w:cs="Arial" w:eastAsia="Arial" w:hAnsi="Arial"/>
          <w:sz w:val="22"/>
          <w:szCs w:val="22"/>
          <w:color w:val="auto"/>
        </w:rPr>
        <w:t>By:</w:t>
        <w:tab/>
        <w:t>/s/ Jeffrey W. Albers</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-158115</wp:posOffset>
            </wp:positionV>
            <wp:extent cx="26155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120"/>
        <w:spacing w:after="0"/>
        <w:tabs>
          <w:tab w:leader="none" w:pos="4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EMPLOYEE</w:t>
      </w:r>
    </w:p>
    <w:p>
      <w:pPr>
        <w:spacing w:after="0" w:line="23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7620</wp:posOffset>
            </wp:positionV>
            <wp:extent cx="30187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4120"/>
        <w:spacing w:after="0"/>
        <w:rPr>
          <w:sz w:val="20"/>
          <w:szCs w:val="20"/>
          <w:color w:val="auto"/>
        </w:rPr>
      </w:pPr>
      <w:r>
        <w:rPr>
          <w:rFonts w:ascii="Arial" w:cs="Arial" w:eastAsia="Arial" w:hAnsi="Arial"/>
          <w:sz w:val="22"/>
          <w:szCs w:val="22"/>
          <w:color w:val="auto"/>
        </w:rPr>
        <w:t>Name: Michael Landsittel</w:t>
      </w:r>
    </w:p>
    <w:p>
      <w:pPr>
        <w:ind w:left="4120"/>
        <w:spacing w:after="0"/>
        <w:tabs>
          <w:tab w:leader="none" w:pos="4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of Finance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Page—Change in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35" w:name="page136"/>
    <w:bookmarkEnd w:id="135"/>
    <w:p>
      <w:pPr>
        <w:jc w:val="right"/>
        <w:ind w:right="139"/>
        <w:spacing w:after="0"/>
        <w:rPr>
          <w:sz w:val="20"/>
          <w:szCs w:val="20"/>
          <w:color w:val="auto"/>
        </w:rPr>
      </w:pPr>
      <w:r>
        <w:rPr>
          <w:rFonts w:ascii="Arial" w:cs="Arial" w:eastAsia="Arial" w:hAnsi="Arial"/>
          <w:sz w:val="18"/>
          <w:szCs w:val="18"/>
          <w:b w:val="1"/>
          <w:bCs w:val="1"/>
          <w:color w:val="auto"/>
        </w:rPr>
        <w:t>Exhibit 10.11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24, 2013 (the</w:t>
      </w:r>
    </w:p>
    <w:p>
      <w:pPr>
        <w:spacing w:after="0" w:line="27" w:lineRule="exact"/>
        <w:rPr>
          <w:sz w:val="20"/>
          <w:szCs w:val="20"/>
          <w:color w:val="auto"/>
        </w:rPr>
      </w:pPr>
    </w:p>
    <w:p>
      <w:pPr>
        <w:ind w:left="160" w:right="13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with a loan production office located at 275 Grove Street, Suite 2-200, Newton, Massachusetts 02466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BLUEPRINT MEDICINES</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repay Bank. The parties agree as follows:</w:t>
      </w:r>
    </w:p>
    <w:p>
      <w:pPr>
        <w:spacing w:after="0" w:line="186" w:lineRule="exact"/>
        <w:rPr>
          <w:sz w:val="20"/>
          <w:szCs w:val="20"/>
          <w:color w:val="auto"/>
        </w:rPr>
      </w:pPr>
    </w:p>
    <w:p>
      <w:pPr>
        <w:ind w:left="1140" w:hanging="341"/>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ind w:left="160" w:right="159" w:firstLine="648"/>
        <w:spacing w:after="0" w:line="279"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7" w:lineRule="exact"/>
        <w:rPr>
          <w:sz w:val="20"/>
          <w:szCs w:val="20"/>
          <w:color w:val="auto"/>
        </w:rPr>
      </w:pPr>
    </w:p>
    <w:p>
      <w:pPr>
        <w:ind w:left="1580" w:hanging="781"/>
        <w:spacing w:after="0"/>
        <w:tabs>
          <w:tab w:leader="none" w:pos="15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left="160" w:right="419" w:firstLine="648"/>
        <w:spacing w:after="0" w:line="266"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all Credit Extensions and accrued and unpaid interest thereon as and when due in accordance with this Agreement.</w:t>
      </w:r>
    </w:p>
    <w:p>
      <w:pPr>
        <w:spacing w:after="0" w:line="176"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Term Loan.</w:t>
      </w:r>
    </w:p>
    <w:p>
      <w:pPr>
        <w:spacing w:after="0" w:line="229" w:lineRule="exact"/>
        <w:rPr>
          <w:sz w:val="20"/>
          <w:szCs w:val="20"/>
          <w:color w:val="auto"/>
        </w:rPr>
      </w:pPr>
    </w:p>
    <w:p>
      <w:pPr>
        <w:ind w:left="160" w:right="159" w:firstLine="1287"/>
        <w:spacing w:after="0" w:line="287" w:lineRule="auto"/>
        <w:tabs>
          <w:tab w:leader="none" w:pos="2106"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during Draw Period A, Bank shall make advances (each, a “</w:t>
      </w:r>
      <w:r>
        <w:rPr>
          <w:rFonts w:ascii="Arial" w:cs="Arial" w:eastAsia="Arial" w:hAnsi="Arial"/>
          <w:sz w:val="16"/>
          <w:szCs w:val="16"/>
          <w:b w:val="1"/>
          <w:bCs w:val="1"/>
          <w:color w:val="auto"/>
        </w:rPr>
        <w:t>Term Loan A Advance</w:t>
      </w:r>
      <w:r>
        <w:rPr>
          <w:rFonts w:ascii="Arial" w:cs="Arial" w:eastAsia="Arial" w:hAnsi="Arial"/>
          <w:sz w:val="16"/>
          <w:szCs w:val="16"/>
          <w:color w:val="auto"/>
        </w:rPr>
        <w:t>” and collectively, “</w:t>
      </w:r>
      <w:r>
        <w:rPr>
          <w:rFonts w:ascii="Arial" w:cs="Arial" w:eastAsia="Arial" w:hAnsi="Arial"/>
          <w:sz w:val="16"/>
          <w:szCs w:val="16"/>
          <w:b w:val="1"/>
          <w:bCs w:val="1"/>
          <w:color w:val="auto"/>
        </w:rPr>
        <w:t>Term Loan A Advances</w:t>
      </w:r>
      <w:r>
        <w:rPr>
          <w:rFonts w:ascii="Arial" w:cs="Arial" w:eastAsia="Arial" w:hAnsi="Arial"/>
          <w:sz w:val="16"/>
          <w:szCs w:val="16"/>
          <w:color w:val="auto"/>
        </w:rPr>
        <w:t>”) available to Borrower in an aggregate amount of up to Three Million Dollars ($3,000,000.00), provided however that the initial Term Loan A Advance shall be made on the Effective Date in an amount of at least One Million Dollars ($1,000,000.00). Subject to the terms and conditions of this Agreement, during Draw Period B, Bank shall make advances (each, a “</w:t>
      </w:r>
      <w:r>
        <w:rPr>
          <w:rFonts w:ascii="Arial" w:cs="Arial" w:eastAsia="Arial" w:hAnsi="Arial"/>
          <w:sz w:val="16"/>
          <w:szCs w:val="16"/>
          <w:b w:val="1"/>
          <w:bCs w:val="1"/>
          <w:color w:val="auto"/>
        </w:rPr>
        <w:t>Term</w:t>
      </w:r>
      <w:r>
        <w:rPr>
          <w:rFonts w:ascii="Arial" w:cs="Arial" w:eastAsia="Arial" w:hAnsi="Arial"/>
          <w:sz w:val="16"/>
          <w:szCs w:val="16"/>
          <w:color w:val="auto"/>
        </w:rPr>
        <w:t xml:space="preserve"> </w:t>
      </w:r>
      <w:r>
        <w:rPr>
          <w:rFonts w:ascii="Arial" w:cs="Arial" w:eastAsia="Arial" w:hAnsi="Arial"/>
          <w:sz w:val="16"/>
          <w:szCs w:val="16"/>
          <w:b w:val="1"/>
          <w:bCs w:val="1"/>
          <w:color w:val="auto"/>
        </w:rPr>
        <w:t>Loan B Advance</w:t>
      </w:r>
      <w:r>
        <w:rPr>
          <w:rFonts w:ascii="Arial" w:cs="Arial" w:eastAsia="Arial" w:hAnsi="Arial"/>
          <w:sz w:val="16"/>
          <w:szCs w:val="16"/>
          <w:color w:val="auto"/>
        </w:rPr>
        <w:t>” and collectively, “</w:t>
      </w:r>
      <w:r>
        <w:rPr>
          <w:rFonts w:ascii="Arial" w:cs="Arial" w:eastAsia="Arial" w:hAnsi="Arial"/>
          <w:sz w:val="16"/>
          <w:szCs w:val="16"/>
          <w:b w:val="1"/>
          <w:bCs w:val="1"/>
          <w:color w:val="auto"/>
        </w:rPr>
        <w:t>Term Loan B Advances</w:t>
      </w:r>
      <w:r>
        <w:rPr>
          <w:rFonts w:ascii="Arial" w:cs="Arial" w:eastAsia="Arial" w:hAnsi="Arial"/>
          <w:sz w:val="16"/>
          <w:szCs w:val="16"/>
          <w:color w:val="auto"/>
        </w:rPr>
        <w:t>”) available to Borrower in an aggregate amount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One Million Dollars ($1,000,000.00). Subject to the terms and conditions of this Agreement, during Draw Period C, Bank shall make advances (each, a “</w:t>
      </w:r>
      <w:r>
        <w:rPr>
          <w:rFonts w:ascii="Arial" w:cs="Arial" w:eastAsia="Arial" w:hAnsi="Arial"/>
          <w:sz w:val="16"/>
          <w:szCs w:val="16"/>
          <w:b w:val="1"/>
          <w:bCs w:val="1"/>
          <w:color w:val="auto"/>
        </w:rPr>
        <w:t>Term Loan C Advance</w:t>
      </w:r>
      <w:r>
        <w:rPr>
          <w:rFonts w:ascii="Arial" w:cs="Arial" w:eastAsia="Arial" w:hAnsi="Arial"/>
          <w:sz w:val="16"/>
          <w:szCs w:val="16"/>
          <w:color w:val="auto"/>
        </w:rPr>
        <w:t>” and collectively, “</w:t>
      </w:r>
      <w:r>
        <w:rPr>
          <w:rFonts w:ascii="Arial" w:cs="Arial" w:eastAsia="Arial" w:hAnsi="Arial"/>
          <w:sz w:val="16"/>
          <w:szCs w:val="16"/>
          <w:b w:val="1"/>
          <w:bCs w:val="1"/>
          <w:color w:val="auto"/>
        </w:rPr>
        <w:t>Term Loan C Advances</w:t>
      </w:r>
      <w:r>
        <w:rPr>
          <w:rFonts w:ascii="Arial" w:cs="Arial" w:eastAsia="Arial" w:hAnsi="Arial"/>
          <w:sz w:val="16"/>
          <w:szCs w:val="16"/>
          <w:color w:val="auto"/>
        </w:rPr>
        <w:t>”) available to Borrower in an aggregate amount of up to One Million Dollars ($1,000,000.00). The Term Loan A Advances, Term Loan B Advances, and Term Loan B Advances are hereinafter referred to singly as a “Term Loan Advance” and collectively as the “Term Loan Advances.” After repayment, no Term Loan Advance may be reborrowed.</w:t>
      </w:r>
    </w:p>
    <w:p>
      <w:pPr>
        <w:spacing w:after="0" w:line="172" w:lineRule="exact"/>
        <w:rPr>
          <w:rFonts w:ascii="Arial" w:cs="Arial" w:eastAsia="Arial" w:hAnsi="Arial"/>
          <w:sz w:val="16"/>
          <w:szCs w:val="16"/>
          <w:color w:val="auto"/>
        </w:rPr>
      </w:pPr>
    </w:p>
    <w:p>
      <w:pPr>
        <w:jc w:val="both"/>
        <w:ind w:left="160" w:right="199" w:firstLine="1287"/>
        <w:spacing w:after="0" w:line="259" w:lineRule="auto"/>
        <w:tabs>
          <w:tab w:leader="none" w:pos="211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Commencing on the first Payment Date of the month following the month in which the Funding Date for the applicable Term Loan Advance occurs, and continuing on each Payment Date thereafter, Borrower shall make monthly payments of interest, in arrears, on the outstanding principal amount of each Term Loan Advance at the rate set forth in Section 2.2(a).</w:t>
      </w:r>
    </w:p>
    <w:p>
      <w:pPr>
        <w:spacing w:after="0" w:line="186" w:lineRule="exact"/>
        <w:rPr>
          <w:rFonts w:ascii="Arial" w:cs="Arial" w:eastAsia="Arial" w:hAnsi="Arial"/>
          <w:sz w:val="18"/>
          <w:szCs w:val="18"/>
          <w:color w:val="auto"/>
        </w:rPr>
      </w:pPr>
    </w:p>
    <w:p>
      <w:pPr>
        <w:ind w:left="160" w:right="259" w:firstLine="1287"/>
        <w:spacing w:after="0" w:line="276" w:lineRule="auto"/>
        <w:tabs>
          <w:tab w:leader="none" w:pos="2133"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April 1, 2014, and continuing on the Payment Date of each month thereafter, Borrower shall repay each Term Loan Advance in (i) thirty-six (36) equal installments of principal, plus (ii) monthly payments of accrued interest at the rate set forth in Section 2.2(a). All outstanding principal and accrued and unpaid interest with respect to the Term Loan Advances, and all other outstanding Obligations with respect to the Term Loan Advances, are due and payable in full on the Term Loan Maturity Date.</w:t>
      </w:r>
    </w:p>
    <w:p>
      <w:pPr>
        <w:spacing w:after="0" w:line="172" w:lineRule="exact"/>
        <w:rPr>
          <w:rFonts w:ascii="Arial" w:cs="Arial" w:eastAsia="Arial" w:hAnsi="Arial"/>
          <w:sz w:val="17"/>
          <w:szCs w:val="17"/>
          <w:color w:val="auto"/>
        </w:rPr>
      </w:pPr>
    </w:p>
    <w:p>
      <w:pPr>
        <w:ind w:left="160" w:right="179" w:firstLine="1287"/>
        <w:spacing w:after="0" w:line="255" w:lineRule="auto"/>
        <w:tabs>
          <w:tab w:leader="none" w:pos="211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a Term Loan Advance is accelerated by Bank in accordance with Section 9.1 following the occurrence and during the continuance of an Event of Default, Borrower shall immediately pay to Bank an amount equal to the sum of: (i) all outstanding principal plus accrued and unpaid interest, (ii) the applicable Prepayment Premium, (iii) the Final Payment, plus (iv) all other sums, if any, that shall have become due and payable under the Loan Documents, including interest at the Default Rate with respect to any past due amounts.</w:t>
      </w:r>
    </w:p>
    <w:p>
      <w:pPr>
        <w:spacing w:after="0" w:line="193" w:lineRule="exact"/>
        <w:rPr>
          <w:rFonts w:ascii="Arial" w:cs="Arial" w:eastAsia="Arial" w:hAnsi="Arial"/>
          <w:sz w:val="18"/>
          <w:szCs w:val="18"/>
          <w:color w:val="auto"/>
        </w:rPr>
      </w:pPr>
    </w:p>
    <w:p>
      <w:pPr>
        <w:ind w:left="160" w:right="459" w:firstLine="1287"/>
        <w:spacing w:after="0" w:line="342" w:lineRule="auto"/>
        <w:tabs>
          <w:tab w:leader="none" w:pos="2106"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Permitted Prepayment of Loans</w:t>
      </w:r>
      <w:r>
        <w:rPr>
          <w:rFonts w:ascii="Arial" w:cs="Arial" w:eastAsia="Arial" w:hAnsi="Arial"/>
          <w:sz w:val="16"/>
          <w:szCs w:val="16"/>
          <w:color w:val="auto"/>
        </w:rPr>
        <w:t>. Borrower shall have the option to prepay all, but not less than all, of the Term Loan Advances advanced by Bank under this Agreement, provided Borrower (i) provides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ind w:left="160" w:right="259"/>
        <w:spacing w:after="0" w:line="302" w:lineRule="auto"/>
        <w:rPr>
          <w:sz w:val="20"/>
          <w:szCs w:val="20"/>
          <w:color w:val="auto"/>
        </w:rPr>
      </w:pPr>
      <w:r>
        <w:rPr>
          <w:rFonts w:ascii="Arial" w:cs="Arial" w:eastAsia="Arial" w:hAnsi="Arial"/>
          <w:sz w:val="16"/>
          <w:szCs w:val="16"/>
          <w:color w:val="auto"/>
        </w:rPr>
        <w:t>written notice to Bank of its election to prepay the Term Loan Advances at least five (5) days prior to such prepayment, and (ii) pays, on the date of such prepayment (A) all outstanding principal plus accrued and unpaid interest, (B) the applicable Prepayment Premium, (C) the Final Payment, plus (D) all other sums, if any, that shall have become due and payable under the Loan Documents, including interest at the Default Rate with respect to any past due amounts.</w:t>
      </w:r>
    </w:p>
    <w:p>
      <w:pPr>
        <w:spacing w:after="0" w:line="150"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9" w:lineRule="exact"/>
        <w:rPr>
          <w:sz w:val="20"/>
          <w:szCs w:val="20"/>
          <w:color w:val="auto"/>
        </w:rPr>
      </w:pPr>
    </w:p>
    <w:p>
      <w:pPr>
        <w:jc w:val="both"/>
        <w:ind w:left="160" w:right="179" w:firstLine="1287"/>
        <w:spacing w:after="0" w:line="259" w:lineRule="auto"/>
        <w:tabs>
          <w:tab w:leader="none" w:pos="210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2.2(b), the principal amount outstanding for each Term Loan Advance shall accrue interest at a fixed per annum rate equal to two percent (2.0%) above the Prime Rate, which interest shall be determined by Bank on the Funding Date of the applicable Term Loan Advance and shall be payable monthly in accordance with Section 2.2(c) below.</w:t>
      </w:r>
    </w:p>
    <w:p>
      <w:pPr>
        <w:spacing w:after="0" w:line="186" w:lineRule="exact"/>
        <w:rPr>
          <w:rFonts w:ascii="Arial" w:cs="Arial" w:eastAsia="Arial" w:hAnsi="Arial"/>
          <w:sz w:val="18"/>
          <w:szCs w:val="18"/>
          <w:color w:val="auto"/>
        </w:rPr>
      </w:pPr>
    </w:p>
    <w:p>
      <w:pPr>
        <w:ind w:left="160" w:right="219" w:firstLine="1287"/>
        <w:spacing w:after="0" w:line="271" w:lineRule="auto"/>
        <w:tabs>
          <w:tab w:leader="none" w:pos="2116"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178" w:lineRule="exact"/>
        <w:rPr>
          <w:rFonts w:ascii="Arial" w:cs="Arial" w:eastAsia="Arial" w:hAnsi="Arial"/>
          <w:sz w:val="17"/>
          <w:szCs w:val="17"/>
          <w:color w:val="auto"/>
        </w:rPr>
      </w:pPr>
    </w:p>
    <w:p>
      <w:pPr>
        <w:ind w:left="160" w:right="139" w:firstLine="1287"/>
        <w:spacing w:after="0" w:line="273" w:lineRule="auto"/>
        <w:tabs>
          <w:tab w:leader="none" w:pos="2133"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Payment Date and shall be computed on the basis of a 360-day year for the actual number of days elapsed. In computing interest, (i) all payments received after 1:00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4"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229" w:lineRule="exact"/>
        <w:rPr>
          <w:sz w:val="20"/>
          <w:szCs w:val="20"/>
          <w:color w:val="auto"/>
        </w:rPr>
      </w:pPr>
    </w:p>
    <w:p>
      <w:pPr>
        <w:ind w:left="160" w:right="219" w:firstLine="1287"/>
        <w:spacing w:after="0" w:line="277" w:lineRule="auto"/>
        <w:tabs>
          <w:tab w:leader="none" w:pos="210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 fully earned, non-refundable commitment fee of Twenty-Five Thousand Dollars ($25,000.000) on the Effective Date;</w:t>
      </w:r>
    </w:p>
    <w:p>
      <w:pPr>
        <w:spacing w:after="0" w:line="170" w:lineRule="exact"/>
        <w:rPr>
          <w:rFonts w:ascii="Arial" w:cs="Arial" w:eastAsia="Arial" w:hAnsi="Arial"/>
          <w:sz w:val="18"/>
          <w:szCs w:val="18"/>
          <w:color w:val="auto"/>
        </w:rPr>
      </w:pPr>
    </w:p>
    <w:p>
      <w:pPr>
        <w:ind w:left="2100" w:hanging="653"/>
        <w:spacing w:after="0"/>
        <w:tabs>
          <w:tab w:leader="none" w:pos="21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225" w:lineRule="exact"/>
        <w:rPr>
          <w:rFonts w:ascii="Arial" w:cs="Arial" w:eastAsia="Arial" w:hAnsi="Arial"/>
          <w:sz w:val="18"/>
          <w:szCs w:val="18"/>
          <w:color w:val="auto"/>
        </w:rPr>
      </w:pPr>
    </w:p>
    <w:p>
      <w:pPr>
        <w:ind w:left="2120" w:hanging="673"/>
        <w:spacing w:after="0"/>
        <w:tabs>
          <w:tab w:leader="none" w:pos="21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160" w:right="399" w:firstLine="1287"/>
        <w:spacing w:after="0" w:line="264" w:lineRule="auto"/>
        <w:tabs>
          <w:tab w:leader="none" w:pos="211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documented attorneys’ fees and expenses for documentation and negotiation of this Agreement) incurred through and after the Effective Date, when due(or, if no stated due date, upon demand by Bank).</w:t>
      </w:r>
    </w:p>
    <w:p>
      <w:pPr>
        <w:spacing w:after="0" w:line="181" w:lineRule="exact"/>
        <w:rPr>
          <w:rFonts w:ascii="Arial" w:cs="Arial" w:eastAsia="Arial" w:hAnsi="Arial"/>
          <w:sz w:val="18"/>
          <w:szCs w:val="18"/>
          <w:color w:val="auto"/>
        </w:rPr>
      </w:pPr>
    </w:p>
    <w:p>
      <w:pPr>
        <w:ind w:left="160" w:right="199" w:firstLine="1287"/>
        <w:spacing w:after="0" w:line="273" w:lineRule="auto"/>
        <w:tabs>
          <w:tab w:leader="none" w:pos="210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Fees Fully Earned</w:t>
      </w:r>
      <w:r>
        <w:rPr>
          <w:rFonts w:ascii="Arial" w:cs="Arial" w:eastAsia="Arial" w:hAnsi="Arial"/>
          <w:sz w:val="17"/>
          <w:szCs w:val="17"/>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 Section 2.4(c). Bank shall provide Borrower written notice of deductions made from the Designated Deposit Account pursuant to the terms of the clauses of this Section 2.3.</w:t>
      </w:r>
    </w:p>
    <w:p>
      <w:pPr>
        <w:spacing w:after="0" w:line="174"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229" w:lineRule="exact"/>
        <w:rPr>
          <w:sz w:val="20"/>
          <w:szCs w:val="20"/>
          <w:color w:val="auto"/>
        </w:rPr>
      </w:pPr>
    </w:p>
    <w:p>
      <w:pPr>
        <w:ind w:left="160" w:right="139" w:firstLine="1287"/>
        <w:spacing w:after="0" w:line="279" w:lineRule="auto"/>
        <w:tabs>
          <w:tab w:leader="none" w:pos="2106"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1:00 p.m. Eastern time on the date when due. Payments of principal and/or interest received after 1:00 p.m. Eastern time are considered received at the opening of business on the next Business Day. When a payment is due on a day that is not a Business Day, the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ind w:left="160" w:right="299"/>
        <w:spacing w:after="0" w:line="277" w:lineRule="auto"/>
        <w:rPr>
          <w:sz w:val="20"/>
          <w:szCs w:val="20"/>
          <w:color w:val="auto"/>
        </w:rPr>
      </w:pPr>
      <w:r>
        <w:rPr>
          <w:rFonts w:ascii="Arial" w:cs="Arial" w:eastAsia="Arial" w:hAnsi="Arial"/>
          <w:sz w:val="18"/>
          <w:szCs w:val="18"/>
          <w:color w:val="auto"/>
        </w:rPr>
        <w:t>payment shall be due the next Business Day, and additional fees or interest, as applicable, shall continue to accrue until paid.</w:t>
      </w:r>
    </w:p>
    <w:p>
      <w:pPr>
        <w:spacing w:after="0" w:line="170" w:lineRule="exact"/>
        <w:rPr>
          <w:sz w:val="20"/>
          <w:szCs w:val="20"/>
          <w:color w:val="auto"/>
        </w:rPr>
      </w:pPr>
    </w:p>
    <w:p>
      <w:pPr>
        <w:ind w:left="160" w:right="339" w:firstLine="1287"/>
        <w:spacing w:after="0" w:line="302" w:lineRule="auto"/>
        <w:tabs>
          <w:tab w:leader="none" w:pos="2116" w:val="left"/>
        </w:tabs>
        <w:numPr>
          <w:ilvl w:val="1"/>
          <w:numId w:val="89"/>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54" w:lineRule="exact"/>
        <w:rPr>
          <w:rFonts w:ascii="Arial" w:cs="Arial" w:eastAsia="Arial" w:hAnsi="Arial"/>
          <w:sz w:val="16"/>
          <w:szCs w:val="16"/>
          <w:color w:val="auto"/>
        </w:rPr>
      </w:pPr>
    </w:p>
    <w:p>
      <w:pPr>
        <w:ind w:left="160" w:right="279" w:firstLine="1287"/>
        <w:spacing w:after="0" w:line="277" w:lineRule="auto"/>
        <w:tabs>
          <w:tab w:leader="none" w:pos="21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Bank may debit the Designated Deposit Account, for principal and interest payments or any other amounts Borrower owes Bank when due. These debits shall not constitute a set-off.</w:t>
      </w:r>
    </w:p>
    <w:p>
      <w:pPr>
        <w:spacing w:after="0" w:line="166" w:lineRule="exact"/>
        <w:rPr>
          <w:rFonts w:ascii="Arial" w:cs="Arial" w:eastAsia="Arial" w:hAnsi="Arial"/>
          <w:sz w:val="18"/>
          <w:szCs w:val="18"/>
          <w:color w:val="auto"/>
        </w:rPr>
      </w:pPr>
    </w:p>
    <w:p>
      <w:pPr>
        <w:ind w:left="1580" w:hanging="781"/>
        <w:spacing w:after="0"/>
        <w:tabs>
          <w:tab w:leader="none" w:pos="1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left="160" w:right="359" w:firstLine="648"/>
        <w:spacing w:after="0" w:line="261"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condition precedent that Bank shall have received, in form and substance satisfactory to Bank, such documents, and completion of such other matters, as Bank may reasonably deem necessary or appropriate, including, without limitation:</w:t>
      </w:r>
    </w:p>
    <w:p>
      <w:pPr>
        <w:spacing w:after="0" w:line="184" w:lineRule="exact"/>
        <w:rPr>
          <w:sz w:val="20"/>
          <w:szCs w:val="20"/>
          <w:color w:val="auto"/>
        </w:rPr>
      </w:pPr>
    </w:p>
    <w:p>
      <w:pPr>
        <w:ind w:left="2100" w:hanging="653"/>
        <w:spacing w:after="0"/>
        <w:tabs>
          <w:tab w:leader="none" w:pos="2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225" w:lineRule="exact"/>
        <w:rPr>
          <w:rFonts w:ascii="Arial" w:cs="Arial" w:eastAsia="Arial" w:hAnsi="Arial"/>
          <w:sz w:val="18"/>
          <w:szCs w:val="18"/>
          <w:color w:val="auto"/>
        </w:rPr>
      </w:pPr>
    </w:p>
    <w:p>
      <w:pPr>
        <w:ind w:left="2100" w:hanging="653"/>
        <w:spacing w:after="0"/>
        <w:tabs>
          <w:tab w:leader="none" w:pos="2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duly executed original signatures to the Control Agreement(s);</w:t>
      </w:r>
    </w:p>
    <w:p>
      <w:pPr>
        <w:spacing w:after="0" w:line="225" w:lineRule="exact"/>
        <w:rPr>
          <w:rFonts w:ascii="Arial" w:cs="Arial" w:eastAsia="Arial" w:hAnsi="Arial"/>
          <w:sz w:val="18"/>
          <w:szCs w:val="18"/>
          <w:color w:val="auto"/>
        </w:rPr>
      </w:pPr>
    </w:p>
    <w:p>
      <w:pPr>
        <w:ind w:left="160" w:right="239" w:firstLine="1287"/>
        <w:spacing w:after="0" w:line="259" w:lineRule="auto"/>
        <w:tabs>
          <w:tab w:leader="none" w:pos="213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86" w:lineRule="exact"/>
        <w:rPr>
          <w:rFonts w:ascii="Arial" w:cs="Arial" w:eastAsia="Arial" w:hAnsi="Arial"/>
          <w:sz w:val="18"/>
          <w:szCs w:val="18"/>
          <w:color w:val="auto"/>
        </w:rPr>
      </w:pPr>
    </w:p>
    <w:p>
      <w:pPr>
        <w:ind w:left="2100" w:hanging="653"/>
        <w:spacing w:after="0"/>
        <w:tabs>
          <w:tab w:leader="none" w:pos="21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duly executed original signatures to the completed Borrowing Resolutions for Borrower;</w:t>
      </w:r>
    </w:p>
    <w:p>
      <w:pPr>
        <w:spacing w:after="0" w:line="236" w:lineRule="exact"/>
        <w:rPr>
          <w:rFonts w:ascii="Arial" w:cs="Arial" w:eastAsia="Arial" w:hAnsi="Arial"/>
          <w:sz w:val="17"/>
          <w:szCs w:val="17"/>
          <w:color w:val="auto"/>
        </w:rPr>
      </w:pPr>
    </w:p>
    <w:p>
      <w:pPr>
        <w:ind w:left="160" w:right="379" w:firstLine="1287"/>
        <w:spacing w:after="0" w:line="259" w:lineRule="auto"/>
        <w:tabs>
          <w:tab w:leader="none" w:pos="21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6" w:lineRule="exact"/>
        <w:rPr>
          <w:rFonts w:ascii="Arial" w:cs="Arial" w:eastAsia="Arial" w:hAnsi="Arial"/>
          <w:sz w:val="18"/>
          <w:szCs w:val="18"/>
          <w:color w:val="auto"/>
        </w:rPr>
      </w:pPr>
    </w:p>
    <w:p>
      <w:pPr>
        <w:ind w:left="2140" w:hanging="693"/>
        <w:spacing w:after="0"/>
        <w:tabs>
          <w:tab w:leader="none" w:pos="21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Perfection Certificate of Borrower, together with the duly executed original signature</w:t>
      </w:r>
    </w:p>
    <w:p>
      <w:pPr>
        <w:spacing w:after="0" w:line="34"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210" w:lineRule="exact"/>
        <w:rPr>
          <w:rFonts w:ascii="Arial" w:cs="Arial" w:eastAsia="Arial" w:hAnsi="Arial"/>
          <w:sz w:val="17"/>
          <w:szCs w:val="17"/>
          <w:color w:val="auto"/>
        </w:rPr>
      </w:pPr>
    </w:p>
    <w:p>
      <w:pPr>
        <w:ind w:left="160" w:right="459" w:firstLine="1287"/>
        <w:spacing w:after="0" w:line="264" w:lineRule="auto"/>
        <w:tabs>
          <w:tab w:leader="none" w:pos="211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81" w:lineRule="exact"/>
        <w:rPr>
          <w:rFonts w:ascii="Arial" w:cs="Arial" w:eastAsia="Arial" w:hAnsi="Arial"/>
          <w:sz w:val="18"/>
          <w:szCs w:val="18"/>
          <w:color w:val="auto"/>
        </w:rPr>
      </w:pPr>
    </w:p>
    <w:p>
      <w:pPr>
        <w:ind w:left="2100" w:hanging="653"/>
        <w:spacing w:after="0"/>
        <w:tabs>
          <w:tab w:leader="none" w:pos="21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payment of the fees and Bank Expenses then due as specified in Section 2.3 hereof.</w:t>
      </w:r>
    </w:p>
    <w:p>
      <w:pPr>
        <w:spacing w:after="0" w:line="233" w:lineRule="exact"/>
        <w:rPr>
          <w:sz w:val="20"/>
          <w:szCs w:val="20"/>
          <w:color w:val="auto"/>
        </w:rPr>
      </w:pPr>
    </w:p>
    <w:p>
      <w:pPr>
        <w:ind w:left="160" w:right="279" w:firstLine="648"/>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initial Credit Extension, is subject to the following conditions precedent:</w:t>
      </w:r>
    </w:p>
    <w:p>
      <w:pPr>
        <w:spacing w:after="0" w:line="166" w:lineRule="exact"/>
        <w:rPr>
          <w:sz w:val="20"/>
          <w:szCs w:val="20"/>
          <w:color w:val="auto"/>
        </w:rPr>
      </w:pPr>
    </w:p>
    <w:p>
      <w:pPr>
        <w:ind w:left="2100" w:hanging="653"/>
        <w:spacing w:after="0"/>
        <w:tabs>
          <w:tab w:leader="none" w:pos="21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except as otherwise provided in Section 3.4, timely receipt of an executed Payment/Advance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ind w:left="160" w:right="279" w:firstLine="1287"/>
        <w:spacing w:after="0" w:line="291" w:lineRule="auto"/>
        <w:tabs>
          <w:tab w:leader="none" w:pos="211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8" w:name="page139"/>
    <w:bookmarkEnd w:id="138"/>
    <w:p>
      <w:pPr>
        <w:ind w:left="160" w:right="459"/>
        <w:spacing w:after="0" w:line="302" w:lineRule="auto"/>
        <w:rPr>
          <w:sz w:val="20"/>
          <w:szCs w:val="20"/>
          <w:color w:val="auto"/>
        </w:rPr>
      </w:pPr>
      <w:r>
        <w:rPr>
          <w:rFonts w:ascii="Arial" w:cs="Arial" w:eastAsia="Arial" w:hAnsi="Arial"/>
          <w:sz w:val="16"/>
          <w:szCs w:val="16"/>
          <w:color w:val="auto"/>
        </w:rPr>
        <w:t>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54" w:lineRule="exact"/>
        <w:rPr>
          <w:sz w:val="20"/>
          <w:szCs w:val="20"/>
          <w:color w:val="auto"/>
        </w:rPr>
      </w:pPr>
    </w:p>
    <w:p>
      <w:pPr>
        <w:jc w:val="both"/>
        <w:ind w:left="160" w:right="319" w:firstLine="1287"/>
        <w:spacing w:after="0" w:line="259" w:lineRule="auto"/>
        <w:tabs>
          <w:tab w:leader="none" w:pos="2133"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any material impairment in the general affairs, management, results of operation, financial condition or the prospect of repayment of the Obligations when due, or any material adverse deviation by Borrower from the most recent business plan of Borrower presented to and accepted by Bank.</w:t>
      </w:r>
    </w:p>
    <w:p>
      <w:pPr>
        <w:spacing w:after="0" w:line="183" w:lineRule="exact"/>
        <w:rPr>
          <w:sz w:val="20"/>
          <w:szCs w:val="20"/>
          <w:color w:val="auto"/>
        </w:rPr>
      </w:pPr>
    </w:p>
    <w:p>
      <w:pPr>
        <w:ind w:left="160" w:right="239" w:firstLine="648"/>
        <w:spacing w:after="0" w:line="258"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Bank each item required to be delivered to Bank</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as a condition 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4" w:lineRule="exact"/>
        <w:rPr>
          <w:sz w:val="20"/>
          <w:szCs w:val="20"/>
          <w:color w:val="auto"/>
        </w:rPr>
      </w:pPr>
    </w:p>
    <w:p>
      <w:pPr>
        <w:ind w:left="160" w:right="139" w:firstLine="648"/>
        <w:spacing w:after="0" w:line="269" w:lineRule="auto"/>
        <w:rPr>
          <w:sz w:val="20"/>
          <w:szCs w:val="20"/>
          <w:color w:val="auto"/>
        </w:rPr>
      </w:pPr>
      <w:r>
        <w:rPr>
          <w:rFonts w:ascii="Arial" w:cs="Arial" w:eastAsia="Arial" w:hAnsi="Arial"/>
          <w:sz w:val="17"/>
          <w:szCs w:val="17"/>
          <w:b w:val="1"/>
          <w:bCs w:val="1"/>
          <w:color w:val="auto"/>
        </w:rPr>
        <w:t>3.4 Procedures for Borrowing</w:t>
      </w:r>
      <w:r>
        <w:rPr>
          <w:rFonts w:ascii="Arial" w:cs="Arial" w:eastAsia="Arial" w:hAnsi="Arial"/>
          <w:sz w:val="17"/>
          <w:szCs w:val="17"/>
          <w:color w:val="auto"/>
        </w:rPr>
        <w:t>. Subject to the prior satisfaction of all other applicable conditions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making of a Credit Extension set forth in this Agreement, to obtain a Credit Extension, Borrower shall notify Bank (which notice shall be irrevocable) by electronic mail, facsimile, or telephone by 1:00 p.m. Eastern time one (1) Business Day before the proposed Funding Date of the Credit Extension. Together with any such electronic or facsimile notification, Borrower shall deliver to Bank by electronic mail or facsimile a completed Payment/Advance</w:t>
      </w:r>
    </w:p>
    <w:p>
      <w:pPr>
        <w:spacing w:after="0" w:line="3" w:lineRule="exact"/>
        <w:rPr>
          <w:sz w:val="20"/>
          <w:szCs w:val="20"/>
          <w:color w:val="auto"/>
        </w:rPr>
      </w:pPr>
    </w:p>
    <w:p>
      <w:pPr>
        <w:ind w:left="160" w:right="599"/>
        <w:spacing w:after="0" w:line="253" w:lineRule="auto"/>
        <w:rPr>
          <w:sz w:val="20"/>
          <w:szCs w:val="20"/>
          <w:color w:val="auto"/>
        </w:rPr>
      </w:pPr>
      <w:r>
        <w:rPr>
          <w:rFonts w:ascii="Arial" w:cs="Arial" w:eastAsia="Arial" w:hAnsi="Arial"/>
          <w:sz w:val="18"/>
          <w:szCs w:val="18"/>
          <w:color w:val="auto"/>
        </w:rPr>
        <w:t>Form executed by a Responsible Officer or his or her designee. Bank may rely on any telephone notice given by a person whom Bank believes is a Responsible Officer or designee. Bank shall credit the Credit Extension to the Designated Deposit Account. Bank may make Credit Extension under this Agreement based on instructions from a Responsible Officer or his or her designee or without instructions if the Credit Extensions are necessary to meet Obligations which have become due.</w:t>
      </w:r>
    </w:p>
    <w:p>
      <w:pPr>
        <w:spacing w:after="0" w:line="187" w:lineRule="exact"/>
        <w:rPr>
          <w:sz w:val="20"/>
          <w:szCs w:val="20"/>
          <w:color w:val="auto"/>
        </w:rPr>
      </w:pPr>
    </w:p>
    <w:p>
      <w:pPr>
        <w:ind w:left="1580" w:hanging="781"/>
        <w:spacing w:after="0"/>
        <w:tabs>
          <w:tab w:leader="none" w:pos="15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ind w:left="160" w:right="179" w:firstLine="648"/>
        <w:spacing w:after="0" w:line="289"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to secure the payment and performance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of all of the Obligations, a continuing security interest in, and pledges to Bank, the Collateral, wherever located, whether now owned or hereafter acquired or arising, and all proceeds and products thereof.</w:t>
      </w:r>
    </w:p>
    <w:p>
      <w:pPr>
        <w:spacing w:after="0" w:line="162" w:lineRule="exact"/>
        <w:rPr>
          <w:sz w:val="20"/>
          <w:szCs w:val="20"/>
          <w:color w:val="auto"/>
        </w:rPr>
      </w:pPr>
    </w:p>
    <w:p>
      <w:pPr>
        <w:ind w:left="160" w:right="239" w:firstLine="648"/>
        <w:spacing w:after="0" w:line="255"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93" w:lineRule="exact"/>
        <w:rPr>
          <w:sz w:val="20"/>
          <w:szCs w:val="20"/>
          <w:color w:val="auto"/>
        </w:rPr>
      </w:pPr>
    </w:p>
    <w:p>
      <w:pPr>
        <w:ind w:left="160" w:right="259" w:firstLine="648"/>
        <w:spacing w:after="0" w:line="283"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w:t>
      </w:r>
    </w:p>
    <w:p>
      <w:pPr>
        <w:spacing w:after="0" w:line="7" w:lineRule="exact"/>
        <w:rPr>
          <w:sz w:val="20"/>
          <w:szCs w:val="20"/>
          <w:color w:val="auto"/>
        </w:rPr>
      </w:pPr>
    </w:p>
    <w:p>
      <w:pPr>
        <w:ind w:left="160" w:right="159"/>
        <w:spacing w:after="0" w:line="254" w:lineRule="auto"/>
        <w:rPr>
          <w:sz w:val="20"/>
          <w:szCs w:val="20"/>
          <w:color w:val="auto"/>
        </w:rPr>
      </w:pPr>
      <w:r>
        <w:rPr>
          <w:rFonts w:ascii="Arial" w:cs="Arial" w:eastAsia="Arial" w:hAnsi="Arial"/>
          <w:sz w:val="18"/>
          <w:szCs w:val="18"/>
          <w:color w:val="auto"/>
        </w:rPr>
        <w:t>(105.0%);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186" w:lineRule="exact"/>
        <w:rPr>
          <w:sz w:val="20"/>
          <w:szCs w:val="20"/>
          <w:color w:val="auto"/>
        </w:rPr>
      </w:pPr>
    </w:p>
    <w:p>
      <w:pPr>
        <w:ind w:left="160" w:right="239" w:firstLine="648"/>
        <w:spacing w:after="0" w:line="282" w:lineRule="auto"/>
        <w:rPr>
          <w:sz w:val="20"/>
          <w:szCs w:val="20"/>
          <w:color w:val="auto"/>
        </w:rPr>
      </w:pPr>
      <w:r>
        <w:rPr>
          <w:rFonts w:ascii="Arial" w:cs="Arial" w:eastAsia="Arial" w:hAnsi="Arial"/>
          <w:sz w:val="18"/>
          <w:szCs w:val="18"/>
          <w:b w:val="1"/>
          <w:bCs w:val="1"/>
          <w:color w:val="auto"/>
        </w:rPr>
        <w:t>4.2 Priority of Security Interest</w:t>
      </w:r>
      <w:r>
        <w:rPr>
          <w:rFonts w:ascii="Arial" w:cs="Arial" w:eastAsia="Arial" w:hAnsi="Arial"/>
          <w:sz w:val="18"/>
          <w:szCs w:val="18"/>
          <w:color w:val="auto"/>
        </w:rPr>
        <w:t>. Borrower represents, warrants, and covenants that the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herein is and shall at all times continue to be a first priority perfected security interest in the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160" w:right="279"/>
        <w:spacing w:after="0" w:line="257" w:lineRule="auto"/>
        <w:rPr>
          <w:sz w:val="20"/>
          <w:szCs w:val="20"/>
          <w:color w:val="auto"/>
        </w:rPr>
      </w:pPr>
      <w:r>
        <w:rPr>
          <w:rFonts w:ascii="Arial" w:cs="Arial" w:eastAsia="Arial" w:hAnsi="Arial"/>
          <w:sz w:val="18"/>
          <w:szCs w:val="18"/>
          <w:color w:val="auto"/>
        </w:rPr>
        <w:t>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84" w:lineRule="exact"/>
        <w:rPr>
          <w:sz w:val="20"/>
          <w:szCs w:val="20"/>
          <w:color w:val="auto"/>
        </w:rPr>
      </w:pPr>
    </w:p>
    <w:p>
      <w:pPr>
        <w:ind w:left="160" w:right="179" w:firstLine="648"/>
        <w:spacing w:after="0" w:line="256"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Bank to file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without notice to Borrower, 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88" w:lineRule="exact"/>
        <w:rPr>
          <w:sz w:val="20"/>
          <w:szCs w:val="20"/>
          <w:color w:val="auto"/>
        </w:rPr>
      </w:pPr>
    </w:p>
    <w:p>
      <w:pPr>
        <w:ind w:left="1580" w:hanging="781"/>
        <w:spacing w:after="0"/>
        <w:tabs>
          <w:tab w:leader="none" w:pos="15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ind w:left="160" w:right="139" w:firstLine="648"/>
        <w:spacing w:after="0" w:line="268"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is duly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1" w:lineRule="exact"/>
        <w:rPr>
          <w:sz w:val="20"/>
          <w:szCs w:val="20"/>
          <w:color w:val="auto"/>
        </w:rPr>
      </w:pPr>
    </w:p>
    <w:p>
      <w:pPr>
        <w:ind w:left="160" w:right="199" w:firstLine="648"/>
        <w:spacing w:after="0" w:line="269"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9" w:lineRule="exact"/>
        <w:rPr>
          <w:sz w:val="20"/>
          <w:szCs w:val="20"/>
          <w:color w:val="auto"/>
        </w:rPr>
      </w:pPr>
    </w:p>
    <w:p>
      <w:pPr>
        <w:ind w:left="160" w:right="159" w:firstLine="648"/>
        <w:spacing w:after="0" w:line="274" w:lineRule="auto"/>
        <w:rPr>
          <w:sz w:val="20"/>
          <w:szCs w:val="20"/>
          <w:color w:val="auto"/>
        </w:rPr>
      </w:pPr>
      <w:r>
        <w:rPr>
          <w:rFonts w:ascii="Arial" w:cs="Arial" w:eastAsia="Arial" w:hAnsi="Arial"/>
          <w:sz w:val="17"/>
          <w:szCs w:val="17"/>
          <w:b w:val="1"/>
          <w:bCs w:val="1"/>
          <w:color w:val="auto"/>
        </w:rPr>
        <w:t>5.2 Collateral</w:t>
      </w:r>
      <w:r>
        <w:rPr>
          <w:rFonts w:ascii="Arial" w:cs="Arial" w:eastAsia="Arial" w:hAnsi="Arial"/>
          <w:sz w:val="17"/>
          <w:szCs w:val="17"/>
          <w:color w:val="auto"/>
        </w:rPr>
        <w:t>. Borrower has good title to, rights in, and the power to transfer each item of the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 of Section 6.6(b). The Accounts are bona fide, existing obligations of the Account Debtors.</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ind w:left="160" w:right="219" w:firstLine="648"/>
        <w:spacing w:after="0" w:line="297" w:lineRule="auto"/>
        <w:rPr>
          <w:sz w:val="20"/>
          <w:szCs w:val="20"/>
          <w:color w:val="auto"/>
        </w:rPr>
      </w:pPr>
      <w:r>
        <w:rPr>
          <w:rFonts w:ascii="Arial" w:cs="Arial" w:eastAsia="Arial" w:hAnsi="Arial"/>
          <w:sz w:val="16"/>
          <w:szCs w:val="16"/>
          <w:color w:val="auto"/>
        </w:rPr>
        <w:t>The Collateral is not in the possession of any third party bailee (such as a warehouse) except as otherwise provided in the Perfection Certificate. None of the components of the Collateral (other than mobile equipment such as laptop computers and personal digital assistants with aggregate value not at any time exceeding One Hundred Thousand Dollars ($100,000.00) in the aggregate in the possession of Borrower’s employees or agents) shall be maintained at locations other than as provided in the Perfection Certificate or as permitted pursuant to Section 7.2.</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ind w:left="160" w:right="219" w:firstLine="648"/>
        <w:spacing w:after="0" w:line="253" w:lineRule="auto"/>
        <w:rPr>
          <w:sz w:val="20"/>
          <w:szCs w:val="20"/>
          <w:color w:val="auto"/>
        </w:rPr>
      </w:pPr>
      <w:r>
        <w:rPr>
          <w:rFonts w:ascii="Arial" w:cs="Arial" w:eastAsia="Arial" w:hAnsi="Arial"/>
          <w:sz w:val="18"/>
          <w:szCs w:val="18"/>
          <w:color w:val="auto"/>
        </w:rPr>
        <w:t>Borrower is the sole owner of the Intellectual Property which it owns or purports to own except for (a) non-exclusive licenses granted to its customers and strategic partners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License.</w:t>
      </w:r>
    </w:p>
    <w:p>
      <w:pPr>
        <w:spacing w:after="0" w:line="207" w:lineRule="exact"/>
        <w:rPr>
          <w:sz w:val="20"/>
          <w:szCs w:val="20"/>
          <w:color w:val="auto"/>
        </w:rPr>
      </w:pPr>
    </w:p>
    <w:p>
      <w:pPr>
        <w:ind w:left="160" w:right="379" w:firstLine="648"/>
        <w:spacing w:after="0" w:line="266"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There are no actions or proceedings pending or, to the knowledge of any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threatened in writing by or against Borrower or any of its Subsidiaries involving more than, individually or in the aggregate, One Hundred Thousand Dollars ($100,000.00).</w:t>
      </w:r>
    </w:p>
    <w:p>
      <w:pPr>
        <w:spacing w:after="0" w:line="176" w:lineRule="exact"/>
        <w:rPr>
          <w:sz w:val="20"/>
          <w:szCs w:val="20"/>
          <w:color w:val="auto"/>
        </w:rPr>
      </w:pPr>
    </w:p>
    <w:p>
      <w:pPr>
        <w:ind w:left="160" w:right="159" w:firstLine="648"/>
        <w:spacing w:after="0" w:line="303" w:lineRule="auto"/>
        <w:rPr>
          <w:sz w:val="20"/>
          <w:szCs w:val="20"/>
          <w:color w:val="auto"/>
        </w:rPr>
      </w:pPr>
      <w:r>
        <w:rPr>
          <w:rFonts w:ascii="Arial" w:cs="Arial" w:eastAsia="Arial" w:hAnsi="Arial"/>
          <w:sz w:val="16"/>
          <w:szCs w:val="16"/>
          <w:b w:val="1"/>
          <w:bCs w:val="1"/>
          <w:color w:val="auto"/>
        </w:rPr>
        <w:t>5.4 Financial Statements; Financial Condition</w:t>
      </w:r>
      <w:r>
        <w:rPr>
          <w:rFonts w:ascii="Arial" w:cs="Arial" w:eastAsia="Arial" w:hAnsi="Arial"/>
          <w:sz w:val="16"/>
          <w:szCs w:val="16"/>
          <w:color w:val="auto"/>
        </w:rPr>
        <w:t>. All consolidated financial statements for Borrower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delivered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51" w:lineRule="exact"/>
        <w:rPr>
          <w:sz w:val="20"/>
          <w:szCs w:val="20"/>
          <w:color w:val="auto"/>
        </w:rPr>
      </w:pPr>
    </w:p>
    <w:p>
      <w:pPr>
        <w:ind w:left="160" w:right="399" w:firstLine="648"/>
        <w:spacing w:after="0" w:line="314" w:lineRule="auto"/>
        <w:rPr>
          <w:sz w:val="20"/>
          <w:szCs w:val="20"/>
          <w:color w:val="auto"/>
        </w:rPr>
      </w:pPr>
      <w:r>
        <w:rPr>
          <w:rFonts w:ascii="Arial" w:cs="Arial" w:eastAsia="Arial" w:hAnsi="Arial"/>
          <w:sz w:val="16"/>
          <w:szCs w:val="16"/>
          <w:b w:val="1"/>
          <w:bCs w:val="1"/>
          <w:color w:val="auto"/>
        </w:rPr>
        <w:t>5.5 Solvency</w:t>
      </w:r>
      <w:r>
        <w:rPr>
          <w:rFonts w:ascii="Arial" w:cs="Arial" w:eastAsia="Arial" w:hAnsi="Arial"/>
          <w:sz w:val="16"/>
          <w:szCs w:val="16"/>
          <w:color w:val="auto"/>
        </w:rPr>
        <w:t>. The fair salable value of Borrower’s consolidated assets (including goodwill minus</w:t>
      </w:r>
      <w:r>
        <w:rPr>
          <w:rFonts w:ascii="Arial" w:cs="Arial" w:eastAsia="Arial" w:hAnsi="Arial"/>
          <w:sz w:val="16"/>
          <w:szCs w:val="16"/>
          <w:b w:val="1"/>
          <w:bCs w:val="1"/>
          <w:color w:val="auto"/>
        </w:rPr>
        <w:t xml:space="preserve"> </w:t>
      </w:r>
      <w:r>
        <w:rPr>
          <w:rFonts w:ascii="Arial" w:cs="Arial" w:eastAsia="Arial" w:hAnsi="Arial"/>
          <w:sz w:val="16"/>
          <w:szCs w:val="16"/>
          <w:color w:val="auto"/>
        </w:rPr>
        <w:t>disposition costs) exceeds the fair value of Borrower’s liabilities; Borrower is not left with unreasonably small capital after the transactions in this Agreement; and Borrower is able to pay its debts (including trade debts) as they mature.</w:t>
      </w:r>
    </w:p>
    <w:p>
      <w:pPr>
        <w:spacing w:after="0" w:line="142" w:lineRule="exact"/>
        <w:rPr>
          <w:sz w:val="20"/>
          <w:szCs w:val="20"/>
          <w:color w:val="auto"/>
        </w:rPr>
      </w:pPr>
    </w:p>
    <w:p>
      <w:pPr>
        <w:ind w:left="160" w:right="159" w:firstLine="648"/>
        <w:spacing w:after="0" w:line="289" w:lineRule="auto"/>
        <w:rPr>
          <w:sz w:val="20"/>
          <w:szCs w:val="20"/>
          <w:color w:val="auto"/>
        </w:rPr>
      </w:pPr>
      <w:r>
        <w:rPr>
          <w:rFonts w:ascii="Arial" w:cs="Arial" w:eastAsia="Arial" w:hAnsi="Arial"/>
          <w:sz w:val="16"/>
          <w:szCs w:val="16"/>
          <w:b w:val="1"/>
          <w:bCs w:val="1"/>
          <w:color w:val="auto"/>
        </w:rPr>
        <w:t>5.6 Regulatory Compliance</w:t>
      </w:r>
      <w:r>
        <w:rPr>
          <w:rFonts w:ascii="Arial" w:cs="Arial" w:eastAsia="Arial" w:hAnsi="Arial"/>
          <w:sz w:val="16"/>
          <w:szCs w:val="16"/>
          <w:color w:val="auto"/>
        </w:rPr>
        <w:t>. Borrower is not an “investment company” or a company “controlled”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61" w:lineRule="exact"/>
        <w:rPr>
          <w:sz w:val="20"/>
          <w:szCs w:val="20"/>
          <w:color w:val="auto"/>
        </w:rPr>
      </w:pPr>
    </w:p>
    <w:p>
      <w:pPr>
        <w:ind w:left="160" w:right="679" w:firstLine="648"/>
        <w:spacing w:after="0" w:line="282" w:lineRule="auto"/>
        <w:rPr>
          <w:sz w:val="20"/>
          <w:szCs w:val="20"/>
          <w:color w:val="auto"/>
        </w:rPr>
      </w:pPr>
      <w:r>
        <w:rPr>
          <w:rFonts w:ascii="Arial" w:cs="Arial" w:eastAsia="Arial" w:hAnsi="Arial"/>
          <w:sz w:val="18"/>
          <w:szCs w:val="18"/>
          <w:b w:val="1"/>
          <w:bCs w:val="1"/>
          <w:color w:val="auto"/>
        </w:rPr>
        <w:t>5.7 Subsidiaries; Investments</w:t>
      </w:r>
      <w:r>
        <w:rPr>
          <w:rFonts w:ascii="Arial" w:cs="Arial" w:eastAsia="Arial" w:hAnsi="Arial"/>
          <w:sz w:val="18"/>
          <w:szCs w:val="18"/>
          <w:color w:val="auto"/>
        </w:rPr>
        <w:t>. Borrower does not own any stock, partnership, or other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other equity securities except for Permitted Investments.</w:t>
      </w:r>
    </w:p>
    <w:p>
      <w:pPr>
        <w:spacing w:after="0" w:line="162" w:lineRule="exact"/>
        <w:rPr>
          <w:sz w:val="20"/>
          <w:szCs w:val="20"/>
          <w:color w:val="auto"/>
        </w:rPr>
      </w:pPr>
    </w:p>
    <w:p>
      <w:pPr>
        <w:ind w:left="160" w:right="259" w:firstLine="648"/>
        <w:spacing w:after="0" w:line="277"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has timely filed all required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and reports, and Borrower has 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ind w:left="160" w:right="879"/>
        <w:spacing w:after="0" w:line="277" w:lineRule="auto"/>
        <w:rPr>
          <w:sz w:val="20"/>
          <w:szCs w:val="20"/>
          <w:color w:val="auto"/>
        </w:rPr>
      </w:pPr>
      <w:r>
        <w:rPr>
          <w:rFonts w:ascii="Arial" w:cs="Arial" w:eastAsia="Arial" w:hAnsi="Arial"/>
          <w:sz w:val="18"/>
          <w:szCs w:val="18"/>
          <w:color w:val="auto"/>
        </w:rPr>
        <w:t>assessments, deposits and contributions do not, individually or in the aggregate, exceed Five Thousand Dollars ($5,000.00).</w:t>
      </w:r>
    </w:p>
    <w:p>
      <w:pPr>
        <w:spacing w:after="0" w:line="170" w:lineRule="exact"/>
        <w:rPr>
          <w:sz w:val="20"/>
          <w:szCs w:val="20"/>
          <w:color w:val="auto"/>
        </w:rPr>
      </w:pPr>
    </w:p>
    <w:p>
      <w:pPr>
        <w:ind w:left="160" w:right="219" w:firstLine="648"/>
        <w:spacing w:after="0" w:line="270" w:lineRule="auto"/>
        <w:rPr>
          <w:sz w:val="20"/>
          <w:szCs w:val="20"/>
          <w:color w:val="auto"/>
        </w:rPr>
      </w:pPr>
      <w:r>
        <w:rPr>
          <w:rFonts w:ascii="Arial" w:cs="Arial" w:eastAsia="Arial" w:hAnsi="Arial"/>
          <w:sz w:val="17"/>
          <w:szCs w:val="17"/>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4" w:lineRule="exact"/>
        <w:rPr>
          <w:sz w:val="20"/>
          <w:szCs w:val="20"/>
          <w:color w:val="auto"/>
        </w:rPr>
      </w:pPr>
    </w:p>
    <w:p>
      <w:pPr>
        <w:ind w:left="160" w:right="259" w:firstLine="648"/>
        <w:spacing w:after="0" w:line="313" w:lineRule="auto"/>
        <w:rPr>
          <w:sz w:val="20"/>
          <w:szCs w:val="20"/>
          <w:color w:val="auto"/>
        </w:rPr>
      </w:pPr>
      <w:r>
        <w:rPr>
          <w:rFonts w:ascii="Arial" w:cs="Arial" w:eastAsia="Arial" w:hAnsi="Arial"/>
          <w:sz w:val="17"/>
          <w:szCs w:val="17"/>
          <w:b w:val="1"/>
          <w:bCs w:val="1"/>
          <w:color w:val="auto"/>
        </w:rPr>
        <w:t>5.9 Use of Proceeds</w:t>
      </w:r>
      <w:r>
        <w:rPr>
          <w:rFonts w:ascii="Arial" w:cs="Arial" w:eastAsia="Arial" w:hAnsi="Arial"/>
          <w:sz w:val="17"/>
          <w:szCs w:val="17"/>
          <w:color w:val="auto"/>
        </w:rPr>
        <w:t>. Borrower shall use the proceeds of the Credit Extensions as working capital and to</w:t>
      </w:r>
      <w:r>
        <w:rPr>
          <w:rFonts w:ascii="Arial" w:cs="Arial" w:eastAsia="Arial" w:hAnsi="Arial"/>
          <w:sz w:val="17"/>
          <w:szCs w:val="17"/>
          <w:b w:val="1"/>
          <w:bCs w:val="1"/>
          <w:color w:val="auto"/>
        </w:rPr>
        <w:t xml:space="preserve"> </w:t>
      </w:r>
      <w:r>
        <w:rPr>
          <w:rFonts w:ascii="Arial" w:cs="Arial" w:eastAsia="Arial" w:hAnsi="Arial"/>
          <w:sz w:val="17"/>
          <w:szCs w:val="17"/>
          <w:color w:val="auto"/>
        </w:rPr>
        <w:t>fund its general business requirements and not for personal, family, household or agricultural purposes.</w:t>
      </w:r>
    </w:p>
    <w:p>
      <w:pPr>
        <w:spacing w:after="0" w:line="138" w:lineRule="exact"/>
        <w:rPr>
          <w:sz w:val="20"/>
          <w:szCs w:val="20"/>
          <w:color w:val="auto"/>
        </w:rPr>
      </w:pPr>
    </w:p>
    <w:p>
      <w:pPr>
        <w:ind w:left="160" w:right="179" w:firstLine="648"/>
        <w:spacing w:after="0" w:line="291" w:lineRule="auto"/>
        <w:rPr>
          <w:sz w:val="20"/>
          <w:szCs w:val="20"/>
          <w:color w:val="auto"/>
        </w:rPr>
      </w:pPr>
      <w:r>
        <w:rPr>
          <w:rFonts w:ascii="Arial" w:cs="Arial" w:eastAsia="Arial" w:hAnsi="Arial"/>
          <w:sz w:val="16"/>
          <w:szCs w:val="16"/>
          <w:b w:val="1"/>
          <w:bCs w:val="1"/>
          <w:color w:val="auto"/>
        </w:rPr>
        <w:t>5.10 Full Disclosure</w:t>
      </w:r>
      <w:r>
        <w:rPr>
          <w:rFonts w:ascii="Arial" w:cs="Arial" w:eastAsia="Arial" w:hAnsi="Arial"/>
          <w:sz w:val="16"/>
          <w:szCs w:val="16"/>
          <w:color w:val="auto"/>
        </w:rPr>
        <w:t>. No written representation, warranty or other statement of Borrower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or written statement given to Bank in connection with the Loan Documents or the transactions contemplated thereby,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in light of the circumstances in which they were made,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60" w:lineRule="exact"/>
        <w:rPr>
          <w:sz w:val="20"/>
          <w:szCs w:val="20"/>
          <w:color w:val="auto"/>
        </w:rPr>
      </w:pPr>
    </w:p>
    <w:p>
      <w:pPr>
        <w:ind w:left="160" w:right="339" w:firstLine="648"/>
        <w:spacing w:after="0" w:line="261"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is made to Borrower’s knowledge or awareness, to the “best of” Borrower’s knowledge, or with a similar qualification, knowledge or awareness means the actual knowledge, after reasonable investigation, of any Responsible Officer.</w:t>
      </w:r>
    </w:p>
    <w:p>
      <w:pPr>
        <w:spacing w:after="0" w:line="180" w:lineRule="exact"/>
        <w:rPr>
          <w:sz w:val="20"/>
          <w:szCs w:val="20"/>
          <w:color w:val="auto"/>
        </w:rPr>
      </w:pPr>
    </w:p>
    <w:p>
      <w:pPr>
        <w:ind w:left="1580" w:hanging="781"/>
        <w:spacing w:after="0"/>
        <w:tabs>
          <w:tab w:leader="none" w:pos="1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229" w:lineRule="exact"/>
        <w:rPr>
          <w:sz w:val="20"/>
          <w:szCs w:val="20"/>
          <w:color w:val="auto"/>
        </w:rPr>
      </w:pPr>
    </w:p>
    <w:p>
      <w:pPr>
        <w:ind w:left="160" w:right="259" w:firstLine="1287"/>
        <w:spacing w:after="0" w:line="257" w:lineRule="auto"/>
        <w:tabs>
          <w:tab w:leader="none" w:pos="2106"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Maintain its and (except as permitted by Section 7.3)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88" w:lineRule="exact"/>
        <w:rPr>
          <w:rFonts w:ascii="Arial" w:cs="Arial" w:eastAsia="Arial" w:hAnsi="Arial"/>
          <w:sz w:val="18"/>
          <w:szCs w:val="18"/>
          <w:color w:val="auto"/>
        </w:rPr>
      </w:pPr>
    </w:p>
    <w:p>
      <w:pPr>
        <w:ind w:left="160" w:right="279" w:firstLine="1287"/>
        <w:spacing w:after="0" w:line="286" w:lineRule="auto"/>
        <w:tabs>
          <w:tab w:leader="none" w:pos="2116" w:val="left"/>
        </w:tabs>
        <w:numPr>
          <w:ilvl w:val="0"/>
          <w:numId w:val="98"/>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6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29" w:lineRule="exact"/>
        <w:rPr>
          <w:sz w:val="20"/>
          <w:szCs w:val="20"/>
          <w:color w:val="auto"/>
        </w:rPr>
      </w:pPr>
    </w:p>
    <w:p>
      <w:pPr>
        <w:ind w:left="160" w:right="319" w:firstLine="1287"/>
        <w:spacing w:after="0" w:line="259" w:lineRule="auto"/>
        <w:tabs>
          <w:tab w:leader="none" w:pos="210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ind w:left="160" w:right="159" w:firstLine="1287"/>
        <w:spacing w:after="0" w:line="279" w:lineRule="auto"/>
        <w:tabs>
          <w:tab w:leader="none" w:pos="211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Monthly Compliance Certificate</w:t>
      </w:r>
      <w:r>
        <w:rPr>
          <w:rFonts w:ascii="Arial" w:cs="Arial" w:eastAsia="Arial" w:hAnsi="Arial"/>
          <w:sz w:val="17"/>
          <w:szCs w:val="17"/>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such other information as Bank may reasonably request;</w:t>
      </w:r>
    </w:p>
    <w:p>
      <w:pPr>
        <w:spacing w:after="0" w:line="171" w:lineRule="exact"/>
        <w:rPr>
          <w:rFonts w:ascii="Arial" w:cs="Arial" w:eastAsia="Arial" w:hAnsi="Arial"/>
          <w:sz w:val="17"/>
          <w:szCs w:val="17"/>
          <w:color w:val="auto"/>
        </w:rPr>
      </w:pPr>
    </w:p>
    <w:p>
      <w:pPr>
        <w:ind w:left="160" w:right="239" w:firstLine="1287"/>
        <w:spacing w:after="0" w:line="264" w:lineRule="auto"/>
        <w:tabs>
          <w:tab w:leader="none" w:pos="213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Board-Approved Projections</w:t>
      </w:r>
      <w:r>
        <w:rPr>
          <w:rFonts w:ascii="Arial" w:cs="Arial" w:eastAsia="Arial" w:hAnsi="Arial"/>
          <w:sz w:val="18"/>
          <w:szCs w:val="18"/>
          <w:color w:val="auto"/>
        </w:rPr>
        <w:t>. As soon as available, but no later than sixty (60) days after the last day of Borrower’s fiscal year, and contemporaneously with any updates or changes thereto, Board-approved projections as to the then current fiscal year in a form acceptable to Bank;</w:t>
      </w:r>
    </w:p>
    <w:p>
      <w:pPr>
        <w:spacing w:after="0" w:line="181" w:lineRule="exact"/>
        <w:rPr>
          <w:rFonts w:ascii="Arial" w:cs="Arial" w:eastAsia="Arial" w:hAnsi="Arial"/>
          <w:sz w:val="18"/>
          <w:szCs w:val="18"/>
          <w:color w:val="auto"/>
        </w:rPr>
      </w:pPr>
    </w:p>
    <w:p>
      <w:pPr>
        <w:ind w:left="160" w:right="339" w:firstLine="1287"/>
        <w:spacing w:after="0" w:line="259" w:lineRule="auto"/>
        <w:tabs>
          <w:tab w:leader="none" w:pos="211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86" w:lineRule="exact"/>
        <w:rPr>
          <w:rFonts w:ascii="Arial" w:cs="Arial" w:eastAsia="Arial" w:hAnsi="Arial"/>
          <w:sz w:val="18"/>
          <w:szCs w:val="18"/>
          <w:color w:val="auto"/>
        </w:rPr>
      </w:pPr>
    </w:p>
    <w:p>
      <w:pPr>
        <w:ind w:left="160" w:right="659" w:firstLine="1287"/>
        <w:spacing w:after="0" w:line="308" w:lineRule="auto"/>
        <w:tabs>
          <w:tab w:leader="none" w:pos="210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Other Statements</w:t>
      </w:r>
      <w:r>
        <w:rPr>
          <w:rFonts w:ascii="Arial" w:cs="Arial" w:eastAsia="Arial" w:hAnsi="Arial"/>
          <w:sz w:val="17"/>
          <w:szCs w:val="17"/>
          <w:color w:val="auto"/>
        </w:rPr>
        <w:t>. Within five (5) days of delivery, copies of all statements, reports and notices made available to Borrower’s security holders or to any holders of Subordinated Debt;</w:t>
      </w:r>
    </w:p>
    <w:p>
      <w:pPr>
        <w:spacing w:after="0" w:line="146" w:lineRule="exact"/>
        <w:rPr>
          <w:rFonts w:ascii="Arial" w:cs="Arial" w:eastAsia="Arial" w:hAnsi="Arial"/>
          <w:sz w:val="17"/>
          <w:szCs w:val="17"/>
          <w:color w:val="auto"/>
        </w:rPr>
      </w:pPr>
    </w:p>
    <w:p>
      <w:pPr>
        <w:ind w:left="160" w:right="179" w:firstLine="1287"/>
        <w:spacing w:after="0" w:line="270" w:lineRule="auto"/>
        <w:tabs>
          <w:tab w:leader="none" w:pos="214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81" w:lineRule="exact"/>
        <w:rPr>
          <w:rFonts w:ascii="Arial" w:cs="Arial" w:eastAsia="Arial" w:hAnsi="Arial"/>
          <w:sz w:val="17"/>
          <w:szCs w:val="17"/>
          <w:color w:val="auto"/>
        </w:rPr>
      </w:pPr>
    </w:p>
    <w:p>
      <w:pPr>
        <w:jc w:val="both"/>
        <w:ind w:left="160" w:right="379" w:firstLine="1287"/>
        <w:spacing w:after="0" w:line="286" w:lineRule="auto"/>
        <w:tabs>
          <w:tab w:leader="none" w:pos="211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A prompt report of any legal actions pending or threatened in writing against Borrower or any of its Subsidiaries that could result in damages or costs to Borrower or any of its Subsidiaries of, individually or in the aggregate, One Hundred Thousand Dollars ($100,000.00) or more; and</w:t>
      </w:r>
    </w:p>
    <w:p>
      <w:pPr>
        <w:spacing w:after="0" w:line="165" w:lineRule="exact"/>
        <w:rPr>
          <w:rFonts w:ascii="Arial" w:cs="Arial" w:eastAsia="Arial" w:hAnsi="Arial"/>
          <w:sz w:val="17"/>
          <w:szCs w:val="17"/>
          <w:color w:val="auto"/>
        </w:rPr>
      </w:pPr>
    </w:p>
    <w:p>
      <w:pPr>
        <w:ind w:left="2100" w:hanging="653"/>
        <w:spacing w:after="0"/>
        <w:tabs>
          <w:tab w:leader="none" w:pos="210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Other Financial Information</w:t>
      </w:r>
      <w:r>
        <w:rPr>
          <w:rFonts w:ascii="Arial" w:cs="Arial" w:eastAsia="Arial" w:hAnsi="Arial"/>
          <w:sz w:val="17"/>
          <w:szCs w:val="17"/>
          <w:color w:val="auto"/>
        </w:rPr>
        <w:t>. Other financial information reasonably requested by Bank.</w:t>
      </w:r>
    </w:p>
    <w:p>
      <w:pPr>
        <w:spacing w:after="0" w:line="233" w:lineRule="exact"/>
        <w:rPr>
          <w:sz w:val="20"/>
          <w:szCs w:val="20"/>
          <w:color w:val="auto"/>
        </w:rPr>
      </w:pPr>
    </w:p>
    <w:p>
      <w:pPr>
        <w:ind w:left="160" w:right="159" w:firstLine="648"/>
        <w:spacing w:after="0" w:line="261"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defects. Returns and allowances between Borrower and its Account Debtors shall follow Borrower’s customary practices as they exist at the Effective Date. Borrower must promptly notify Bank of all returns, recoveries, disputes and claims that involve more than One Hundred Thousand Dollars ($100,000.00).</w:t>
      </w:r>
    </w:p>
    <w:p>
      <w:pPr>
        <w:spacing w:after="0" w:line="180" w:lineRule="exact"/>
        <w:rPr>
          <w:sz w:val="20"/>
          <w:szCs w:val="20"/>
          <w:color w:val="auto"/>
        </w:rPr>
      </w:pPr>
    </w:p>
    <w:p>
      <w:pPr>
        <w:ind w:left="160" w:right="279" w:firstLine="648"/>
        <w:spacing w:after="0" w:line="274" w:lineRule="auto"/>
        <w:rPr>
          <w:sz w:val="20"/>
          <w:szCs w:val="20"/>
          <w:color w:val="auto"/>
        </w:rPr>
      </w:pPr>
      <w:r>
        <w:rPr>
          <w:rFonts w:ascii="Arial" w:cs="Arial" w:eastAsia="Arial" w:hAnsi="Arial"/>
          <w:sz w:val="17"/>
          <w:szCs w:val="17"/>
          <w:b w:val="1"/>
          <w:bCs w:val="1"/>
          <w:color w:val="auto"/>
        </w:rPr>
        <w:t>6.4 Taxes; Pensions</w:t>
      </w:r>
      <w:r>
        <w:rPr>
          <w:rFonts w:ascii="Arial" w:cs="Arial" w:eastAsia="Arial" w:hAnsi="Arial"/>
          <w:sz w:val="17"/>
          <w:szCs w:val="17"/>
          <w:color w:val="auto"/>
        </w:rPr>
        <w:t>. Timely file, and require each of its Subsidiaries to timely file, all required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74"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Insurance.</w:t>
      </w:r>
    </w:p>
    <w:p>
      <w:pPr>
        <w:spacing w:after="0" w:line="229" w:lineRule="exact"/>
        <w:rPr>
          <w:sz w:val="20"/>
          <w:szCs w:val="20"/>
          <w:color w:val="auto"/>
        </w:rPr>
      </w:pPr>
    </w:p>
    <w:p>
      <w:pPr>
        <w:ind w:left="160" w:right="179" w:firstLine="1287"/>
        <w:spacing w:after="0" w:line="255" w:lineRule="auto"/>
        <w:tabs>
          <w:tab w:leader="none" w:pos="210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3" w:name="page144"/>
    <w:bookmarkEnd w:id="143"/>
    <w:p>
      <w:pPr>
        <w:ind w:left="160" w:right="179" w:firstLine="1287"/>
        <w:spacing w:after="0" w:line="289" w:lineRule="auto"/>
        <w:tabs>
          <w:tab w:leader="none" w:pos="211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66" w:lineRule="exact"/>
        <w:rPr>
          <w:rFonts w:ascii="Arial" w:cs="Arial" w:eastAsia="Arial" w:hAnsi="Arial"/>
          <w:sz w:val="16"/>
          <w:szCs w:val="16"/>
          <w:color w:val="auto"/>
        </w:rPr>
      </w:pPr>
    </w:p>
    <w:p>
      <w:pPr>
        <w:ind w:left="160" w:right="219" w:firstLine="1287"/>
        <w:spacing w:after="0" w:line="272" w:lineRule="auto"/>
        <w:tabs>
          <w:tab w:leader="none" w:pos="213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74"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ind w:left="160" w:right="439" w:firstLine="1287"/>
        <w:spacing w:after="0" w:line="277" w:lineRule="auto"/>
        <w:tabs>
          <w:tab w:leader="none" w:pos="210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Maintain all of its and all of its Subsidiaries’ operating, depository and securities accounts with Bank and Bank’s Affiliates.</w:t>
      </w:r>
    </w:p>
    <w:p>
      <w:pPr>
        <w:spacing w:after="0" w:line="170" w:lineRule="exact"/>
        <w:rPr>
          <w:rFonts w:ascii="Arial" w:cs="Arial" w:eastAsia="Arial" w:hAnsi="Arial"/>
          <w:sz w:val="18"/>
          <w:szCs w:val="18"/>
          <w:color w:val="auto"/>
        </w:rPr>
      </w:pPr>
    </w:p>
    <w:p>
      <w:pPr>
        <w:ind w:left="160" w:right="179" w:firstLine="1287"/>
        <w:spacing w:after="0" w:line="290" w:lineRule="auto"/>
        <w:tabs>
          <w:tab w:leader="none" w:pos="211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62"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ind w:left="2100" w:hanging="653"/>
        <w:spacing w:after="0"/>
        <w:tabs>
          <w:tab w:leader="none" w:pos="21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 Protect, defend and maintain the validity and enforceability of its Intellectual Property;</w:t>
      </w:r>
    </w:p>
    <w:p>
      <w:pPr>
        <w:spacing w:after="0" w:line="34" w:lineRule="exact"/>
        <w:rPr>
          <w:rFonts w:ascii="Arial" w:cs="Arial" w:eastAsia="Arial" w:hAnsi="Arial"/>
          <w:sz w:val="17"/>
          <w:szCs w:val="17"/>
          <w:color w:val="auto"/>
        </w:rPr>
      </w:pPr>
    </w:p>
    <w:p>
      <w:pPr>
        <w:ind w:left="160" w:right="179" w:hanging="9"/>
        <w:spacing w:after="0" w:line="302" w:lineRule="auto"/>
        <w:tabs>
          <w:tab w:leader="none" w:pos="42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155" w:lineRule="exact"/>
        <w:rPr>
          <w:rFonts w:ascii="Arial" w:cs="Arial" w:eastAsia="Arial" w:hAnsi="Arial"/>
          <w:sz w:val="16"/>
          <w:szCs w:val="16"/>
          <w:color w:val="auto"/>
        </w:rPr>
      </w:pPr>
    </w:p>
    <w:p>
      <w:pPr>
        <w:ind w:left="160" w:right="199" w:firstLine="1287"/>
        <w:spacing w:after="0" w:line="291" w:lineRule="auto"/>
        <w:tabs>
          <w:tab w:leader="none" w:pos="2116" w:val="left"/>
        </w:tabs>
        <w:numPr>
          <w:ilvl w:val="1"/>
          <w:numId w:val="105"/>
        </w:numPr>
        <w:rPr>
          <w:rFonts w:ascii="Arial" w:cs="Arial" w:eastAsia="Arial" w:hAnsi="Arial"/>
          <w:sz w:val="16"/>
          <w:szCs w:val="16"/>
          <w:color w:val="auto"/>
        </w:rPr>
      </w:pPr>
      <w:r>
        <w:rPr>
          <w:rFonts w:ascii="Arial" w:cs="Arial" w:eastAsia="Arial" w:hAnsi="Arial"/>
          <w:sz w:val="16"/>
          <w:szCs w:val="16"/>
          <w:color w:val="auto"/>
        </w:rPr>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63" w:lineRule="exact"/>
        <w:rPr>
          <w:sz w:val="20"/>
          <w:szCs w:val="20"/>
          <w:color w:val="auto"/>
        </w:rPr>
      </w:pPr>
    </w:p>
    <w:p>
      <w:pPr>
        <w:ind w:left="160" w:right="259" w:firstLine="648"/>
        <w:spacing w:after="0" w:line="303"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ind w:left="840"/>
        <w:spacing w:after="0"/>
        <w:tabs>
          <w:tab w:leader="none" w:pos="15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Access to Collateral; Books and Records</w:t>
      </w:r>
      <w:r>
        <w:rPr>
          <w:rFonts w:ascii="Arial" w:cs="Arial" w:eastAsia="Arial" w:hAnsi="Arial"/>
          <w:sz w:val="16"/>
          <w:szCs w:val="16"/>
          <w:color w:val="auto"/>
        </w:rPr>
        <w:t>. Allow Bank, or its agents, at reasonable times, on one</w:t>
      </w:r>
    </w:p>
    <w:p>
      <w:pPr>
        <w:spacing w:after="0" w:line="27" w:lineRule="exact"/>
        <w:rPr>
          <w:sz w:val="20"/>
          <w:szCs w:val="20"/>
          <w:color w:val="auto"/>
        </w:rPr>
      </w:pPr>
    </w:p>
    <w:p>
      <w:pPr>
        <w:ind w:left="160" w:right="139" w:hanging="9"/>
        <w:spacing w:after="0" w:line="253"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Business Day’s notice (provided no notice is required if an Event of Default has occurred and is continuing), to 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Borrower’s expense.</w:t>
      </w:r>
    </w:p>
    <w:p>
      <w:pPr>
        <w:spacing w:after="0" w:line="187" w:lineRule="exact"/>
        <w:rPr>
          <w:sz w:val="20"/>
          <w:szCs w:val="20"/>
          <w:color w:val="auto"/>
        </w:rPr>
      </w:pPr>
    </w:p>
    <w:p>
      <w:pPr>
        <w:ind w:left="160" w:right="159" w:firstLine="648"/>
        <w:spacing w:after="0" w:line="274" w:lineRule="auto"/>
        <w:rPr>
          <w:sz w:val="20"/>
          <w:szCs w:val="20"/>
          <w:color w:val="auto"/>
        </w:rPr>
      </w:pPr>
      <w:r>
        <w:rPr>
          <w:rFonts w:ascii="Arial" w:cs="Arial" w:eastAsia="Arial" w:hAnsi="Arial"/>
          <w:sz w:val="17"/>
          <w:szCs w:val="17"/>
          <w:b w:val="1"/>
          <w:bCs w:val="1"/>
          <w:color w:val="auto"/>
        </w:rPr>
        <w:t>6.10 Further Assurances</w:t>
      </w:r>
      <w:r>
        <w:rPr>
          <w:rFonts w:ascii="Arial" w:cs="Arial" w:eastAsia="Arial" w:hAnsi="Arial"/>
          <w:sz w:val="17"/>
          <w:szCs w:val="17"/>
          <w:color w:val="auto"/>
        </w:rPr>
        <w:t>. Execute any further instruments and take further action as Bank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requests to perfect or continue Bank’s Lien in 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that could reasonably be expected to have a material effect on any of the Governmental Approvals or otherwise on the operations of Borrower or any of its Subsidiaries.</w:t>
      </w:r>
    </w:p>
    <w:p>
      <w:pPr>
        <w:spacing w:after="0" w:line="174" w:lineRule="exact"/>
        <w:rPr>
          <w:sz w:val="20"/>
          <w:szCs w:val="20"/>
          <w:color w:val="auto"/>
        </w:rPr>
      </w:pPr>
    </w:p>
    <w:p>
      <w:pPr>
        <w:ind w:left="1580" w:hanging="781"/>
        <w:spacing w:after="0"/>
        <w:tabs>
          <w:tab w:leader="none" w:pos="15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ind w:left="160" w:right="239" w:firstLine="648"/>
        <w:spacing w:after="0" w:line="270"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(collectively,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 permit any of its Subsidiaries to Transfer, all or any part of 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and (f) of non-exclusive licenses, partnerships, strategic collaborations and joint ventures for the use of the property of Borrower or its Subsidiaries in the ordinary course of business.</w:t>
      </w:r>
    </w:p>
    <w:p>
      <w:pPr>
        <w:spacing w:after="0" w:line="178" w:lineRule="exact"/>
        <w:rPr>
          <w:sz w:val="20"/>
          <w:szCs w:val="20"/>
          <w:color w:val="auto"/>
        </w:rPr>
      </w:pPr>
    </w:p>
    <w:p>
      <w:pPr>
        <w:ind w:left="160" w:right="239" w:firstLine="648"/>
        <w:spacing w:after="0" w:line="289"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to engage in any business other than the businesses currently engaged in by Borrower and such Subsidiary, as applicable, or reasonably related thereto; (b) liquidate or dissolve; or (c) (i) fail to provide notice to Bank of any Key Person departing from or ceasing to be employed by Borrower within five (5) days after his or her departure from Borrower; or (ii) enter into any transaction or series of related transactions in which the stockholders of Borrower who were not stockholders immediately prior to the first such transaction own more than forty percent (40%) of the voting stock of Borrower immediately after giving effect to such transaction or related series of such transactions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w:t>
      </w:r>
    </w:p>
    <w:p>
      <w:pPr>
        <w:spacing w:after="0" w:line="165" w:lineRule="exact"/>
        <w:rPr>
          <w:sz w:val="20"/>
          <w:szCs w:val="20"/>
          <w:color w:val="auto"/>
        </w:rPr>
      </w:pPr>
    </w:p>
    <w:p>
      <w:pPr>
        <w:ind w:left="160" w:right="179" w:firstLine="648"/>
        <w:spacing w:after="0" w:line="285" w:lineRule="auto"/>
        <w:rPr>
          <w:sz w:val="20"/>
          <w:szCs w:val="20"/>
          <w:color w:val="auto"/>
        </w:rPr>
      </w:pPr>
      <w:r>
        <w:rPr>
          <w:rFonts w:ascii="Arial" w:cs="Arial" w:eastAsia="Arial" w:hAnsi="Arial"/>
          <w:sz w:val="16"/>
          <w:szCs w:val="16"/>
          <w:color w:val="auto"/>
        </w:rPr>
        <w:t>Borrower shall not, without at least thirty (30) days prior written notice to Bank: (1) add any new offices or business locations, including warehouses (unless each such new office or business location contains less than Twenty Five Thousand Dollars ($25,000.00) in Borrower’s assets or property) or deliver any portion of the Collateral valued, individually or in the aggregate, in excess of Fifty Thousand Dollars ($50,000.00) to a bailee at a location other than to a bailee and at a location already disclosed in the Perfection Certificate, (2) change its jurisdiction of organization,</w:t>
      </w:r>
    </w:p>
    <w:p>
      <w:pPr>
        <w:spacing w:after="0" w:line="2" w:lineRule="exact"/>
        <w:rPr>
          <w:sz w:val="20"/>
          <w:szCs w:val="20"/>
          <w:color w:val="auto"/>
        </w:rPr>
      </w:pPr>
    </w:p>
    <w:p>
      <w:pPr>
        <w:ind w:left="160" w:right="179" w:hanging="9"/>
        <w:spacing w:after="0" w:line="270" w:lineRule="auto"/>
        <w:tabs>
          <w:tab w:leader="none" w:pos="4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change its organizational structure or type, (4) change its legal name, or (5) change any organizational number (if any) assigned by its jurisdiction of organization. If Borrower intends to deliver any portion of the Collateral valued, individually or in the aggregate, in excess of Fifty Thousand Dollars ($50,000.00)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satisfactory to Bank.</w:t>
      </w:r>
    </w:p>
    <w:p>
      <w:pPr>
        <w:spacing w:after="0" w:line="175" w:lineRule="exact"/>
        <w:rPr>
          <w:sz w:val="20"/>
          <w:szCs w:val="20"/>
          <w:color w:val="auto"/>
        </w:rPr>
      </w:pPr>
    </w:p>
    <w:p>
      <w:pPr>
        <w:ind w:left="160" w:right="579" w:firstLine="648"/>
        <w:spacing w:after="0" w:line="347"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 with any other Person, or acquire, or permit any of its Subsidiaries to acquire, all or substantially all of</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160" w:right="479"/>
        <w:spacing w:after="0" w:line="277" w:lineRule="auto"/>
        <w:rPr>
          <w:sz w:val="20"/>
          <w:szCs w:val="20"/>
          <w:color w:val="auto"/>
        </w:rPr>
      </w:pPr>
      <w:r>
        <w:rPr>
          <w:rFonts w:ascii="Arial" w:cs="Arial" w:eastAsia="Arial" w:hAnsi="Arial"/>
          <w:sz w:val="18"/>
          <w:szCs w:val="18"/>
          <w:color w:val="auto"/>
        </w:rPr>
        <w:t>the capital stock or property of another Person (including, without limitation, by the formation of any Subsidiary). A Subsidiary may merge or consolidate into another Subsidiary or into Borrower.</w:t>
      </w:r>
    </w:p>
    <w:p>
      <w:pPr>
        <w:spacing w:after="0" w:line="166" w:lineRule="exact"/>
        <w:rPr>
          <w:sz w:val="20"/>
          <w:szCs w:val="20"/>
          <w:color w:val="auto"/>
        </w:rPr>
      </w:pPr>
    </w:p>
    <w:p>
      <w:pPr>
        <w:ind w:left="160" w:right="359" w:firstLine="648"/>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other than Permitted Indebtedness.</w:t>
      </w:r>
    </w:p>
    <w:p>
      <w:pPr>
        <w:spacing w:after="0" w:line="162" w:lineRule="exact"/>
        <w:rPr>
          <w:sz w:val="20"/>
          <w:szCs w:val="20"/>
          <w:color w:val="auto"/>
        </w:rPr>
      </w:pPr>
    </w:p>
    <w:p>
      <w:pPr>
        <w:ind w:left="160" w:right="179" w:firstLine="648"/>
        <w:spacing w:after="0" w:line="292" w:lineRule="auto"/>
        <w:rPr>
          <w:sz w:val="20"/>
          <w:szCs w:val="20"/>
          <w:color w:val="auto"/>
        </w:rPr>
      </w:pPr>
      <w:r>
        <w:rPr>
          <w:rFonts w:ascii="Arial" w:cs="Arial" w:eastAsia="Arial" w:hAnsi="Arial"/>
          <w:sz w:val="16"/>
          <w:szCs w:val="16"/>
          <w:b w:val="1"/>
          <w:bCs w:val="1"/>
          <w:color w:val="auto"/>
        </w:rPr>
        <w:t xml:space="preserve">7.5 Encumbrance. </w:t>
      </w:r>
      <w:r>
        <w:rPr>
          <w:rFonts w:ascii="Arial" w:cs="Arial" w:eastAsia="Arial" w:hAnsi="Arial"/>
          <w:sz w:val="16"/>
          <w:szCs w:val="16"/>
          <w:color w:val="auto"/>
        </w:rPr>
        <w:t>Create, incur, allow, or suffer any Lien on any of its property, or assign or convey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62" w:lineRule="exact"/>
        <w:rPr>
          <w:sz w:val="20"/>
          <w:szCs w:val="20"/>
          <w:color w:val="auto"/>
        </w:rPr>
      </w:pPr>
    </w:p>
    <w:p>
      <w:pPr>
        <w:ind w:left="160" w:right="219" w:firstLine="648"/>
        <w:spacing w:after="0" w:line="282" w:lineRule="auto"/>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6.6(b) hereof.</w:t>
      </w:r>
    </w:p>
    <w:p>
      <w:pPr>
        <w:spacing w:after="0" w:line="162" w:lineRule="exact"/>
        <w:rPr>
          <w:sz w:val="20"/>
          <w:szCs w:val="20"/>
          <w:color w:val="auto"/>
        </w:rPr>
      </w:pPr>
    </w:p>
    <w:p>
      <w:pPr>
        <w:ind w:left="160" w:right="179" w:firstLine="648"/>
        <w:spacing w:after="0" w:line="271"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w:t>
      </w:r>
      <w:r>
        <w:rPr>
          <w:rFonts w:ascii="Arial" w:cs="Arial" w:eastAsia="Arial" w:hAnsi="Arial"/>
          <w:sz w:val="17"/>
          <w:szCs w:val="17"/>
          <w:b w:val="1"/>
          <w:bCs w:val="1"/>
          <w:color w:val="auto"/>
        </w:rPr>
        <w:t xml:space="preserve"> </w:t>
      </w:r>
      <w:r>
        <w:rPr>
          <w:rFonts w:ascii="Arial" w:cs="Arial" w:eastAsia="Arial" w:hAnsi="Arial"/>
          <w:sz w:val="17"/>
          <w:szCs w:val="17"/>
          <w:color w:val="auto"/>
        </w:rPr>
        <w:t>retire or purchase any capital stock provided 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($100,000.00) per fiscal year; or (b) directly or indirectly make any Investment (including, without limitation, by the formation of any Subsidiary) other than Permitted Investments, or permit any of its Subsidiaries to do so.</w:t>
      </w:r>
    </w:p>
    <w:p>
      <w:pPr>
        <w:spacing w:after="0" w:line="174"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 xml:space="preserve">Transactions with Affiliates. </w:t>
      </w:r>
      <w:r>
        <w:rPr>
          <w:rFonts w:ascii="Arial" w:cs="Arial" w:eastAsia="Arial" w:hAnsi="Arial"/>
          <w:sz w:val="16"/>
          <w:szCs w:val="16"/>
          <w:color w:val="auto"/>
        </w:rPr>
        <w:t>Directly or indirectly enter into or permit to exist any material</w:t>
      </w:r>
    </w:p>
    <w:p>
      <w:pPr>
        <w:spacing w:after="0" w:line="27" w:lineRule="exact"/>
        <w:rPr>
          <w:sz w:val="20"/>
          <w:szCs w:val="20"/>
          <w:color w:val="auto"/>
        </w:rPr>
      </w:pPr>
    </w:p>
    <w:p>
      <w:pPr>
        <w:ind w:left="160" w:right="159"/>
        <w:spacing w:after="0" w:line="255" w:lineRule="auto"/>
        <w:rPr>
          <w:sz w:val="20"/>
          <w:szCs w:val="20"/>
          <w:color w:val="auto"/>
        </w:rPr>
      </w:pPr>
      <w:r>
        <w:rPr>
          <w:rFonts w:ascii="Arial" w:cs="Arial" w:eastAsia="Arial" w:hAnsi="Arial"/>
          <w:sz w:val="18"/>
          <w:szCs w:val="18"/>
          <w:color w:val="auto"/>
        </w:rPr>
        <w:t>transaction with any Affiliate of Borrower, except for transactions that are in the ordinary course of Borrower’s business, upon fair and reasonable terms that are no less favorable to Borrower than would be obtained in an arm’s length transaction with a non-affiliated Person.</w:t>
      </w:r>
    </w:p>
    <w:p>
      <w:pPr>
        <w:spacing w:after="0" w:line="186" w:lineRule="exact"/>
        <w:rPr>
          <w:sz w:val="20"/>
          <w:szCs w:val="20"/>
          <w:color w:val="auto"/>
        </w:rPr>
      </w:pPr>
    </w:p>
    <w:p>
      <w:pPr>
        <w:ind w:left="160" w:right="419" w:firstLine="648"/>
        <w:spacing w:after="0" w:line="293" w:lineRule="auto"/>
        <w:rPr>
          <w:sz w:val="20"/>
          <w:szCs w:val="20"/>
          <w:color w:val="auto"/>
        </w:rPr>
      </w:pPr>
      <w:r>
        <w:rPr>
          <w:rFonts w:ascii="Arial" w:cs="Arial" w:eastAsia="Arial" w:hAnsi="Arial"/>
          <w:sz w:val="16"/>
          <w:szCs w:val="16"/>
          <w:b w:val="1"/>
          <w:bCs w:val="1"/>
          <w:color w:val="auto"/>
        </w:rPr>
        <w:t xml:space="preserve">7.9 Subordinated Debt. </w:t>
      </w:r>
      <w:r>
        <w:rPr>
          <w:rFonts w:ascii="Arial" w:cs="Arial" w:eastAsia="Arial" w:hAnsi="Arial"/>
          <w:sz w:val="16"/>
          <w:szCs w:val="16"/>
          <w:color w:val="auto"/>
        </w:rPr>
        <w:t>(a) Make or permit any payment on any Subordinated Debt, except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subordination, intercreditor, or other similar agreement to which such Subordinated Debt is subject, or</w:t>
      </w:r>
    </w:p>
    <w:p>
      <w:pPr>
        <w:spacing w:after="0" w:line="1" w:lineRule="exact"/>
        <w:rPr>
          <w:sz w:val="20"/>
          <w:szCs w:val="20"/>
          <w:color w:val="auto"/>
        </w:rPr>
      </w:pPr>
    </w:p>
    <w:p>
      <w:pPr>
        <w:ind w:left="160" w:right="259" w:hanging="9"/>
        <w:spacing w:after="0" w:line="255" w:lineRule="auto"/>
        <w:tabs>
          <w:tab w:leader="none" w:pos="4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6" w:lineRule="exact"/>
        <w:rPr>
          <w:sz w:val="20"/>
          <w:szCs w:val="20"/>
          <w:color w:val="auto"/>
        </w:rPr>
      </w:pPr>
    </w:p>
    <w:p>
      <w:pPr>
        <w:ind w:left="160" w:right="179" w:firstLine="648"/>
        <w:spacing w:after="0" w:line="285"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w:t>
      </w:r>
    </w:p>
    <w:p>
      <w:pPr>
        <w:spacing w:after="0" w:line="4" w:lineRule="exact"/>
        <w:rPr>
          <w:sz w:val="20"/>
          <w:szCs w:val="20"/>
          <w:color w:val="auto"/>
        </w:rPr>
      </w:pPr>
    </w:p>
    <w:p>
      <w:pPr>
        <w:ind w:left="160" w:right="259" w:hanging="9"/>
        <w:spacing w:after="0" w:line="252" w:lineRule="auto"/>
        <w:tabs>
          <w:tab w:leader="none" w:pos="4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ind w:left="1580" w:hanging="781"/>
        <w:spacing w:after="0"/>
        <w:tabs>
          <w:tab w:leader="none" w:pos="15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Any one of the following shall constitute an event of default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Agreement:</w:t>
      </w:r>
    </w:p>
    <w:p>
      <w:pPr>
        <w:spacing w:after="0" w:line="237" w:lineRule="exact"/>
        <w:rPr>
          <w:sz w:val="20"/>
          <w:szCs w:val="20"/>
          <w:color w:val="auto"/>
        </w:rPr>
      </w:pPr>
    </w:p>
    <w:p>
      <w:pPr>
        <w:ind w:left="160" w:right="239" w:firstLine="648"/>
        <w:spacing w:after="0" w:line="277" w:lineRule="auto"/>
        <w:rPr>
          <w:sz w:val="20"/>
          <w:szCs w:val="20"/>
          <w:color w:val="auto"/>
        </w:rPr>
      </w:pPr>
      <w:r>
        <w:rPr>
          <w:rFonts w:ascii="Arial" w:cs="Arial" w:eastAsia="Arial" w:hAnsi="Arial"/>
          <w:sz w:val="17"/>
          <w:szCs w:val="17"/>
          <w:b w:val="1"/>
          <w:bCs w:val="1"/>
          <w:color w:val="auto"/>
        </w:rPr>
        <w:t>8.1 Payment Default</w:t>
      </w:r>
      <w:r>
        <w:rPr>
          <w:rFonts w:ascii="Arial" w:cs="Arial" w:eastAsia="Arial" w:hAnsi="Arial"/>
          <w:sz w:val="17"/>
          <w:szCs w:val="17"/>
          <w:color w:val="auto"/>
        </w:rPr>
        <w:t>. Borrower fails to (a) make any payment of principal or interest on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when due, or (b) pay 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68" w:lineRule="exact"/>
        <w:rPr>
          <w:sz w:val="20"/>
          <w:szCs w:val="20"/>
          <w:color w:val="auto"/>
        </w:rPr>
      </w:pPr>
    </w:p>
    <w:p>
      <w:pPr>
        <w:ind w:left="800"/>
        <w:spacing w:after="0"/>
        <w:tabs>
          <w:tab w:leader="none" w:pos="16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left="160" w:right="339" w:firstLine="1287"/>
        <w:spacing w:after="0" w:line="277" w:lineRule="auto"/>
        <w:tabs>
          <w:tab w:leader="none" w:pos="21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6.4, 6.5, 6.6, or 6.7(b), or violates any covenant in Section 7; or</w:t>
      </w:r>
    </w:p>
    <w:p>
      <w:pPr>
        <w:spacing w:after="0" w:line="170" w:lineRule="exact"/>
        <w:rPr>
          <w:rFonts w:ascii="Arial" w:cs="Arial" w:eastAsia="Arial" w:hAnsi="Arial"/>
          <w:sz w:val="18"/>
          <w:szCs w:val="18"/>
          <w:color w:val="auto"/>
        </w:rPr>
      </w:pPr>
    </w:p>
    <w:p>
      <w:pPr>
        <w:ind w:left="160" w:right="259" w:firstLine="1287"/>
        <w:spacing w:after="0" w:line="288" w:lineRule="auto"/>
        <w:tabs>
          <w:tab w:leader="none" w:pos="211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8.3</w:t>
            </w:r>
          </w:p>
        </w:tc>
        <w:tc>
          <w:tcPr>
            <w:tcW w:w="5000" w:type="dxa"/>
            <w:vAlign w:val="bottom"/>
          </w:tcPr>
          <w:p>
            <w:pPr>
              <w:ind w:left="340"/>
              <w:spacing w:after="0"/>
              <w:rPr>
                <w:sz w:val="20"/>
                <w:szCs w:val="20"/>
                <w:color w:val="auto"/>
              </w:rPr>
            </w:pPr>
            <w:r>
              <w:rPr>
                <w:rFonts w:ascii="Arial" w:cs="Arial" w:eastAsia="Arial" w:hAnsi="Arial"/>
                <w:sz w:val="18"/>
                <w:szCs w:val="18"/>
                <w:b w:val="1"/>
                <w:bCs w:val="1"/>
                <w:color w:val="auto"/>
                <w:w w:val="91"/>
              </w:rPr>
              <w:t>Material Adverse Change</w:t>
            </w:r>
            <w:r>
              <w:rPr>
                <w:rFonts w:ascii="Arial" w:cs="Arial" w:eastAsia="Arial" w:hAnsi="Arial"/>
                <w:sz w:val="18"/>
                <w:szCs w:val="18"/>
                <w:color w:val="auto"/>
                <w:w w:val="91"/>
              </w:rPr>
              <w:t>. A Material Adverse Change occurs;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8.4</w:t>
            </w:r>
          </w:p>
        </w:tc>
        <w:tc>
          <w:tcPr>
            <w:tcW w:w="5000" w:type="dxa"/>
            <w:vAlign w:val="bottom"/>
          </w:tcPr>
          <w:p>
            <w:pPr>
              <w:ind w:left="340"/>
              <w:spacing w:after="0"/>
              <w:rPr>
                <w:sz w:val="20"/>
                <w:szCs w:val="20"/>
                <w:color w:val="auto"/>
              </w:rPr>
            </w:pPr>
            <w:r>
              <w:rPr>
                <w:rFonts w:ascii="Arial" w:cs="Arial" w:eastAsia="Arial" w:hAnsi="Arial"/>
                <w:sz w:val="18"/>
                <w:szCs w:val="18"/>
                <w:b w:val="1"/>
                <w:bCs w:val="1"/>
                <w:color w:val="auto"/>
              </w:rPr>
              <w:t>Attachment; Levy; Restraint on Business.</w:t>
            </w:r>
          </w:p>
        </w:tc>
      </w:tr>
    </w:tbl>
    <w:p>
      <w:pPr>
        <w:spacing w:after="0" w:line="202" w:lineRule="exact"/>
        <w:rPr>
          <w:sz w:val="20"/>
          <w:szCs w:val="20"/>
          <w:color w:val="auto"/>
        </w:rPr>
      </w:pPr>
    </w:p>
    <w:p>
      <w:pPr>
        <w:ind w:left="240" w:right="239" w:firstLine="1288"/>
        <w:spacing w:after="0" w:line="297" w:lineRule="auto"/>
        <w:tabs>
          <w:tab w:leader="none" w:pos="21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58" w:lineRule="exact"/>
        <w:rPr>
          <w:rFonts w:ascii="Arial" w:cs="Arial" w:eastAsia="Arial" w:hAnsi="Arial"/>
          <w:sz w:val="16"/>
          <w:szCs w:val="16"/>
          <w:color w:val="auto"/>
        </w:rPr>
      </w:pPr>
    </w:p>
    <w:p>
      <w:pPr>
        <w:ind w:left="240" w:right="159" w:firstLine="1288"/>
        <w:spacing w:after="0" w:line="264" w:lineRule="auto"/>
        <w:tabs>
          <w:tab w:leader="none" w:pos="21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77" w:lineRule="exact"/>
        <w:rPr>
          <w:sz w:val="20"/>
          <w:szCs w:val="20"/>
          <w:color w:val="auto"/>
        </w:rPr>
      </w:pPr>
    </w:p>
    <w:p>
      <w:pPr>
        <w:ind w:left="160" w:right="279" w:firstLine="648"/>
        <w:spacing w:after="0" w:line="303" w:lineRule="auto"/>
        <w:rPr>
          <w:sz w:val="20"/>
          <w:szCs w:val="20"/>
          <w:color w:val="auto"/>
        </w:rPr>
      </w:pPr>
      <w:r>
        <w:rPr>
          <w:rFonts w:ascii="Arial" w:cs="Arial" w:eastAsia="Arial" w:hAnsi="Arial"/>
          <w:sz w:val="16"/>
          <w:szCs w:val="16"/>
          <w:b w:val="1"/>
          <w:bCs w:val="1"/>
          <w:color w:val="auto"/>
        </w:rPr>
        <w:t>8.5 Insolvency</w:t>
      </w:r>
      <w:r>
        <w:rPr>
          <w:rFonts w:ascii="Arial" w:cs="Arial" w:eastAsia="Arial" w:hAnsi="Arial"/>
          <w:sz w:val="16"/>
          <w:szCs w:val="16"/>
          <w:color w:val="auto"/>
        </w:rPr>
        <w:t>. (a) Borrower is unable to pay its debts (including trade debts) as they become due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becomes insolvent; (b) Borrower 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151" w:lineRule="exact"/>
        <w:rPr>
          <w:sz w:val="20"/>
          <w:szCs w:val="20"/>
          <w:color w:val="auto"/>
        </w:rPr>
      </w:pPr>
    </w:p>
    <w:p>
      <w:pPr>
        <w:ind w:left="160" w:right="219" w:firstLine="648"/>
        <w:spacing w:after="0" w:line="258"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under any agreement to which Borrower is a party with a third party or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 any default resulting in a right by such third party or parties, whether or not exercised, to accelerate the maturity of any Indebtedness in an amount individually or in the aggregate in excess of One Hundred Thousand Dollars ($100,000.00); or (b) any breach or default by Borrower, the result of which could have a material adverse effect on Borrower’s business;</w:t>
      </w:r>
    </w:p>
    <w:p>
      <w:pPr>
        <w:spacing w:after="0" w:line="184"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Judgments; Penalties</w:t>
      </w:r>
      <w:r>
        <w:rPr>
          <w:rFonts w:ascii="Arial" w:cs="Arial" w:eastAsia="Arial" w:hAnsi="Arial"/>
          <w:sz w:val="16"/>
          <w:szCs w:val="16"/>
          <w:color w:val="auto"/>
        </w:rPr>
        <w:t>. One or more fines, penalties or final judgments, orders or decrees for the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payment of money in an amount, individually or in the aggregate, of at least One Hundred Thousand Dollars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($100,000.00) (not covered by independent third-party insurance as to which liability has been accepted by such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p>
      <w:pPr>
        <w:ind w:left="160"/>
        <w:spacing w:after="0"/>
        <w:rPr>
          <w:sz w:val="20"/>
          <w:szCs w:val="20"/>
          <w:color w:val="auto"/>
        </w:rPr>
      </w:pPr>
      <w:r>
        <w:rPr>
          <w:rFonts w:ascii="Arial" w:cs="Arial" w:eastAsia="Arial" w:hAnsi="Arial"/>
          <w:sz w:val="16"/>
          <w:szCs w:val="16"/>
          <w:color w:val="auto"/>
        </w:rPr>
        <w:t>insurance carrier) shall be rendered against Borrower by any Governmental Authority, and the same are not, within ten</w:t>
      </w:r>
    </w:p>
    <w:p>
      <w:pPr>
        <w:spacing w:after="0" w:line="46" w:lineRule="exact"/>
        <w:rPr>
          <w:sz w:val="20"/>
          <w:szCs w:val="20"/>
          <w:color w:val="auto"/>
        </w:rPr>
      </w:pPr>
    </w:p>
    <w:p>
      <w:pPr>
        <w:ind w:left="160" w:right="239" w:hanging="9"/>
        <w:spacing w:after="0" w:line="254" w:lineRule="auto"/>
        <w:tabs>
          <w:tab w:leader="none" w:pos="5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6" w:lineRule="exact"/>
        <w:rPr>
          <w:sz w:val="20"/>
          <w:szCs w:val="20"/>
          <w:color w:val="auto"/>
        </w:rPr>
      </w:pPr>
    </w:p>
    <w:p>
      <w:pPr>
        <w:ind w:left="160" w:right="259" w:firstLine="648"/>
        <w:spacing w:after="0" w:line="261"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Bank or to induce Bank to enter this Agreement or any Loan Document, and such representation, warranty, or other statement is incorrect in any material respect when made;</w:t>
      </w:r>
    </w:p>
    <w:p>
      <w:pPr>
        <w:spacing w:after="0" w:line="180" w:lineRule="exact"/>
        <w:rPr>
          <w:sz w:val="20"/>
          <w:szCs w:val="20"/>
          <w:color w:val="auto"/>
        </w:rPr>
      </w:pPr>
    </w:p>
    <w:p>
      <w:pPr>
        <w:ind w:left="160" w:right="179" w:firstLine="648"/>
        <w:spacing w:after="0" w:line="258"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w:t>
      </w:r>
      <w:r>
        <w:rPr>
          <w:rFonts w:ascii="Arial" w:cs="Arial" w:eastAsia="Arial" w:hAnsi="Arial"/>
          <w:sz w:val="18"/>
          <w:szCs w:val="18"/>
          <w:b w:val="1"/>
          <w:bCs w:val="1"/>
          <w:color w:val="auto"/>
        </w:rPr>
        <w:t xml:space="preserve"> </w:t>
      </w:r>
      <w:r>
        <w:rPr>
          <w:rFonts w:ascii="Arial" w:cs="Arial" w:eastAsia="Arial" w:hAnsi="Arial"/>
          <w:sz w:val="18"/>
          <w:szCs w:val="18"/>
          <w:color w:val="auto"/>
        </w:rPr>
        <w:t>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4" w:lineRule="exact"/>
        <w:rPr>
          <w:sz w:val="20"/>
          <w:szCs w:val="20"/>
          <w:color w:val="auto"/>
        </w:rPr>
      </w:pPr>
    </w:p>
    <w:p>
      <w:pPr>
        <w:ind w:left="160" w:right="219" w:firstLine="648"/>
        <w:spacing w:after="0" w:line="290" w:lineRule="auto"/>
        <w:rPr>
          <w:sz w:val="20"/>
          <w:szCs w:val="20"/>
          <w:color w:val="auto"/>
        </w:rPr>
      </w:pPr>
      <w:r>
        <w:rPr>
          <w:rFonts w:ascii="Arial" w:cs="Arial" w:eastAsia="Arial" w:hAnsi="Arial"/>
          <w:sz w:val="16"/>
          <w:szCs w:val="16"/>
          <w:b w:val="1"/>
          <w:bCs w:val="1"/>
          <w:color w:val="auto"/>
        </w:rPr>
        <w:t xml:space="preserve">8.10 Governmental Approvals. </w:t>
      </w:r>
      <w:r>
        <w:rPr>
          <w:rFonts w:ascii="Arial" w:cs="Arial" w:eastAsia="Arial" w:hAnsi="Arial"/>
          <w:sz w:val="16"/>
          <w:szCs w:val="16"/>
          <w:color w:val="auto"/>
        </w:rPr>
        <w:t>Any Governmental Approval shall have been (a) revoked, rescinded,</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60" w:lineRule="exact"/>
        <w:rPr>
          <w:sz w:val="20"/>
          <w:szCs w:val="20"/>
          <w:color w:val="auto"/>
        </w:rPr>
      </w:pPr>
    </w:p>
    <w:p>
      <w:pPr>
        <w:ind w:left="1580" w:hanging="781"/>
        <w:spacing w:after="0"/>
        <w:tabs>
          <w:tab w:leader="none" w:pos="15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left="160" w:right="179" w:firstLine="648"/>
        <w:spacing w:after="0" w:line="313" w:lineRule="auto"/>
        <w:rPr>
          <w:sz w:val="20"/>
          <w:szCs w:val="20"/>
          <w:color w:val="auto"/>
        </w:rPr>
      </w:pPr>
      <w:r>
        <w:rPr>
          <w:rFonts w:ascii="Arial" w:cs="Arial" w:eastAsia="Arial" w:hAnsi="Arial"/>
          <w:sz w:val="17"/>
          <w:szCs w:val="17"/>
          <w:b w:val="1"/>
          <w:bCs w:val="1"/>
          <w:color w:val="auto"/>
        </w:rPr>
        <w:t>9.1 Rights and Remedies</w:t>
      </w:r>
      <w:r>
        <w:rPr>
          <w:rFonts w:ascii="Arial" w:cs="Arial" w:eastAsia="Arial" w:hAnsi="Arial"/>
          <w:sz w:val="17"/>
          <w:szCs w:val="17"/>
          <w:color w:val="auto"/>
        </w:rPr>
        <w:t>. Upon the occurrence and during the continuance of an Event of Default, Bank</w:t>
      </w:r>
      <w:r>
        <w:rPr>
          <w:rFonts w:ascii="Arial" w:cs="Arial" w:eastAsia="Arial" w:hAnsi="Arial"/>
          <w:sz w:val="17"/>
          <w:szCs w:val="17"/>
          <w:b w:val="1"/>
          <w:bCs w:val="1"/>
          <w:color w:val="auto"/>
        </w:rPr>
        <w:t xml:space="preserve"> </w:t>
      </w:r>
      <w:r>
        <w:rPr>
          <w:rFonts w:ascii="Arial" w:cs="Arial" w:eastAsia="Arial" w:hAnsi="Arial"/>
          <w:sz w:val="17"/>
          <w:szCs w:val="17"/>
          <w:color w:val="auto"/>
        </w:rPr>
        <w:t>may, without notice or demand, do any or all of the following to the extent not prohibited by applicable law:</w:t>
      </w:r>
    </w:p>
    <w:p>
      <w:pPr>
        <w:spacing w:after="0" w:line="142" w:lineRule="exact"/>
        <w:rPr>
          <w:sz w:val="20"/>
          <w:szCs w:val="20"/>
          <w:color w:val="auto"/>
        </w:rPr>
      </w:pPr>
    </w:p>
    <w:p>
      <w:pPr>
        <w:ind w:left="160" w:right="259" w:firstLine="1287"/>
        <w:spacing w:after="0" w:line="308" w:lineRule="auto"/>
        <w:tabs>
          <w:tab w:leader="none" w:pos="210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146" w:lineRule="exact"/>
        <w:rPr>
          <w:rFonts w:ascii="Arial" w:cs="Arial" w:eastAsia="Arial" w:hAnsi="Arial"/>
          <w:sz w:val="17"/>
          <w:szCs w:val="17"/>
          <w:color w:val="auto"/>
        </w:rPr>
      </w:pPr>
    </w:p>
    <w:p>
      <w:pPr>
        <w:ind w:left="160" w:right="419" w:firstLine="1287"/>
        <w:spacing w:after="0" w:line="277" w:lineRule="auto"/>
        <w:tabs>
          <w:tab w:leader="none" w:pos="211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between Borrower and Bank;</w:t>
      </w:r>
    </w:p>
    <w:p>
      <w:pPr>
        <w:spacing w:after="0" w:line="170" w:lineRule="exact"/>
        <w:rPr>
          <w:rFonts w:ascii="Arial" w:cs="Arial" w:eastAsia="Arial" w:hAnsi="Arial"/>
          <w:sz w:val="18"/>
          <w:szCs w:val="18"/>
          <w:color w:val="auto"/>
        </w:rPr>
      </w:pPr>
    </w:p>
    <w:p>
      <w:pPr>
        <w:ind w:left="160" w:right="299" w:firstLine="1287"/>
        <w:spacing w:after="0" w:line="253" w:lineRule="auto"/>
        <w:tabs>
          <w:tab w:leader="none" w:pos="21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97" w:lineRule="exact"/>
        <w:rPr>
          <w:rFonts w:ascii="Arial" w:cs="Arial" w:eastAsia="Arial" w:hAnsi="Arial"/>
          <w:sz w:val="18"/>
          <w:szCs w:val="18"/>
          <w:color w:val="auto"/>
        </w:rPr>
      </w:pPr>
    </w:p>
    <w:p>
      <w:pPr>
        <w:ind w:left="2100" w:hanging="653"/>
        <w:spacing w:after="0"/>
        <w:tabs>
          <w:tab w:leader="none" w:pos="2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jc w:val="both"/>
        <w:ind w:left="160" w:right="259" w:firstLine="1287"/>
        <w:spacing w:after="0" w:line="259" w:lineRule="auto"/>
        <w:tabs>
          <w:tab w:leader="none" w:pos="210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ind w:left="160" w:right="179" w:firstLine="1287"/>
        <w:spacing w:after="0" w:line="272" w:lineRule="auto"/>
        <w:tabs>
          <w:tab w:leader="none" w:pos="21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at any location that is reasonably convenient to Bank and Borrower. Bank may peaceably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by Borrower, to exercise any of Bank’s rights or remedies;</w:t>
      </w:r>
    </w:p>
    <w:p>
      <w:pPr>
        <w:spacing w:after="0" w:line="177" w:lineRule="exact"/>
        <w:rPr>
          <w:rFonts w:ascii="Arial" w:cs="Arial" w:eastAsia="Arial" w:hAnsi="Arial"/>
          <w:sz w:val="17"/>
          <w:szCs w:val="17"/>
          <w:color w:val="auto"/>
        </w:rPr>
      </w:pPr>
    </w:p>
    <w:p>
      <w:pPr>
        <w:ind w:left="160" w:right="739" w:firstLine="1287"/>
        <w:spacing w:after="0" w:line="277" w:lineRule="auto"/>
        <w:tabs>
          <w:tab w:leader="none" w:pos="211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any amount held by Bank owing to or for the credit or the account of Borrower;</w:t>
      </w:r>
    </w:p>
    <w:p>
      <w:pPr>
        <w:spacing w:after="0" w:line="170" w:lineRule="exact"/>
        <w:rPr>
          <w:rFonts w:ascii="Arial" w:cs="Arial" w:eastAsia="Arial" w:hAnsi="Arial"/>
          <w:sz w:val="18"/>
          <w:szCs w:val="18"/>
          <w:color w:val="auto"/>
        </w:rPr>
      </w:pPr>
    </w:p>
    <w:p>
      <w:pPr>
        <w:ind w:left="160" w:right="299" w:firstLine="1287"/>
        <w:spacing w:after="0" w:line="273" w:lineRule="auto"/>
        <w:tabs>
          <w:tab w:leader="none" w:pos="211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78" w:lineRule="exact"/>
        <w:rPr>
          <w:rFonts w:ascii="Arial" w:cs="Arial" w:eastAsia="Arial" w:hAnsi="Arial"/>
          <w:sz w:val="17"/>
          <w:szCs w:val="17"/>
          <w:color w:val="auto"/>
        </w:rPr>
      </w:pPr>
    </w:p>
    <w:p>
      <w:pPr>
        <w:ind w:left="160" w:right="519" w:firstLine="1287"/>
        <w:spacing w:after="0" w:line="264" w:lineRule="auto"/>
        <w:tabs>
          <w:tab w:leader="none" w:pos="21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81" w:lineRule="exact"/>
        <w:rPr>
          <w:rFonts w:ascii="Arial" w:cs="Arial" w:eastAsia="Arial" w:hAnsi="Arial"/>
          <w:sz w:val="18"/>
          <w:szCs w:val="18"/>
          <w:color w:val="auto"/>
        </w:rPr>
      </w:pPr>
    </w:p>
    <w:p>
      <w:pPr>
        <w:ind w:left="2120" w:hanging="673"/>
        <w:spacing w:after="0"/>
        <w:tabs>
          <w:tab w:leader="none" w:pos="2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left="160" w:right="439" w:firstLine="1287"/>
        <w:spacing w:after="0" w:line="264" w:lineRule="auto"/>
        <w:tabs>
          <w:tab w:leader="none" w:pos="214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77" w:lineRule="exact"/>
        <w:rPr>
          <w:sz w:val="20"/>
          <w:szCs w:val="20"/>
          <w:color w:val="auto"/>
        </w:rPr>
      </w:pPr>
    </w:p>
    <w:p>
      <w:pPr>
        <w:ind w:left="160" w:right="239" w:firstLine="648"/>
        <w:spacing w:after="0" w:line="268"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185" w:lineRule="exact"/>
        <w:rPr>
          <w:sz w:val="20"/>
          <w:szCs w:val="20"/>
          <w:color w:val="auto"/>
        </w:rPr>
      </w:pPr>
    </w:p>
    <w:p>
      <w:pPr>
        <w:ind w:left="160" w:right="179" w:firstLine="648"/>
        <w:spacing w:after="0" w:line="272"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w:t>
      </w:r>
      <w:r>
        <w:rPr>
          <w:rFonts w:ascii="Arial" w:cs="Arial" w:eastAsia="Arial" w:hAnsi="Arial"/>
          <w:sz w:val="17"/>
          <w:szCs w:val="17"/>
          <w:b w:val="1"/>
          <w:bCs w:val="1"/>
          <w:color w:val="auto"/>
        </w:rPr>
        <w:t xml:space="preserve"> </w:t>
      </w:r>
      <w:r>
        <w:rPr>
          <w:rFonts w:ascii="Arial" w:cs="Arial" w:eastAsia="Arial" w:hAnsi="Arial"/>
          <w:sz w:val="17"/>
          <w:szCs w:val="17"/>
          <w:color w:val="auto"/>
        </w:rPr>
        <w:t>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2" w:lineRule="exact"/>
        <w:rPr>
          <w:sz w:val="20"/>
          <w:szCs w:val="20"/>
          <w:color w:val="auto"/>
        </w:rPr>
      </w:pPr>
    </w:p>
    <w:p>
      <w:pPr>
        <w:ind w:left="160" w:right="139" w:firstLine="648"/>
        <w:spacing w:after="0" w:line="281" w:lineRule="auto"/>
        <w:rPr>
          <w:sz w:val="20"/>
          <w:szCs w:val="20"/>
          <w:color w:val="auto"/>
        </w:rPr>
      </w:pPr>
      <w:r>
        <w:rPr>
          <w:rFonts w:ascii="Arial" w:cs="Arial" w:eastAsia="Arial" w:hAnsi="Arial"/>
          <w:sz w:val="17"/>
          <w:szCs w:val="17"/>
          <w:b w:val="1"/>
          <w:bCs w:val="1"/>
          <w:color w:val="auto"/>
        </w:rPr>
        <w:t>9.4 Application of Payments and Proceeds Upon Default</w:t>
      </w:r>
      <w:r>
        <w:rPr>
          <w:rFonts w:ascii="Arial" w:cs="Arial" w:eastAsia="Arial" w:hAnsi="Arial"/>
          <w:sz w:val="17"/>
          <w:szCs w:val="17"/>
          <w:color w:val="auto"/>
        </w:rPr>
        <w:t>. If an Event of Default has occurred and is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9" w:name="page150"/>
    <w:bookmarkEnd w:id="149"/>
    <w:p>
      <w:pPr>
        <w:ind w:left="160" w:right="259"/>
        <w:spacing w:after="0" w:line="257" w:lineRule="auto"/>
        <w:rPr>
          <w:sz w:val="20"/>
          <w:szCs w:val="20"/>
          <w:color w:val="auto"/>
        </w:rPr>
      </w:pPr>
      <w:r>
        <w:rPr>
          <w:rFonts w:ascii="Arial" w:cs="Arial" w:eastAsia="Arial" w:hAnsi="Arial"/>
          <w:sz w:val="18"/>
          <w:szCs w:val="18"/>
          <w:color w:val="auto"/>
        </w:rPr>
        <w:t>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4" w:lineRule="exact"/>
        <w:rPr>
          <w:sz w:val="20"/>
          <w:szCs w:val="20"/>
          <w:color w:val="auto"/>
        </w:rPr>
      </w:pPr>
    </w:p>
    <w:p>
      <w:pPr>
        <w:ind w:left="160" w:right="239" w:firstLine="648"/>
        <w:spacing w:after="0" w:line="277" w:lineRule="auto"/>
        <w:rPr>
          <w:sz w:val="20"/>
          <w:szCs w:val="20"/>
          <w:color w:val="auto"/>
        </w:rPr>
      </w:pPr>
      <w:r>
        <w:rPr>
          <w:rFonts w:ascii="Arial" w:cs="Arial" w:eastAsia="Arial" w:hAnsi="Arial"/>
          <w:sz w:val="17"/>
          <w:szCs w:val="17"/>
          <w:b w:val="1"/>
          <w:bCs w:val="1"/>
          <w:color w:val="auto"/>
        </w:rPr>
        <w:t>9.5 Bank’s Liability for Collateral</w:t>
      </w:r>
      <w:r>
        <w:rPr>
          <w:rFonts w:ascii="Arial" w:cs="Arial" w:eastAsia="Arial" w:hAnsi="Arial"/>
          <w:sz w:val="17"/>
          <w:szCs w:val="17"/>
          <w:color w:val="auto"/>
        </w:rPr>
        <w:t>. So long as Bank complies with applicable law and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banking practices 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8"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No Waiver; Remedies Cumulative</w:t>
      </w:r>
      <w:r>
        <w:rPr>
          <w:rFonts w:ascii="Arial" w:cs="Arial" w:eastAsia="Arial" w:hAnsi="Arial"/>
          <w:sz w:val="16"/>
          <w:szCs w:val="16"/>
          <w:color w:val="auto"/>
        </w:rPr>
        <w:t>. Bank’s failure, at any time or times, to require strict</w:t>
      </w:r>
    </w:p>
    <w:p>
      <w:pPr>
        <w:spacing w:after="0" w:line="27" w:lineRule="exact"/>
        <w:rPr>
          <w:sz w:val="20"/>
          <w:szCs w:val="20"/>
          <w:color w:val="auto"/>
        </w:rPr>
      </w:pPr>
    </w:p>
    <w:p>
      <w:pPr>
        <w:ind w:left="160" w:right="359"/>
        <w:spacing w:after="0" w:line="287" w:lineRule="auto"/>
        <w:rPr>
          <w:sz w:val="20"/>
          <w:szCs w:val="20"/>
          <w:color w:val="auto"/>
        </w:rPr>
      </w:pPr>
      <w:r>
        <w:rPr>
          <w:rFonts w:ascii="Arial" w:cs="Arial" w:eastAsia="Arial" w:hAnsi="Arial"/>
          <w:sz w:val="16"/>
          <w:szCs w:val="16"/>
          <w:color w:val="auto"/>
        </w:rPr>
        <w:t>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66" w:lineRule="exact"/>
        <w:rPr>
          <w:sz w:val="20"/>
          <w:szCs w:val="20"/>
          <w:color w:val="auto"/>
        </w:rPr>
      </w:pPr>
    </w:p>
    <w:p>
      <w:pPr>
        <w:ind w:left="160" w:right="379" w:firstLine="648"/>
        <w:spacing w:after="0" w:line="314" w:lineRule="auto"/>
        <w:rPr>
          <w:sz w:val="20"/>
          <w:szCs w:val="20"/>
          <w:color w:val="auto"/>
        </w:rPr>
      </w:pPr>
      <w:r>
        <w:rPr>
          <w:rFonts w:ascii="Arial" w:cs="Arial" w:eastAsia="Arial" w:hAnsi="Arial"/>
          <w:sz w:val="16"/>
          <w:szCs w:val="16"/>
          <w:b w:val="1"/>
          <w:bCs w:val="1"/>
          <w:color w:val="auto"/>
        </w:rPr>
        <w:t>9.7 Demand Waiver</w:t>
      </w:r>
      <w:r>
        <w:rPr>
          <w:rFonts w:ascii="Arial" w:cs="Arial" w:eastAsia="Arial" w:hAnsi="Arial"/>
          <w:sz w:val="16"/>
          <w:szCs w:val="16"/>
          <w:color w:val="auto"/>
        </w:rPr>
        <w:t>. Borrower waives demand, notice of default or dishonor, notice of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nonpayment, notice of any default, nonpayment at maturity, release, compromise, settlement, extension, or renewal of accounts, documents, instruments, chattel paper, and guarantees held by Bank on which Borrower is liable.</w:t>
      </w:r>
    </w:p>
    <w:p>
      <w:pPr>
        <w:spacing w:after="0" w:line="142" w:lineRule="exact"/>
        <w:rPr>
          <w:sz w:val="20"/>
          <w:szCs w:val="20"/>
          <w:color w:val="auto"/>
        </w:rPr>
      </w:pPr>
    </w:p>
    <w:p>
      <w:pPr>
        <w:ind w:left="1680" w:hanging="881"/>
        <w:spacing w:after="0"/>
        <w:tabs>
          <w:tab w:leader="none" w:pos="16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left="160" w:right="239" w:firstLine="648"/>
        <w:spacing w:after="0" w:line="291"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w:t>
      </w:r>
    </w:p>
    <w:p>
      <w:pPr>
        <w:ind w:left="160" w:right="159" w:hanging="9"/>
        <w:spacing w:after="0" w:line="252" w:lineRule="auto"/>
        <w:tabs>
          <w:tab w:leader="none" w:pos="4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680" w:type="dxa"/>
            <w:vAlign w:val="bottom"/>
          </w:tcPr>
          <w:p>
            <w:pPr>
              <w:ind w:left="1300"/>
              <w:spacing w:after="0"/>
              <w:rPr>
                <w:sz w:val="20"/>
                <w:szCs w:val="20"/>
                <w:color w:val="auto"/>
              </w:rPr>
            </w:pPr>
            <w:r>
              <w:rPr>
                <w:rFonts w:ascii="Arial" w:cs="Arial" w:eastAsia="Arial" w:hAnsi="Arial"/>
                <w:sz w:val="18"/>
                <w:szCs w:val="18"/>
                <w:color w:val="auto"/>
              </w:rPr>
              <w:t>If to Borrower:</w:t>
            </w: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Blueprint Medicines Corporation</w:t>
            </w:r>
          </w:p>
        </w:tc>
      </w:tr>
      <w:tr>
        <w:trPr>
          <w:trHeight w:val="216"/>
        </w:trPr>
        <w:tc>
          <w:tcPr>
            <w:tcW w:w="2680" w:type="dxa"/>
            <w:vAlign w:val="bottom"/>
          </w:tcPr>
          <w:p>
            <w:pPr>
              <w:spacing w:after="0"/>
              <w:rPr>
                <w:sz w:val="18"/>
                <w:szCs w:val="18"/>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215 First Street</w:t>
            </w:r>
          </w:p>
        </w:tc>
      </w:tr>
      <w:tr>
        <w:trPr>
          <w:trHeight w:val="216"/>
        </w:trPr>
        <w:tc>
          <w:tcPr>
            <w:tcW w:w="2680" w:type="dxa"/>
            <w:vAlign w:val="bottom"/>
          </w:tcPr>
          <w:p>
            <w:pPr>
              <w:spacing w:after="0"/>
              <w:rPr>
                <w:sz w:val="18"/>
                <w:szCs w:val="18"/>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Cambridge, Massachusetts 02142</w:t>
            </w:r>
          </w:p>
        </w:tc>
      </w:tr>
      <w:tr>
        <w:trPr>
          <w:trHeight w:val="216"/>
        </w:trPr>
        <w:tc>
          <w:tcPr>
            <w:tcW w:w="2680" w:type="dxa"/>
            <w:vAlign w:val="bottom"/>
          </w:tcPr>
          <w:p>
            <w:pPr>
              <w:spacing w:after="0"/>
              <w:rPr>
                <w:sz w:val="18"/>
                <w:szCs w:val="18"/>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Attn: Christine Bellon</w:t>
            </w:r>
          </w:p>
        </w:tc>
      </w:tr>
      <w:tr>
        <w:trPr>
          <w:trHeight w:val="216"/>
        </w:trPr>
        <w:tc>
          <w:tcPr>
            <w:tcW w:w="26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Fax:</w:t>
            </w:r>
          </w:p>
        </w:tc>
        <w:tc>
          <w:tcPr>
            <w:tcW w:w="530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Email: cbellon@blueprintmedicines.com</w:t>
            </w:r>
          </w:p>
        </w:tc>
      </w:tr>
      <w:tr>
        <w:trPr>
          <w:trHeight w:val="418"/>
        </w:trPr>
        <w:tc>
          <w:tcPr>
            <w:tcW w:w="2680" w:type="dxa"/>
            <w:vAlign w:val="bottom"/>
          </w:tcPr>
          <w:p>
            <w:pPr>
              <w:ind w:left="1300"/>
              <w:spacing w:after="0"/>
              <w:rPr>
                <w:sz w:val="20"/>
                <w:szCs w:val="20"/>
                <w:color w:val="auto"/>
              </w:rPr>
            </w:pPr>
            <w:r>
              <w:rPr>
                <w:rFonts w:ascii="Arial" w:cs="Arial" w:eastAsia="Arial" w:hAnsi="Arial"/>
                <w:sz w:val="18"/>
                <w:szCs w:val="18"/>
                <w:color w:val="auto"/>
              </w:rPr>
              <w:t>with a copy to:</w:t>
            </w: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Goodwin Procter LLP</w:t>
            </w:r>
          </w:p>
        </w:tc>
      </w:tr>
      <w:tr>
        <w:trPr>
          <w:trHeight w:val="216"/>
        </w:trPr>
        <w:tc>
          <w:tcPr>
            <w:tcW w:w="2680" w:type="dxa"/>
            <w:vAlign w:val="bottom"/>
          </w:tcPr>
          <w:p>
            <w:pPr>
              <w:spacing w:after="0"/>
              <w:rPr>
                <w:sz w:val="18"/>
                <w:szCs w:val="18"/>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53 State Street</w:t>
            </w:r>
          </w:p>
        </w:tc>
      </w:tr>
      <w:tr>
        <w:trPr>
          <w:trHeight w:val="216"/>
        </w:trPr>
        <w:tc>
          <w:tcPr>
            <w:tcW w:w="2680" w:type="dxa"/>
            <w:vAlign w:val="bottom"/>
          </w:tcPr>
          <w:p>
            <w:pPr>
              <w:spacing w:after="0"/>
              <w:rPr>
                <w:sz w:val="18"/>
                <w:szCs w:val="18"/>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Boston, Massachusetts 02109</w:t>
            </w:r>
          </w:p>
        </w:tc>
      </w:tr>
      <w:tr>
        <w:trPr>
          <w:trHeight w:val="216"/>
        </w:trPr>
        <w:tc>
          <w:tcPr>
            <w:tcW w:w="26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Attn:</w:t>
            </w:r>
          </w:p>
        </w:tc>
        <w:tc>
          <w:tcPr>
            <w:tcW w:w="5300" w:type="dxa"/>
            <w:vAlign w:val="bottom"/>
          </w:tcPr>
          <w:p>
            <w:pPr>
              <w:ind w:left="60"/>
              <w:spacing w:after="0"/>
              <w:rPr>
                <w:sz w:val="20"/>
                <w:szCs w:val="20"/>
                <w:color w:val="auto"/>
              </w:rPr>
            </w:pPr>
            <w:r>
              <w:rPr>
                <w:rFonts w:ascii="Arial" w:cs="Arial" w:eastAsia="Arial" w:hAnsi="Arial"/>
                <w:sz w:val="18"/>
                <w:szCs w:val="18"/>
                <w:color w:val="auto"/>
              </w:rPr>
              <w:t>Mark D. Smith</w:t>
            </w:r>
          </w:p>
        </w:tc>
      </w:tr>
      <w:tr>
        <w:trPr>
          <w:trHeight w:val="216"/>
        </w:trPr>
        <w:tc>
          <w:tcPr>
            <w:tcW w:w="26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Fax:</w:t>
            </w:r>
          </w:p>
        </w:tc>
        <w:tc>
          <w:tcPr>
            <w:tcW w:w="5300" w:type="dxa"/>
            <w:vAlign w:val="bottom"/>
          </w:tcPr>
          <w:p>
            <w:pPr>
              <w:ind w:left="60"/>
              <w:spacing w:after="0"/>
              <w:rPr>
                <w:sz w:val="20"/>
                <w:szCs w:val="20"/>
                <w:color w:val="auto"/>
              </w:rPr>
            </w:pPr>
            <w:r>
              <w:rPr>
                <w:rFonts w:ascii="Arial" w:cs="Arial" w:eastAsia="Arial" w:hAnsi="Arial"/>
                <w:sz w:val="18"/>
                <w:szCs w:val="18"/>
                <w:color w:val="auto"/>
              </w:rPr>
              <w:t>(617) 523-1231</w:t>
            </w:r>
          </w:p>
        </w:tc>
      </w:tr>
      <w:tr>
        <w:trPr>
          <w:trHeight w:val="230"/>
        </w:trPr>
        <w:tc>
          <w:tcPr>
            <w:tcW w:w="2680" w:type="dxa"/>
            <w:vAlign w:val="bottom"/>
          </w:tcPr>
          <w:p>
            <w:pPr>
              <w:spacing w:after="0"/>
              <w:rPr>
                <w:sz w:val="20"/>
                <w:szCs w:val="20"/>
                <w:color w:val="auto"/>
              </w:rPr>
            </w:pPr>
          </w:p>
        </w:tc>
        <w:tc>
          <w:tcPr>
            <w:tcW w:w="6060" w:type="dxa"/>
            <w:vAlign w:val="bottom"/>
            <w:gridSpan w:val="2"/>
          </w:tcPr>
          <w:p>
            <w:pPr>
              <w:ind w:left="300"/>
              <w:spacing w:after="0"/>
              <w:rPr>
                <w:sz w:val="20"/>
                <w:szCs w:val="20"/>
                <w:color w:val="auto"/>
              </w:rPr>
            </w:pPr>
            <w:r>
              <w:rPr>
                <w:rFonts w:ascii="Arial" w:cs="Arial" w:eastAsia="Arial" w:hAnsi="Arial"/>
                <w:sz w:val="18"/>
                <w:szCs w:val="18"/>
                <w:color w:val="auto"/>
              </w:rPr>
              <w:t>Email: marksmith@goodwinprocter.com</w:t>
            </w:r>
          </w:p>
        </w:tc>
      </w:tr>
      <w:tr>
        <w:trPr>
          <w:trHeight w:val="648"/>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00" w:type="dxa"/>
            <w:vAlign w:val="bottom"/>
          </w:tcPr>
          <w:p>
            <w:pPr>
              <w:jc w:val="right"/>
              <w:ind w:right="4190"/>
              <w:spacing w:after="0"/>
              <w:rPr>
                <w:sz w:val="20"/>
                <w:szCs w:val="20"/>
                <w:color w:val="auto"/>
              </w:rPr>
            </w:pPr>
            <w:r>
              <w:rPr>
                <w:rFonts w:ascii="Arial" w:cs="Arial" w:eastAsia="Arial" w:hAnsi="Arial"/>
                <w:sz w:val="18"/>
                <w:szCs w:val="18"/>
                <w:color w:val="auto"/>
              </w:rPr>
              <w:t>15</w:t>
            </w:r>
          </w:p>
        </w:tc>
      </w:tr>
      <w:tr>
        <w:trPr>
          <w:trHeight w:val="129"/>
        </w:trPr>
        <w:tc>
          <w:tcPr>
            <w:tcW w:w="26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3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125" w:right="1440" w:bottom="1440" w:gutter="0" w:footer="0" w:header="0"/>
        </w:sectPr>
      </w:pPr>
    </w:p>
    <w:bookmarkStart w:id="150" w:name="page151"/>
    <w:bookmarkEnd w:id="150"/>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If to Bank:</w:t>
            </w: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Silicon Valley Bank</w:t>
            </w:r>
          </w:p>
        </w:tc>
      </w:tr>
      <w:tr>
        <w:trPr>
          <w:trHeight w:val="216"/>
        </w:trPr>
        <w:tc>
          <w:tcPr>
            <w:tcW w:w="1380" w:type="dxa"/>
            <w:vAlign w:val="bottom"/>
          </w:tcPr>
          <w:p>
            <w:pPr>
              <w:spacing w:after="0"/>
              <w:rPr>
                <w:sz w:val="18"/>
                <w:szCs w:val="18"/>
                <w:color w:val="auto"/>
              </w:rPr>
            </w:pP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275 Grove Street, Suite 2-200</w:t>
            </w:r>
          </w:p>
        </w:tc>
      </w:tr>
      <w:tr>
        <w:trPr>
          <w:trHeight w:val="216"/>
        </w:trPr>
        <w:tc>
          <w:tcPr>
            <w:tcW w:w="1380" w:type="dxa"/>
            <w:vAlign w:val="bottom"/>
          </w:tcPr>
          <w:p>
            <w:pPr>
              <w:spacing w:after="0"/>
              <w:rPr>
                <w:sz w:val="18"/>
                <w:szCs w:val="18"/>
                <w:color w:val="auto"/>
              </w:rPr>
            </w:pP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Newton, Massachusetts 02466</w:t>
            </w:r>
          </w:p>
        </w:tc>
      </w:tr>
      <w:tr>
        <w:trPr>
          <w:trHeight w:val="216"/>
        </w:trPr>
        <w:tc>
          <w:tcPr>
            <w:tcW w:w="13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Attn:</w:t>
            </w:r>
          </w:p>
        </w:tc>
        <w:tc>
          <w:tcPr>
            <w:tcW w:w="2060" w:type="dxa"/>
            <w:vAlign w:val="bottom"/>
          </w:tcPr>
          <w:p>
            <w:pPr>
              <w:ind w:left="60"/>
              <w:spacing w:after="0"/>
              <w:rPr>
                <w:sz w:val="20"/>
                <w:szCs w:val="20"/>
                <w:color w:val="auto"/>
              </w:rPr>
            </w:pPr>
            <w:r>
              <w:rPr>
                <w:rFonts w:ascii="Arial" w:cs="Arial" w:eastAsia="Arial" w:hAnsi="Arial"/>
                <w:sz w:val="18"/>
                <w:szCs w:val="18"/>
                <w:color w:val="auto"/>
              </w:rPr>
              <w:t>Ms. Christina Zorzi</w:t>
            </w:r>
          </w:p>
        </w:tc>
      </w:tr>
      <w:tr>
        <w:trPr>
          <w:trHeight w:val="216"/>
        </w:trPr>
        <w:tc>
          <w:tcPr>
            <w:tcW w:w="13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Fax:</w:t>
            </w:r>
          </w:p>
        </w:tc>
        <w:tc>
          <w:tcPr>
            <w:tcW w:w="20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Email: czorzi@svb.com</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with a copy to:</w:t>
            </w: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Riemer &amp; Braunstein LLP</w:t>
            </w:r>
          </w:p>
        </w:tc>
      </w:tr>
      <w:tr>
        <w:trPr>
          <w:trHeight w:val="216"/>
        </w:trPr>
        <w:tc>
          <w:tcPr>
            <w:tcW w:w="1380" w:type="dxa"/>
            <w:vAlign w:val="bottom"/>
          </w:tcPr>
          <w:p>
            <w:pPr>
              <w:spacing w:after="0"/>
              <w:rPr>
                <w:sz w:val="18"/>
                <w:szCs w:val="18"/>
                <w:color w:val="auto"/>
              </w:rPr>
            </w:pP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Three Center Plaza</w:t>
            </w:r>
          </w:p>
        </w:tc>
      </w:tr>
      <w:tr>
        <w:trPr>
          <w:trHeight w:val="216"/>
        </w:trPr>
        <w:tc>
          <w:tcPr>
            <w:tcW w:w="1380" w:type="dxa"/>
            <w:vAlign w:val="bottom"/>
          </w:tcPr>
          <w:p>
            <w:pPr>
              <w:spacing w:after="0"/>
              <w:rPr>
                <w:sz w:val="18"/>
                <w:szCs w:val="18"/>
                <w:color w:val="auto"/>
              </w:rPr>
            </w:pP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Boston, Massachusetts 02108</w:t>
            </w:r>
          </w:p>
        </w:tc>
      </w:tr>
      <w:tr>
        <w:trPr>
          <w:trHeight w:val="216"/>
        </w:trPr>
        <w:tc>
          <w:tcPr>
            <w:tcW w:w="13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Attn:</w:t>
            </w:r>
          </w:p>
        </w:tc>
        <w:tc>
          <w:tcPr>
            <w:tcW w:w="2060" w:type="dxa"/>
            <w:vAlign w:val="bottom"/>
          </w:tcPr>
          <w:p>
            <w:pPr>
              <w:ind w:left="60"/>
              <w:spacing w:after="0"/>
              <w:rPr>
                <w:sz w:val="20"/>
                <w:szCs w:val="20"/>
                <w:color w:val="auto"/>
              </w:rPr>
            </w:pPr>
            <w:r>
              <w:rPr>
                <w:rFonts w:ascii="Arial" w:cs="Arial" w:eastAsia="Arial" w:hAnsi="Arial"/>
                <w:sz w:val="18"/>
                <w:szCs w:val="18"/>
                <w:color w:val="auto"/>
                <w:w w:val="93"/>
              </w:rPr>
              <w:t>David A. Ephraim, Esquire</w:t>
            </w:r>
          </w:p>
        </w:tc>
      </w:tr>
      <w:tr>
        <w:trPr>
          <w:trHeight w:val="216"/>
        </w:trPr>
        <w:tc>
          <w:tcPr>
            <w:tcW w:w="13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Fax:</w:t>
            </w:r>
          </w:p>
        </w:tc>
        <w:tc>
          <w:tcPr>
            <w:tcW w:w="2060" w:type="dxa"/>
            <w:vAlign w:val="bottom"/>
          </w:tcPr>
          <w:p>
            <w:pPr>
              <w:ind w:left="60"/>
              <w:spacing w:after="0"/>
              <w:rPr>
                <w:sz w:val="20"/>
                <w:szCs w:val="20"/>
                <w:color w:val="auto"/>
              </w:rPr>
            </w:pPr>
            <w:r>
              <w:rPr>
                <w:rFonts w:ascii="Arial" w:cs="Arial" w:eastAsia="Arial" w:hAnsi="Arial"/>
                <w:sz w:val="18"/>
                <w:szCs w:val="18"/>
                <w:color w:val="auto"/>
              </w:rPr>
              <w:t>(617) 692-3455</w:t>
            </w:r>
          </w:p>
        </w:tc>
      </w:tr>
      <w:tr>
        <w:trPr>
          <w:trHeight w:val="230"/>
        </w:trPr>
        <w:tc>
          <w:tcPr>
            <w:tcW w:w="1380" w:type="dxa"/>
            <w:vAlign w:val="bottom"/>
          </w:tcPr>
          <w:p>
            <w:pPr>
              <w:spacing w:after="0"/>
              <w:rPr>
                <w:sz w:val="20"/>
                <w:szCs w:val="20"/>
                <w:color w:val="auto"/>
              </w:rPr>
            </w:pP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w w:val="92"/>
              </w:rPr>
              <w:t>Email: DEphraim@riemerlaw.com</w:t>
            </w:r>
          </w:p>
        </w:tc>
      </w:tr>
    </w:tbl>
    <w:p>
      <w:pPr>
        <w:spacing w:after="0" w:line="198" w:lineRule="exact"/>
        <w:rPr>
          <w:sz w:val="20"/>
          <w:szCs w:val="20"/>
          <w:color w:val="auto"/>
        </w:rPr>
      </w:pPr>
    </w:p>
    <w:p>
      <w:pPr>
        <w:ind w:left="1660" w:hanging="861"/>
        <w:spacing w:after="0"/>
        <w:tabs>
          <w:tab w:leader="none" w:pos="1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9" w:lineRule="exact"/>
        <w:rPr>
          <w:sz w:val="20"/>
          <w:szCs w:val="20"/>
          <w:color w:val="auto"/>
        </w:rPr>
      </w:pPr>
    </w:p>
    <w:p>
      <w:pPr>
        <w:ind w:left="160" w:right="159" w:firstLine="648"/>
        <w:spacing w:after="0" w:line="286" w:lineRule="auto"/>
        <w:rPr>
          <w:sz w:val="20"/>
          <w:szCs w:val="20"/>
          <w:color w:val="auto"/>
        </w:rPr>
      </w:pPr>
      <w:r>
        <w:rPr>
          <w:rFonts w:ascii="Arial" w:cs="Arial" w:eastAsia="Arial" w:hAnsi="Arial"/>
          <w:sz w:val="16"/>
          <w:szCs w:val="16"/>
          <w:color w:val="auto"/>
        </w:rPr>
        <w:t>Massachusetts law governs the Loan Documents without regard to principles of conflicts of law. Borrower and Bank each submit to the exclusive jurisdiction of the State and Federal courts in Boston, Massachusetts;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1" w:lineRule="exact"/>
        <w:rPr>
          <w:sz w:val="20"/>
          <w:szCs w:val="20"/>
          <w:color w:val="auto"/>
        </w:rPr>
      </w:pPr>
    </w:p>
    <w:p>
      <w:pPr>
        <w:ind w:left="160" w:right="219"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680" w:hanging="881"/>
        <w:spacing w:after="0"/>
        <w:tabs>
          <w:tab w:leader="none" w:pos="16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left="160" w:right="179" w:firstLine="648"/>
        <w:spacing w:after="0" w:line="270" w:lineRule="auto"/>
        <w:rPr>
          <w:sz w:val="20"/>
          <w:szCs w:val="20"/>
          <w:color w:val="auto"/>
        </w:rPr>
      </w:pPr>
      <w:r>
        <w:rPr>
          <w:rFonts w:ascii="Arial" w:cs="Arial" w:eastAsia="Arial" w:hAnsi="Arial"/>
          <w:sz w:val="17"/>
          <w:szCs w:val="17"/>
          <w:b w:val="1"/>
          <w:bCs w:val="1"/>
          <w:color w:val="auto"/>
        </w:rPr>
        <w:t>12.1 Termination Prior to Term Loan Maturity Date; Survival</w:t>
      </w:r>
      <w:r>
        <w:rPr>
          <w:rFonts w:ascii="Arial" w:cs="Arial" w:eastAsia="Arial" w:hAnsi="Arial"/>
          <w:sz w:val="17"/>
          <w:szCs w:val="17"/>
          <w:color w:val="auto"/>
        </w:rPr>
        <w:t>. All covenants, representations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made in this Agreement continue in full force until this Agreement has terminated pursuant to its terms and all Obligations (other than inchoate indemnity obligations and any other obligations which, by their terms, are to survive the termination of this Agreement)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78" w:lineRule="exact"/>
        <w:rPr>
          <w:sz w:val="20"/>
          <w:szCs w:val="20"/>
          <w:color w:val="auto"/>
        </w:rPr>
      </w:pPr>
    </w:p>
    <w:p>
      <w:pPr>
        <w:ind w:left="160" w:right="159" w:firstLine="648"/>
        <w:spacing w:after="0" w:line="281" w:lineRule="auto"/>
        <w:rPr>
          <w:sz w:val="20"/>
          <w:szCs w:val="20"/>
          <w:color w:val="auto"/>
        </w:rPr>
      </w:pPr>
      <w:r>
        <w:rPr>
          <w:rFonts w:ascii="Arial" w:cs="Arial" w:eastAsia="Arial" w:hAnsi="Arial"/>
          <w:sz w:val="17"/>
          <w:szCs w:val="17"/>
          <w:b w:val="1"/>
          <w:bCs w:val="1"/>
          <w:color w:val="auto"/>
        </w:rPr>
        <w:t>12.2 Successors and Assigns</w:t>
      </w:r>
      <w:r>
        <w:rPr>
          <w:rFonts w:ascii="Arial" w:cs="Arial" w:eastAsia="Arial" w:hAnsi="Arial"/>
          <w:sz w:val="17"/>
          <w:szCs w:val="17"/>
          <w:color w:val="auto"/>
        </w:rPr>
        <w:t>. This Agreement binds and is for the benefit of the successors and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assigns of each 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1" w:name="page152"/>
    <w:bookmarkEnd w:id="151"/>
    <w:p>
      <w:pPr>
        <w:ind w:left="160" w:right="319"/>
        <w:spacing w:after="0" w:line="342" w:lineRule="auto"/>
        <w:rPr>
          <w:sz w:val="20"/>
          <w:szCs w:val="20"/>
          <w:color w:val="auto"/>
        </w:rPr>
      </w:pPr>
      <w:r>
        <w:rPr>
          <w:rFonts w:ascii="Arial" w:cs="Arial" w:eastAsia="Arial" w:hAnsi="Arial"/>
          <w:sz w:val="16"/>
          <w:szCs w:val="16"/>
          <w:color w:val="auto"/>
        </w:rPr>
        <w:t>part of, or any interest in, Bank’s obligations, rights, and benefits under this Agreement and the other Loan Documents (other than the Warrant, as to which assignment, transfer and other such actions are governed by the terms thereof).</w:t>
      </w:r>
    </w:p>
    <w:p>
      <w:pPr>
        <w:spacing w:after="0" w:line="120" w:lineRule="exact"/>
        <w:rPr>
          <w:sz w:val="20"/>
          <w:szCs w:val="20"/>
          <w:color w:val="auto"/>
        </w:rPr>
      </w:pPr>
    </w:p>
    <w:p>
      <w:pPr>
        <w:ind w:left="160" w:right="219" w:firstLine="648"/>
        <w:spacing w:after="0" w:line="255" w:lineRule="auto"/>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 Borrower agrees to indemnify, defend and hold Bank and its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agents, attorneys, or any other 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89" w:lineRule="exact"/>
        <w:rPr>
          <w:sz w:val="20"/>
          <w:szCs w:val="20"/>
          <w:color w:val="auto"/>
        </w:rPr>
      </w:pPr>
    </w:p>
    <w:p>
      <w:pPr>
        <w:ind w:left="160" w:right="379" w:firstLine="648"/>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166"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ind w:left="160" w:right="859" w:firstLine="648"/>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determining the enforceability of any provision.</w:t>
      </w:r>
    </w:p>
    <w:p>
      <w:pPr>
        <w:spacing w:after="0" w:line="162" w:lineRule="exact"/>
        <w:rPr>
          <w:sz w:val="20"/>
          <w:szCs w:val="20"/>
          <w:color w:val="auto"/>
        </w:rPr>
      </w:pPr>
    </w:p>
    <w:p>
      <w:pPr>
        <w:ind w:left="160" w:right="339" w:firstLine="648"/>
        <w:spacing w:after="0" w:line="282" w:lineRule="auto"/>
        <w:rPr>
          <w:sz w:val="20"/>
          <w:szCs w:val="20"/>
          <w:color w:val="auto"/>
        </w:rPr>
      </w:pPr>
      <w:r>
        <w:rPr>
          <w:rFonts w:ascii="Arial" w:cs="Arial" w:eastAsia="Arial" w:hAnsi="Arial"/>
          <w:sz w:val="18"/>
          <w:szCs w:val="18"/>
          <w:b w:val="1"/>
          <w:bCs w:val="1"/>
          <w:color w:val="auto"/>
        </w:rPr>
        <w:t>12.6 Correction of Loan Documents</w:t>
      </w:r>
      <w:r>
        <w:rPr>
          <w:rFonts w:ascii="Arial" w:cs="Arial" w:eastAsia="Arial" w:hAnsi="Arial"/>
          <w:sz w:val="18"/>
          <w:szCs w:val="18"/>
          <w:color w:val="auto"/>
        </w:rPr>
        <w:t>. Bank may correct patent errors and fill in any blanks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p>
    <w:p>
      <w:pPr>
        <w:spacing w:after="0" w:line="162" w:lineRule="exact"/>
        <w:rPr>
          <w:sz w:val="20"/>
          <w:szCs w:val="20"/>
          <w:color w:val="auto"/>
        </w:rPr>
      </w:pPr>
    </w:p>
    <w:p>
      <w:pPr>
        <w:ind w:left="160" w:right="179" w:firstLine="648"/>
        <w:spacing w:after="0" w:line="288" w:lineRule="auto"/>
        <w:rPr>
          <w:sz w:val="20"/>
          <w:szCs w:val="20"/>
          <w:color w:val="auto"/>
        </w:rPr>
      </w:pPr>
      <w:r>
        <w:rPr>
          <w:rFonts w:ascii="Arial" w:cs="Arial" w:eastAsia="Arial" w:hAnsi="Arial"/>
          <w:sz w:val="16"/>
          <w:szCs w:val="16"/>
          <w:b w:val="1"/>
          <w:bCs w:val="1"/>
          <w:color w:val="auto"/>
        </w:rPr>
        <w:t>12.7 Amendments in Writing; Waiver; Integration</w:t>
      </w:r>
      <w:r>
        <w:rPr>
          <w:rFonts w:ascii="Arial" w:cs="Arial" w:eastAsia="Arial" w:hAnsi="Arial"/>
          <w:sz w:val="16"/>
          <w:szCs w:val="16"/>
          <w:color w:val="auto"/>
        </w:rPr>
        <w:t>.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4" w:lineRule="exact"/>
        <w:rPr>
          <w:sz w:val="20"/>
          <w:szCs w:val="20"/>
          <w:color w:val="auto"/>
        </w:rPr>
      </w:pPr>
    </w:p>
    <w:p>
      <w:pPr>
        <w:jc w:val="both"/>
        <w:ind w:left="160" w:right="519" w:firstLine="648"/>
        <w:spacing w:after="0" w:line="266"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on separate counterparts, each of which, when executed and delivered, is an original, and all taken together, constitute one Agreement.</w:t>
      </w:r>
    </w:p>
    <w:p>
      <w:pPr>
        <w:spacing w:after="0" w:line="176" w:lineRule="exact"/>
        <w:rPr>
          <w:sz w:val="20"/>
          <w:szCs w:val="20"/>
          <w:color w:val="auto"/>
        </w:rPr>
      </w:pPr>
    </w:p>
    <w:p>
      <w:pPr>
        <w:ind w:left="160" w:right="219" w:firstLine="648"/>
        <w:spacing w:after="0" w:line="284"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Bank shall exercise the same degree of</w:t>
      </w:r>
      <w:r>
        <w:rPr>
          <w:rFonts w:ascii="Arial" w:cs="Arial" w:eastAsia="Arial" w:hAnsi="Arial"/>
          <w:sz w:val="16"/>
          <w:szCs w:val="16"/>
          <w:b w:val="1"/>
          <w:bCs w:val="1"/>
          <w:color w:val="auto"/>
        </w:rPr>
        <w:t xml:space="preserve"> </w:t>
      </w:r>
      <w:r>
        <w:rPr>
          <w:rFonts w:ascii="Arial" w:cs="Arial" w:eastAsia="Arial" w:hAnsi="Arial"/>
          <w:sz w:val="16"/>
          <w:szCs w:val="16"/>
          <w:color w:val="auto"/>
        </w:rPr>
        <w:t>care that it exercises for its own proprietary information, but disclosure of information may be made: (a) to Bank’s Subsidiaries or Affiliates (such Subsidiaries and Affiliates, together with Bank, collectively, “</w:t>
      </w:r>
      <w:r>
        <w:rPr>
          <w:rFonts w:ascii="Arial" w:cs="Arial" w:eastAsia="Arial" w:hAnsi="Arial"/>
          <w:sz w:val="16"/>
          <w:szCs w:val="16"/>
          <w:b w:val="1"/>
          <w:bCs w:val="1"/>
          <w:color w:val="auto"/>
        </w:rPr>
        <w:t>Bank Entities</w:t>
      </w:r>
      <w:r>
        <w:rPr>
          <w:rFonts w:ascii="Arial" w:cs="Arial" w:eastAsia="Arial" w:hAnsi="Arial"/>
          <w:sz w:val="16"/>
          <w:szCs w:val="16"/>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w:t>
      </w:r>
    </w:p>
    <w:p>
      <w:pPr>
        <w:ind w:left="160" w:right="699" w:hanging="9"/>
        <w:spacing w:after="0" w:line="261" w:lineRule="auto"/>
        <w:tabs>
          <w:tab w:leader="none" w:pos="4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disclosed to Bank by a third party, if Bank does not know that the third party is prohibited from disclosing the information.</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2" w:name="page153"/>
    <w:bookmarkEnd w:id="152"/>
    <w:p>
      <w:pPr>
        <w:jc w:val="both"/>
        <w:ind w:left="160" w:right="479" w:firstLine="648"/>
        <w:spacing w:after="0" w:line="264" w:lineRule="auto"/>
        <w:rPr>
          <w:sz w:val="20"/>
          <w:szCs w:val="20"/>
          <w:color w:val="auto"/>
        </w:rPr>
      </w:pPr>
      <w:r>
        <w:rPr>
          <w:rFonts w:ascii="Arial" w:cs="Arial" w:eastAsia="Arial" w:hAnsi="Arial"/>
          <w:sz w:val="18"/>
          <w:szCs w:val="18"/>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77" w:lineRule="exact"/>
        <w:rPr>
          <w:sz w:val="20"/>
          <w:szCs w:val="20"/>
          <w:color w:val="auto"/>
        </w:rPr>
      </w:pPr>
    </w:p>
    <w:p>
      <w:pPr>
        <w:ind w:left="160" w:right="139" w:firstLine="648"/>
        <w:spacing w:after="0" w:line="270"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for all Obligations to Bank, whether 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Obligations of Borrower then due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8" w:lineRule="exact"/>
        <w:rPr>
          <w:sz w:val="20"/>
          <w:szCs w:val="20"/>
          <w:color w:val="auto"/>
        </w:rPr>
      </w:pPr>
    </w:p>
    <w:p>
      <w:pPr>
        <w:ind w:left="160" w:right="199" w:firstLine="648"/>
        <w:spacing w:after="0" w:line="298" w:lineRule="auto"/>
        <w:rPr>
          <w:sz w:val="20"/>
          <w:szCs w:val="20"/>
          <w:color w:val="auto"/>
        </w:rPr>
      </w:pPr>
      <w:r>
        <w:rPr>
          <w:rFonts w:ascii="Arial" w:cs="Arial" w:eastAsia="Arial" w:hAnsi="Arial"/>
          <w:sz w:val="16"/>
          <w:szCs w:val="16"/>
          <w:b w:val="1"/>
          <w:bCs w:val="1"/>
          <w:color w:val="auto"/>
        </w:rPr>
        <w:t>12.11 Electronic Execution of Documents</w:t>
      </w:r>
      <w:r>
        <w:rPr>
          <w:rFonts w:ascii="Arial" w:cs="Arial" w:eastAsia="Arial" w:hAnsi="Arial"/>
          <w:sz w:val="16"/>
          <w:szCs w:val="16"/>
          <w:color w:val="auto"/>
        </w:rPr>
        <w:t>. The words “execution,” “signed,” “signature” and words of</w:t>
      </w:r>
      <w:r>
        <w:rPr>
          <w:rFonts w:ascii="Arial" w:cs="Arial" w:eastAsia="Arial" w:hAnsi="Arial"/>
          <w:sz w:val="16"/>
          <w:szCs w:val="16"/>
          <w:b w:val="1"/>
          <w:bCs w:val="1"/>
          <w:color w:val="auto"/>
        </w:rPr>
        <w:t xml:space="preserve"> </w:t>
      </w:r>
      <w:r>
        <w:rPr>
          <w:rFonts w:ascii="Arial" w:cs="Arial" w:eastAsia="Arial" w:hAnsi="Arial"/>
          <w:sz w:val="16"/>
          <w:szCs w:val="16"/>
          <w:color w:val="auto"/>
        </w:rPr>
        <w:t>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54" w:lineRule="exact"/>
        <w:rPr>
          <w:sz w:val="20"/>
          <w:szCs w:val="20"/>
          <w:color w:val="auto"/>
        </w:rPr>
      </w:pPr>
    </w:p>
    <w:p>
      <w:pPr>
        <w:ind w:left="160" w:right="479" w:firstLine="648"/>
        <w:spacing w:after="0" w:line="282" w:lineRule="auto"/>
        <w:rPr>
          <w:sz w:val="20"/>
          <w:szCs w:val="20"/>
          <w:color w:val="auto"/>
        </w:rPr>
      </w:pPr>
      <w:r>
        <w:rPr>
          <w:rFonts w:ascii="Arial" w:cs="Arial" w:eastAsia="Arial" w:hAnsi="Arial"/>
          <w:sz w:val="18"/>
          <w:szCs w:val="18"/>
          <w:b w:val="1"/>
          <w:bCs w:val="1"/>
          <w:color w:val="auto"/>
        </w:rPr>
        <w:t>12.12 Captions</w:t>
      </w:r>
      <w:r>
        <w:rPr>
          <w:rFonts w:ascii="Arial" w:cs="Arial" w:eastAsia="Arial" w:hAnsi="Arial"/>
          <w:sz w:val="18"/>
          <w:szCs w:val="18"/>
          <w:color w:val="auto"/>
        </w:rPr>
        <w:t>. The headings used in this Agreement are for convenience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2" w:lineRule="exact"/>
        <w:rPr>
          <w:sz w:val="20"/>
          <w:szCs w:val="20"/>
          <w:color w:val="auto"/>
        </w:rPr>
      </w:pPr>
    </w:p>
    <w:p>
      <w:pPr>
        <w:ind w:left="160" w:right="319" w:firstLine="648"/>
        <w:spacing w:after="0" w:line="266" w:lineRule="auto"/>
        <w:rPr>
          <w:sz w:val="20"/>
          <w:szCs w:val="20"/>
          <w:color w:val="auto"/>
        </w:rPr>
      </w:pPr>
      <w:r>
        <w:rPr>
          <w:rFonts w:ascii="Arial" w:cs="Arial" w:eastAsia="Arial" w:hAnsi="Arial"/>
          <w:sz w:val="18"/>
          <w:szCs w:val="18"/>
          <w:b w:val="1"/>
          <w:bCs w:val="1"/>
          <w:color w:val="auto"/>
        </w:rPr>
        <w:t>12.13 Construction of Agreement</w:t>
      </w:r>
      <w:r>
        <w:rPr>
          <w:rFonts w:ascii="Arial" w:cs="Arial" w:eastAsia="Arial" w:hAnsi="Arial"/>
          <w:sz w:val="18"/>
          <w:szCs w:val="18"/>
          <w:color w:val="auto"/>
        </w:rPr>
        <w:t>. The parties mutually acknowledge that they and their attorneys have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participated in the preparation and 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ind w:left="160" w:right="319" w:firstLine="648"/>
        <w:spacing w:after="0" w:line="289" w:lineRule="auto"/>
        <w:rPr>
          <w:sz w:val="20"/>
          <w:szCs w:val="20"/>
          <w:color w:val="auto"/>
        </w:rPr>
      </w:pPr>
      <w:r>
        <w:rPr>
          <w:rFonts w:ascii="Arial" w:cs="Arial" w:eastAsia="Arial" w:hAnsi="Arial"/>
          <w:sz w:val="17"/>
          <w:szCs w:val="17"/>
          <w:b w:val="1"/>
          <w:bCs w:val="1"/>
          <w:color w:val="auto"/>
        </w:rPr>
        <w:t>12.14 Relationship</w:t>
      </w:r>
      <w:r>
        <w:rPr>
          <w:rFonts w:ascii="Arial" w:cs="Arial" w:eastAsia="Arial" w:hAnsi="Arial"/>
          <w:sz w:val="17"/>
          <w:szCs w:val="17"/>
          <w:color w:val="auto"/>
        </w:rPr>
        <w:t>. The relationship of the parties to this Agreement is determined solely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The parties do not intend to create any agency, partnership, joint venture, trust, fiduciary or other relationship with duties or incidents different from those of parties to an arm’s-length contract.</w:t>
      </w:r>
    </w:p>
    <w:p>
      <w:pPr>
        <w:spacing w:after="0" w:line="158" w:lineRule="exact"/>
        <w:rPr>
          <w:sz w:val="20"/>
          <w:szCs w:val="20"/>
          <w:color w:val="auto"/>
        </w:rPr>
      </w:pPr>
    </w:p>
    <w:p>
      <w:pPr>
        <w:ind w:left="160" w:right="179" w:firstLine="648"/>
        <w:spacing w:after="0" w:line="258"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 any</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4" w:lineRule="exact"/>
        <w:rPr>
          <w:sz w:val="20"/>
          <w:szCs w:val="20"/>
          <w:color w:val="auto"/>
        </w:rPr>
      </w:pPr>
    </w:p>
    <w:p>
      <w:pPr>
        <w:ind w:left="1680" w:hanging="881"/>
        <w:spacing w:after="0"/>
        <w:tabs>
          <w:tab w:leader="none" w:pos="16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160" w:right="319" w:firstLine="648"/>
        <w:spacing w:after="0" w:line="261" w:lineRule="auto"/>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the Loan Documents, the word “shall” is mandatory, the word “may” is</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80" w:lineRule="exact"/>
        <w:rPr>
          <w:sz w:val="20"/>
          <w:szCs w:val="20"/>
          <w:color w:val="auto"/>
        </w:rPr>
      </w:pPr>
    </w:p>
    <w:p>
      <w:pPr>
        <w:ind w:left="160" w:right="21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accounts receivable and other sums owing to Borrower.</w:t>
      </w:r>
    </w:p>
    <w:p>
      <w:pPr>
        <w:spacing w:after="0" w:line="138" w:lineRule="exact"/>
        <w:rPr>
          <w:sz w:val="20"/>
          <w:szCs w:val="20"/>
          <w:color w:val="auto"/>
        </w:rPr>
      </w:pPr>
    </w:p>
    <w:p>
      <w:pPr>
        <w:ind w:left="160" w:right="5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162" w:lineRule="exact"/>
        <w:rPr>
          <w:sz w:val="20"/>
          <w:szCs w:val="20"/>
          <w:color w:val="auto"/>
        </w:rPr>
      </w:pPr>
    </w:p>
    <w:p>
      <w:pPr>
        <w:ind w:left="160" w:right="55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160" w:right="1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any Credit Extension request, on behalf of Borrower.</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left="160" w:right="15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80" w:lineRule="exact"/>
        <w:rPr>
          <w:sz w:val="20"/>
          <w:szCs w:val="20"/>
          <w:color w:val="auto"/>
        </w:rPr>
      </w:pPr>
    </w:p>
    <w:p>
      <w:pPr>
        <w:ind w:left="160" w:right="23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w:t>
      </w:r>
      <w:r>
        <w:rPr>
          <w:rFonts w:ascii="Arial" w:cs="Arial" w:eastAsia="Arial" w:hAnsi="Arial"/>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Agreement</w:t>
      </w:r>
      <w:r>
        <w:rPr>
          <w:rFonts w:ascii="Arial" w:cs="Arial" w:eastAsia="Arial" w:hAnsi="Arial"/>
          <w:sz w:val="18"/>
          <w:szCs w:val="18"/>
          <w:color w:val="auto"/>
        </w:rPr>
        <w:t>”).</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left="160" w:right="5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160" w:right="219"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w:t>
      </w:r>
    </w:p>
    <w:p>
      <w:pPr>
        <w:spacing w:after="0" w:line="2" w:lineRule="exact"/>
        <w:rPr>
          <w:sz w:val="20"/>
          <w:szCs w:val="20"/>
          <w:color w:val="auto"/>
        </w:rPr>
      </w:pPr>
    </w:p>
    <w:p>
      <w:pPr>
        <w:ind w:left="160" w:right="299" w:hanging="9"/>
        <w:spacing w:after="0" w:line="270" w:lineRule="auto"/>
        <w:tabs>
          <w:tab w:leader="none" w:pos="41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5" w:lineRule="exact"/>
        <w:rPr>
          <w:sz w:val="20"/>
          <w:szCs w:val="20"/>
          <w:color w:val="auto"/>
        </w:rPr>
      </w:pPr>
    </w:p>
    <w:p>
      <w:pPr>
        <w:ind w:left="160" w:right="3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 and if any determination of a “Business Day” shall relate to an FX Contract, the term “Business Day” shall mean a day on which dealings are carried on in the country of settlement of the Foreign Currency.</w:t>
      </w:r>
    </w:p>
    <w:p>
      <w:pPr>
        <w:spacing w:after="0" w:line="176" w:lineRule="exact"/>
        <w:rPr>
          <w:sz w:val="20"/>
          <w:szCs w:val="20"/>
          <w:color w:val="auto"/>
        </w:rPr>
      </w:pPr>
    </w:p>
    <w:p>
      <w:pPr>
        <w:ind w:left="160" w:right="159"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 cent. (95%) of the assets of which constitute Cash Equivalents of the kinds described in clauses (a) through (c) of this definition.</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54" w:name="page155"/>
    <w:bookmarkEnd w:id="154"/>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left="160" w:right="159"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160" w:right="3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w:t>
      </w:r>
    </w:p>
    <w:p>
      <w:pPr>
        <w:spacing w:after="0" w:line="50" w:lineRule="exact"/>
        <w:rPr>
          <w:sz w:val="20"/>
          <w:szCs w:val="20"/>
          <w:color w:val="auto"/>
        </w:rPr>
      </w:pPr>
    </w:p>
    <w:p>
      <w:pPr>
        <w:ind w:left="160" w:right="199" w:hanging="9"/>
        <w:spacing w:after="0" w:line="281" w:lineRule="auto"/>
        <w:tabs>
          <w:tab w:leader="none" w:pos="40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w:t>
      </w:r>
    </w:p>
    <w:p>
      <w:pPr>
        <w:spacing w:after="0" w:line="2" w:lineRule="exact"/>
        <w:rPr>
          <w:rFonts w:ascii="Arial" w:cs="Arial" w:eastAsia="Arial" w:hAnsi="Arial"/>
          <w:sz w:val="16"/>
          <w:szCs w:val="16"/>
          <w:color w:val="auto"/>
        </w:rPr>
      </w:pPr>
    </w:p>
    <w:p>
      <w:pPr>
        <w:ind w:left="160" w:right="199" w:hanging="9"/>
        <w:spacing w:after="0" w:line="269" w:lineRule="auto"/>
        <w:tabs>
          <w:tab w:leader="none" w:pos="40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7" w:lineRule="exact"/>
        <w:rPr>
          <w:sz w:val="20"/>
          <w:szCs w:val="20"/>
          <w:color w:val="auto"/>
        </w:rPr>
      </w:pPr>
    </w:p>
    <w:p>
      <w:pPr>
        <w:ind w:left="160" w:right="319"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1" w:lineRule="exact"/>
        <w:rPr>
          <w:sz w:val="20"/>
          <w:szCs w:val="20"/>
          <w:color w:val="auto"/>
        </w:rPr>
      </w:pPr>
    </w:p>
    <w:p>
      <w:pPr>
        <w:ind w:left="160" w:right="39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Term Loan Advance or any other extension of credit by Bank for Borrower’s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benefit.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ind w:left="160" w:right="4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162" w:lineRule="exact"/>
        <w:rPr>
          <w:sz w:val="20"/>
          <w:szCs w:val="20"/>
          <w:color w:val="auto"/>
        </w:rPr>
      </w:pPr>
    </w:p>
    <w:p>
      <w:pPr>
        <w:ind w:left="160" w:right="8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multicurrency account denominated in Dollars, account number xxxxxx0777 maintained by Borrower with Bank.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both"/>
        <w:ind w:left="160" w:right="37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w:t>
      </w:r>
    </w:p>
    <w:p>
      <w:pPr>
        <w:spacing w:after="0" w:line="50" w:lineRule="exact"/>
        <w:rPr>
          <w:sz w:val="20"/>
          <w:szCs w:val="20"/>
          <w:color w:val="auto"/>
        </w:rPr>
      </w:pPr>
    </w:p>
    <w:p>
      <w:pPr>
        <w:ind w:left="160" w:right="399" w:hanging="9"/>
        <w:spacing w:after="0" w:line="277" w:lineRule="auto"/>
        <w:tabs>
          <w:tab w:leader="none" w:pos="4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69" w:lineRule="exact"/>
        <w:rPr>
          <w:sz w:val="20"/>
          <w:szCs w:val="20"/>
          <w:color w:val="auto"/>
        </w:rPr>
      </w:pPr>
    </w:p>
    <w:p>
      <w:pPr>
        <w:ind w:left="160" w:right="145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 A</w:t>
      </w:r>
      <w:r>
        <w:rPr>
          <w:rFonts w:ascii="Arial" w:cs="Arial" w:eastAsia="Arial" w:hAnsi="Arial"/>
          <w:sz w:val="18"/>
          <w:szCs w:val="18"/>
          <w:color w:val="auto"/>
        </w:rPr>
        <w:t>” is the period of time from the Effective Date through the earlier to occur of (a) September 30, 2013 or (b) an Event of Default.</w:t>
      </w:r>
    </w:p>
    <w:p>
      <w:pPr>
        <w:spacing w:after="0" w:line="162" w:lineRule="exact"/>
        <w:rPr>
          <w:sz w:val="20"/>
          <w:szCs w:val="20"/>
          <w:color w:val="auto"/>
        </w:rPr>
      </w:pPr>
    </w:p>
    <w:p>
      <w:pPr>
        <w:ind w:left="160" w:right="27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 B</w:t>
      </w:r>
      <w:r>
        <w:rPr>
          <w:rFonts w:ascii="Arial" w:cs="Arial" w:eastAsia="Arial" w:hAnsi="Arial"/>
          <w:sz w:val="18"/>
          <w:szCs w:val="18"/>
          <w:color w:val="auto"/>
        </w:rPr>
        <w:t>” is the period of time from the occurrence of the Equity Event through the earlier to occur of (a) December 31, 2013 or (b) an Event of Default.</w:t>
      </w:r>
    </w:p>
    <w:p>
      <w:pPr>
        <w:spacing w:after="0" w:line="162" w:lineRule="exact"/>
        <w:rPr>
          <w:sz w:val="20"/>
          <w:szCs w:val="20"/>
          <w:color w:val="auto"/>
        </w:rPr>
      </w:pPr>
    </w:p>
    <w:p>
      <w:pPr>
        <w:ind w:left="16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 C</w:t>
      </w:r>
      <w:r>
        <w:rPr>
          <w:rFonts w:ascii="Arial" w:cs="Arial" w:eastAsia="Arial" w:hAnsi="Arial"/>
          <w:sz w:val="18"/>
          <w:szCs w:val="18"/>
          <w:color w:val="auto"/>
        </w:rPr>
        <w:t>” is the period of time from the occurrence of the Milestone Event through the earlier to occur of (a) December 31, 2013 or (b) an Event of Default.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left="160" w:right="3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76" w:lineRule="exact"/>
        <w:rPr>
          <w:sz w:val="20"/>
          <w:szCs w:val="20"/>
          <w:color w:val="auto"/>
        </w:rPr>
      </w:pPr>
    </w:p>
    <w:p>
      <w:pPr>
        <w:ind w:left="160" w:right="35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Event</w:t>
      </w:r>
      <w:r>
        <w:rPr>
          <w:rFonts w:ascii="Arial" w:cs="Arial" w:eastAsia="Arial" w:hAnsi="Arial"/>
          <w:sz w:val="18"/>
          <w:szCs w:val="18"/>
          <w:color w:val="auto"/>
        </w:rPr>
        <w:t>” means confirmation by Bank that Borrower has received, after the Effective Date, but on or prior to December 31, 2013, unrestricted and unencumbered net cash proceeds in an amount of at least Five Million Dollars ($5,000,000.00) from the issuance and sale by Borrower of its equity securities in connection with Borrower’s Series A financing round, with investors acceptable to Bank.”</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160" w:right="27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for each Term Loan Advance, a payment (in addition to and not a substitution for the regular monthly payments of principal plus accrued interest) equal to the original principal amount of such Term Loan Advance extended by Bank multiplied by the Final Payment Percentage, due on the earliest to occur of (a) the Term Loan Maturity Date, (b) the acceleration of any Term Loan Advance by Bank in accordance with Section 9.1 following the occurrence and during the continuance of an Event of Default, or (c) the prepayment of a Term Loan Advance pursuant to Section 2.1.1(d) or 2.1.1(e).</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for each Term Loan Advance, four percent (4.0%).</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160" w:right="19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162" w:lineRule="exact"/>
        <w:rPr>
          <w:sz w:val="20"/>
          <w:szCs w:val="20"/>
          <w:color w:val="auto"/>
        </w:rPr>
      </w:pPr>
    </w:p>
    <w:p>
      <w:pPr>
        <w:ind w:left="160" w:right="37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Borrower and Bank under which Borrower commits to purchase from or sell to Bank a specific amount of Foreign Currency on a specified date.</w:t>
      </w:r>
    </w:p>
    <w:p>
      <w:pPr>
        <w:spacing w:after="0" w:line="138" w:lineRule="exact"/>
        <w:rPr>
          <w:sz w:val="20"/>
          <w:szCs w:val="20"/>
          <w:color w:val="auto"/>
        </w:rPr>
      </w:pPr>
    </w:p>
    <w:p>
      <w:pPr>
        <w:ind w:left="160" w:right="659"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6" w:name="page157"/>
    <w:bookmarkEnd w:id="156"/>
    <w:p>
      <w:pPr>
        <w:ind w:left="160" w:right="259"/>
        <w:spacing w:after="0" w:line="277" w:lineRule="auto"/>
        <w:rPr>
          <w:sz w:val="20"/>
          <w:szCs w:val="20"/>
          <w:color w:val="auto"/>
        </w:rPr>
      </w:pPr>
      <w:r>
        <w:rPr>
          <w:rFonts w:ascii="Arial" w:cs="Arial" w:eastAsia="Arial" w:hAnsi="Arial"/>
          <w:sz w:val="18"/>
          <w:szCs w:val="18"/>
          <w:color w:val="auto"/>
        </w:rPr>
        <w:t>may be approved by a significant segment of the accounting profession, which are applicable to the circumstances as of the date of determination.</w:t>
      </w:r>
    </w:p>
    <w:p>
      <w:pPr>
        <w:spacing w:after="0" w:line="166" w:lineRule="exact"/>
        <w:rPr>
          <w:sz w:val="20"/>
          <w:szCs w:val="20"/>
          <w:color w:val="auto"/>
        </w:rPr>
      </w:pPr>
    </w:p>
    <w:p>
      <w:pPr>
        <w:ind w:left="160" w:right="199"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4" w:lineRule="exact"/>
        <w:rPr>
          <w:sz w:val="20"/>
          <w:szCs w:val="20"/>
          <w:color w:val="auto"/>
        </w:rPr>
      </w:pPr>
    </w:p>
    <w:p>
      <w:pPr>
        <w:ind w:left="160" w:right="63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76" w:lineRule="exact"/>
        <w:rPr>
          <w:sz w:val="20"/>
          <w:szCs w:val="20"/>
          <w:color w:val="auto"/>
        </w:rPr>
      </w:pPr>
    </w:p>
    <w:p>
      <w:pPr>
        <w:jc w:val="both"/>
        <w:ind w:left="160" w:right="319" w:firstLine="648"/>
        <w:spacing w:after="0" w:line="261" w:lineRule="auto"/>
        <w:rPr>
          <w:sz w:val="20"/>
          <w:szCs w:val="20"/>
          <w:color w:val="auto"/>
        </w:rPr>
      </w:pP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w:t>
      </w:r>
      <w:r>
        <w:rPr>
          <w:rFonts w:ascii="Arial" w:cs="Arial" w:eastAsia="Arial" w:hAnsi="Arial"/>
          <w:sz w:val="18"/>
          <w:szCs w:val="18"/>
          <w:b w:val="1"/>
          <w:bCs w:val="1"/>
          <w:color w:val="auto"/>
        </w:rPr>
        <w:t xml:space="preserve"> </w:t>
      </w:r>
      <w:r>
        <w:rPr>
          <w:rFonts w:ascii="Arial" w:cs="Arial" w:eastAsia="Arial" w:hAnsi="Arial"/>
          <w:sz w:val="18"/>
          <w:szCs w:val="18"/>
          <w:color w:val="auto"/>
        </w:rPr>
        <w:t>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80" w:lineRule="exact"/>
        <w:rPr>
          <w:sz w:val="20"/>
          <w:szCs w:val="20"/>
          <w:color w:val="auto"/>
        </w:rPr>
      </w:pPr>
    </w:p>
    <w:p>
      <w:pPr>
        <w:jc w:val="both"/>
        <w:ind w:left="160" w:right="339"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left="160" w:right="599"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42" w:lineRule="exact"/>
        <w:rPr>
          <w:sz w:val="20"/>
          <w:szCs w:val="20"/>
          <w:color w:val="auto"/>
        </w:rPr>
      </w:pPr>
    </w:p>
    <w:p>
      <w:pPr>
        <w:ind w:left="160" w:right="29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66" w:lineRule="exact"/>
        <w:rPr>
          <w:sz w:val="20"/>
          <w:szCs w:val="20"/>
          <w:color w:val="auto"/>
        </w:rPr>
      </w:pPr>
    </w:p>
    <w:p>
      <w:pPr>
        <w:ind w:left="2100" w:hanging="653"/>
        <w:spacing w:after="0"/>
        <w:tabs>
          <w:tab w:leader="none" w:pos="2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60" w:right="399" w:firstLine="1287"/>
        <w:spacing w:after="0" w:line="277" w:lineRule="auto"/>
        <w:tabs>
          <w:tab w:leader="none" w:pos="21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operating manuals;</w:t>
      </w:r>
    </w:p>
    <w:p>
      <w:pPr>
        <w:spacing w:after="0" w:line="170" w:lineRule="exact"/>
        <w:rPr>
          <w:rFonts w:ascii="Arial" w:cs="Arial" w:eastAsia="Arial" w:hAnsi="Arial"/>
          <w:sz w:val="18"/>
          <w:szCs w:val="18"/>
          <w:color w:val="auto"/>
        </w:rPr>
      </w:pPr>
    </w:p>
    <w:p>
      <w:pPr>
        <w:ind w:left="2120" w:hanging="673"/>
        <w:spacing w:after="0"/>
        <w:tabs>
          <w:tab w:leader="none" w:pos="2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100" w:hanging="653"/>
        <w:spacing w:after="0"/>
        <w:tabs>
          <w:tab w:leader="none" w:pos="2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jc w:val="both"/>
        <w:ind w:left="160" w:right="259" w:firstLine="1287"/>
        <w:spacing w:after="0" w:line="264" w:lineRule="auto"/>
        <w:tabs>
          <w:tab w:leader="none" w:pos="21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81" w:lineRule="exact"/>
        <w:rPr>
          <w:rFonts w:ascii="Arial" w:cs="Arial" w:eastAsia="Arial" w:hAnsi="Arial"/>
          <w:sz w:val="18"/>
          <w:szCs w:val="18"/>
          <w:color w:val="auto"/>
        </w:rPr>
      </w:pPr>
    </w:p>
    <w:p>
      <w:pPr>
        <w:ind w:left="2140" w:hanging="693"/>
        <w:spacing w:after="0"/>
        <w:tabs>
          <w:tab w:leader="none" w:pos="2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amendments, renewals and extensions of any of the Copyrights, Trademarks or Patents.</w:t>
      </w:r>
    </w:p>
    <w:p>
      <w:pPr>
        <w:spacing w:after="0" w:line="244" w:lineRule="exact"/>
        <w:rPr>
          <w:sz w:val="20"/>
          <w:szCs w:val="20"/>
          <w:color w:val="auto"/>
        </w:rPr>
      </w:pPr>
    </w:p>
    <w:p>
      <w:pPr>
        <w:ind w:left="160" w:right="29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4" w:lineRule="exact"/>
        <w:rPr>
          <w:sz w:val="20"/>
          <w:szCs w:val="20"/>
          <w:color w:val="auto"/>
        </w:rPr>
      </w:pPr>
    </w:p>
    <w:p>
      <w:pPr>
        <w:ind w:left="160" w:right="27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7" w:name="page158"/>
    <w:bookmarkEnd w:id="157"/>
    <w:p>
      <w:pPr>
        <w:ind w:left="160" w:right="17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Alexis Borisy as of the Effective Date, and (b) Chief Scientific Officer, who is Christoph Lengauer as of the Effective Date.</w:t>
      </w:r>
    </w:p>
    <w:p>
      <w:pPr>
        <w:spacing w:after="0" w:line="162" w:lineRule="exact"/>
        <w:rPr>
          <w:sz w:val="20"/>
          <w:szCs w:val="20"/>
          <w:color w:val="auto"/>
        </w:rPr>
      </w:pPr>
    </w:p>
    <w:p>
      <w:pPr>
        <w:ind w:left="160" w:right="29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left="160" w:right="339"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138" w:lineRule="exact"/>
        <w:rPr>
          <w:sz w:val="20"/>
          <w:szCs w:val="20"/>
          <w:color w:val="auto"/>
        </w:rPr>
      </w:pPr>
    </w:p>
    <w:p>
      <w:pPr>
        <w:ind w:left="160" w:right="239"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Warrant, the Perfection Certificate,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84" w:lineRule="exact"/>
        <w:rPr>
          <w:sz w:val="20"/>
          <w:szCs w:val="20"/>
          <w:color w:val="auto"/>
        </w:rPr>
      </w:pPr>
    </w:p>
    <w:p>
      <w:pPr>
        <w:ind w:left="160" w:right="45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80" w:lineRule="exact"/>
        <w:rPr>
          <w:sz w:val="20"/>
          <w:szCs w:val="20"/>
          <w:color w:val="auto"/>
        </w:rPr>
      </w:pPr>
    </w:p>
    <w:p>
      <w:pPr>
        <w:jc w:val="both"/>
        <w:ind w:left="160" w:right="7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means the delivery by Borrower to Bank, after the Effective Date, but on or prior to December 31, 2013, of evidence acceptable to Bank in Bank’s sole discretion that Borrower has achieved in vivo efficacy on one of its two current lead programs.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left="160" w:right="219"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the Prepayment Premium, the Final Payment, and other amounts Borrower owes Bank now or later, whether under this Agreement, the other Loan Documents (other than the Warrant), or otherwise, including, without limitation, any interest accruing after Insolvency Proceedings begin and debts, liabilities, or obligations of Borrower assigned to Bank, and to perform Borrower’s duties under the Loan Documents (other than the Warrant).</w:t>
      </w:r>
    </w:p>
    <w:p>
      <w:pPr>
        <w:spacing w:after="0" w:line="168" w:lineRule="exact"/>
        <w:rPr>
          <w:sz w:val="20"/>
          <w:szCs w:val="20"/>
          <w:color w:val="auto"/>
        </w:rPr>
      </w:pPr>
    </w:p>
    <w:p>
      <w:pPr>
        <w:ind w:left="160" w:right="19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8" w:lineRule="exact"/>
        <w:rPr>
          <w:sz w:val="20"/>
          <w:szCs w:val="20"/>
          <w:color w:val="auto"/>
        </w:rPr>
      </w:pPr>
    </w:p>
    <w:p>
      <w:pPr>
        <w:ind w:left="160" w:right="1019"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all patents, patent applications and like protections including without limitation improvements, divisions, continuations, renewals, reissues, extensions and continuations-in-part of the same.</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Business Day of each month.</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100" w:hanging="653"/>
        <w:spacing w:after="0"/>
        <w:tabs>
          <w:tab w:leader="none" w:pos="21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236" w:lineRule="exact"/>
        <w:rPr>
          <w:rFonts w:ascii="Arial" w:cs="Arial" w:eastAsia="Arial" w:hAnsi="Arial"/>
          <w:sz w:val="17"/>
          <w:szCs w:val="17"/>
          <w:color w:val="auto"/>
        </w:rPr>
      </w:pPr>
    </w:p>
    <w:p>
      <w:pPr>
        <w:ind w:left="2100" w:hanging="653"/>
        <w:spacing w:after="0"/>
        <w:tabs>
          <w:tab w:leader="none" w:pos="2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225" w:lineRule="exact"/>
        <w:rPr>
          <w:rFonts w:ascii="Arial" w:cs="Arial" w:eastAsia="Arial" w:hAnsi="Arial"/>
          <w:sz w:val="18"/>
          <w:szCs w:val="18"/>
          <w:color w:val="auto"/>
        </w:rPr>
      </w:pPr>
    </w:p>
    <w:p>
      <w:pPr>
        <w:ind w:left="2120" w:hanging="673"/>
        <w:spacing w:after="0"/>
        <w:tabs>
          <w:tab w:leader="none" w:pos="2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ind w:left="2100" w:hanging="653"/>
        <w:spacing w:after="0"/>
        <w:tabs>
          <w:tab w:leader="none" w:pos="21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36" w:lineRule="exact"/>
        <w:rPr>
          <w:rFonts w:ascii="Arial" w:cs="Arial" w:eastAsia="Arial" w:hAnsi="Arial"/>
          <w:sz w:val="17"/>
          <w:szCs w:val="17"/>
          <w:color w:val="auto"/>
        </w:rPr>
      </w:pPr>
    </w:p>
    <w:p>
      <w:pPr>
        <w:ind w:left="2100" w:hanging="653"/>
        <w:spacing w:after="0"/>
        <w:tabs>
          <w:tab w:leader="none" w:pos="21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left="160" w:right="739" w:firstLine="1287"/>
        <w:spacing w:after="0" w:line="277" w:lineRule="auto"/>
        <w:tabs>
          <w:tab w:leader="none" w:pos="2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170" w:lineRule="exact"/>
        <w:rPr>
          <w:rFonts w:ascii="Arial" w:cs="Arial" w:eastAsia="Arial" w:hAnsi="Arial"/>
          <w:sz w:val="18"/>
          <w:szCs w:val="18"/>
          <w:color w:val="auto"/>
        </w:rPr>
      </w:pPr>
    </w:p>
    <w:p>
      <w:pPr>
        <w:ind w:left="160" w:right="439" w:firstLine="1287"/>
        <w:spacing w:after="0" w:line="312" w:lineRule="auto"/>
        <w:tabs>
          <w:tab w:leader="none" w:pos="211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60" w:right="359" w:firstLine="1287"/>
        <w:spacing w:after="0" w:line="277" w:lineRule="auto"/>
        <w:tabs>
          <w:tab w:leader="none" w:pos="210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w:t>
      </w:r>
    </w:p>
    <w:p>
      <w:pPr>
        <w:spacing w:after="0" w:line="170" w:lineRule="exact"/>
        <w:rPr>
          <w:rFonts w:ascii="Arial" w:cs="Arial" w:eastAsia="Arial" w:hAnsi="Arial"/>
          <w:sz w:val="18"/>
          <w:szCs w:val="18"/>
          <w:color w:val="auto"/>
        </w:rPr>
      </w:pPr>
    </w:p>
    <w:p>
      <w:pPr>
        <w:ind w:left="2100" w:hanging="653"/>
        <w:spacing w:after="0"/>
        <w:tabs>
          <w:tab w:leader="none" w:pos="21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left="160" w:right="179" w:firstLine="1287"/>
        <w:spacing w:after="0" w:line="277" w:lineRule="auto"/>
        <w:tabs>
          <w:tab w:leader="none" w:pos="213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2100" w:hanging="653"/>
        <w:spacing w:after="0"/>
        <w:tabs>
          <w:tab w:leader="none" w:pos="21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Bank has a first priority perfected</w:t>
      </w:r>
    </w:p>
    <w:p>
      <w:pPr>
        <w:spacing w:after="0" w:line="34"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security interest;</w:t>
      </w:r>
    </w:p>
    <w:p>
      <w:pPr>
        <w:spacing w:after="0" w:line="210" w:lineRule="exact"/>
        <w:rPr>
          <w:rFonts w:ascii="Arial" w:cs="Arial" w:eastAsia="Arial" w:hAnsi="Arial"/>
          <w:sz w:val="17"/>
          <w:szCs w:val="17"/>
          <w:color w:val="auto"/>
        </w:rPr>
      </w:pPr>
    </w:p>
    <w:p>
      <w:pPr>
        <w:ind w:left="2100" w:hanging="653"/>
        <w:spacing w:after="0"/>
        <w:tabs>
          <w:tab w:leader="none" w:pos="21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jc w:val="both"/>
        <w:ind w:left="160" w:right="179" w:firstLine="1287"/>
        <w:spacing w:after="0" w:line="259" w:lineRule="auto"/>
        <w:tabs>
          <w:tab w:leader="none" w:pos="21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186" w:lineRule="exact"/>
        <w:rPr>
          <w:rFonts w:ascii="Arial" w:cs="Arial" w:eastAsia="Arial" w:hAnsi="Arial"/>
          <w:sz w:val="18"/>
          <w:szCs w:val="18"/>
          <w:color w:val="auto"/>
        </w:rPr>
      </w:pPr>
    </w:p>
    <w:p>
      <w:pPr>
        <w:ind w:left="160" w:right="639" w:firstLine="1287"/>
        <w:spacing w:after="0" w:line="264" w:lineRule="auto"/>
        <w:tabs>
          <w:tab w:leader="none" w:pos="211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181" w:lineRule="exact"/>
        <w:rPr>
          <w:rFonts w:ascii="Arial" w:cs="Arial" w:eastAsia="Arial" w:hAnsi="Arial"/>
          <w:sz w:val="18"/>
          <w:szCs w:val="18"/>
          <w:color w:val="auto"/>
        </w:rPr>
      </w:pPr>
    </w:p>
    <w:p>
      <w:pPr>
        <w:ind w:left="160" w:right="159" w:firstLine="1287"/>
        <w:spacing w:after="0" w:line="291" w:lineRule="auto"/>
        <w:tabs>
          <w:tab w:leader="none" w:pos="211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w:t>
      </w:r>
    </w:p>
    <w:p>
      <w:pPr>
        <w:ind w:left="400" w:hanging="249"/>
        <w:spacing w:after="0"/>
        <w:tabs>
          <w:tab w:leader="none" w:pos="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shall not apply to Investments of Borrower in any Subsidiary.</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60" w:right="239" w:firstLine="1287"/>
        <w:spacing w:after="0" w:line="277" w:lineRule="auto"/>
        <w:tabs>
          <w:tab w:leader="none" w:pos="210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Liens existing on the Effective Date and shown on the Perfection Certificate or arising under this Agreement and the other Loan Documents;</w:t>
      </w:r>
    </w:p>
    <w:p>
      <w:pPr>
        <w:spacing w:after="0" w:line="170" w:lineRule="exact"/>
        <w:rPr>
          <w:rFonts w:ascii="Arial" w:cs="Arial" w:eastAsia="Arial" w:hAnsi="Arial"/>
          <w:sz w:val="18"/>
          <w:szCs w:val="18"/>
          <w:color w:val="auto"/>
        </w:rPr>
      </w:pPr>
    </w:p>
    <w:p>
      <w:pPr>
        <w:ind w:left="160" w:right="439" w:firstLine="1287"/>
        <w:spacing w:after="0" w:line="259" w:lineRule="auto"/>
        <w:tabs>
          <w:tab w:leader="none" w:pos="211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6" w:lineRule="exact"/>
        <w:rPr>
          <w:rFonts w:ascii="Arial" w:cs="Arial" w:eastAsia="Arial" w:hAnsi="Arial"/>
          <w:sz w:val="18"/>
          <w:szCs w:val="18"/>
          <w:color w:val="auto"/>
        </w:rPr>
      </w:pPr>
    </w:p>
    <w:p>
      <w:pPr>
        <w:ind w:left="160" w:right="219" w:firstLine="1287"/>
        <w:spacing w:after="0" w:line="259" w:lineRule="auto"/>
        <w:tabs>
          <w:tab w:leader="none" w:pos="213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purchase money Liens or capital leases (i) on Equipment acquired or held by Borrower incurred for financing the acquisition of the Equipment securing no more than One Hundred Thousand Dollars ($100,000.00)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59" w:name="page160"/>
    <w:bookmarkEnd w:id="159"/>
    <w:p>
      <w:pPr>
        <w:ind w:left="160" w:right="199" w:firstLine="1287"/>
        <w:spacing w:after="0" w:line="264" w:lineRule="auto"/>
        <w:tabs>
          <w:tab w:leader="none" w:pos="21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ind w:left="160" w:right="299" w:firstLine="1287"/>
        <w:spacing w:after="0" w:line="276" w:lineRule="auto"/>
        <w:tabs>
          <w:tab w:leader="none" w:pos="210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Fifty Thousand Dollars ($50,000.00)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2" w:lineRule="exact"/>
        <w:rPr>
          <w:rFonts w:ascii="Arial" w:cs="Arial" w:eastAsia="Arial" w:hAnsi="Arial"/>
          <w:sz w:val="17"/>
          <w:szCs w:val="17"/>
          <w:color w:val="auto"/>
        </w:rPr>
      </w:pPr>
    </w:p>
    <w:p>
      <w:pPr>
        <w:ind w:left="160" w:right="199" w:firstLine="1287"/>
        <w:spacing w:after="0" w:line="264" w:lineRule="auto"/>
        <w:tabs>
          <w:tab w:leader="none" w:pos="2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81" w:lineRule="exact"/>
        <w:rPr>
          <w:rFonts w:ascii="Arial" w:cs="Arial" w:eastAsia="Arial" w:hAnsi="Arial"/>
          <w:sz w:val="18"/>
          <w:szCs w:val="18"/>
          <w:color w:val="auto"/>
        </w:rPr>
      </w:pPr>
    </w:p>
    <w:p>
      <w:pPr>
        <w:ind w:left="2100" w:hanging="653"/>
        <w:spacing w:after="0"/>
        <w:tabs>
          <w:tab w:leader="none" w:pos="21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non-exclusive license of Intellectual Property granted to third parties in the ordinary course</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of business; and</w:t>
      </w:r>
    </w:p>
    <w:p>
      <w:pPr>
        <w:spacing w:after="0" w:line="210" w:lineRule="exact"/>
        <w:rPr>
          <w:rFonts w:ascii="Arial" w:cs="Arial" w:eastAsia="Arial" w:hAnsi="Arial"/>
          <w:sz w:val="16"/>
          <w:szCs w:val="16"/>
          <w:color w:val="auto"/>
        </w:rPr>
      </w:pPr>
    </w:p>
    <w:p>
      <w:pPr>
        <w:ind w:left="160" w:right="799" w:firstLine="1287"/>
        <w:spacing w:after="0" w:line="277" w:lineRule="auto"/>
        <w:tabs>
          <w:tab w:leader="none" w:pos="21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arising from attachments or judgments, orders, or decrees in circumstances not constituting an Event of Default under Sections 8.4 and 8.7.</w:t>
      </w:r>
    </w:p>
    <w:p>
      <w:pPr>
        <w:spacing w:after="0" w:line="166" w:lineRule="exact"/>
        <w:rPr>
          <w:sz w:val="20"/>
          <w:szCs w:val="20"/>
          <w:color w:val="auto"/>
        </w:rPr>
      </w:pPr>
    </w:p>
    <w:p>
      <w:pPr>
        <w:ind w:left="160" w:right="25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in amount equal to:</w:t>
      </w:r>
    </w:p>
    <w:p>
      <w:pPr>
        <w:spacing w:after="0" w:line="229" w:lineRule="exact"/>
        <w:rPr>
          <w:sz w:val="20"/>
          <w:szCs w:val="20"/>
          <w:color w:val="auto"/>
        </w:rPr>
      </w:pPr>
    </w:p>
    <w:p>
      <w:pPr>
        <w:ind w:left="160" w:right="199" w:firstLine="1287"/>
        <w:spacing w:after="0" w:line="264" w:lineRule="auto"/>
        <w:tabs>
          <w:tab w:leader="none" w:pos="210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 prepayment made on or prior to the first (1st) anniversary of the Funding Date for such Term Loan Advance, two percent (2.0%) of the then outstanding principal amount of such Term Loan Advance as of the date immediately and prior to such prepayment;</w:t>
      </w:r>
    </w:p>
    <w:p>
      <w:pPr>
        <w:spacing w:after="0" w:line="181" w:lineRule="exact"/>
        <w:rPr>
          <w:rFonts w:ascii="Arial" w:cs="Arial" w:eastAsia="Arial" w:hAnsi="Arial"/>
          <w:sz w:val="18"/>
          <w:szCs w:val="18"/>
          <w:color w:val="auto"/>
        </w:rPr>
      </w:pPr>
    </w:p>
    <w:p>
      <w:pPr>
        <w:ind w:left="160" w:right="379" w:firstLine="1287"/>
        <w:spacing w:after="0" w:line="259" w:lineRule="auto"/>
        <w:tabs>
          <w:tab w:leader="none" w:pos="211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 prepayment made after the first (1st) anniversary of the Funding Date for such Term Loan Advance, but on or prior to the second (2nd) anniversary of the Funding Date for such Term Loan Advance, one percent (1.0%) of the then outstanding principal amount of such Term Loan Advance as of the date immediately and prior to such prepayment; and</w:t>
      </w:r>
    </w:p>
    <w:p>
      <w:pPr>
        <w:spacing w:after="0" w:line="186" w:lineRule="exact"/>
        <w:rPr>
          <w:rFonts w:ascii="Arial" w:cs="Arial" w:eastAsia="Arial" w:hAnsi="Arial"/>
          <w:sz w:val="18"/>
          <w:szCs w:val="18"/>
          <w:color w:val="auto"/>
        </w:rPr>
      </w:pPr>
    </w:p>
    <w:p>
      <w:pPr>
        <w:jc w:val="both"/>
        <w:ind w:left="160" w:right="179" w:firstLine="1287"/>
        <w:spacing w:after="0" w:line="264" w:lineRule="auto"/>
        <w:tabs>
          <w:tab w:leader="none" w:pos="213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 prepayment made after the second (2nd) anniversary of the Funding Date for such Term Loan Advance, zero percent (0.0%) of the then outstanding principal amount of such Term Loan Advance as of the date immediately and prior to such prepayment.</w:t>
      </w:r>
    </w:p>
    <w:p>
      <w:pPr>
        <w:spacing w:after="0" w:line="177" w:lineRule="exact"/>
        <w:rPr>
          <w:sz w:val="20"/>
          <w:szCs w:val="20"/>
          <w:color w:val="auto"/>
        </w:rPr>
      </w:pPr>
    </w:p>
    <w:p>
      <w:pPr>
        <w:ind w:left="160" w:right="199"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greater of (a) three and one quarter of one percent (3.25%), or (b) the rate of interest per annum from time to time published in the money rates section of The Wall Street Journal or any successor publication thereto as the “prime rate” then in effect; provided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w:t>
      </w:r>
    </w:p>
    <w:p>
      <w:pPr>
        <w:spacing w:after="0" w:line="172" w:lineRule="exact"/>
        <w:rPr>
          <w:sz w:val="20"/>
          <w:szCs w:val="20"/>
          <w:color w:val="auto"/>
        </w:rPr>
      </w:pPr>
    </w:p>
    <w:p>
      <w:pPr>
        <w:ind w:left="160" w:right="19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w:t>
      </w:r>
    </w:p>
    <w:p>
      <w:pPr>
        <w:spacing w:after="0" w:line="162" w:lineRule="exact"/>
        <w:rPr>
          <w:sz w:val="20"/>
          <w:szCs w:val="20"/>
          <w:color w:val="auto"/>
        </w:rPr>
      </w:pPr>
    </w:p>
    <w:p>
      <w:pPr>
        <w:ind w:left="160" w:right="15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0" w:name="page161"/>
    <w:bookmarkEnd w:id="160"/>
    <w:p>
      <w:pPr>
        <w:ind w:left="16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License</w:t>
      </w:r>
      <w:r>
        <w:rPr>
          <w:rFonts w:ascii="Arial" w:cs="Arial" w:eastAsia="Arial" w:hAnsi="Arial"/>
          <w:sz w:val="16"/>
          <w:szCs w:val="16"/>
          <w:color w:val="auto"/>
        </w:rPr>
        <w:t>” is any material license or other agreement with respect to which Borrower is the licensee</w:t>
      </w:r>
    </w:p>
    <w:p>
      <w:pPr>
        <w:spacing w:after="0" w:line="50" w:lineRule="exact"/>
        <w:rPr>
          <w:sz w:val="20"/>
          <w:szCs w:val="20"/>
          <w:color w:val="auto"/>
        </w:rPr>
      </w:pPr>
    </w:p>
    <w:p>
      <w:pPr>
        <w:ind w:left="160" w:right="299" w:hanging="9"/>
        <w:spacing w:after="0" w:line="255" w:lineRule="auto"/>
        <w:tabs>
          <w:tab w:leader="none" w:pos="4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86" w:lineRule="exact"/>
        <w:rPr>
          <w:sz w:val="20"/>
          <w:szCs w:val="20"/>
          <w:color w:val="auto"/>
        </w:rPr>
      </w:pPr>
    </w:p>
    <w:p>
      <w:pPr>
        <w:ind w:left="160" w:right="79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162" w:lineRule="exact"/>
        <w:rPr>
          <w:sz w:val="20"/>
          <w:szCs w:val="20"/>
          <w:color w:val="auto"/>
        </w:rPr>
      </w:pPr>
    </w:p>
    <w:p>
      <w:pPr>
        <w:ind w:left="160" w:right="4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62" w:lineRule="exact"/>
        <w:rPr>
          <w:sz w:val="20"/>
          <w:szCs w:val="20"/>
          <w:color w:val="auto"/>
        </w:rPr>
      </w:pPr>
    </w:p>
    <w:p>
      <w:pPr>
        <w:ind w:left="160" w:right="179"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58" w:lineRule="exact"/>
        <w:rPr>
          <w:sz w:val="20"/>
          <w:szCs w:val="20"/>
          <w:color w:val="auto"/>
        </w:rPr>
      </w:pPr>
    </w:p>
    <w:p>
      <w:pPr>
        <w:ind w:left="160" w:right="199"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 Advance</w:t>
      </w:r>
      <w:r>
        <w:rPr>
          <w:rFonts w:ascii="Arial" w:cs="Arial" w:eastAsia="Arial" w:hAnsi="Arial"/>
          <w:sz w:val="18"/>
          <w:szCs w:val="18"/>
          <w:color w:val="auto"/>
        </w:rPr>
        <w:t>” and “</w:t>
      </w:r>
      <w:r>
        <w:rPr>
          <w:rFonts w:ascii="Arial" w:cs="Arial" w:eastAsia="Arial" w:hAnsi="Arial"/>
          <w:sz w:val="18"/>
          <w:szCs w:val="18"/>
          <w:b w:val="1"/>
          <w:bCs w:val="1"/>
          <w:color w:val="auto"/>
        </w:rPr>
        <w:t>Term Loan A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B Advance</w:t>
      </w:r>
      <w:r>
        <w:rPr>
          <w:rFonts w:ascii="Arial" w:cs="Arial" w:eastAsia="Arial" w:hAnsi="Arial"/>
          <w:sz w:val="18"/>
          <w:szCs w:val="18"/>
          <w:color w:val="auto"/>
        </w:rPr>
        <w:t>” and “</w:t>
      </w:r>
      <w:r>
        <w:rPr>
          <w:rFonts w:ascii="Arial" w:cs="Arial" w:eastAsia="Arial" w:hAnsi="Arial"/>
          <w:sz w:val="18"/>
          <w:szCs w:val="18"/>
          <w:b w:val="1"/>
          <w:bCs w:val="1"/>
          <w:color w:val="auto"/>
        </w:rPr>
        <w:t>Term Loan B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 Advance</w:t>
      </w:r>
      <w:r>
        <w:rPr>
          <w:rFonts w:ascii="Arial" w:cs="Arial" w:eastAsia="Arial" w:hAnsi="Arial"/>
          <w:sz w:val="18"/>
          <w:szCs w:val="18"/>
          <w:color w:val="auto"/>
        </w:rPr>
        <w:t>” and “</w:t>
      </w:r>
      <w:r>
        <w:rPr>
          <w:rFonts w:ascii="Arial" w:cs="Arial" w:eastAsia="Arial" w:hAnsi="Arial"/>
          <w:sz w:val="18"/>
          <w:szCs w:val="18"/>
          <w:b w:val="1"/>
          <w:bCs w:val="1"/>
          <w:color w:val="auto"/>
        </w:rPr>
        <w:t>Term Loan C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March 1, 2017.</w:t>
      </w:r>
    </w:p>
    <w:p>
      <w:pPr>
        <w:spacing w:after="0" w:line="225" w:lineRule="exact"/>
        <w:rPr>
          <w:sz w:val="20"/>
          <w:szCs w:val="20"/>
          <w:color w:val="auto"/>
        </w:rPr>
      </w:pPr>
    </w:p>
    <w:p>
      <w:pPr>
        <w:ind w:left="16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160" w:right="4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that certain Warrant to Purchase Stock dated as of the Effective Date executed by Borrower in favor of Bank.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1" w:name="page162"/>
    <w:bookmarkEnd w:id="161"/>
    <w:p>
      <w:pPr>
        <w:ind w:left="160" w:right="879" w:firstLine="648"/>
        <w:spacing w:after="0" w:line="313"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a sealed</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under the laws of the Commonwealth of Massachusetts as of the Effective Date.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BLUEPRINT MEDICINES CORPORATION</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Alexis Borisy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President and Interim Chief Executive Officer</w:t>
            </w: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Zorzi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Christine M. Zorzi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left="160" w:right="259" w:firstLine="648"/>
        <w:spacing w:after="0" w:line="270"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2" w:lineRule="exact"/>
        <w:rPr>
          <w:sz w:val="20"/>
          <w:szCs w:val="20"/>
          <w:color w:val="auto"/>
        </w:rPr>
      </w:pPr>
    </w:p>
    <w:p>
      <w:pPr>
        <w:ind w:left="160" w:right="159" w:firstLine="648"/>
        <w:spacing w:after="0" w:line="255" w:lineRule="auto"/>
        <w:rPr>
          <w:sz w:val="20"/>
          <w:szCs w:val="20"/>
          <w:color w:val="auto"/>
        </w:rPr>
      </w:pPr>
      <w:r>
        <w:rPr>
          <w:rFonts w:ascii="Arial" w:cs="Arial" w:eastAsia="Arial" w:hAnsi="Arial"/>
          <w:sz w:val="18"/>
          <w:szCs w:val="18"/>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89" w:lineRule="exact"/>
        <w:rPr>
          <w:sz w:val="20"/>
          <w:szCs w:val="20"/>
          <w:color w:val="auto"/>
        </w:rPr>
      </w:pPr>
    </w:p>
    <w:p>
      <w:pPr>
        <w:ind w:left="160" w:right="879"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477520</wp:posOffset>
            </wp:positionV>
            <wp:extent cx="554863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3" w:name="page164"/>
    <w:bookmarkEnd w:id="163"/>
    <w:tbl>
      <w:tblPr>
        <w:tblLayout w:type="fixed"/>
        <w:tblInd w:w="16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6120" w:type="dxa"/>
            <w:vAlign w:val="bottom"/>
            <w:gridSpan w:val="5"/>
          </w:tcPr>
          <w:p>
            <w:pPr>
              <w:jc w:val="center"/>
              <w:ind w:left="2528"/>
              <w:spacing w:after="0"/>
              <w:rPr>
                <w:sz w:val="20"/>
                <w:szCs w:val="20"/>
                <w:color w:val="auto"/>
              </w:rPr>
            </w:pPr>
            <w:r>
              <w:rPr>
                <w:rFonts w:ascii="Arial" w:cs="Arial" w:eastAsia="Arial" w:hAnsi="Arial"/>
                <w:sz w:val="18"/>
                <w:szCs w:val="18"/>
                <w:b w:val="1"/>
                <w:bCs w:val="1"/>
                <w:color w:val="auto"/>
              </w:rPr>
              <w:t>COMPLIANCE CERTIFICATE</w:t>
            </w:r>
          </w:p>
        </w:tc>
        <w:tc>
          <w:tcPr>
            <w:tcW w:w="900" w:type="dxa"/>
            <w:vAlign w:val="bottom"/>
          </w:tcPr>
          <w:p>
            <w:pPr>
              <w:spacing w:after="0"/>
              <w:rPr>
                <w:sz w:val="24"/>
                <w:szCs w:val="24"/>
                <w:color w:val="auto"/>
              </w:rPr>
            </w:pPr>
          </w:p>
        </w:tc>
      </w:tr>
      <w:tr>
        <w:trPr>
          <w:trHeight w:val="452"/>
        </w:trPr>
        <w:tc>
          <w:tcPr>
            <w:tcW w:w="3100" w:type="dxa"/>
            <w:vAlign w:val="bottom"/>
          </w:tcPr>
          <w:p>
            <w:pPr>
              <w:spacing w:after="0"/>
              <w:rPr>
                <w:sz w:val="20"/>
                <w:szCs w:val="20"/>
                <w:color w:val="auto"/>
              </w:rPr>
            </w:pPr>
            <w:r>
              <w:rPr>
                <w:rFonts w:ascii="Arial" w:cs="Arial" w:eastAsia="Arial" w:hAnsi="Arial"/>
                <w:sz w:val="18"/>
                <w:szCs w:val="18"/>
                <w:color w:val="auto"/>
              </w:rPr>
              <w:t>TO:SILICON VALLEY BANK</w:t>
            </w:r>
          </w:p>
        </w:tc>
        <w:tc>
          <w:tcPr>
            <w:tcW w:w="2520" w:type="dxa"/>
            <w:vAlign w:val="bottom"/>
            <w:tcBorders>
              <w:top w:val="single" w:sz="8" w:color="auto"/>
            </w:tcBorders>
            <w:gridSpan w:val="3"/>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w w:val="88"/>
              </w:rPr>
              <w:t>Date:</w:t>
            </w:r>
          </w:p>
        </w:tc>
      </w:tr>
      <w:tr>
        <w:trPr>
          <w:trHeight w:val="230"/>
        </w:trPr>
        <w:tc>
          <w:tcPr>
            <w:tcW w:w="6120" w:type="dxa"/>
            <w:vAlign w:val="bottom"/>
            <w:gridSpan w:val="5"/>
          </w:tcPr>
          <w:p>
            <w:pPr>
              <w:spacing w:after="0"/>
              <w:rPr>
                <w:sz w:val="20"/>
                <w:szCs w:val="20"/>
                <w:color w:val="auto"/>
              </w:rPr>
            </w:pPr>
            <w:r>
              <w:rPr>
                <w:rFonts w:ascii="Arial" w:cs="Arial" w:eastAsia="Arial" w:hAnsi="Arial"/>
                <w:sz w:val="18"/>
                <w:szCs w:val="18"/>
                <w:color w:val="auto"/>
              </w:rPr>
              <w:t>FROM: BLUEPRINT MEDICINES CORPORATION</w:t>
            </w: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-136525</wp:posOffset>
            </wp:positionV>
            <wp:extent cx="9779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60" w:right="379" w:firstLine="648"/>
        <w:spacing w:after="0" w:line="308" w:lineRule="auto"/>
        <w:rPr>
          <w:sz w:val="20"/>
          <w:szCs w:val="20"/>
          <w:color w:val="auto"/>
        </w:rPr>
      </w:pPr>
      <w:r>
        <w:rPr>
          <w:rFonts w:ascii="Arial" w:cs="Arial" w:eastAsia="Arial" w:hAnsi="Arial"/>
          <w:sz w:val="17"/>
          <w:szCs w:val="17"/>
          <w:color w:val="auto"/>
        </w:rPr>
        <w:t>The undersigned authorized officer of Blueprint Medicines Corporation (“Borrower”) certifies that under the terms and conditions of the Loan and Security Agreement between Borrower and Bank (the “Agreement”):</w:t>
      </w:r>
    </w:p>
    <w:p>
      <w:pPr>
        <w:spacing w:after="0" w:line="147" w:lineRule="exact"/>
        <w:rPr>
          <w:sz w:val="20"/>
          <w:szCs w:val="20"/>
          <w:color w:val="auto"/>
        </w:rPr>
      </w:pPr>
    </w:p>
    <w:p>
      <w:pPr>
        <w:ind w:left="160" w:right="179" w:firstLine="648"/>
        <w:spacing w:after="0" w:line="288" w:lineRule="auto"/>
        <w:rPr>
          <w:sz w:val="20"/>
          <w:szCs w:val="20"/>
          <w:color w:val="auto"/>
        </w:rPr>
      </w:pPr>
      <w:r>
        <w:rPr>
          <w:rFonts w:ascii="Arial" w:cs="Arial" w:eastAsia="Arial" w:hAnsi="Arial"/>
          <w:sz w:val="16"/>
          <w:szCs w:val="16"/>
          <w:color w:val="auto"/>
        </w:rPr>
        <w:t>(1) Borrower is in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69" w:lineRule="exact"/>
        <w:rPr>
          <w:sz w:val="20"/>
          <w:szCs w:val="20"/>
          <w:color w:val="auto"/>
        </w:rPr>
      </w:pPr>
    </w:p>
    <w:p>
      <w:pPr>
        <w:ind w:left="160" w:right="199" w:firstLine="648"/>
        <w:spacing w:after="0" w:line="255"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3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Reporting Covenants</w:t>
            </w:r>
          </w:p>
        </w:tc>
        <w:tc>
          <w:tcPr>
            <w:tcW w:w="260" w:type="dxa"/>
            <w:vAlign w:val="bottom"/>
          </w:tcPr>
          <w:p>
            <w:pPr>
              <w:spacing w:after="0"/>
              <w:rPr>
                <w:sz w:val="20"/>
                <w:szCs w:val="20"/>
                <w:color w:val="auto"/>
              </w:rPr>
            </w:pPr>
          </w:p>
        </w:tc>
        <w:tc>
          <w:tcPr>
            <w:tcW w:w="324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Required</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Complies</w:t>
            </w:r>
          </w:p>
        </w:tc>
      </w:tr>
      <w:tr>
        <w:trPr>
          <w:trHeight w:val="210"/>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financial statements with Compliance</w:t>
            </w:r>
          </w:p>
        </w:tc>
        <w:tc>
          <w:tcPr>
            <w:tcW w:w="2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Monthly within 30 days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2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Annual financial statement (CPA Audited)</w:t>
            </w:r>
          </w:p>
        </w:tc>
        <w:tc>
          <w:tcPr>
            <w:tcW w:w="2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FYE within 180 days</w:t>
            </w:r>
          </w:p>
        </w:tc>
        <w:tc>
          <w:tcPr>
            <w:tcW w:w="240" w:type="dxa"/>
            <w:vAlign w:val="bottom"/>
          </w:tcPr>
          <w:p>
            <w:pPr>
              <w:spacing w:after="0"/>
              <w:rPr>
                <w:sz w:val="18"/>
                <w:szCs w:val="18"/>
                <w:color w:val="auto"/>
              </w:rPr>
            </w:pPr>
          </w:p>
        </w:tc>
        <w:tc>
          <w:tcPr>
            <w:tcW w:w="11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10-Q, 10-K and 8-K</w:t>
            </w:r>
          </w:p>
        </w:tc>
        <w:tc>
          <w:tcPr>
            <w:tcW w:w="2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Within 5 days after filing with SEC</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83"/>
        </w:trPr>
        <w:tc>
          <w:tcPr>
            <w:tcW w:w="3860" w:type="dxa"/>
            <w:vAlign w:val="bottom"/>
          </w:tcPr>
          <w:p>
            <w:pPr>
              <w:ind w:left="20"/>
              <w:spacing w:after="0"/>
              <w:rPr>
                <w:sz w:val="20"/>
                <w:szCs w:val="20"/>
                <w:color w:val="auto"/>
              </w:rPr>
            </w:pPr>
            <w:r>
              <w:rPr>
                <w:rFonts w:ascii="Arial" w:cs="Arial" w:eastAsia="Arial" w:hAnsi="Arial"/>
                <w:sz w:val="18"/>
                <w:szCs w:val="18"/>
                <w:color w:val="auto"/>
              </w:rPr>
              <w:t>Board-approved projections</w:t>
            </w:r>
          </w:p>
        </w:tc>
        <w:tc>
          <w:tcPr>
            <w:tcW w:w="26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FYE within 60 days</w:t>
            </w:r>
          </w:p>
        </w:tc>
        <w:tc>
          <w:tcPr>
            <w:tcW w:w="240" w:type="dxa"/>
            <w:vAlign w:val="bottom"/>
          </w:tcPr>
          <w:p>
            <w:pPr>
              <w:spacing w:after="0"/>
              <w:rPr>
                <w:sz w:val="24"/>
                <w:szCs w:val="24"/>
                <w:color w:val="auto"/>
              </w:rPr>
            </w:pPr>
          </w:p>
        </w:tc>
        <w:tc>
          <w:tcPr>
            <w:tcW w:w="11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bl>
    <w:p>
      <w:pPr>
        <w:spacing w:after="0" w:line="118"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980" w:type="dxa"/>
            <w:vAlign w:val="bottom"/>
            <w:vMerge w:val="restart"/>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line="20" w:lineRule="exact"/>
              <w:rPr>
                <w:sz w:val="1"/>
                <w:szCs w:val="1"/>
                <w:color w:val="auto"/>
              </w:rPr>
            </w:pPr>
          </w:p>
        </w:tc>
      </w:tr>
      <w:tr>
        <w:trPr>
          <w:trHeight w:val="452"/>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Have there been any amendments of or other changes to the capitalization table of</w:t>
            </w: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Arial" w:cs="Arial" w:eastAsia="Arial" w:hAnsi="Arial"/>
                <w:sz w:val="18"/>
                <w:szCs w:val="18"/>
                <w:color w:val="auto"/>
                <w:w w:val="94"/>
              </w:rPr>
              <w:t>Borrower and to the Operating Documents of Borrower or any of its Subsidiaries? If yes,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3"/>
          </w:tcPr>
          <w:p>
            <w:pPr>
              <w:ind w:left="120"/>
              <w:spacing w:after="0"/>
              <w:rPr>
                <w:sz w:val="20"/>
                <w:szCs w:val="20"/>
                <w:color w:val="auto"/>
              </w:rPr>
            </w:pPr>
            <w:r>
              <w:rPr>
                <w:rFonts w:ascii="Arial" w:cs="Arial" w:eastAsia="Arial" w:hAnsi="Arial"/>
                <w:sz w:val="18"/>
                <w:szCs w:val="18"/>
                <w:color w:val="auto"/>
                <w:w w:val="97"/>
              </w:rPr>
              <w:t>provide copies of any such amendments or changes with this Compliance Certificate.</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7"/>
        </w:trPr>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164" w:name="page165"/>
    <w:bookmarkEnd w:id="164"/>
    <w:p>
      <w:pPr>
        <w:ind w:left="160" w:right="279"/>
        <w:spacing w:after="0" w:line="277" w:lineRule="auto"/>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BLUEPRINT MEDICINES CORPORATION</w:t>
            </w:r>
          </w:p>
        </w:tc>
        <w:tc>
          <w:tcPr>
            <w:tcW w:w="2120" w:type="dxa"/>
            <w:vAlign w:val="bottom"/>
            <w:gridSpan w:val="3"/>
          </w:tcPr>
          <w:p>
            <w:pPr>
              <w:ind w:left="500"/>
              <w:spacing w:after="0"/>
              <w:rPr>
                <w:sz w:val="20"/>
                <w:szCs w:val="20"/>
                <w:color w:val="auto"/>
              </w:rPr>
            </w:pPr>
            <w:r>
              <w:rPr>
                <w:rFonts w:ascii="Arial" w:cs="Arial" w:eastAsia="Arial" w:hAnsi="Arial"/>
                <w:sz w:val="18"/>
                <w:szCs w:val="18"/>
                <w:b w:val="1"/>
                <w:bCs w:val="1"/>
                <w:color w:val="auto"/>
              </w:rPr>
              <w:t>BANK USE ONLY</w:t>
            </w: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2120" w:type="dxa"/>
            <w:vAlign w:val="bottom"/>
            <w:gridSpan w:val="3"/>
          </w:tcPr>
          <w:p>
            <w:pPr>
              <w:ind w:left="500"/>
              <w:spacing w:after="0"/>
              <w:rPr>
                <w:sz w:val="20"/>
                <w:szCs w:val="20"/>
                <w:color w:val="auto"/>
              </w:rPr>
            </w:pPr>
            <w:r>
              <w:rPr>
                <w:rFonts w:ascii="Arial" w:cs="Arial" w:eastAsia="Arial" w:hAnsi="Arial"/>
                <w:sz w:val="18"/>
                <w:szCs w:val="18"/>
                <w:color w:val="auto"/>
              </w:rPr>
              <w:t>Received by:</w:t>
            </w: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860" w:type="dxa"/>
            <w:vAlign w:val="bottom"/>
          </w:tcPr>
          <w:p>
            <w:pPr>
              <w:ind w:left="200"/>
              <w:spacing w:after="0"/>
              <w:rPr>
                <w:sz w:val="20"/>
                <w:szCs w:val="20"/>
                <w:color w:val="auto"/>
              </w:rPr>
            </w:pPr>
            <w:r>
              <w:rPr>
                <w:rFonts w:ascii="Arial" w:cs="Arial" w:eastAsia="Arial" w:hAnsi="Arial"/>
                <w:sz w:val="18"/>
                <w:szCs w:val="18"/>
                <w:color w:val="auto"/>
              </w:rPr>
              <w:t>Name:</w:t>
            </w:r>
          </w:p>
        </w:tc>
        <w:tc>
          <w:tcPr>
            <w:tcW w:w="3040" w:type="dxa"/>
            <w:vAlign w:val="bottom"/>
            <w:tcBorders>
              <w:top w:val="single" w:sz="8" w:color="auto"/>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tcBorders>
              <w:top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6"/>
              </w:rPr>
              <w:t>AUTHORIZED SIGNER</w:t>
            </w:r>
          </w:p>
        </w:tc>
        <w:tc>
          <w:tcPr>
            <w:tcW w:w="20" w:type="dxa"/>
            <w:vAlign w:val="bottom"/>
          </w:tcPr>
          <w:p>
            <w:pPr>
              <w:spacing w:after="0"/>
              <w:rPr>
                <w:sz w:val="18"/>
                <w:szCs w:val="18"/>
                <w:color w:val="auto"/>
              </w:rPr>
            </w:pPr>
          </w:p>
        </w:tc>
      </w:tr>
      <w:tr>
        <w:trPr>
          <w:trHeight w:val="210"/>
        </w:trPr>
        <w:tc>
          <w:tcPr>
            <w:tcW w:w="860" w:type="dxa"/>
            <w:vAlign w:val="bottom"/>
          </w:tcPr>
          <w:p>
            <w:pPr>
              <w:ind w:left="200"/>
              <w:spacing w:after="0"/>
              <w:rPr>
                <w:sz w:val="20"/>
                <w:szCs w:val="20"/>
                <w:color w:val="auto"/>
              </w:rPr>
            </w:pPr>
            <w:r>
              <w:rPr>
                <w:rFonts w:ascii="Arial" w:cs="Arial" w:eastAsia="Arial" w:hAnsi="Arial"/>
                <w:sz w:val="18"/>
                <w:szCs w:val="18"/>
                <w:color w:val="auto"/>
              </w:rPr>
              <w:t>Title:</w:t>
            </w:r>
          </w:p>
        </w:tc>
        <w:tc>
          <w:tcPr>
            <w:tcW w:w="3040" w:type="dxa"/>
            <w:vAlign w:val="bottom"/>
            <w:tcBorders>
              <w:bottom w:val="single" w:sz="8" w:color="auto"/>
            </w:tcBorders>
          </w:tcPr>
          <w:p>
            <w:pPr>
              <w:spacing w:after="0"/>
              <w:rPr>
                <w:sz w:val="18"/>
                <w:szCs w:val="18"/>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Date:</w:t>
            </w:r>
          </w:p>
        </w:tc>
        <w:tc>
          <w:tcPr>
            <w:tcW w:w="6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682"/>
        </w:trPr>
        <w:tc>
          <w:tcPr>
            <w:tcW w:w="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20" w:type="dxa"/>
            <w:vAlign w:val="bottom"/>
            <w:gridSpan w:val="3"/>
          </w:tcPr>
          <w:p>
            <w:pPr>
              <w:ind w:left="480"/>
              <w:spacing w:after="0"/>
              <w:rPr>
                <w:sz w:val="20"/>
                <w:szCs w:val="20"/>
                <w:color w:val="auto"/>
              </w:rPr>
            </w:pPr>
            <w:r>
              <w:rPr>
                <w:rFonts w:ascii="Arial" w:cs="Arial" w:eastAsia="Arial" w:hAnsi="Arial"/>
                <w:sz w:val="18"/>
                <w:szCs w:val="18"/>
                <w:color w:val="auto"/>
              </w:rPr>
              <w:t>Verified:</w:t>
            </w: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AUTHORIZED SIGNER</w:t>
            </w:r>
          </w:p>
        </w:tc>
        <w:tc>
          <w:tcPr>
            <w:tcW w:w="20" w:type="dxa"/>
            <w:vAlign w:val="bottom"/>
          </w:tcPr>
          <w:p>
            <w:pPr>
              <w:spacing w:after="0"/>
              <w:rPr>
                <w:sz w:val="16"/>
                <w:szCs w:val="16"/>
                <w:color w:val="auto"/>
              </w:rPr>
            </w:pPr>
          </w:p>
        </w:tc>
      </w:tr>
      <w:tr>
        <w:trPr>
          <w:trHeight w:val="230"/>
        </w:trPr>
        <w:tc>
          <w:tcPr>
            <w:tcW w:w="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60" w:type="dxa"/>
            <w:vAlign w:val="bottom"/>
          </w:tcPr>
          <w:p>
            <w:pPr>
              <w:ind w:left="480"/>
              <w:spacing w:after="0"/>
              <w:rPr>
                <w:sz w:val="20"/>
                <w:szCs w:val="20"/>
                <w:color w:val="auto"/>
              </w:rPr>
            </w:pPr>
            <w:r>
              <w:rPr>
                <w:rFonts w:ascii="Arial" w:cs="Arial" w:eastAsia="Arial" w:hAnsi="Arial"/>
                <w:sz w:val="18"/>
                <w:szCs w:val="18"/>
                <w:color w:val="auto"/>
              </w:rPr>
              <w:t>Date:</w:t>
            </w:r>
          </w:p>
        </w:tc>
        <w:tc>
          <w:tcPr>
            <w:tcW w:w="960" w:type="dxa"/>
            <w:vAlign w:val="bottom"/>
            <w:tcBorders>
              <w:bottom w:val="single" w:sz="8" w:color="auto"/>
            </w:tcBorders>
            <w:gridSpan w:val="2"/>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20" w:type="dxa"/>
            <w:vAlign w:val="bottom"/>
            <w:gridSpan w:val="3"/>
          </w:tcPr>
          <w:p>
            <w:pPr>
              <w:ind w:left="480"/>
              <w:spacing w:after="0"/>
              <w:rPr>
                <w:sz w:val="20"/>
                <w:szCs w:val="20"/>
                <w:color w:val="auto"/>
              </w:rPr>
            </w:pPr>
            <w:r>
              <w:rPr>
                <w:rFonts w:ascii="Arial" w:cs="Arial" w:eastAsia="Arial" w:hAnsi="Arial"/>
                <w:sz w:val="18"/>
                <w:szCs w:val="18"/>
                <w:color w:val="auto"/>
              </w:rPr>
              <w:t>Compliance Status</w:t>
            </w:r>
          </w:p>
        </w:tc>
        <w:tc>
          <w:tcPr>
            <w:tcW w:w="2700" w:type="dxa"/>
            <w:vAlign w:val="bottom"/>
          </w:tcPr>
          <w:p>
            <w:pPr>
              <w:jc w:val="center"/>
              <w:ind w:right="127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20" w:type="dxa"/>
            <w:vAlign w:val="bottom"/>
          </w:tcPr>
          <w:p>
            <w:pPr>
              <w:spacing w:after="0"/>
              <w:rPr>
                <w:sz w:val="24"/>
                <w:szCs w:val="24"/>
                <w:color w:val="auto"/>
              </w:rPr>
            </w:pPr>
          </w:p>
        </w:tc>
      </w:tr>
      <w:tr>
        <w:trPr>
          <w:trHeight w:val="1243"/>
        </w:trPr>
        <w:tc>
          <w:tcPr>
            <w:tcW w:w="8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u w:val="single" w:color="auto"/>
          <w:color w:val="auto"/>
        </w:rPr>
        <w:t>EXHIBIT C— LOAN PAYMENT/ADVANCE REQUEST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SAME DAY PROCESSING IS 1PM EASTERN TIME</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Fax To:</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2"/>
          </w:tcPr>
          <w:p>
            <w:pPr>
              <w:ind w:left="820"/>
              <w:spacing w:after="0"/>
              <w:rPr>
                <w:sz w:val="20"/>
                <w:szCs w:val="20"/>
                <w:color w:val="auto"/>
              </w:rPr>
            </w:pPr>
            <w:r>
              <w:rPr>
                <w:rFonts w:ascii="Arial" w:cs="Arial" w:eastAsia="Arial" w:hAnsi="Arial"/>
                <w:sz w:val="18"/>
                <w:szCs w:val="18"/>
                <w:color w:val="auto"/>
              </w:rPr>
              <w:t>Date:</w:t>
            </w:r>
          </w:p>
        </w:tc>
      </w:tr>
      <w:tr>
        <w:trPr>
          <w:trHeight w:val="385"/>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LOAN PAYMENT:</w:t>
            </w:r>
          </w:p>
        </w:tc>
        <w:tc>
          <w:tcPr>
            <w:tcW w:w="4420" w:type="dxa"/>
            <w:vAlign w:val="bottom"/>
            <w:gridSpan w:val="7"/>
          </w:tcPr>
          <w:p>
            <w:pPr>
              <w:ind w:left="940"/>
              <w:spacing w:after="0"/>
              <w:rPr>
                <w:sz w:val="20"/>
                <w:szCs w:val="20"/>
                <w:color w:val="auto"/>
              </w:rPr>
            </w:pPr>
            <w:r>
              <w:rPr>
                <w:rFonts w:ascii="Arial" w:cs="Arial" w:eastAsia="Arial" w:hAnsi="Arial"/>
                <w:sz w:val="18"/>
                <w:szCs w:val="18"/>
                <w:color w:val="auto"/>
              </w:rPr>
              <w:t>BLUEPRINT MEDICINES CORPORATION</w:t>
            </w:r>
          </w:p>
        </w:tc>
        <w:tc>
          <w:tcPr>
            <w:tcW w:w="13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8"/>
                <w:szCs w:val="18"/>
                <w:color w:val="auto"/>
              </w:rPr>
              <w:t>From Account #</w:t>
            </w:r>
          </w:p>
        </w:tc>
        <w:tc>
          <w:tcPr>
            <w:tcW w:w="9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To Account #</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4"/>
        </w:trPr>
        <w:tc>
          <w:tcPr>
            <w:tcW w:w="1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(Deposit Account #)</w:t>
            </w:r>
          </w:p>
        </w:tc>
        <w:tc>
          <w:tcPr>
            <w:tcW w:w="1560" w:type="dxa"/>
            <w:vAlign w:val="bottom"/>
            <w:gridSpan w:val="2"/>
          </w:tcPr>
          <w:p>
            <w:pPr>
              <w:spacing w:after="0"/>
              <w:rPr>
                <w:sz w:val="19"/>
                <w:szCs w:val="19"/>
                <w:color w:val="auto"/>
              </w:rPr>
            </w:pPr>
          </w:p>
        </w:tc>
        <w:tc>
          <w:tcPr>
            <w:tcW w:w="860" w:type="dxa"/>
            <w:vAlign w:val="bottom"/>
            <w:tcBorders>
              <w:top w:val="single" w:sz="8" w:color="auto"/>
            </w:tcBorders>
            <w:gridSpan w:val="2"/>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(Loan Account #)</w:t>
            </w:r>
          </w:p>
        </w:tc>
      </w:tr>
      <w:tr>
        <w:trPr>
          <w:trHeight w:val="404"/>
        </w:trPr>
        <w:tc>
          <w:tcPr>
            <w:tcW w:w="1640" w:type="dxa"/>
            <w:vAlign w:val="bottom"/>
            <w:gridSpan w:val="2"/>
          </w:tcPr>
          <w:p>
            <w:pPr>
              <w:spacing w:after="0"/>
              <w:rPr>
                <w:sz w:val="20"/>
                <w:szCs w:val="20"/>
                <w:color w:val="auto"/>
              </w:rPr>
            </w:pPr>
            <w:r>
              <w:rPr>
                <w:rFonts w:ascii="Arial" w:cs="Arial" w:eastAsia="Arial" w:hAnsi="Arial"/>
                <w:sz w:val="18"/>
                <w:szCs w:val="18"/>
                <w:color w:val="auto"/>
              </w:rPr>
              <w:t>Principal $</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4"/>
          </w:tcPr>
          <w:p>
            <w:pPr>
              <w:ind w:left="280"/>
              <w:spacing w:after="0"/>
              <w:rPr>
                <w:sz w:val="20"/>
                <w:szCs w:val="20"/>
                <w:color w:val="auto"/>
              </w:rPr>
            </w:pPr>
            <w:r>
              <w:rPr>
                <w:rFonts w:ascii="Arial" w:cs="Arial" w:eastAsia="Arial" w:hAnsi="Arial"/>
                <w:sz w:val="18"/>
                <w:szCs w:val="18"/>
                <w:color w:val="auto"/>
              </w:rPr>
              <w:t>and/or Interest $</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w w:val="93"/>
              </w:rPr>
              <w:t>Authorized Signature:</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4"/>
          </w:tcPr>
          <w:p>
            <w:pPr>
              <w:ind w:left="1000"/>
              <w:spacing w:after="0"/>
              <w:rPr>
                <w:sz w:val="20"/>
                <w:szCs w:val="20"/>
                <w:color w:val="auto"/>
              </w:rPr>
            </w:pPr>
            <w:r>
              <w:rPr>
                <w:rFonts w:ascii="Arial" w:cs="Arial" w:eastAsia="Arial" w:hAnsi="Arial"/>
                <w:sz w:val="18"/>
                <w:szCs w:val="18"/>
                <w:color w:val="auto"/>
              </w:rPr>
              <w:t>Phone Number:</w:t>
            </w: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Print Name/Title:</w:t>
            </w:r>
          </w:p>
        </w:tc>
        <w:tc>
          <w:tcPr>
            <w:tcW w:w="9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LOAN ADVANCE:</w:t>
      </w:r>
    </w:p>
    <w:p>
      <w:pPr>
        <w:spacing w:after="0" w:line="27" w:lineRule="exact"/>
        <w:rPr>
          <w:sz w:val="20"/>
          <w:szCs w:val="20"/>
          <w:color w:val="auto"/>
        </w:rPr>
      </w:pPr>
    </w:p>
    <w:p>
      <w:pPr>
        <w:ind w:left="160" w:right="819"/>
        <w:spacing w:after="0" w:line="261" w:lineRule="auto"/>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From Account #</w:t>
            </w: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To Account #</w:t>
            </w:r>
          </w:p>
        </w:tc>
      </w:tr>
      <w:tr>
        <w:trPr>
          <w:trHeight w:val="195"/>
        </w:trPr>
        <w:tc>
          <w:tcPr>
            <w:tcW w:w="1340" w:type="dxa"/>
            <w:vAlign w:val="bottom"/>
          </w:tcPr>
          <w:p>
            <w:pPr>
              <w:spacing w:after="0"/>
              <w:rPr>
                <w:sz w:val="16"/>
                <w:szCs w:val="16"/>
                <w:color w:val="auto"/>
              </w:rPr>
            </w:pPr>
          </w:p>
        </w:tc>
        <w:tc>
          <w:tcPr>
            <w:tcW w:w="234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(Loan Account #)</w:t>
            </w:r>
          </w:p>
        </w:tc>
        <w:tc>
          <w:tcPr>
            <w:tcW w:w="1360" w:type="dxa"/>
            <w:vAlign w:val="bottom"/>
          </w:tcPr>
          <w:p>
            <w:pPr>
              <w:spacing w:after="0"/>
              <w:rPr>
                <w:sz w:val="16"/>
                <w:szCs w:val="16"/>
                <w:color w:val="auto"/>
              </w:rPr>
            </w:pPr>
          </w:p>
        </w:tc>
        <w:tc>
          <w:tcPr>
            <w:tcW w:w="366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(Deposit Account #)</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136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202" w:lineRule="exact"/>
        <w:rPr>
          <w:sz w:val="20"/>
          <w:szCs w:val="20"/>
          <w:color w:val="auto"/>
        </w:rPr>
      </w:pPr>
    </w:p>
    <w:p>
      <w:pPr>
        <w:ind w:left="160" w:right="159"/>
        <w:spacing w:after="0" w:line="276" w:lineRule="auto"/>
        <w:rPr>
          <w:sz w:val="20"/>
          <w:szCs w:val="20"/>
          <w:color w:val="auto"/>
        </w:rPr>
      </w:pPr>
      <w:r>
        <w:rPr>
          <w:rFonts w:ascii="Arial" w:cs="Arial" w:eastAsia="Arial" w:hAnsi="Arial"/>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1"/>
              </w:rPr>
              <w:t>Authorized Signature:</w:t>
            </w:r>
          </w:p>
        </w:tc>
        <w:tc>
          <w:tcPr>
            <w:tcW w:w="2280" w:type="dxa"/>
            <w:vAlign w:val="bottom"/>
            <w:tcBorders>
              <w:bottom w:val="single" w:sz="8" w:color="auto"/>
            </w:tcBorders>
          </w:tcPr>
          <w:p>
            <w:pPr>
              <w:spacing w:after="0"/>
              <w:rPr>
                <w:sz w:val="20"/>
                <w:szCs w:val="20"/>
                <w:color w:val="auto"/>
              </w:rPr>
            </w:pPr>
          </w:p>
        </w:tc>
        <w:tc>
          <w:tcPr>
            <w:tcW w:w="1320" w:type="dxa"/>
            <w:vAlign w:val="bottom"/>
          </w:tcPr>
          <w:p>
            <w:pPr>
              <w:ind w:left="180"/>
              <w:spacing w:after="0"/>
              <w:rPr>
                <w:sz w:val="20"/>
                <w:szCs w:val="20"/>
                <w:color w:val="auto"/>
              </w:rPr>
            </w:pPr>
            <w:r>
              <w:rPr>
                <w:rFonts w:ascii="Arial" w:cs="Arial" w:eastAsia="Arial" w:hAnsi="Arial"/>
                <w:sz w:val="18"/>
                <w:szCs w:val="18"/>
                <w:color w:val="auto"/>
                <w:w w:val="88"/>
              </w:rPr>
              <w:t>Phone Number:</w:t>
            </w: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Print Name/Title:</w:t>
            </w:r>
          </w:p>
        </w:tc>
        <w:tc>
          <w:tcPr>
            <w:tcW w:w="228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-153670</wp:posOffset>
            </wp:positionV>
            <wp:extent cx="21951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OUTGOING WIRE REQUEST: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Deadline for same day processing is 1:00 p.m., Eastern Time</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920" w:type="dxa"/>
            <w:vAlign w:val="bottom"/>
            <w:gridSpan w:val="4"/>
          </w:tcPr>
          <w:p>
            <w:pPr>
              <w:spacing w:after="0"/>
              <w:rPr>
                <w:sz w:val="20"/>
                <w:szCs w:val="20"/>
                <w:color w:val="auto"/>
              </w:rPr>
            </w:pPr>
            <w:r>
              <w:rPr>
                <w:rFonts w:ascii="Arial" w:cs="Arial" w:eastAsia="Arial" w:hAnsi="Arial"/>
                <w:sz w:val="18"/>
                <w:szCs w:val="18"/>
                <w:color w:val="auto"/>
              </w:rPr>
              <w:t>Beneficiary</w:t>
            </w:r>
          </w:p>
        </w:tc>
        <w:tc>
          <w:tcPr>
            <w:tcW w:w="4780" w:type="dxa"/>
            <w:vAlign w:val="bottom"/>
            <w:gridSpan w:val="3"/>
          </w:tcPr>
          <w:p>
            <w:pPr>
              <w:ind w:left="360"/>
              <w:spacing w:after="0"/>
              <w:rPr>
                <w:sz w:val="20"/>
                <w:szCs w:val="20"/>
                <w:color w:val="auto"/>
              </w:rPr>
            </w:pPr>
            <w:r>
              <w:rPr>
                <w:rFonts w:ascii="Arial" w:cs="Arial" w:eastAsia="Arial" w:hAnsi="Arial"/>
                <w:sz w:val="18"/>
                <w:szCs w:val="18"/>
                <w:color w:val="auto"/>
              </w:rPr>
              <w:t>Amount of Wire: $</w:t>
            </w:r>
          </w:p>
        </w:tc>
      </w:t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rPr>
              <w:t>Name:</w:t>
            </w: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8"/>
                <w:szCs w:val="18"/>
                <w:color w:val="auto"/>
                <w:w w:val="94"/>
              </w:rPr>
              <w:t>Beneficiary Bank:</w:t>
            </w:r>
          </w:p>
        </w:tc>
        <w:tc>
          <w:tcPr>
            <w:tcW w:w="2580" w:type="dxa"/>
            <w:vAlign w:val="bottom"/>
            <w:tcBorders>
              <w:top w:val="single" w:sz="8" w:color="auto"/>
            </w:tcBorders>
            <w:gridSpan w:val="3"/>
          </w:tcPr>
          <w:p>
            <w:pPr>
              <w:spacing w:after="0"/>
              <w:rPr>
                <w:sz w:val="18"/>
                <w:szCs w:val="18"/>
                <w:color w:val="auto"/>
              </w:rPr>
            </w:pPr>
          </w:p>
        </w:tc>
        <w:tc>
          <w:tcPr>
            <w:tcW w:w="4780" w:type="dxa"/>
            <w:vAlign w:val="bottom"/>
            <w:gridSpan w:val="3"/>
          </w:tcPr>
          <w:p>
            <w:pPr>
              <w:ind w:left="360"/>
              <w:spacing w:after="0"/>
              <w:rPr>
                <w:sz w:val="20"/>
                <w:szCs w:val="20"/>
                <w:color w:val="auto"/>
              </w:rPr>
            </w:pPr>
            <w:r>
              <w:rPr>
                <w:rFonts w:ascii="Arial" w:cs="Arial" w:eastAsia="Arial" w:hAnsi="Arial"/>
                <w:sz w:val="18"/>
                <w:szCs w:val="18"/>
                <w:color w:val="auto"/>
              </w:rPr>
              <w:t>Account Number:</w:t>
            </w:r>
          </w:p>
        </w:tc>
      </w:tr>
      <w:tr>
        <w:trPr>
          <w:trHeight w:val="210"/>
        </w:trPr>
        <w:tc>
          <w:tcPr>
            <w:tcW w:w="1340" w:type="dxa"/>
            <w:vAlign w:val="bottom"/>
          </w:tcPr>
          <w:p>
            <w:pPr>
              <w:spacing w:after="0"/>
              <w:rPr>
                <w:sz w:val="20"/>
                <w:szCs w:val="20"/>
                <w:color w:val="auto"/>
              </w:rPr>
            </w:pPr>
            <w:r>
              <w:rPr>
                <w:rFonts w:ascii="Arial" w:cs="Arial" w:eastAsia="Arial" w:hAnsi="Arial"/>
                <w:sz w:val="18"/>
                <w:szCs w:val="18"/>
                <w:color w:val="auto"/>
              </w:rPr>
              <w:t>City and State:</w:t>
            </w:r>
          </w:p>
        </w:tc>
        <w:tc>
          <w:tcPr>
            <w:tcW w:w="2580" w:type="dxa"/>
            <w:vAlign w:val="bottom"/>
            <w:tcBorders>
              <w:top w:val="single" w:sz="8" w:color="auto"/>
              <w:bottom w:val="single" w:sz="8" w:color="auto"/>
            </w:tcBorders>
            <w:gridSpan w:val="3"/>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182"/>
        </w:trPr>
        <w:tc>
          <w:tcPr>
            <w:tcW w:w="1340" w:type="dxa"/>
            <w:vAlign w:val="bottom"/>
          </w:tcPr>
          <w:p>
            <w:pPr>
              <w:spacing w:after="0" w:line="182" w:lineRule="exact"/>
              <w:rPr>
                <w:sz w:val="20"/>
                <w:szCs w:val="20"/>
                <w:color w:val="auto"/>
              </w:rPr>
            </w:pPr>
            <w:r>
              <w:rPr>
                <w:rFonts w:ascii="Arial" w:cs="Arial" w:eastAsia="Arial" w:hAnsi="Arial"/>
                <w:sz w:val="18"/>
                <w:szCs w:val="18"/>
                <w:color w:val="auto"/>
                <w:w w:val="97"/>
              </w:rPr>
              <w:t>Beneficiary Bank</w:t>
            </w:r>
          </w:p>
        </w:tc>
        <w:tc>
          <w:tcPr>
            <w:tcW w:w="2580" w:type="dxa"/>
            <w:vAlign w:val="bottom"/>
            <w:gridSpan w:val="3"/>
          </w:tcPr>
          <w:p>
            <w:pPr>
              <w:spacing w:after="0" w:line="182" w:lineRule="exact"/>
              <w:rPr>
                <w:sz w:val="20"/>
                <w:szCs w:val="20"/>
                <w:color w:val="auto"/>
              </w:rPr>
            </w:pPr>
            <w:r>
              <w:rPr>
                <w:rFonts w:ascii="Arial" w:cs="Arial" w:eastAsia="Arial" w:hAnsi="Arial"/>
                <w:sz w:val="18"/>
                <w:szCs w:val="18"/>
                <w:color w:val="auto"/>
              </w:rPr>
              <w:t>Transit (ABA)</w:t>
            </w:r>
          </w:p>
        </w:tc>
        <w:tc>
          <w:tcPr>
            <w:tcW w:w="4780" w:type="dxa"/>
            <w:vAlign w:val="bottom"/>
            <w:gridSpan w:val="3"/>
          </w:tcPr>
          <w:p>
            <w:pPr>
              <w:ind w:left="180"/>
              <w:spacing w:after="0" w:line="182" w:lineRule="exact"/>
              <w:rPr>
                <w:sz w:val="20"/>
                <w:szCs w:val="20"/>
                <w:color w:val="auto"/>
              </w:rPr>
            </w:pPr>
            <w:r>
              <w:rPr>
                <w:rFonts w:ascii="Arial" w:cs="Arial" w:eastAsia="Arial" w:hAnsi="Arial"/>
                <w:sz w:val="18"/>
                <w:szCs w:val="18"/>
                <w:color w:val="auto"/>
              </w:rPr>
              <w:t>Beneficiary Bank Code (Swift, Sort,</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Chip, etc.):</w:t>
            </w:r>
          </w:p>
        </w:tc>
      </w:tr>
      <w:tr>
        <w:trPr>
          <w:trHeight w:val="182"/>
        </w:trPr>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3420" w:type="dxa"/>
            <w:vAlign w:val="bottom"/>
            <w:gridSpan w:val="2"/>
          </w:tcPr>
          <w:p>
            <w:pPr>
              <w:ind w:left="720"/>
              <w:spacing w:after="0" w:line="182" w:lineRule="exact"/>
              <w:rPr>
                <w:sz w:val="20"/>
                <w:szCs w:val="20"/>
                <w:color w:val="auto"/>
              </w:rPr>
            </w:pPr>
            <w:r>
              <w:rPr>
                <w:rFonts w:ascii="Arial" w:cs="Arial" w:eastAsia="Arial" w:hAnsi="Arial"/>
                <w:sz w:val="18"/>
                <w:szCs w:val="18"/>
                <w:b w:val="1"/>
                <w:bCs w:val="1"/>
                <w:color w:val="auto"/>
              </w:rPr>
              <w:t>(For International Wire Only)</w:t>
            </w:r>
          </w:p>
        </w:tc>
        <w:tc>
          <w:tcPr>
            <w:tcW w:w="1360" w:type="dxa"/>
            <w:vAlign w:val="bottom"/>
            <w:tcBorders>
              <w:top w:val="single" w:sz="8" w:color="auto"/>
            </w:tcBorders>
          </w:tcPr>
          <w:p>
            <w:pPr>
              <w:spacing w:after="0"/>
              <w:rPr>
                <w:sz w:val="15"/>
                <w:szCs w:val="15"/>
                <w:color w:val="auto"/>
              </w:rPr>
            </w:pPr>
          </w:p>
        </w:tc>
      </w:t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rPr>
              <w:t>Intermediary Bank:</w:t>
            </w: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Transit (ABA) #:</w:t>
            </w:r>
          </w:p>
        </w:tc>
      </w:tr>
      <w:tr>
        <w:trPr>
          <w:trHeight w:val="182"/>
        </w:trPr>
        <w:tc>
          <w:tcPr>
            <w:tcW w:w="1520" w:type="dxa"/>
            <w:vAlign w:val="bottom"/>
            <w:gridSpan w:val="2"/>
          </w:tcPr>
          <w:p>
            <w:pPr>
              <w:spacing w:after="0" w:line="182" w:lineRule="exact"/>
              <w:rPr>
                <w:sz w:val="20"/>
                <w:szCs w:val="20"/>
                <w:color w:val="auto"/>
              </w:rPr>
            </w:pPr>
            <w:r>
              <w:rPr>
                <w:rFonts w:ascii="Arial" w:cs="Arial" w:eastAsia="Arial" w:hAnsi="Arial"/>
                <w:sz w:val="18"/>
                <w:szCs w:val="18"/>
                <w:color w:val="auto"/>
              </w:rPr>
              <w:t>For Further Credit</w:t>
            </w:r>
          </w:p>
        </w:tc>
        <w:tc>
          <w:tcPr>
            <w:tcW w:w="9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rPr>
              <w:t>to:</w:t>
            </w: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1520" w:type="dxa"/>
            <w:vAlign w:val="bottom"/>
            <w:gridSpan w:val="2"/>
          </w:tcPr>
          <w:p>
            <w:pPr>
              <w:spacing w:after="0"/>
              <w:rPr>
                <w:sz w:val="20"/>
                <w:szCs w:val="20"/>
                <w:color w:val="auto"/>
              </w:rPr>
            </w:pPr>
            <w:r>
              <w:rPr>
                <w:rFonts w:ascii="Arial" w:cs="Arial" w:eastAsia="Arial" w:hAnsi="Arial"/>
                <w:sz w:val="18"/>
                <w:szCs w:val="18"/>
                <w:color w:val="auto"/>
                <w:w w:val="98"/>
              </w:rPr>
              <w:t>Special Instruction:</w:t>
            </w:r>
          </w:p>
        </w:tc>
        <w:tc>
          <w:tcPr>
            <w:tcW w:w="9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ind w:left="160" w:right="339"/>
        <w:spacing w:after="0" w:line="264"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347345</wp:posOffset>
            </wp:positionV>
            <wp:extent cx="554863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6" w:name="page167"/>
    <w:bookmarkEnd w:id="166"/>
    <w:tbl>
      <w:tblPr>
        <w:tblLayout w:type="fixed"/>
        <w:tblInd w:w="140" w:type="dxa"/>
        <w:tblCellMar>
          <w:top w:w="0" w:type="dxa"/>
          <w:left w:w="0" w:type="dxa"/>
          <w:bottom w:w="0" w:type="dxa"/>
          <w:right w:w="0" w:type="dxa"/>
        </w:tblCellMar>
      </w:tblP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w w:val="92"/>
              </w:rPr>
              <w:t>Authorized Signature:</w:t>
            </w:r>
          </w:p>
        </w:tc>
        <w:tc>
          <w:tcPr>
            <w:tcW w:w="2140" w:type="dxa"/>
            <w:vAlign w:val="bottom"/>
          </w:tcPr>
          <w:p>
            <w:pPr>
              <w:spacing w:after="0"/>
              <w:rPr>
                <w:sz w:val="20"/>
                <w:szCs w:val="20"/>
                <w:color w:val="auto"/>
              </w:rPr>
            </w:pPr>
          </w:p>
        </w:tc>
        <w:tc>
          <w:tcPr>
            <w:tcW w:w="4960" w:type="dxa"/>
            <w:vAlign w:val="bottom"/>
            <w:gridSpan w:val="3"/>
          </w:tcPr>
          <w:p>
            <w:pPr>
              <w:ind w:left="220"/>
              <w:spacing w:after="0"/>
              <w:rPr>
                <w:sz w:val="20"/>
                <w:szCs w:val="20"/>
                <w:color w:val="auto"/>
              </w:rPr>
            </w:pPr>
            <w:r>
              <w:rPr>
                <w:rFonts w:ascii="Arial" w:cs="Arial" w:eastAsia="Arial" w:hAnsi="Arial"/>
                <w:sz w:val="18"/>
                <w:szCs w:val="18"/>
                <w:color w:val="auto"/>
              </w:rPr>
              <w:t>2nd Signature (if required):</w:t>
            </w:r>
          </w:p>
        </w:tc>
      </w:tr>
      <w:tr>
        <w:trPr>
          <w:trHeight w:val="210"/>
        </w:trPr>
        <w:tc>
          <w:tcPr>
            <w:tcW w:w="164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2140" w:type="dxa"/>
            <w:vAlign w:val="bottom"/>
            <w:tcBorders>
              <w:top w:val="single" w:sz="8" w:color="auto"/>
              <w:bottom w:val="single" w:sz="8" w:color="auto"/>
            </w:tcBorders>
          </w:tcPr>
          <w:p>
            <w:pPr>
              <w:spacing w:after="0"/>
              <w:rPr>
                <w:sz w:val="18"/>
                <w:szCs w:val="18"/>
                <w:color w:val="auto"/>
              </w:rPr>
            </w:pPr>
          </w:p>
        </w:tc>
        <w:tc>
          <w:tcPr>
            <w:tcW w:w="2320" w:type="dxa"/>
            <w:vAlign w:val="bottom"/>
          </w:tcPr>
          <w:p>
            <w:pPr>
              <w:ind w:left="220"/>
              <w:spacing w:after="0"/>
              <w:rPr>
                <w:sz w:val="20"/>
                <w:szCs w:val="20"/>
                <w:color w:val="auto"/>
              </w:rPr>
            </w:pPr>
            <w:r>
              <w:rPr>
                <w:rFonts w:ascii="Arial" w:cs="Arial" w:eastAsia="Arial" w:hAnsi="Arial"/>
                <w:sz w:val="18"/>
                <w:szCs w:val="18"/>
                <w:color w:val="auto"/>
              </w:rPr>
              <w:t>Print Name/Title:</w:t>
            </w:r>
          </w:p>
        </w:tc>
        <w:tc>
          <w:tcPr>
            <w:tcW w:w="26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64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2140" w:type="dxa"/>
            <w:vAlign w:val="bottom"/>
            <w:tcBorders>
              <w:bottom w:val="single" w:sz="8" w:color="auto"/>
            </w:tcBorders>
          </w:tcPr>
          <w:p>
            <w:pPr>
              <w:spacing w:after="0"/>
              <w:rPr>
                <w:sz w:val="18"/>
                <w:szCs w:val="18"/>
                <w:color w:val="auto"/>
              </w:rPr>
            </w:pPr>
          </w:p>
        </w:tc>
        <w:tc>
          <w:tcPr>
            <w:tcW w:w="2320" w:type="dxa"/>
            <w:vAlign w:val="bottom"/>
          </w:tcPr>
          <w:p>
            <w:pPr>
              <w:ind w:left="220"/>
              <w:spacing w:after="0"/>
              <w:rPr>
                <w:sz w:val="20"/>
                <w:szCs w:val="20"/>
                <w:color w:val="auto"/>
              </w:rPr>
            </w:pPr>
            <w:r>
              <w:rPr>
                <w:rFonts w:ascii="Arial" w:cs="Arial" w:eastAsia="Arial" w:hAnsi="Arial"/>
                <w:sz w:val="18"/>
                <w:szCs w:val="18"/>
                <w:color w:val="auto"/>
              </w:rPr>
              <w:t>Telephone #:</w:t>
            </w:r>
          </w:p>
        </w:tc>
        <w:tc>
          <w:tcPr>
            <w:tcW w:w="2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473"/>
        </w:trPr>
        <w:tc>
          <w:tcPr>
            <w:tcW w:w="16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1" w:right="1440"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left="160" w:right="239" w:firstLine="648"/>
        <w:spacing w:after="0" w:line="261" w:lineRule="auto"/>
        <w:rPr>
          <w:sz w:val="20"/>
          <w:szCs w:val="20"/>
          <w:color w:val="auto"/>
        </w:rPr>
      </w:pPr>
      <w:r>
        <w:rPr>
          <w:rFonts w:ascii="Arial" w:cs="Arial" w:eastAsia="Arial" w:hAnsi="Arial"/>
          <w:sz w:val="18"/>
          <w:szCs w:val="18"/>
          <w:color w:val="auto"/>
        </w:rPr>
        <w:t>This First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this 21st day of January, 2014,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MEDICINES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whose address is 215 First Street, Cambridge,</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02142.</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60" w:right="279" w:firstLine="639"/>
        <w:spacing w:after="0" w:line="264" w:lineRule="auto"/>
        <w:tabs>
          <w:tab w:leader="none" w:pos="15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Bank and Borrower have entered into that certain Loan and Security Agreement dated as of May 24, 2013 (as the same may from time to time be further amended, modified, supplemented or restated,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500" w:hanging="701"/>
        <w:spacing w:after="0"/>
        <w:tabs>
          <w:tab w:leader="none" w:pos="1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color w:val="auto"/>
        </w:rPr>
      </w:pPr>
    </w:p>
    <w:p>
      <w:pPr>
        <w:ind w:left="160" w:right="299" w:firstLine="639"/>
        <w:spacing w:after="0" w:line="277" w:lineRule="auto"/>
        <w:tabs>
          <w:tab w:leader="none" w:pos="151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Borrower has requested that Bank amend the Loan Agreement to make certain revisions to the Loan Agreement as more fully set forth herein.</w:t>
      </w:r>
    </w:p>
    <w:p>
      <w:pPr>
        <w:spacing w:after="0" w:line="170" w:lineRule="exact"/>
        <w:rPr>
          <w:rFonts w:ascii="Arial" w:cs="Arial" w:eastAsia="Arial" w:hAnsi="Arial"/>
          <w:sz w:val="18"/>
          <w:szCs w:val="18"/>
          <w:color w:val="auto"/>
        </w:rPr>
      </w:pPr>
    </w:p>
    <w:p>
      <w:pPr>
        <w:jc w:val="both"/>
        <w:ind w:left="160" w:right="499" w:firstLine="639"/>
        <w:spacing w:after="0" w:line="264" w:lineRule="auto"/>
        <w:tabs>
          <w:tab w:leader="none" w:pos="15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60" w:right="239"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adequacy of which is hereby acknowledged, and intending to be legally bound, the parties hereto agree as follows:</w:t>
      </w:r>
    </w:p>
    <w:p>
      <w:pPr>
        <w:spacing w:after="0" w:line="176" w:lineRule="exact"/>
        <w:rPr>
          <w:sz w:val="20"/>
          <w:szCs w:val="20"/>
          <w:color w:val="auto"/>
        </w:rPr>
      </w:pPr>
    </w:p>
    <w:p>
      <w:pPr>
        <w:ind w:left="160" w:right="199" w:firstLine="639"/>
        <w:spacing w:after="0" w:line="282" w:lineRule="auto"/>
        <w:tabs>
          <w:tab w:leader="none" w:pos="1483"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them in the Loan Agreement.</w:t>
      </w:r>
    </w:p>
    <w:p>
      <w:pPr>
        <w:spacing w:after="0" w:line="161" w:lineRule="exact"/>
        <w:rPr>
          <w:rFonts w:ascii="Arial" w:cs="Arial" w:eastAsia="Arial" w:hAnsi="Arial"/>
          <w:sz w:val="18"/>
          <w:szCs w:val="18"/>
          <w:color w:val="auto"/>
        </w:rPr>
      </w:pPr>
    </w:p>
    <w:p>
      <w:pPr>
        <w:ind w:left="1580" w:hanging="781"/>
        <w:spacing w:after="0"/>
        <w:tabs>
          <w:tab w:leader="none" w:pos="15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Amendments to Loan Agreement</w:t>
      </w:r>
      <w:r>
        <w:rPr>
          <w:rFonts w:ascii="Arial" w:cs="Arial" w:eastAsia="Arial" w:hAnsi="Arial"/>
          <w:sz w:val="18"/>
          <w:szCs w:val="18"/>
          <w:color w:val="auto"/>
        </w:rPr>
        <w:t>.</w:t>
      </w:r>
    </w:p>
    <w:p>
      <w:pPr>
        <w:spacing w:after="0" w:line="225" w:lineRule="exact"/>
        <w:rPr>
          <w:sz w:val="20"/>
          <w:szCs w:val="20"/>
          <w:color w:val="auto"/>
        </w:rPr>
      </w:pPr>
    </w:p>
    <w:p>
      <w:pPr>
        <w:ind w:left="160" w:right="739" w:firstLine="1296"/>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Section 2.1.1(c) (Repayment)</w:t>
      </w:r>
      <w:r>
        <w:rPr>
          <w:rFonts w:ascii="Arial" w:cs="Arial" w:eastAsia="Arial" w:hAnsi="Arial"/>
          <w:sz w:val="18"/>
          <w:szCs w:val="18"/>
          <w:color w:val="auto"/>
        </w:rPr>
        <w:t>. The first sentence of Section 2.1.1(c) is amended in its entirety and replaced with the following:</w:t>
      </w:r>
    </w:p>
    <w:p>
      <w:pPr>
        <w:spacing w:after="0" w:line="166" w:lineRule="exact"/>
        <w:rPr>
          <w:sz w:val="20"/>
          <w:szCs w:val="20"/>
          <w:color w:val="auto"/>
        </w:rPr>
      </w:pPr>
    </w:p>
    <w:p>
      <w:pPr>
        <w:ind w:left="1440" w:right="579"/>
        <w:spacing w:after="0" w:line="259" w:lineRule="auto"/>
        <w:rPr>
          <w:sz w:val="20"/>
          <w:szCs w:val="20"/>
          <w:color w:val="auto"/>
        </w:rPr>
      </w:pPr>
      <w:r>
        <w:rPr>
          <w:rFonts w:ascii="Arial" w:cs="Arial" w:eastAsia="Arial" w:hAnsi="Arial"/>
          <w:sz w:val="18"/>
          <w:szCs w:val="18"/>
          <w:color w:val="auto"/>
        </w:rPr>
        <w:t>“Commencing on the applicable Amortization Date, and continuing on the Payment Date of each month thereafter, Borrower shall repay each Term Loan Advance in (i) thirty-six (36) equal installments of principal, plus (ii) monthly payments of accrued interest at the rate set forth in Section 2.2(a).”</w:t>
      </w:r>
    </w:p>
    <w:p>
      <w:pPr>
        <w:spacing w:after="0" w:line="183" w:lineRule="exact"/>
        <w:rPr>
          <w:sz w:val="20"/>
          <w:szCs w:val="20"/>
          <w:color w:val="auto"/>
        </w:rPr>
      </w:pPr>
    </w:p>
    <w:p>
      <w:pPr>
        <w:ind w:left="1440"/>
        <w:spacing w:after="0"/>
        <w:tabs>
          <w:tab w:leader="none" w:pos="2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Section 13 (Definitions)</w:t>
      </w:r>
      <w:r>
        <w:rPr>
          <w:rFonts w:ascii="Arial" w:cs="Arial" w:eastAsia="Arial" w:hAnsi="Arial"/>
          <w:sz w:val="16"/>
          <w:szCs w:val="16"/>
          <w:color w:val="auto"/>
        </w:rPr>
        <w:t>. The following terms and their respective definitions set forth in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13.1 are amended in their entirety and replaced with the following:</w:t>
      </w:r>
    </w:p>
    <w:p>
      <w:pPr>
        <w:spacing w:after="0" w:line="207" w:lineRule="exact"/>
        <w:rPr>
          <w:sz w:val="20"/>
          <w:szCs w:val="20"/>
          <w:color w:val="auto"/>
        </w:rPr>
      </w:pPr>
    </w:p>
    <w:p>
      <w:pPr>
        <w:ind w:left="1440" w:right="319"/>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Draw Period B</w:t>
      </w:r>
      <w:r>
        <w:rPr>
          <w:rFonts w:ascii="Arial" w:cs="Arial" w:eastAsia="Arial" w:hAnsi="Arial"/>
          <w:sz w:val="18"/>
          <w:szCs w:val="18"/>
          <w:color w:val="auto"/>
        </w:rPr>
        <w:t>” is the period of time from the occurrence of the Equity Event through the earlier to occur of (a) June 30, 2014 or (b) an Event of Default.”</w:t>
      </w:r>
    </w:p>
    <w:p>
      <w:pPr>
        <w:spacing w:after="0" w:line="161" w:lineRule="exact"/>
        <w:rPr>
          <w:sz w:val="20"/>
          <w:szCs w:val="20"/>
          <w:color w:val="auto"/>
        </w:rPr>
      </w:pPr>
    </w:p>
    <w:p>
      <w:pPr>
        <w:ind w:left="1440" w:right="579"/>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Draw Period C</w:t>
      </w:r>
      <w:r>
        <w:rPr>
          <w:rFonts w:ascii="Arial" w:cs="Arial" w:eastAsia="Arial" w:hAnsi="Arial"/>
          <w:sz w:val="18"/>
          <w:szCs w:val="18"/>
          <w:color w:val="auto"/>
        </w:rPr>
        <w:t>” is the period of time from the occurrence of the Milestone Event through the earlier to occur of (a) June 30, 2014 or (b) an Event of Default.”</w:t>
      </w:r>
    </w:p>
    <w:p>
      <w:pPr>
        <w:spacing w:after="0" w:line="162" w:lineRule="exact"/>
        <w:rPr>
          <w:sz w:val="20"/>
          <w:szCs w:val="20"/>
          <w:color w:val="auto"/>
        </w:rPr>
      </w:pPr>
    </w:p>
    <w:p>
      <w:pPr>
        <w:ind w:left="160" w:right="339" w:firstLine="1296"/>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Section 13 (Definitions)</w:t>
      </w:r>
      <w:r>
        <w:rPr>
          <w:rFonts w:ascii="Arial" w:cs="Arial" w:eastAsia="Arial" w:hAnsi="Arial"/>
          <w:sz w:val="18"/>
          <w:szCs w:val="18"/>
          <w:color w:val="auto"/>
        </w:rPr>
        <w:t>. The Loan Agreement shall be amended by inserting the following new definition to appear alphabetically in Section 13.1 thereof</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8" w:name="page169"/>
    <w:bookmarkEnd w:id="168"/>
    <w:p>
      <w:pPr>
        <w:ind w:left="1440" w:right="319"/>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Amortization Date</w:t>
      </w:r>
      <w:r>
        <w:rPr>
          <w:rFonts w:ascii="Arial" w:cs="Arial" w:eastAsia="Arial" w:hAnsi="Arial"/>
          <w:sz w:val="18"/>
          <w:szCs w:val="18"/>
          <w:color w:val="auto"/>
        </w:rPr>
        <w:t>” is (a) with respect to any Term Loan A Advance, April 1, 2014, and (b) with respect to any Term Loan B Advance or Term Loan C Advance, January 1, 2015.”</w:t>
      </w:r>
    </w:p>
    <w:p>
      <w:pPr>
        <w:spacing w:after="0" w:line="161" w:lineRule="exact"/>
        <w:rPr>
          <w:sz w:val="20"/>
          <w:szCs w:val="20"/>
          <w:color w:val="auto"/>
        </w:rPr>
      </w:pPr>
    </w:p>
    <w:p>
      <w:pPr>
        <w:ind w:left="1580" w:hanging="781"/>
        <w:spacing w:after="0"/>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Limitation of Amendments</w:t>
      </w:r>
      <w:r>
        <w:rPr>
          <w:rFonts w:ascii="Arial" w:cs="Arial" w:eastAsia="Arial" w:hAnsi="Arial"/>
          <w:sz w:val="18"/>
          <w:szCs w:val="18"/>
          <w:color w:val="auto"/>
        </w:rPr>
        <w:t>.</w:t>
      </w:r>
    </w:p>
    <w:p>
      <w:pPr>
        <w:spacing w:after="0" w:line="229" w:lineRule="exact"/>
        <w:rPr>
          <w:sz w:val="20"/>
          <w:szCs w:val="20"/>
          <w:color w:val="auto"/>
        </w:rPr>
      </w:pPr>
    </w:p>
    <w:p>
      <w:pPr>
        <w:ind w:left="160" w:right="419" w:firstLine="1296"/>
        <w:spacing w:after="0" w:line="302" w:lineRule="auto"/>
        <w:rPr>
          <w:sz w:val="20"/>
          <w:szCs w:val="20"/>
          <w:color w:val="auto"/>
        </w:rPr>
      </w:pPr>
      <w:r>
        <w:rPr>
          <w:rFonts w:ascii="Arial" w:cs="Arial" w:eastAsia="Arial" w:hAnsi="Arial"/>
          <w:sz w:val="16"/>
          <w:szCs w:val="16"/>
          <w:color w:val="auto"/>
        </w:rPr>
        <w:t>3.1 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54" w:lineRule="exact"/>
        <w:rPr>
          <w:sz w:val="20"/>
          <w:szCs w:val="20"/>
          <w:color w:val="auto"/>
        </w:rPr>
      </w:pPr>
    </w:p>
    <w:p>
      <w:pPr>
        <w:ind w:left="160" w:right="179" w:firstLine="1296"/>
        <w:spacing w:after="0" w:line="286" w:lineRule="auto"/>
        <w:rPr>
          <w:sz w:val="20"/>
          <w:szCs w:val="20"/>
          <w:color w:val="auto"/>
        </w:rPr>
      </w:pPr>
      <w:r>
        <w:rPr>
          <w:rFonts w:ascii="Arial" w:cs="Arial" w:eastAsia="Arial" w:hAnsi="Arial"/>
          <w:sz w:val="17"/>
          <w:szCs w:val="17"/>
          <w:color w:val="auto"/>
        </w:rPr>
        <w:t>3.2 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62" w:lineRule="exact"/>
        <w:rPr>
          <w:sz w:val="20"/>
          <w:szCs w:val="20"/>
          <w:color w:val="auto"/>
        </w:rPr>
      </w:pPr>
    </w:p>
    <w:p>
      <w:pPr>
        <w:ind w:left="160" w:right="359" w:firstLine="639"/>
        <w:spacing w:after="0" w:line="282" w:lineRule="auto"/>
        <w:tabs>
          <w:tab w:leader="none" w:pos="1483"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To induce Bank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Bank as follows:</w:t>
      </w:r>
    </w:p>
    <w:p>
      <w:pPr>
        <w:spacing w:after="0" w:line="166" w:lineRule="exact"/>
        <w:rPr>
          <w:sz w:val="20"/>
          <w:szCs w:val="20"/>
          <w:color w:val="auto"/>
        </w:rPr>
      </w:pPr>
    </w:p>
    <w:p>
      <w:pPr>
        <w:ind w:left="160" w:right="219" w:firstLine="1296"/>
        <w:spacing w:after="0" w:line="259" w:lineRule="auto"/>
        <w:rPr>
          <w:sz w:val="20"/>
          <w:szCs w:val="20"/>
          <w:color w:val="auto"/>
        </w:rPr>
      </w:pPr>
      <w:r>
        <w:rPr>
          <w:rFonts w:ascii="Arial" w:cs="Arial" w:eastAsia="Arial" w:hAnsi="Arial"/>
          <w:sz w:val="18"/>
          <w:szCs w:val="18"/>
          <w:color w:val="auto"/>
        </w:rPr>
        <w:t>4.1 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7" w:lineRule="exact"/>
        <w:rPr>
          <w:sz w:val="20"/>
          <w:szCs w:val="20"/>
          <w:color w:val="auto"/>
        </w:rPr>
      </w:pPr>
    </w:p>
    <w:p>
      <w:pPr>
        <w:ind w:left="160" w:right="239" w:firstLine="1296"/>
        <w:spacing w:after="0" w:line="277" w:lineRule="auto"/>
        <w:rPr>
          <w:sz w:val="20"/>
          <w:szCs w:val="20"/>
          <w:color w:val="auto"/>
        </w:rPr>
      </w:pPr>
      <w:r>
        <w:rPr>
          <w:rFonts w:ascii="Arial" w:cs="Arial" w:eastAsia="Arial" w:hAnsi="Arial"/>
          <w:sz w:val="18"/>
          <w:szCs w:val="18"/>
          <w:color w:val="auto"/>
        </w:rPr>
        <w:t>4.2 Borrower has the power and authority to execute and deliver this Amendment and to perform its obligations under the Loan Agreement, as amended by this Amendment;</w:t>
      </w:r>
    </w:p>
    <w:p>
      <w:pPr>
        <w:spacing w:after="0" w:line="170" w:lineRule="exact"/>
        <w:rPr>
          <w:sz w:val="20"/>
          <w:szCs w:val="20"/>
          <w:color w:val="auto"/>
        </w:rPr>
      </w:pPr>
    </w:p>
    <w:p>
      <w:pPr>
        <w:ind w:left="160" w:right="399" w:firstLine="1296"/>
        <w:spacing w:after="0" w:line="264" w:lineRule="auto"/>
        <w:rPr>
          <w:sz w:val="20"/>
          <w:szCs w:val="20"/>
          <w:color w:val="auto"/>
        </w:rPr>
      </w:pPr>
      <w:r>
        <w:rPr>
          <w:rFonts w:ascii="Arial" w:cs="Arial" w:eastAsia="Arial" w:hAnsi="Arial"/>
          <w:sz w:val="18"/>
          <w:szCs w:val="18"/>
          <w:color w:val="auto"/>
        </w:rPr>
        <w:t>4.3 The organizational documents of Borrower delivered to Bank on the Effective Date remain true, accurate and complete and have not been amended, supplemented or restated and are and continue to be in full force and effect, except as set forth on Schedule 1 attached hereto;</w:t>
      </w:r>
    </w:p>
    <w:p>
      <w:pPr>
        <w:spacing w:after="0" w:line="181" w:lineRule="exact"/>
        <w:rPr>
          <w:sz w:val="20"/>
          <w:szCs w:val="20"/>
          <w:color w:val="auto"/>
        </w:rPr>
      </w:pPr>
    </w:p>
    <w:p>
      <w:pPr>
        <w:ind w:left="160" w:right="519" w:firstLine="1296"/>
        <w:spacing w:after="0" w:line="342" w:lineRule="auto"/>
        <w:rPr>
          <w:sz w:val="20"/>
          <w:szCs w:val="20"/>
          <w:color w:val="auto"/>
        </w:rPr>
      </w:pPr>
      <w:r>
        <w:rPr>
          <w:rFonts w:ascii="Arial" w:cs="Arial" w:eastAsia="Arial" w:hAnsi="Arial"/>
          <w:sz w:val="16"/>
          <w:szCs w:val="16"/>
          <w:color w:val="auto"/>
        </w:rPr>
        <w:t>4.4 The execution and delivery by Borrower of this Amendment and the performance by Borrower of its obligations under the Loan Agreement, as amended by this Amendment, have been duly authorized;</w:t>
      </w:r>
    </w:p>
    <w:p>
      <w:pPr>
        <w:spacing w:after="0" w:line="124" w:lineRule="exact"/>
        <w:rPr>
          <w:sz w:val="20"/>
          <w:szCs w:val="20"/>
          <w:color w:val="auto"/>
        </w:rPr>
      </w:pPr>
    </w:p>
    <w:p>
      <w:pPr>
        <w:ind w:left="160" w:right="259" w:firstLine="1296"/>
        <w:spacing w:after="0" w:line="291" w:lineRule="auto"/>
        <w:rPr>
          <w:sz w:val="20"/>
          <w:szCs w:val="20"/>
          <w:color w:val="auto"/>
        </w:rPr>
      </w:pPr>
      <w:r>
        <w:rPr>
          <w:rFonts w:ascii="Arial" w:cs="Arial" w:eastAsia="Arial" w:hAnsi="Arial"/>
          <w:sz w:val="16"/>
          <w:szCs w:val="16"/>
          <w:color w:val="auto"/>
        </w:rPr>
        <w:t>4.5 The execution and delivery by Borrower of this Amendment and the performance by Borrower of its obligations under the Loan Agreement, as amended by this Amendment, do not and will not contravene</w:t>
      </w:r>
    </w:p>
    <w:p>
      <w:pPr>
        <w:ind w:left="160" w:right="599" w:hanging="9"/>
        <w:spacing w:after="0" w:line="277" w:lineRule="auto"/>
        <w:tabs>
          <w:tab w:leader="none" w:pos="40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73" w:lineRule="exact"/>
        <w:rPr>
          <w:sz w:val="20"/>
          <w:szCs w:val="20"/>
          <w:color w:val="auto"/>
        </w:rPr>
      </w:pPr>
    </w:p>
    <w:p>
      <w:pPr>
        <w:ind w:left="160" w:right="199" w:firstLine="1296"/>
        <w:spacing w:after="0" w:line="257" w:lineRule="auto"/>
        <w:rPr>
          <w:sz w:val="20"/>
          <w:szCs w:val="20"/>
          <w:color w:val="auto"/>
        </w:rPr>
      </w:pPr>
      <w:r>
        <w:rPr>
          <w:rFonts w:ascii="Arial" w:cs="Arial" w:eastAsia="Arial" w:hAnsi="Arial"/>
          <w:sz w:val="18"/>
          <w:szCs w:val="18"/>
          <w:color w:val="auto"/>
        </w:rPr>
        <w:t>4.6 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88" w:lineRule="exact"/>
        <w:rPr>
          <w:sz w:val="20"/>
          <w:szCs w:val="20"/>
          <w:color w:val="auto"/>
        </w:rPr>
      </w:pPr>
    </w:p>
    <w:p>
      <w:pPr>
        <w:ind w:left="160" w:right="179" w:firstLine="1296"/>
        <w:spacing w:after="0" w:line="259" w:lineRule="auto"/>
        <w:rPr>
          <w:sz w:val="20"/>
          <w:szCs w:val="20"/>
          <w:color w:val="auto"/>
        </w:rPr>
      </w:pPr>
      <w:r>
        <w:rPr>
          <w:rFonts w:ascii="Arial" w:cs="Arial" w:eastAsia="Arial" w:hAnsi="Arial"/>
          <w:sz w:val="18"/>
          <w:szCs w:val="18"/>
          <w:color w:val="auto"/>
        </w:rPr>
        <w:t>4.7 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3" w:lineRule="exact"/>
        <w:rPr>
          <w:sz w:val="20"/>
          <w:szCs w:val="20"/>
          <w:color w:val="auto"/>
        </w:rPr>
      </w:pPr>
    </w:p>
    <w:p>
      <w:pPr>
        <w:ind w:left="160" w:right="159" w:firstLine="639"/>
        <w:spacing w:after="0" w:line="303" w:lineRule="auto"/>
        <w:tabs>
          <w:tab w:leader="none" w:pos="1483"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Ratification of Perfection Certificate</w:t>
      </w:r>
      <w:r>
        <w:rPr>
          <w:rFonts w:ascii="Arial" w:cs="Arial" w:eastAsia="Arial" w:hAnsi="Arial"/>
          <w:sz w:val="16"/>
          <w:szCs w:val="16"/>
          <w:color w:val="auto"/>
        </w:rPr>
        <w:t>. Borrower hereby ratifies, confirms and reaffirms, all and</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the terms and disclosures contained in a certain Perfection Certificate dated as of May 24, 2013 between Borrower and Bank, and acknowledges, confirms and agrees the disclosures and information Borrower provided to Bank in said Perfection Certificate have not changed, as of the date hereof, except as set forth on Schedule 2 attached hereto.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9" w:name="page170"/>
    <w:bookmarkEnd w:id="169"/>
    <w:p>
      <w:pPr>
        <w:ind w:left="160" w:right="359" w:firstLine="639"/>
        <w:spacing w:after="0" w:line="261" w:lineRule="auto"/>
        <w:tabs>
          <w:tab w:leader="none" w:pos="1483"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18"/>
          <w:szCs w:val="18"/>
          <w:color w:val="auto"/>
        </w:rPr>
      </w:pPr>
    </w:p>
    <w:p>
      <w:pPr>
        <w:ind w:left="160" w:right="599" w:firstLine="639"/>
        <w:spacing w:after="0" w:line="282" w:lineRule="auto"/>
        <w:tabs>
          <w:tab w:leader="none" w:pos="1483"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all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taken together shall be deemed to constitute one and the same instrument.</w:t>
      </w:r>
    </w:p>
    <w:p>
      <w:pPr>
        <w:spacing w:after="0" w:line="161" w:lineRule="exact"/>
        <w:rPr>
          <w:rFonts w:ascii="Arial" w:cs="Arial" w:eastAsia="Arial" w:hAnsi="Arial"/>
          <w:sz w:val="18"/>
          <w:szCs w:val="18"/>
          <w:color w:val="auto"/>
        </w:rPr>
      </w:pPr>
    </w:p>
    <w:p>
      <w:pPr>
        <w:ind w:left="160" w:right="279" w:firstLine="639"/>
        <w:spacing w:after="0" w:line="266" w:lineRule="auto"/>
        <w:tabs>
          <w:tab w:leader="none" w:pos="1483"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upon (a) the due execution and delivery to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by each party hereto, and (b) Borrower’s payment of Bank’s legal fees and expenses incurred in connection with this Amendment.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0" w:name="page171"/>
    <w:bookmarkEnd w:id="170"/>
    <w:p>
      <w:pPr>
        <w:ind w:left="160" w:right="419" w:firstLine="648"/>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duly executed as a sealed</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under the laws of the Commonwealth of Massachusetts and delivered as of the date first written above.</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BANK</w:t>
            </w:r>
          </w:p>
        </w:tc>
        <w:tc>
          <w:tcPr>
            <w:tcW w:w="3520" w:type="dxa"/>
            <w:vAlign w:val="bottom"/>
          </w:tcPr>
          <w:p>
            <w:pPr>
              <w:spacing w:after="0"/>
              <w:rPr>
                <w:sz w:val="20"/>
                <w:szCs w:val="20"/>
                <w:color w:val="auto"/>
              </w:rPr>
            </w:pPr>
          </w:p>
        </w:tc>
        <w:tc>
          <w:tcPr>
            <w:tcW w:w="4620" w:type="dxa"/>
            <w:vAlign w:val="bottom"/>
            <w:gridSpan w:val="2"/>
          </w:tcPr>
          <w:p>
            <w:pPr>
              <w:ind w:left="30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620" w:type="dxa"/>
            <w:vAlign w:val="bottom"/>
            <w:gridSpan w:val="2"/>
          </w:tcPr>
          <w:p>
            <w:pPr>
              <w:ind w:left="300"/>
              <w:spacing w:after="0"/>
              <w:rPr>
                <w:sz w:val="20"/>
                <w:szCs w:val="20"/>
                <w:color w:val="auto"/>
              </w:rPr>
            </w:pPr>
            <w:r>
              <w:rPr>
                <w:rFonts w:ascii="Arial" w:cs="Arial" w:eastAsia="Arial" w:hAnsi="Arial"/>
                <w:sz w:val="18"/>
                <w:szCs w:val="18"/>
                <w:color w:val="auto"/>
              </w:rPr>
              <w:t>BLUEPRINT MEDICINES CORPORATION</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Zorzi</w:t>
            </w:r>
          </w:p>
        </w:tc>
        <w:tc>
          <w:tcPr>
            <w:tcW w:w="860" w:type="dxa"/>
            <w:vAlign w:val="bottom"/>
          </w:tcPr>
          <w:p>
            <w:pPr>
              <w:ind w:left="30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Christine M. Zorzi</w:t>
            </w:r>
          </w:p>
        </w:tc>
        <w:tc>
          <w:tcPr>
            <w:tcW w:w="860" w:type="dxa"/>
            <w:vAlign w:val="bottom"/>
          </w:tcPr>
          <w:p>
            <w:pPr>
              <w:ind w:left="300"/>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Alexis Borisy</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860" w:type="dxa"/>
            <w:vAlign w:val="bottom"/>
          </w:tcPr>
          <w:p>
            <w:pPr>
              <w:ind w:left="30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Interim 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SCHEDULE 1</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Restated Certificate of Incorporation.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Amended and Restated Investor Rights Agreement.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Series B Convertible Preferred Stock Purchase Agreement and Disclosure Schedules.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Amended and Restated Stockholders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Updates to the Perfection Certificate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3" w:name="page174"/>
    <w:bookmarkEnd w:id="173"/>
    <w:p>
      <w:pPr>
        <w:jc w:val="center"/>
        <w:ind w:right="-20"/>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left="160" w:right="179" w:firstLine="648"/>
        <w:spacing w:after="0" w:line="261" w:lineRule="auto"/>
        <w:rPr>
          <w:sz w:val="20"/>
          <w:szCs w:val="20"/>
          <w:color w:val="auto"/>
        </w:rPr>
      </w:pPr>
      <w:r>
        <w:rPr>
          <w:rFonts w:ascii="Arial" w:cs="Arial" w:eastAsia="Arial" w:hAnsi="Arial"/>
          <w:sz w:val="18"/>
          <w:szCs w:val="18"/>
          <w:color w:val="auto"/>
        </w:rPr>
        <w:t>This Second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this 27th day of June, 2014,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MEDICINES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whose address is 215 First Street, Cambridge,</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02142.</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60" w:right="279" w:firstLine="639"/>
        <w:spacing w:after="0" w:line="312" w:lineRule="auto"/>
        <w:tabs>
          <w:tab w:leader="none" w:pos="152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Bank and Borrower have entered into that certain Loan and Security Agreement dated as of May 24, 2013, as amended by a certain First Amendment to Loan and Security Agreement dated as of January 21, 2014 (as the same may from time to time be further amended, modified, supplemented or restated, the “</w:t>
      </w:r>
      <w:r>
        <w:rPr>
          <w:rFonts w:ascii="Arial" w:cs="Arial" w:eastAsia="Arial" w:hAnsi="Arial"/>
          <w:sz w:val="16"/>
          <w:szCs w:val="16"/>
          <w:b w:val="1"/>
          <w:bCs w:val="1"/>
          <w:color w:val="auto"/>
        </w:rPr>
        <w:t>Loan Agreement</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1500" w:hanging="701"/>
        <w:spacing w:after="0"/>
        <w:tabs>
          <w:tab w:leader="none" w:pos="1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color w:val="auto"/>
        </w:rPr>
      </w:pPr>
    </w:p>
    <w:p>
      <w:pPr>
        <w:ind w:left="160" w:right="299" w:firstLine="639"/>
        <w:spacing w:after="0" w:line="277" w:lineRule="auto"/>
        <w:tabs>
          <w:tab w:leader="none" w:pos="15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Borrower has requested that Bank amend the Loan Agreement to make certain revisions to the Loan Agreement as more fully set forth herein.</w:t>
      </w:r>
    </w:p>
    <w:p>
      <w:pPr>
        <w:spacing w:after="0" w:line="170" w:lineRule="exact"/>
        <w:rPr>
          <w:rFonts w:ascii="Arial" w:cs="Arial" w:eastAsia="Arial" w:hAnsi="Arial"/>
          <w:sz w:val="18"/>
          <w:szCs w:val="18"/>
          <w:color w:val="auto"/>
        </w:rPr>
      </w:pPr>
    </w:p>
    <w:p>
      <w:pPr>
        <w:jc w:val="both"/>
        <w:ind w:left="160" w:right="499" w:firstLine="639"/>
        <w:spacing w:after="0" w:line="264" w:lineRule="auto"/>
        <w:tabs>
          <w:tab w:leader="none" w:pos="15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60" w:right="139"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adequacy of which is hereby acknowledged, and intending to be legally bound, the parties hereto agree as follows:</w:t>
      </w:r>
    </w:p>
    <w:p>
      <w:pPr>
        <w:spacing w:after="0" w:line="176" w:lineRule="exact"/>
        <w:rPr>
          <w:sz w:val="20"/>
          <w:szCs w:val="20"/>
          <w:color w:val="auto"/>
        </w:rPr>
      </w:pPr>
    </w:p>
    <w:p>
      <w:pPr>
        <w:ind w:left="160" w:right="199" w:firstLine="639"/>
        <w:spacing w:after="0" w:line="282" w:lineRule="auto"/>
        <w:tabs>
          <w:tab w:leader="none" w:pos="1483"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them in the Loan Agreement.</w:t>
      </w:r>
    </w:p>
    <w:p>
      <w:pPr>
        <w:spacing w:after="0" w:line="161" w:lineRule="exact"/>
        <w:rPr>
          <w:rFonts w:ascii="Arial" w:cs="Arial" w:eastAsia="Arial" w:hAnsi="Arial"/>
          <w:sz w:val="18"/>
          <w:szCs w:val="18"/>
          <w:color w:val="auto"/>
        </w:rPr>
      </w:pPr>
    </w:p>
    <w:p>
      <w:pPr>
        <w:ind w:left="1580" w:hanging="781"/>
        <w:spacing w:after="0"/>
        <w:tabs>
          <w:tab w:leader="none" w:pos="158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Amendments to Loan Agreement</w:t>
      </w:r>
      <w:r>
        <w:rPr>
          <w:rFonts w:ascii="Arial" w:cs="Arial" w:eastAsia="Arial" w:hAnsi="Arial"/>
          <w:sz w:val="18"/>
          <w:szCs w:val="18"/>
          <w:color w:val="auto"/>
        </w:rPr>
        <w:t>.</w:t>
      </w:r>
    </w:p>
    <w:p>
      <w:pPr>
        <w:spacing w:after="0" w:line="225" w:lineRule="exact"/>
        <w:rPr>
          <w:sz w:val="20"/>
          <w:szCs w:val="20"/>
          <w:color w:val="auto"/>
        </w:rPr>
      </w:pPr>
    </w:p>
    <w:p>
      <w:pPr>
        <w:ind w:left="1440"/>
        <w:spacing w:after="0"/>
        <w:tabs>
          <w:tab w:leader="none" w:pos="2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Section 13 (Definitions)</w:t>
      </w:r>
      <w:r>
        <w:rPr>
          <w:rFonts w:ascii="Arial" w:cs="Arial" w:eastAsia="Arial" w:hAnsi="Arial"/>
          <w:sz w:val="16"/>
          <w:szCs w:val="16"/>
          <w:color w:val="auto"/>
        </w:rPr>
        <w:t>. The following term and its respective definition set forth in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 is amended </w:t>
      </w:r>
      <w:r>
        <w:rPr>
          <w:rFonts w:ascii="Arial" w:cs="Arial" w:eastAsia="Arial" w:hAnsi="Arial"/>
          <w:sz w:val="18"/>
          <w:szCs w:val="18"/>
          <w:b w:val="1"/>
          <w:bCs w:val="1"/>
          <w:color w:val="auto"/>
        </w:rPr>
        <w:t>in its entirety and replaced with the following:</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“Term Loan Maturity Date</w:t>
      </w:r>
      <w:r>
        <w:rPr>
          <w:rFonts w:ascii="Arial" w:cs="Arial" w:eastAsia="Arial" w:hAnsi="Arial"/>
          <w:sz w:val="16"/>
          <w:szCs w:val="16"/>
          <w:color w:val="auto"/>
        </w:rPr>
        <w:t>” is (a) with respect to any Term Loan A Advance, March 1, 2017, and</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 with respect to any Term Loan B Advance or Term Loan C Advance, December 1, 2017.”</w:t>
      </w:r>
    </w:p>
    <w:p>
      <w:pPr>
        <w:spacing w:after="0" w:line="206" w:lineRule="exact"/>
        <w:rPr>
          <w:sz w:val="20"/>
          <w:szCs w:val="20"/>
          <w:color w:val="auto"/>
        </w:rPr>
      </w:pPr>
    </w:p>
    <w:p>
      <w:pPr>
        <w:ind w:left="160" w:right="359" w:firstLine="639"/>
        <w:spacing w:after="0" w:line="261" w:lineRule="auto"/>
        <w:tabs>
          <w:tab w:leader="none" w:pos="1483"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18"/>
          <w:szCs w:val="18"/>
          <w:color w:val="auto"/>
        </w:rPr>
      </w:pPr>
    </w:p>
    <w:p>
      <w:pPr>
        <w:ind w:left="160" w:right="599" w:firstLine="639"/>
        <w:spacing w:after="0" w:line="282" w:lineRule="auto"/>
        <w:tabs>
          <w:tab w:leader="none" w:pos="1483"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all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taken together shall be deemed to constitute one and the same instrument.</w:t>
      </w:r>
    </w:p>
    <w:p>
      <w:pPr>
        <w:spacing w:after="0" w:line="161" w:lineRule="exact"/>
        <w:rPr>
          <w:rFonts w:ascii="Arial" w:cs="Arial" w:eastAsia="Arial" w:hAnsi="Arial"/>
          <w:sz w:val="18"/>
          <w:szCs w:val="18"/>
          <w:color w:val="auto"/>
        </w:rPr>
      </w:pPr>
    </w:p>
    <w:p>
      <w:pPr>
        <w:ind w:left="160" w:right="219" w:firstLine="639"/>
        <w:spacing w:after="0" w:line="282" w:lineRule="auto"/>
        <w:tabs>
          <w:tab w:leader="none" w:pos="1483"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upon the due execution and delivery to Bank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by each party hereto.</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4" w:name="page175"/>
    <w:bookmarkEnd w:id="174"/>
    <w:p>
      <w:pPr>
        <w:ind w:left="160" w:right="419" w:firstLine="648"/>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duly executed as a sealed</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under the laws of the Commonwealth of Massachusetts and delivered as of the date first written above.</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BANK</w:t>
            </w:r>
          </w:p>
        </w:tc>
        <w:tc>
          <w:tcPr>
            <w:tcW w:w="3420" w:type="dxa"/>
            <w:vAlign w:val="bottom"/>
          </w:tcPr>
          <w:p>
            <w:pPr>
              <w:spacing w:after="0"/>
              <w:rPr>
                <w:sz w:val="20"/>
                <w:szCs w:val="20"/>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BLUEPRINT MEDICINES CORPORATION</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Zorzi</w:t>
            </w:r>
          </w:p>
        </w:tc>
        <w:tc>
          <w:tcPr>
            <w:tcW w:w="920" w:type="dxa"/>
            <w:vAlign w:val="bottom"/>
          </w:tcPr>
          <w:p>
            <w:pPr>
              <w:ind w:left="38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Drapkin</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Christine M. Zorzi</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Name: Kim Drapkin</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920" w:type="dxa"/>
            <w:vAlign w:val="bottom"/>
          </w:tcPr>
          <w:p>
            <w:pPr>
              <w:ind w:left="380"/>
              <w:spacing w:after="0"/>
              <w:rPr>
                <w:sz w:val="20"/>
                <w:szCs w:val="20"/>
                <w:color w:val="auto"/>
              </w:rPr>
            </w:pPr>
            <w:r>
              <w:rPr>
                <w:rFonts w:ascii="Arial" w:cs="Arial" w:eastAsia="Arial" w:hAnsi="Arial"/>
                <w:sz w:val="18"/>
                <w:szCs w:val="18"/>
                <w:color w:val="auto"/>
              </w:rPr>
              <w:t>Title:</w:t>
            </w:r>
          </w:p>
        </w:tc>
        <w:tc>
          <w:tcPr>
            <w:tcW w:w="3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5" w:name="page176"/>
    <w:bookmarkEnd w:id="175"/>
    <w:p>
      <w:pPr>
        <w:jc w:val="center"/>
        <w:ind w:right="-20"/>
        <w:spacing w:after="0"/>
        <w:rPr>
          <w:sz w:val="20"/>
          <w:szCs w:val="20"/>
          <w:color w:val="auto"/>
        </w:rPr>
      </w:pPr>
      <w:r>
        <w:rPr>
          <w:rFonts w:ascii="Arial" w:cs="Arial" w:eastAsia="Arial" w:hAnsi="Arial"/>
          <w:sz w:val="18"/>
          <w:szCs w:val="18"/>
          <w:b w:val="1"/>
          <w:bCs w:val="1"/>
          <w:color w:val="auto"/>
        </w:rPr>
        <w:t>THIRD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left="160" w:right="239" w:firstLine="648"/>
        <w:spacing w:after="0" w:line="261" w:lineRule="auto"/>
        <w:rPr>
          <w:sz w:val="20"/>
          <w:szCs w:val="20"/>
          <w:color w:val="auto"/>
        </w:rPr>
      </w:pPr>
      <w:r>
        <w:rPr>
          <w:rFonts w:ascii="Arial" w:cs="Arial" w:eastAsia="Arial" w:hAnsi="Arial"/>
          <w:sz w:val="18"/>
          <w:szCs w:val="18"/>
          <w:color w:val="auto"/>
        </w:rPr>
        <w:t>This Third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this 4th day of November, 2014,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MEDICINES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whose address is 215 First Street, Cambridge,</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02142.</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520" w:hanging="721"/>
        <w:spacing w:after="0"/>
        <w:tabs>
          <w:tab w:leader="none" w:pos="15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Bank and Borrower have entered into that certain Loan and Security Agreement dated as of</w:t>
      </w:r>
    </w:p>
    <w:p>
      <w:pPr>
        <w:spacing w:after="0" w:line="23" w:lineRule="exact"/>
        <w:rPr>
          <w:sz w:val="20"/>
          <w:szCs w:val="20"/>
          <w:color w:val="auto"/>
        </w:rPr>
      </w:pPr>
    </w:p>
    <w:p>
      <w:pPr>
        <w:ind w:left="160" w:right="319"/>
        <w:spacing w:after="0" w:line="254" w:lineRule="auto"/>
        <w:rPr>
          <w:sz w:val="20"/>
          <w:szCs w:val="20"/>
          <w:color w:val="auto"/>
        </w:rPr>
      </w:pPr>
      <w:r>
        <w:rPr>
          <w:rFonts w:ascii="Arial" w:cs="Arial" w:eastAsia="Arial" w:hAnsi="Arial"/>
          <w:sz w:val="18"/>
          <w:szCs w:val="18"/>
          <w:color w:val="auto"/>
        </w:rPr>
        <w:t>May 24,2013, as amended by a certain First Amendment to Loan and Security Agreement dated as of January 21,2014 (the “</w:t>
      </w:r>
      <w:r>
        <w:rPr>
          <w:rFonts w:ascii="Arial" w:cs="Arial" w:eastAsia="Arial" w:hAnsi="Arial"/>
          <w:sz w:val="18"/>
          <w:szCs w:val="18"/>
          <w:b w:val="1"/>
          <w:bCs w:val="1"/>
          <w:color w:val="auto"/>
        </w:rPr>
        <w:t>First Amendment</w:t>
      </w:r>
      <w:r>
        <w:rPr>
          <w:rFonts w:ascii="Arial" w:cs="Arial" w:eastAsia="Arial" w:hAnsi="Arial"/>
          <w:sz w:val="18"/>
          <w:szCs w:val="18"/>
          <w:color w:val="auto"/>
        </w:rPr>
        <w:t>”), and as amended by a certain Second Amendment to Loan and Security Agreement dated June 27, 2014 (as the same may from time to time be further amended, modified, supplemented or restated,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0" w:lineRule="exact"/>
        <w:rPr>
          <w:sz w:val="20"/>
          <w:szCs w:val="20"/>
          <w:color w:val="auto"/>
        </w:rPr>
      </w:pPr>
    </w:p>
    <w:p>
      <w:pPr>
        <w:ind w:left="1500" w:hanging="701"/>
        <w:spacing w:after="0"/>
        <w:tabs>
          <w:tab w:leader="none" w:pos="1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color w:val="auto"/>
        </w:rPr>
      </w:pPr>
    </w:p>
    <w:p>
      <w:pPr>
        <w:ind w:left="160" w:right="299" w:firstLine="639"/>
        <w:spacing w:after="0" w:line="277" w:lineRule="auto"/>
        <w:tabs>
          <w:tab w:leader="none" w:pos="151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Borrower has requested that Bank amend the Loan Agreement to make certain revisions to the Loan Agreement as more fully set forth herein.</w:t>
      </w:r>
    </w:p>
    <w:p>
      <w:pPr>
        <w:spacing w:after="0" w:line="170" w:lineRule="exact"/>
        <w:rPr>
          <w:rFonts w:ascii="Arial" w:cs="Arial" w:eastAsia="Arial" w:hAnsi="Arial"/>
          <w:sz w:val="18"/>
          <w:szCs w:val="18"/>
          <w:color w:val="auto"/>
        </w:rPr>
      </w:pPr>
    </w:p>
    <w:p>
      <w:pPr>
        <w:jc w:val="both"/>
        <w:ind w:left="160" w:right="499" w:firstLine="639"/>
        <w:spacing w:after="0" w:line="264" w:lineRule="auto"/>
        <w:tabs>
          <w:tab w:leader="none" w:pos="15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60" w:right="139"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adequacy of which is hereby acknowledged, and intending to be legally bound, the parties hereto agree as follows:</w:t>
      </w:r>
    </w:p>
    <w:p>
      <w:pPr>
        <w:spacing w:after="0" w:line="176" w:lineRule="exact"/>
        <w:rPr>
          <w:sz w:val="20"/>
          <w:szCs w:val="20"/>
          <w:color w:val="auto"/>
        </w:rPr>
      </w:pPr>
    </w:p>
    <w:p>
      <w:pPr>
        <w:ind w:left="160" w:right="219" w:firstLine="639"/>
        <w:spacing w:after="0" w:line="282" w:lineRule="auto"/>
        <w:tabs>
          <w:tab w:leader="none" w:pos="1474"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but not defined in this Amendment shall have the meanings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them in the Loan Agreement.</w:t>
      </w:r>
    </w:p>
    <w:p>
      <w:pPr>
        <w:spacing w:after="0" w:line="161" w:lineRule="exact"/>
        <w:rPr>
          <w:rFonts w:ascii="Arial" w:cs="Arial" w:eastAsia="Arial" w:hAnsi="Arial"/>
          <w:sz w:val="18"/>
          <w:szCs w:val="18"/>
          <w:color w:val="auto"/>
        </w:rPr>
      </w:pPr>
    </w:p>
    <w:p>
      <w:pPr>
        <w:ind w:left="1460" w:hanging="661"/>
        <w:spacing w:after="0"/>
        <w:tabs>
          <w:tab w:leader="none" w:pos="1460"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Loan Agreement</w:t>
      </w:r>
      <w:r>
        <w:rPr>
          <w:rFonts w:ascii="Arial" w:cs="Arial" w:eastAsia="Arial" w:hAnsi="Arial"/>
          <w:sz w:val="18"/>
          <w:szCs w:val="18"/>
          <w:color w:val="auto"/>
        </w:rPr>
        <w:t>.</w:t>
      </w:r>
    </w:p>
    <w:p>
      <w:pPr>
        <w:spacing w:after="0" w:line="225" w:lineRule="exact"/>
        <w:rPr>
          <w:sz w:val="20"/>
          <w:szCs w:val="20"/>
          <w:color w:val="auto"/>
        </w:rPr>
      </w:pPr>
    </w:p>
    <w:p>
      <w:pPr>
        <w:ind w:left="160" w:right="379" w:firstLine="1296"/>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Section 2.1.2 (2014 Term Loan)</w:t>
      </w:r>
      <w:r>
        <w:rPr>
          <w:rFonts w:ascii="Arial" w:cs="Arial" w:eastAsia="Arial" w:hAnsi="Arial"/>
          <w:sz w:val="18"/>
          <w:szCs w:val="18"/>
          <w:color w:val="auto"/>
        </w:rPr>
        <w:t>. The Loan Agreement shall be amended by inserting the following new provision to appear as Section 2.1.2 (2014 Term Loan) thereof:</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2014 Term Loan</w:t>
      </w:r>
      <w:r>
        <w:rPr>
          <w:rFonts w:ascii="Arial" w:cs="Arial" w:eastAsia="Arial" w:hAnsi="Arial"/>
          <w:sz w:val="18"/>
          <w:szCs w:val="18"/>
          <w:color w:val="auto"/>
        </w:rPr>
        <w:t>.</w:t>
      </w:r>
    </w:p>
    <w:p>
      <w:pPr>
        <w:spacing w:after="0" w:line="229" w:lineRule="exact"/>
        <w:rPr>
          <w:sz w:val="20"/>
          <w:szCs w:val="20"/>
          <w:color w:val="auto"/>
        </w:rPr>
      </w:pPr>
    </w:p>
    <w:p>
      <w:pPr>
        <w:ind w:left="1440" w:right="159" w:firstLine="655"/>
        <w:spacing w:after="0" w:line="259" w:lineRule="auto"/>
        <w:tabs>
          <w:tab w:leader="none" w:pos="273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Bank shall make one advance (the “</w:t>
      </w:r>
      <w:r>
        <w:rPr>
          <w:rFonts w:ascii="Arial" w:cs="Arial" w:eastAsia="Arial" w:hAnsi="Arial"/>
          <w:sz w:val="18"/>
          <w:szCs w:val="18"/>
          <w:b w:val="1"/>
          <w:bCs w:val="1"/>
          <w:color w:val="auto"/>
        </w:rPr>
        <w:t>2014 Term Loan Advance</w:t>
      </w:r>
      <w:r>
        <w:rPr>
          <w:rFonts w:ascii="Arial" w:cs="Arial" w:eastAsia="Arial" w:hAnsi="Arial"/>
          <w:sz w:val="18"/>
          <w:szCs w:val="18"/>
          <w:color w:val="auto"/>
        </w:rPr>
        <w:t>”) available to Borrower in an amount of up to Five Million Dollars ($5,000,000.00) on the 2014 Effective Date. After repayment, the 2014 Term Loan Advance may not be reborrowed.</w:t>
      </w:r>
    </w:p>
    <w:p>
      <w:pPr>
        <w:spacing w:after="0" w:line="186" w:lineRule="exact"/>
        <w:rPr>
          <w:rFonts w:ascii="Arial" w:cs="Arial" w:eastAsia="Arial" w:hAnsi="Arial"/>
          <w:sz w:val="18"/>
          <w:szCs w:val="18"/>
          <w:color w:val="auto"/>
        </w:rPr>
      </w:pPr>
    </w:p>
    <w:p>
      <w:pPr>
        <w:ind w:left="1440" w:right="299" w:firstLine="655"/>
        <w:spacing w:after="0" w:line="302" w:lineRule="auto"/>
        <w:tabs>
          <w:tab w:leader="none" w:pos="2748"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Interest Period</w:t>
      </w:r>
      <w:r>
        <w:rPr>
          <w:rFonts w:ascii="Arial" w:cs="Arial" w:eastAsia="Arial" w:hAnsi="Arial"/>
          <w:sz w:val="16"/>
          <w:szCs w:val="16"/>
          <w:color w:val="auto"/>
        </w:rPr>
        <w:t>. Commencing on the first Payment Date of the month following the month in which the Funding Date of the 2014 Term Loan Advance occurs, and continuing on each Payment Date thereafter, Borrower shall make monthly payments of interest, in arrears, on the outstanding principal amount of the 2014 Term Loan Advance at the rate set forth in Section 2.2(a).</w:t>
      </w:r>
    </w:p>
    <w:p>
      <w:pPr>
        <w:spacing w:after="0" w:line="154" w:lineRule="exact"/>
        <w:rPr>
          <w:rFonts w:ascii="Arial" w:cs="Arial" w:eastAsia="Arial" w:hAnsi="Arial"/>
          <w:sz w:val="16"/>
          <w:szCs w:val="16"/>
          <w:color w:val="auto"/>
        </w:rPr>
      </w:pPr>
    </w:p>
    <w:p>
      <w:pPr>
        <w:ind w:left="1440" w:right="179" w:firstLine="655"/>
        <w:spacing w:after="0" w:line="312" w:lineRule="auto"/>
        <w:tabs>
          <w:tab w:leader="none" w:pos="2765"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December 1, 2015, and continuing on the Payment Date of each month thereafter, Borrower shall repay the 2014 Term Loan Advance in (i) thirty-six (36) equal installments of principal, plus (ii) monthly payments of accrued interest at the rate set</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6" w:name="page177"/>
    <w:bookmarkEnd w:id="176"/>
    <w:p>
      <w:pPr>
        <w:jc w:val="both"/>
        <w:ind w:left="1440" w:right="319"/>
        <w:spacing w:after="0" w:line="286" w:lineRule="auto"/>
        <w:rPr>
          <w:sz w:val="20"/>
          <w:szCs w:val="20"/>
          <w:color w:val="auto"/>
        </w:rPr>
      </w:pPr>
      <w:r>
        <w:rPr>
          <w:rFonts w:ascii="Arial" w:cs="Arial" w:eastAsia="Arial" w:hAnsi="Arial"/>
          <w:sz w:val="17"/>
          <w:szCs w:val="17"/>
          <w:color w:val="auto"/>
        </w:rPr>
        <w:t>forth in Section 2.2(a). All outstanding principal and accrued and unpaid interest with respect to the 2014 Term Loan Advance, and all other outstanding Obligations with respect to the 2014 Term Loan Advance, is due and payable in full on the 2014 Term Loan Maturity Date.</w:t>
      </w:r>
    </w:p>
    <w:p>
      <w:pPr>
        <w:spacing w:after="0" w:line="166" w:lineRule="exact"/>
        <w:rPr>
          <w:sz w:val="20"/>
          <w:szCs w:val="20"/>
          <w:color w:val="auto"/>
        </w:rPr>
      </w:pPr>
    </w:p>
    <w:p>
      <w:pPr>
        <w:ind w:left="1440" w:right="219" w:firstLine="655"/>
        <w:spacing w:after="0" w:line="255" w:lineRule="auto"/>
        <w:tabs>
          <w:tab w:leader="none" w:pos="2748"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2014 Term Loan Advance is accelerated by Bank in accordance with Section 9.1 following the occurrence and during the continuance of an Event of Default, Borrower shall immediately pay to Bank an amount equal to the sum of: (i) all outstanding principal plus accrued and unpaid interest, (ii) the applicable Prepayment Premium, (iii) the Final Payment, plus (iv) all other sums, if any, that shall have become due and payable under the Loan Documents, including interest at the Default Rate with respect to any past due amounts.</w:t>
      </w:r>
    </w:p>
    <w:p>
      <w:pPr>
        <w:spacing w:after="0" w:line="189" w:lineRule="exact"/>
        <w:rPr>
          <w:rFonts w:ascii="Arial" w:cs="Arial" w:eastAsia="Arial" w:hAnsi="Arial"/>
          <w:sz w:val="18"/>
          <w:szCs w:val="18"/>
          <w:color w:val="auto"/>
        </w:rPr>
      </w:pPr>
    </w:p>
    <w:p>
      <w:pPr>
        <w:ind w:left="1440" w:right="239" w:firstLine="655"/>
        <w:spacing w:after="0" w:line="286" w:lineRule="auto"/>
        <w:tabs>
          <w:tab w:leader="none" w:pos="2738"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the 2014 Term Loan</w:t>
      </w:r>
      <w:r>
        <w:rPr>
          <w:rFonts w:ascii="Arial" w:cs="Arial" w:eastAsia="Arial" w:hAnsi="Arial"/>
          <w:sz w:val="16"/>
          <w:szCs w:val="16"/>
          <w:color w:val="auto"/>
        </w:rPr>
        <w:t>. Borrower shall have the option to prepay all, but not less than all, of the Term Loan Advances advanced by Bank under this Agreement, provided Borrower (i) provides written notice to Bank of its election to prepay the 2014 Term Loan Advance at least five (5) days prior to such prepayment, and (ii) pays, on the date of such prepayment</w:t>
      </w:r>
    </w:p>
    <w:p>
      <w:pPr>
        <w:spacing w:after="0" w:line="1" w:lineRule="exact"/>
        <w:rPr>
          <w:rFonts w:ascii="Arial" w:cs="Arial" w:eastAsia="Arial" w:hAnsi="Arial"/>
          <w:sz w:val="16"/>
          <w:szCs w:val="16"/>
          <w:color w:val="auto"/>
        </w:rPr>
      </w:pPr>
    </w:p>
    <w:p>
      <w:pPr>
        <w:ind w:left="1440" w:right="219" w:firstLine="7"/>
        <w:spacing w:after="0" w:line="254" w:lineRule="auto"/>
        <w:tabs>
          <w:tab w:leader="none" w:pos="173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outstanding principal plus accrued and unpaid interest, (B) the applicable Prepayment Premium, (C) the Final Payment, plus (D) all other sums, if any, that shall have become due and payable under the Loan Documents, including interest al the Default Rate with respect to any past due amounts.”</w:t>
      </w:r>
    </w:p>
    <w:p>
      <w:pPr>
        <w:spacing w:after="0" w:line="186" w:lineRule="exact"/>
        <w:rPr>
          <w:sz w:val="20"/>
          <w:szCs w:val="20"/>
          <w:color w:val="auto"/>
        </w:rPr>
      </w:pPr>
    </w:p>
    <w:p>
      <w:pPr>
        <w:jc w:val="right"/>
        <w:ind w:right="159"/>
        <w:spacing w:after="0"/>
        <w:tabs>
          <w:tab w:leader="none" w:pos="67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Section 2.2(a) (Interest Rate)</w:t>
      </w:r>
      <w:r>
        <w:rPr>
          <w:rFonts w:ascii="Arial" w:cs="Arial" w:eastAsia="Arial" w:hAnsi="Arial"/>
          <w:sz w:val="16"/>
          <w:szCs w:val="16"/>
          <w:color w:val="auto"/>
        </w:rPr>
        <w:t>. Section 2.2(a) is amended in its entirety and replaced with the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440" w:right="179"/>
        <w:spacing w:after="0" w:line="276" w:lineRule="auto"/>
        <w:rPr>
          <w:sz w:val="20"/>
          <w:szCs w:val="20"/>
          <w:color w:val="auto"/>
        </w:rPr>
      </w:pPr>
      <w:r>
        <w:rPr>
          <w:rFonts w:ascii="Arial" w:cs="Arial" w:eastAsia="Arial" w:hAnsi="Arial"/>
          <w:sz w:val="17"/>
          <w:szCs w:val="17"/>
          <w:color w:val="auto"/>
        </w:rPr>
        <w:t xml:space="preserve">“ (a) </w:t>
      </w: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2.2(b), the principal amount outstanding for each Term Loan Advance and the 2014 Term Loan Advance shall accrue interest at a fixed per annum rate equal to two percent (2.0%) above the Prime Rate, which interest shall be determined by Bank on the Funding Date of the applicable Term Loan Advance and the 2014 Term Loan Advance and shall, in all cases, be payable monthly in accordance with Section 2.2(c) below.”</w:t>
      </w:r>
    </w:p>
    <w:p>
      <w:pPr>
        <w:spacing w:after="0" w:line="169" w:lineRule="exact"/>
        <w:rPr>
          <w:sz w:val="20"/>
          <w:szCs w:val="20"/>
          <w:color w:val="auto"/>
        </w:rPr>
      </w:pPr>
    </w:p>
    <w:p>
      <w:pPr>
        <w:ind w:left="160" w:right="319" w:firstLine="1296"/>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Section 8.11 (2014 Equity Event)</w:t>
      </w:r>
      <w:r>
        <w:rPr>
          <w:rFonts w:ascii="Arial" w:cs="Arial" w:eastAsia="Arial" w:hAnsi="Arial"/>
          <w:sz w:val="18"/>
          <w:szCs w:val="18"/>
          <w:color w:val="auto"/>
        </w:rPr>
        <w:t>. The Loan Agreement shall be amended by inserting the following new provision to appear as Section 8.11 (2014 Equity Event) thereof:</w:t>
      </w:r>
    </w:p>
    <w:p>
      <w:pPr>
        <w:spacing w:after="0" w:line="162" w:lineRule="exact"/>
        <w:rPr>
          <w:sz w:val="20"/>
          <w:szCs w:val="20"/>
          <w:color w:val="auto"/>
        </w:rPr>
      </w:pPr>
    </w:p>
    <w:p>
      <w:pPr>
        <w:ind w:left="1440" w:right="8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8.11 2014 Equity Event</w:t>
      </w:r>
      <w:r>
        <w:rPr>
          <w:rFonts w:ascii="Arial" w:cs="Arial" w:eastAsia="Arial" w:hAnsi="Arial"/>
          <w:sz w:val="18"/>
          <w:szCs w:val="18"/>
          <w:color w:val="auto"/>
        </w:rPr>
        <w:t>. The failure of the 2014 Equity Event to occur on or before December 31, 2014.”</w:t>
      </w:r>
    </w:p>
    <w:p>
      <w:pPr>
        <w:spacing w:after="0" w:line="162"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Section 13 (Definitions)</w:t>
      </w:r>
      <w:r>
        <w:rPr>
          <w:rFonts w:ascii="Arial" w:cs="Arial" w:eastAsia="Arial" w:hAnsi="Arial"/>
          <w:sz w:val="16"/>
          <w:szCs w:val="16"/>
          <w:color w:val="auto"/>
        </w:rPr>
        <w:t>. The following terms and their respective definitions set forth in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13.1 are amended in their entirety and replaced with the following:</w:t>
      </w:r>
    </w:p>
    <w:p>
      <w:pPr>
        <w:spacing w:after="0" w:line="207" w:lineRule="exact"/>
        <w:rPr>
          <w:sz w:val="20"/>
          <w:szCs w:val="20"/>
          <w:color w:val="auto"/>
        </w:rPr>
      </w:pPr>
    </w:p>
    <w:p>
      <w:pPr>
        <w:ind w:left="1440" w:right="319"/>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Advance, 2014 Term Loan Advance, or any other extension of credit by Bank for Borrower’s benefit.”</w:t>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Final Payment</w:t>
      </w:r>
      <w:r>
        <w:rPr>
          <w:rFonts w:ascii="Arial" w:cs="Arial" w:eastAsia="Arial" w:hAnsi="Arial"/>
          <w:sz w:val="18"/>
          <w:szCs w:val="18"/>
          <w:color w:val="auto"/>
        </w:rPr>
        <w:t>” is:</w:t>
      </w:r>
    </w:p>
    <w:p>
      <w:pPr>
        <w:spacing w:after="0" w:line="229" w:lineRule="exact"/>
        <w:rPr>
          <w:sz w:val="20"/>
          <w:szCs w:val="20"/>
          <w:color w:val="auto"/>
        </w:rPr>
      </w:pPr>
    </w:p>
    <w:p>
      <w:pPr>
        <w:ind w:left="1440" w:right="159" w:firstLine="655"/>
        <w:spacing w:after="0" w:line="255" w:lineRule="auto"/>
        <w:tabs>
          <w:tab w:leader="none" w:pos="273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for each Term Loan Advance, a payment (in addition to and not a substitution for the regular monthly payments of principal plus accrued interest) equal to the original principal amount of such Term Loan Advance extended by Bank multiplied by the Final Payment Percentage, due on the earliest to occur of (a) the Term Loan Maturity Date, (b) the acceleration of any Term Loan Advance by Bank in accordance with Section 9.1 following the occurrence and during the continuance of an Event of Default, or (c) the prepayment of a Term Loan Advance pursuant to Section 2.1.1(d) or 2.1.1(e), and</w:t>
      </w:r>
    </w:p>
    <w:p>
      <w:pPr>
        <w:spacing w:after="0" w:line="189" w:lineRule="exact"/>
        <w:rPr>
          <w:sz w:val="20"/>
          <w:szCs w:val="20"/>
          <w:color w:val="auto"/>
        </w:rPr>
      </w:pPr>
    </w:p>
    <w:p>
      <w:pPr>
        <w:ind w:left="1440" w:right="359" w:firstLine="655"/>
        <w:spacing w:after="0" w:line="286" w:lineRule="auto"/>
        <w:tabs>
          <w:tab w:leader="none" w:pos="276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for the 2014 Term Loan Advance, a payment (in addition to and not a substitution for the regular monthly payments of principal plus accrued interest) equal to the original principal amount of the 2014 Term Loan Advance extended by Bank multiplied by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7" w:name="page178"/>
    <w:bookmarkEnd w:id="177"/>
    <w:p>
      <w:pPr>
        <w:ind w:left="1440"/>
        <w:spacing w:after="0"/>
        <w:rPr>
          <w:sz w:val="20"/>
          <w:szCs w:val="20"/>
          <w:color w:val="auto"/>
        </w:rPr>
      </w:pPr>
      <w:r>
        <w:rPr>
          <w:rFonts w:ascii="Arial" w:cs="Arial" w:eastAsia="Arial" w:hAnsi="Arial"/>
          <w:sz w:val="17"/>
          <w:szCs w:val="17"/>
          <w:color w:val="auto"/>
        </w:rPr>
        <w:t>Final Payment Percentage, due on the earliest to occur of (a) the 2014 Term Loan Maturity Date,</w:t>
      </w:r>
    </w:p>
    <w:p>
      <w:pPr>
        <w:spacing w:after="0" w:line="35" w:lineRule="exact"/>
        <w:rPr>
          <w:sz w:val="20"/>
          <w:szCs w:val="20"/>
          <w:color w:val="auto"/>
        </w:rPr>
      </w:pPr>
    </w:p>
    <w:p>
      <w:pPr>
        <w:ind w:left="1440" w:right="139" w:firstLine="7"/>
        <w:spacing w:after="0" w:line="255" w:lineRule="auto"/>
        <w:tabs>
          <w:tab w:leader="none" w:pos="1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acceleration of the 2014 Term Loan Advance by Bank in accordance with Section 9.1 following the occurrence and during the continuance of an Event of Default, or (c) the prepayment of the 2014 Term Loan Advance pursuant to Section 2.1.2(d) or 2.1.2(e).”</w:t>
      </w:r>
    </w:p>
    <w:p>
      <w:pPr>
        <w:spacing w:after="0" w:line="186" w:lineRule="exact"/>
        <w:rPr>
          <w:sz w:val="20"/>
          <w:szCs w:val="20"/>
          <w:color w:val="auto"/>
        </w:rPr>
      </w:pPr>
    </w:p>
    <w:p>
      <w:pPr>
        <w:ind w:left="1440" w:right="1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for each Term Loan Advance and the 2014 Term Loan Advance, four percent (4.0%).”</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in amount equal to for:</w:t>
      </w:r>
    </w:p>
    <w:p>
      <w:pPr>
        <w:spacing w:after="0" w:line="229" w:lineRule="exact"/>
        <w:rPr>
          <w:sz w:val="20"/>
          <w:szCs w:val="20"/>
          <w:color w:val="auto"/>
        </w:rPr>
      </w:pPr>
    </w:p>
    <w:p>
      <w:pPr>
        <w:ind w:left="2740" w:hanging="645"/>
        <w:spacing w:after="0"/>
        <w:tabs>
          <w:tab w:leader="none" w:pos="27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Term Loan Advances</w:t>
      </w:r>
    </w:p>
    <w:p>
      <w:pPr>
        <w:spacing w:after="0" w:line="225" w:lineRule="exact"/>
        <w:rPr>
          <w:rFonts w:ascii="Arial" w:cs="Arial" w:eastAsia="Arial" w:hAnsi="Arial"/>
          <w:sz w:val="18"/>
          <w:szCs w:val="18"/>
          <w:color w:val="auto"/>
        </w:rPr>
      </w:pPr>
    </w:p>
    <w:p>
      <w:pPr>
        <w:jc w:val="both"/>
        <w:ind w:left="2100" w:right="399" w:firstLine="644"/>
        <w:spacing w:after="0" w:line="259" w:lineRule="auto"/>
        <w:tabs>
          <w:tab w:leader="none" w:pos="342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for a prepayment made on or prior to the first (1st) anniversary of the Funding Date for such Term Loan Advance, two percent (2.0%) of the then outstanding principal amount of such Term Loan Advance as of the date immediately and prior to such prepayment;</w:t>
      </w:r>
    </w:p>
    <w:p>
      <w:pPr>
        <w:spacing w:after="0" w:line="186" w:lineRule="exact"/>
        <w:rPr>
          <w:rFonts w:ascii="Arial" w:cs="Arial" w:eastAsia="Arial" w:hAnsi="Arial"/>
          <w:sz w:val="18"/>
          <w:szCs w:val="18"/>
          <w:color w:val="auto"/>
        </w:rPr>
      </w:pPr>
    </w:p>
    <w:p>
      <w:pPr>
        <w:ind w:left="2100" w:right="179" w:firstLine="644"/>
        <w:spacing w:after="0" w:line="257" w:lineRule="auto"/>
        <w:tabs>
          <w:tab w:leader="none" w:pos="3459"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for a prepayment made after the first (1st) anniversary of the Funding Date for such Term Loan Advance, but on or prior to the second (2nd) anniversary of the Funding Date for such Term Loan Advance, one percent (1.0%) of the then outstanding principal amount of such Term Loan Advance as of the date immediately and prior to such prepayment; and</w:t>
      </w:r>
    </w:p>
    <w:p>
      <w:pPr>
        <w:spacing w:after="0" w:line="188" w:lineRule="exact"/>
        <w:rPr>
          <w:rFonts w:ascii="Arial" w:cs="Arial" w:eastAsia="Arial" w:hAnsi="Arial"/>
          <w:sz w:val="18"/>
          <w:szCs w:val="18"/>
          <w:color w:val="auto"/>
        </w:rPr>
      </w:pPr>
    </w:p>
    <w:p>
      <w:pPr>
        <w:ind w:left="2100" w:right="279" w:firstLine="644"/>
        <w:spacing w:after="0" w:line="259" w:lineRule="auto"/>
        <w:tabs>
          <w:tab w:leader="none" w:pos="3468"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for a prepayment made after the second (2nd) anniversary of the Funding Date for such Term Loan Advance, zero percent (0.0%) of the then outstanding principal amount of such Term Loan Advance as of the date immediately and prior to such prepayment; and</w:t>
      </w:r>
    </w:p>
    <w:p>
      <w:pPr>
        <w:spacing w:after="0" w:line="186" w:lineRule="exact"/>
        <w:rPr>
          <w:rFonts w:ascii="Arial" w:cs="Arial" w:eastAsia="Arial" w:hAnsi="Arial"/>
          <w:sz w:val="18"/>
          <w:szCs w:val="18"/>
          <w:color w:val="auto"/>
        </w:rPr>
      </w:pPr>
    </w:p>
    <w:p>
      <w:pPr>
        <w:ind w:left="2760" w:hanging="665"/>
        <w:spacing w:after="0"/>
        <w:tabs>
          <w:tab w:leader="none" w:pos="27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2014 Term Loan Advance</w:t>
      </w:r>
    </w:p>
    <w:p>
      <w:pPr>
        <w:spacing w:after="0" w:line="225" w:lineRule="exact"/>
        <w:rPr>
          <w:rFonts w:ascii="Arial" w:cs="Arial" w:eastAsia="Arial" w:hAnsi="Arial"/>
          <w:sz w:val="18"/>
          <w:szCs w:val="18"/>
          <w:color w:val="auto"/>
        </w:rPr>
      </w:pPr>
    </w:p>
    <w:p>
      <w:pPr>
        <w:ind w:left="2100" w:right="379" w:firstLine="644"/>
        <w:spacing w:after="0" w:line="259" w:lineRule="auto"/>
        <w:tabs>
          <w:tab w:leader="none" w:pos="342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for a prepayment made on or prior to the first (1st) anniversary of the Funding Date of the 2014 Term Loan Advance, two percent (2.0%) of the then outstanding principal amount of the 2014 Term Loan Advance as of the date immediately and prior to such prepayment;</w:t>
      </w:r>
    </w:p>
    <w:p>
      <w:pPr>
        <w:spacing w:after="0" w:line="186" w:lineRule="exact"/>
        <w:rPr>
          <w:rFonts w:ascii="Arial" w:cs="Arial" w:eastAsia="Arial" w:hAnsi="Arial"/>
          <w:sz w:val="18"/>
          <w:szCs w:val="18"/>
          <w:color w:val="auto"/>
        </w:rPr>
      </w:pPr>
    </w:p>
    <w:p>
      <w:pPr>
        <w:ind w:left="2100" w:right="179" w:firstLine="644"/>
        <w:spacing w:after="0" w:line="257" w:lineRule="auto"/>
        <w:tabs>
          <w:tab w:leader="none" w:pos="3459"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for a prepayment made after the first (1st) anniversary of the Funding Date of the 2014 Term Loan Advance, but on or prior to the second (2nd) anniversary of the Funding Date for the 2014 Term Loan Advance, one percent (1.0%) of the then outstanding principal amount of the 2014 Term Loan Advance as of the date immediately and prior to such prepayment; and</w:t>
      </w:r>
    </w:p>
    <w:p>
      <w:pPr>
        <w:spacing w:after="0" w:line="188" w:lineRule="exact"/>
        <w:rPr>
          <w:rFonts w:ascii="Arial" w:cs="Arial" w:eastAsia="Arial" w:hAnsi="Arial"/>
          <w:sz w:val="18"/>
          <w:szCs w:val="18"/>
          <w:color w:val="auto"/>
        </w:rPr>
      </w:pPr>
    </w:p>
    <w:p>
      <w:pPr>
        <w:jc w:val="both"/>
        <w:ind w:left="2100" w:right="279" w:firstLine="644"/>
        <w:spacing w:after="0" w:line="259" w:lineRule="auto"/>
        <w:tabs>
          <w:tab w:leader="none" w:pos="3468"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for a prepayment made after the second (2nd) anniversary of the Funding Date of the 2014 Term Loan Advance, zero percent (0.0%) of the then outstanding principal amount of the 2014 Term Loan Advance as of the date immediately and prior to such prepayment.”</w:t>
      </w:r>
    </w:p>
    <w:p>
      <w:pPr>
        <w:spacing w:after="0" w:line="182" w:lineRule="exact"/>
        <w:rPr>
          <w:rFonts w:ascii="Arial" w:cs="Arial" w:eastAsia="Arial" w:hAnsi="Arial"/>
          <w:sz w:val="18"/>
          <w:szCs w:val="18"/>
          <w:color w:val="auto"/>
        </w:rPr>
      </w:pPr>
    </w:p>
    <w:p>
      <w:pPr>
        <w:ind w:left="1440" w:right="299"/>
        <w:spacing w:after="0" w:line="261"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Warrant</w:t>
      </w:r>
      <w:r>
        <w:rPr>
          <w:rFonts w:ascii="Arial" w:cs="Arial" w:eastAsia="Arial" w:hAnsi="Arial"/>
          <w:sz w:val="18"/>
          <w:szCs w:val="18"/>
          <w:color w:val="auto"/>
        </w:rPr>
        <w:t>” means collectively, that certain (a) Warrant to Purchase Stock dated as of the Effective Date executed by Borrower in favor of Bank, and (b) Warrant to Purchase Stock dated as of the 2014 Effective Date executed by Borrower in favor of Bank, each as may be amended, modified, supplemented or restated.”</w:t>
      </w:r>
    </w:p>
    <w:p>
      <w:pPr>
        <w:spacing w:after="0" w:line="180" w:lineRule="exact"/>
        <w:rPr>
          <w:sz w:val="20"/>
          <w:szCs w:val="20"/>
          <w:color w:val="auto"/>
        </w:rPr>
      </w:pPr>
    </w:p>
    <w:p>
      <w:pPr>
        <w:ind w:left="160" w:right="659" w:firstLine="1296"/>
        <w:spacing w:after="0" w:line="28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Section 13 (Definitions)</w:t>
      </w:r>
      <w:r>
        <w:rPr>
          <w:rFonts w:ascii="Arial" w:cs="Arial" w:eastAsia="Arial" w:hAnsi="Arial"/>
          <w:sz w:val="18"/>
          <w:szCs w:val="18"/>
          <w:color w:val="auto"/>
        </w:rPr>
        <w:t>. The following new terms and their respective definitions are inserted to appear alphabetically in Section 13.1:</w:t>
      </w:r>
    </w:p>
    <w:p>
      <w:pPr>
        <w:spacing w:after="0" w:line="162" w:lineRule="exact"/>
        <w:rPr>
          <w:sz w:val="20"/>
          <w:szCs w:val="20"/>
          <w:color w:val="auto"/>
        </w:rPr>
      </w:pPr>
    </w:p>
    <w:p>
      <w:pPr>
        <w:ind w:left="4460" w:right="3779" w:hanging="3022"/>
        <w:spacing w:after="0" w:line="783"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2014 Effective Date</w:t>
      </w:r>
      <w:r>
        <w:rPr>
          <w:rFonts w:ascii="Arial" w:cs="Arial" w:eastAsia="Arial" w:hAnsi="Arial"/>
          <w:sz w:val="18"/>
          <w:szCs w:val="18"/>
          <w:color w:val="auto"/>
        </w:rPr>
        <w:t>” means November 4, 2014.”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-227965</wp:posOffset>
            </wp:positionV>
            <wp:extent cx="554863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8" w:name="page179"/>
    <w:bookmarkEnd w:id="178"/>
    <w:p>
      <w:pPr>
        <w:ind w:left="1440" w:right="319"/>
        <w:spacing w:after="0" w:line="281"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2014 Equity Event</w:t>
      </w:r>
      <w:r>
        <w:rPr>
          <w:rFonts w:ascii="Arial" w:cs="Arial" w:eastAsia="Arial" w:hAnsi="Arial"/>
          <w:sz w:val="17"/>
          <w:szCs w:val="17"/>
          <w:color w:val="auto"/>
        </w:rPr>
        <w:t>” means confirmation by Bank that Borrower has received, after the 2014 Effective Date, but on or prior to December 31, 2014, unrestricted and unencumbered net cash proceeds in an amount of at least Thirty Million Dollars ($30,000,000.00) from the issuance and sale by Borrower of its equity securities, with investors acceptable to Bank.”</w:t>
      </w:r>
    </w:p>
    <w:p>
      <w:pPr>
        <w:spacing w:after="0" w:line="164" w:lineRule="exact"/>
        <w:rPr>
          <w:sz w:val="20"/>
          <w:szCs w:val="20"/>
          <w:color w:val="auto"/>
        </w:rPr>
      </w:pPr>
    </w:p>
    <w:p>
      <w:pPr>
        <w:ind w:left="1440" w:right="2559"/>
        <w:spacing w:after="0" w:line="530"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2014 Term Loan Advance</w:t>
      </w:r>
      <w:r>
        <w:rPr>
          <w:rFonts w:ascii="Arial" w:cs="Arial" w:eastAsia="Arial" w:hAnsi="Arial"/>
          <w:sz w:val="17"/>
          <w:szCs w:val="17"/>
          <w:color w:val="auto"/>
        </w:rPr>
        <w:t>” is defined in Section 2.1.2(a) hereof.” “ “</w:t>
      </w:r>
      <w:r>
        <w:rPr>
          <w:rFonts w:ascii="Arial" w:cs="Arial" w:eastAsia="Arial" w:hAnsi="Arial"/>
          <w:sz w:val="17"/>
          <w:szCs w:val="17"/>
          <w:b w:val="1"/>
          <w:bCs w:val="1"/>
          <w:color w:val="auto"/>
        </w:rPr>
        <w:t>2014 Term Loan Maturity Date</w:t>
      </w:r>
      <w:r>
        <w:rPr>
          <w:rFonts w:ascii="Arial" w:cs="Arial" w:eastAsia="Arial" w:hAnsi="Arial"/>
          <w:sz w:val="17"/>
          <w:szCs w:val="17"/>
          <w:color w:val="auto"/>
        </w:rPr>
        <w:t>” is November 1, 2018.”</w:t>
      </w:r>
    </w:p>
    <w:p>
      <w:pPr>
        <w:spacing w:after="0" w:line="1" w:lineRule="exact"/>
        <w:rPr>
          <w:sz w:val="20"/>
          <w:szCs w:val="20"/>
          <w:color w:val="auto"/>
        </w:rPr>
      </w:pPr>
    </w:p>
    <w:p>
      <w:pPr>
        <w:ind w:left="160" w:right="259" w:firstLine="1296"/>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Exhibit B (Compliance Certificate)</w:t>
      </w:r>
      <w:r>
        <w:rPr>
          <w:rFonts w:ascii="Arial" w:cs="Arial" w:eastAsia="Arial" w:hAnsi="Arial"/>
          <w:sz w:val="18"/>
          <w:szCs w:val="18"/>
          <w:color w:val="auto"/>
        </w:rPr>
        <w:t xml:space="preserve">. The Compliance Certificate is amended in its entirety and replaced with the Compliance Certificate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62" w:lineRule="exact"/>
        <w:rPr>
          <w:sz w:val="20"/>
          <w:szCs w:val="20"/>
          <w:color w:val="auto"/>
        </w:rPr>
      </w:pPr>
    </w:p>
    <w:p>
      <w:pPr>
        <w:ind w:left="1460" w:hanging="661"/>
        <w:spacing w:after="0"/>
        <w:tabs>
          <w:tab w:leader="none" w:pos="1460"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Amendments</w:t>
      </w:r>
      <w:r>
        <w:rPr>
          <w:rFonts w:ascii="Arial" w:cs="Arial" w:eastAsia="Arial" w:hAnsi="Arial"/>
          <w:sz w:val="18"/>
          <w:szCs w:val="18"/>
          <w:color w:val="auto"/>
        </w:rPr>
        <w:t>.</w:t>
      </w:r>
    </w:p>
    <w:p>
      <w:pPr>
        <w:spacing w:after="0" w:line="229" w:lineRule="exact"/>
        <w:rPr>
          <w:sz w:val="20"/>
          <w:szCs w:val="20"/>
          <w:color w:val="auto"/>
        </w:rPr>
      </w:pPr>
    </w:p>
    <w:p>
      <w:pPr>
        <w:ind w:left="160" w:right="379" w:firstLine="1296"/>
        <w:spacing w:after="0" w:line="279" w:lineRule="auto"/>
        <w:rPr>
          <w:sz w:val="20"/>
          <w:szCs w:val="20"/>
          <w:color w:val="auto"/>
        </w:rPr>
      </w:pPr>
      <w:r>
        <w:rPr>
          <w:rFonts w:ascii="Arial" w:cs="Arial" w:eastAsia="Arial" w:hAnsi="Arial"/>
          <w:sz w:val="17"/>
          <w:szCs w:val="17"/>
          <w:color w:val="auto"/>
        </w:rPr>
        <w:t>3.1. 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1" w:lineRule="exact"/>
        <w:rPr>
          <w:sz w:val="20"/>
          <w:szCs w:val="20"/>
          <w:color w:val="auto"/>
        </w:rPr>
      </w:pPr>
    </w:p>
    <w:p>
      <w:pPr>
        <w:ind w:left="160" w:right="179" w:firstLine="1296"/>
        <w:spacing w:after="0" w:line="286" w:lineRule="auto"/>
        <w:rPr>
          <w:sz w:val="20"/>
          <w:szCs w:val="20"/>
          <w:color w:val="auto"/>
        </w:rPr>
      </w:pPr>
      <w:r>
        <w:rPr>
          <w:rFonts w:ascii="Arial" w:cs="Arial" w:eastAsia="Arial" w:hAnsi="Arial"/>
          <w:sz w:val="17"/>
          <w:szCs w:val="17"/>
          <w:color w:val="auto"/>
        </w:rPr>
        <w:t>3.2. 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62" w:lineRule="exact"/>
        <w:rPr>
          <w:sz w:val="20"/>
          <w:szCs w:val="20"/>
          <w:color w:val="auto"/>
        </w:rPr>
      </w:pPr>
    </w:p>
    <w:p>
      <w:pPr>
        <w:ind w:left="160" w:right="379" w:firstLine="639"/>
        <w:spacing w:after="0" w:line="282" w:lineRule="auto"/>
        <w:tabs>
          <w:tab w:leader="none" w:pos="1474"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To induce Bank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Bank as follows:</w:t>
      </w:r>
    </w:p>
    <w:p>
      <w:pPr>
        <w:spacing w:after="0" w:line="166" w:lineRule="exact"/>
        <w:rPr>
          <w:sz w:val="20"/>
          <w:szCs w:val="20"/>
          <w:color w:val="auto"/>
        </w:rPr>
      </w:pPr>
    </w:p>
    <w:p>
      <w:pPr>
        <w:ind w:left="160" w:right="219" w:firstLine="1296"/>
        <w:spacing w:after="0" w:line="279" w:lineRule="auto"/>
        <w:rPr>
          <w:sz w:val="20"/>
          <w:szCs w:val="20"/>
          <w:color w:val="auto"/>
        </w:rPr>
      </w:pPr>
      <w:r>
        <w:rPr>
          <w:rFonts w:ascii="Arial" w:cs="Arial" w:eastAsia="Arial" w:hAnsi="Arial"/>
          <w:sz w:val="17"/>
          <w:szCs w:val="17"/>
          <w:color w:val="auto"/>
        </w:rPr>
        <w:t>4.1. 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1" w:lineRule="exact"/>
        <w:rPr>
          <w:sz w:val="20"/>
          <w:szCs w:val="20"/>
          <w:color w:val="auto"/>
        </w:rPr>
      </w:pPr>
    </w:p>
    <w:p>
      <w:pPr>
        <w:ind w:left="160" w:right="179" w:firstLine="1296"/>
        <w:spacing w:after="0" w:line="277" w:lineRule="auto"/>
        <w:rPr>
          <w:sz w:val="20"/>
          <w:szCs w:val="20"/>
          <w:color w:val="auto"/>
        </w:rPr>
      </w:pPr>
      <w:r>
        <w:rPr>
          <w:rFonts w:ascii="Arial" w:cs="Arial" w:eastAsia="Arial" w:hAnsi="Arial"/>
          <w:sz w:val="18"/>
          <w:szCs w:val="18"/>
          <w:color w:val="auto"/>
        </w:rPr>
        <w:t>4.2. Borrower has the power and authority to execute and deliver this Amendment and to perform its obligations under the Loan Agreement, as amended by this Amendment;</w:t>
      </w:r>
    </w:p>
    <w:p>
      <w:pPr>
        <w:spacing w:after="0" w:line="170" w:lineRule="exact"/>
        <w:rPr>
          <w:sz w:val="20"/>
          <w:szCs w:val="20"/>
          <w:color w:val="auto"/>
        </w:rPr>
      </w:pPr>
    </w:p>
    <w:p>
      <w:pPr>
        <w:ind w:left="160" w:right="599" w:firstLine="1296"/>
        <w:spacing w:after="0" w:line="264" w:lineRule="auto"/>
        <w:rPr>
          <w:sz w:val="20"/>
          <w:szCs w:val="20"/>
          <w:color w:val="auto"/>
        </w:rPr>
      </w:pPr>
      <w:r>
        <w:rPr>
          <w:rFonts w:ascii="Arial" w:cs="Arial" w:eastAsia="Arial" w:hAnsi="Arial"/>
          <w:sz w:val="18"/>
          <w:szCs w:val="18"/>
          <w:color w:val="auto"/>
        </w:rPr>
        <w:t>4.3. The organizational documents of Borrower delivered to Bank in connection with this Amendment remain true, accurate and complete and have not been amended, supplemented or restated and are and continue to be in full force and effect;</w:t>
      </w:r>
    </w:p>
    <w:p>
      <w:pPr>
        <w:spacing w:after="0" w:line="181" w:lineRule="exact"/>
        <w:rPr>
          <w:sz w:val="20"/>
          <w:szCs w:val="20"/>
          <w:color w:val="auto"/>
        </w:rPr>
      </w:pPr>
    </w:p>
    <w:p>
      <w:pPr>
        <w:ind w:left="160" w:right="519" w:firstLine="1296"/>
        <w:spacing w:after="0" w:line="342" w:lineRule="auto"/>
        <w:rPr>
          <w:sz w:val="20"/>
          <w:szCs w:val="20"/>
          <w:color w:val="auto"/>
        </w:rPr>
      </w:pPr>
      <w:r>
        <w:rPr>
          <w:rFonts w:ascii="Arial" w:cs="Arial" w:eastAsia="Arial" w:hAnsi="Arial"/>
          <w:sz w:val="16"/>
          <w:szCs w:val="16"/>
          <w:color w:val="auto"/>
        </w:rPr>
        <w:t>4.4. The execution and delivery by Borrower of this Amendment and the performance by Borrower of its obligations under the Loan Agreement, as amended by this Amendment, have been duly authorized;</w:t>
      </w:r>
    </w:p>
    <w:p>
      <w:pPr>
        <w:spacing w:after="0" w:line="124" w:lineRule="exact"/>
        <w:rPr>
          <w:sz w:val="20"/>
          <w:szCs w:val="20"/>
          <w:color w:val="auto"/>
        </w:rPr>
      </w:pPr>
    </w:p>
    <w:p>
      <w:pPr>
        <w:ind w:left="160" w:right="259" w:firstLine="1296"/>
        <w:spacing w:after="0" w:line="291" w:lineRule="auto"/>
        <w:rPr>
          <w:sz w:val="20"/>
          <w:szCs w:val="20"/>
          <w:color w:val="auto"/>
        </w:rPr>
      </w:pPr>
      <w:r>
        <w:rPr>
          <w:rFonts w:ascii="Arial" w:cs="Arial" w:eastAsia="Arial" w:hAnsi="Arial"/>
          <w:sz w:val="16"/>
          <w:szCs w:val="16"/>
          <w:color w:val="auto"/>
        </w:rPr>
        <w:t>4.5. The execution and delivery by Borrower of this Amendment and the performance by Borrower of its obligations under the Loan Agreement, as amended by this Amendment, do not and will not contravene</w:t>
      </w:r>
    </w:p>
    <w:p>
      <w:pPr>
        <w:ind w:left="160" w:right="599" w:hanging="9"/>
        <w:spacing w:after="0" w:line="277" w:lineRule="auto"/>
        <w:tabs>
          <w:tab w:leader="none" w:pos="40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73" w:lineRule="exact"/>
        <w:rPr>
          <w:sz w:val="20"/>
          <w:szCs w:val="20"/>
          <w:color w:val="auto"/>
        </w:rPr>
      </w:pPr>
    </w:p>
    <w:p>
      <w:pPr>
        <w:ind w:left="160" w:right="359" w:firstLine="1296"/>
        <w:spacing w:after="0" w:line="257" w:lineRule="auto"/>
        <w:rPr>
          <w:sz w:val="20"/>
          <w:szCs w:val="20"/>
          <w:color w:val="auto"/>
        </w:rPr>
      </w:pPr>
      <w:r>
        <w:rPr>
          <w:rFonts w:ascii="Arial" w:cs="Arial" w:eastAsia="Arial" w:hAnsi="Arial"/>
          <w:sz w:val="18"/>
          <w:szCs w:val="18"/>
          <w:color w:val="auto"/>
        </w:rPr>
        <w:t>4.6. 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8" w:lineRule="exact"/>
        <w:rPr>
          <w:sz w:val="20"/>
          <w:szCs w:val="20"/>
          <w:color w:val="auto"/>
        </w:rPr>
      </w:pPr>
    </w:p>
    <w:p>
      <w:pPr>
        <w:ind w:left="160" w:right="619" w:firstLine="1296"/>
        <w:spacing w:after="0" w:line="342" w:lineRule="auto"/>
        <w:rPr>
          <w:sz w:val="20"/>
          <w:szCs w:val="20"/>
          <w:color w:val="auto"/>
        </w:rPr>
      </w:pPr>
      <w:r>
        <w:rPr>
          <w:rFonts w:ascii="Arial" w:cs="Arial" w:eastAsia="Arial" w:hAnsi="Arial"/>
          <w:sz w:val="16"/>
          <w:szCs w:val="16"/>
          <w:color w:val="auto"/>
        </w:rPr>
        <w:t>4.7. This Amendment has been duly executed and delivered by Borrower and is the binding obligation of Borrower, enforceable against Borrower in accordance with its terms, except as such enforceability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9" w:name="page180"/>
    <w:bookmarkEnd w:id="179"/>
    <w:p>
      <w:pPr>
        <w:ind w:left="160" w:right="619"/>
        <w:spacing w:after="0" w:line="277" w:lineRule="auto"/>
        <w:rPr>
          <w:sz w:val="20"/>
          <w:szCs w:val="20"/>
          <w:color w:val="auto"/>
        </w:rPr>
      </w:pPr>
      <w:r>
        <w:rPr>
          <w:rFonts w:ascii="Arial" w:cs="Arial" w:eastAsia="Arial" w:hAnsi="Arial"/>
          <w:sz w:val="18"/>
          <w:szCs w:val="18"/>
          <w:color w:val="auto"/>
        </w:rPr>
        <w:t>may be limited by bankruptcy, insolvency, reorganization, liquidation, moratorium or other similar laws of general application and by general equitable principles.</w:t>
      </w:r>
    </w:p>
    <w:p>
      <w:pPr>
        <w:spacing w:after="0" w:line="166" w:lineRule="exact"/>
        <w:rPr>
          <w:sz w:val="20"/>
          <w:szCs w:val="20"/>
          <w:color w:val="auto"/>
        </w:rPr>
      </w:pPr>
    </w:p>
    <w:p>
      <w:pPr>
        <w:ind w:left="1460" w:hanging="661"/>
        <w:spacing w:after="0"/>
        <w:tabs>
          <w:tab w:leader="none" w:pos="1460" w:val="left"/>
        </w:tabs>
        <w:numPr>
          <w:ilvl w:val="0"/>
          <w:numId w:val="163"/>
        </w:numPr>
        <w:rPr>
          <w:rFonts w:ascii="Arial" w:cs="Arial" w:eastAsia="Arial" w:hAnsi="Arial"/>
          <w:sz w:val="17"/>
          <w:szCs w:val="17"/>
          <w:color w:val="auto"/>
        </w:rPr>
      </w:pPr>
      <w:r>
        <w:rPr>
          <w:rFonts w:ascii="Arial" w:cs="Arial" w:eastAsia="Arial" w:hAnsi="Arial"/>
          <w:sz w:val="17"/>
          <w:szCs w:val="17"/>
          <w:b w:val="1"/>
          <w:bCs w:val="1"/>
          <w:u w:val="single" w:color="auto"/>
          <w:color w:val="auto"/>
        </w:rPr>
        <w:t>Updated Perfection Certificate</w:t>
      </w:r>
      <w:r>
        <w:rPr>
          <w:rFonts w:ascii="Arial" w:cs="Arial" w:eastAsia="Arial" w:hAnsi="Arial"/>
          <w:sz w:val="17"/>
          <w:szCs w:val="17"/>
          <w:color w:val="auto"/>
        </w:rPr>
        <w:t>. Borrower has delivered an updated Perfection Certificate in</w:t>
      </w:r>
    </w:p>
    <w:p>
      <w:pPr>
        <w:spacing w:after="0" w:line="39" w:lineRule="exact"/>
        <w:rPr>
          <w:sz w:val="20"/>
          <w:szCs w:val="20"/>
          <w:color w:val="auto"/>
        </w:rPr>
      </w:pPr>
    </w:p>
    <w:p>
      <w:pPr>
        <w:ind w:left="160" w:right="479"/>
        <w:spacing w:after="0" w:line="281" w:lineRule="auto"/>
        <w:rPr>
          <w:sz w:val="20"/>
          <w:szCs w:val="20"/>
          <w:color w:val="auto"/>
        </w:rPr>
      </w:pPr>
      <w:r>
        <w:rPr>
          <w:rFonts w:ascii="Arial" w:cs="Arial" w:eastAsia="Arial" w:hAnsi="Arial"/>
          <w:sz w:val="16"/>
          <w:szCs w:val="16"/>
          <w:color w:val="auto"/>
        </w:rPr>
        <w:t>connection with this Loan Modification Agreement dated as of , 2014 (the “Updated Perfection Certificate”), which Updated Perfection Certificate shall supersede in all respects that certain Perfection Certificate dated as of</w:t>
      </w:r>
    </w:p>
    <w:p>
      <w:pPr>
        <w:spacing w:after="0" w:line="1" w:lineRule="exact"/>
        <w:rPr>
          <w:sz w:val="20"/>
          <w:szCs w:val="20"/>
          <w:color w:val="auto"/>
        </w:rPr>
      </w:pPr>
    </w:p>
    <w:p>
      <w:pPr>
        <w:ind w:left="160" w:right="179"/>
        <w:spacing w:after="0" w:line="261" w:lineRule="auto"/>
        <w:rPr>
          <w:sz w:val="20"/>
          <w:szCs w:val="20"/>
          <w:color w:val="auto"/>
        </w:rPr>
      </w:pPr>
      <w:r>
        <w:rPr>
          <w:rFonts w:ascii="Arial" w:cs="Arial" w:eastAsia="Arial" w:hAnsi="Arial"/>
          <w:sz w:val="18"/>
          <w:szCs w:val="18"/>
          <w:color w:val="auto"/>
        </w:rPr>
        <w:t>May 24, 2013. Borrower agrees that all references in the Loan Agreement to “Perfection Certificate” shall hereinafter be deemed to be a reference to the Updated Perfection Certificate.</w:t>
      </w:r>
    </w:p>
    <w:p>
      <w:pPr>
        <w:spacing w:after="0" w:line="180" w:lineRule="exact"/>
        <w:rPr>
          <w:sz w:val="20"/>
          <w:szCs w:val="20"/>
          <w:color w:val="auto"/>
        </w:rPr>
      </w:pPr>
    </w:p>
    <w:p>
      <w:pPr>
        <w:ind w:left="160" w:right="359" w:firstLine="639"/>
        <w:spacing w:after="0" w:line="261" w:lineRule="auto"/>
        <w:tabs>
          <w:tab w:leader="none" w:pos="1474"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Amendment and the Loan Documents represent the entire agreement about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18"/>
          <w:szCs w:val="18"/>
          <w:color w:val="auto"/>
        </w:rPr>
      </w:pPr>
    </w:p>
    <w:p>
      <w:pPr>
        <w:ind w:left="160" w:right="599" w:firstLine="639"/>
        <w:spacing w:after="0" w:line="282" w:lineRule="auto"/>
        <w:tabs>
          <w:tab w:leader="none" w:pos="1474"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any number of counterparts and all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taken together shall be deemed to constitute one and the same instrument.</w:t>
      </w:r>
    </w:p>
    <w:p>
      <w:pPr>
        <w:spacing w:after="0" w:line="161" w:lineRule="exact"/>
        <w:rPr>
          <w:rFonts w:ascii="Arial" w:cs="Arial" w:eastAsia="Arial" w:hAnsi="Arial"/>
          <w:sz w:val="18"/>
          <w:szCs w:val="18"/>
          <w:color w:val="auto"/>
        </w:rPr>
      </w:pPr>
    </w:p>
    <w:p>
      <w:pPr>
        <w:ind w:left="160" w:right="299" w:firstLine="639"/>
        <w:spacing w:after="0" w:line="266" w:lineRule="auto"/>
        <w:tabs>
          <w:tab w:leader="none" w:pos="1474"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Amendment shall be deemed upon (a) the due execution and delivery to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by each party hereto, and (b) Borrower’s payment of Bank’s legal fees and expenses incurred in connection with this Amendment.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0" w:name="page181"/>
    <w:bookmarkEnd w:id="180"/>
    <w:p>
      <w:pPr>
        <w:ind w:left="160" w:right="419" w:firstLine="648"/>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duly executed as a sealed</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under the laws of the Commonwealth of Massachusetts and delivered as of the date first written above.</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BANK</w:t>
            </w:r>
          </w:p>
        </w:tc>
        <w:tc>
          <w:tcPr>
            <w:tcW w:w="3400" w:type="dxa"/>
            <w:vAlign w:val="bottom"/>
          </w:tcPr>
          <w:p>
            <w:pPr>
              <w:spacing w:after="0"/>
              <w:rPr>
                <w:sz w:val="20"/>
                <w:szCs w:val="20"/>
                <w:color w:val="auto"/>
              </w:rPr>
            </w:pPr>
          </w:p>
        </w:tc>
        <w:tc>
          <w:tcPr>
            <w:tcW w:w="4740" w:type="dxa"/>
            <w:vAlign w:val="bottom"/>
            <w:gridSpan w:val="2"/>
          </w:tcPr>
          <w:p>
            <w:pPr>
              <w:ind w:left="40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740" w:type="dxa"/>
            <w:vAlign w:val="bottom"/>
            <w:gridSpan w:val="2"/>
          </w:tcPr>
          <w:p>
            <w:pPr>
              <w:ind w:left="400"/>
              <w:spacing w:after="0"/>
              <w:rPr>
                <w:sz w:val="20"/>
                <w:szCs w:val="20"/>
                <w:color w:val="auto"/>
              </w:rPr>
            </w:pPr>
            <w:r>
              <w:rPr>
                <w:rFonts w:ascii="Arial" w:cs="Arial" w:eastAsia="Arial" w:hAnsi="Arial"/>
                <w:sz w:val="18"/>
                <w:szCs w:val="18"/>
                <w:color w:val="auto"/>
              </w:rPr>
              <w:t>BLUEPRINT MEDICINES CORPORATION</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Griffiths</w:t>
            </w:r>
          </w:p>
        </w:tc>
        <w:tc>
          <w:tcPr>
            <w:tcW w:w="920" w:type="dxa"/>
            <w:vAlign w:val="bottom"/>
          </w:tcPr>
          <w:p>
            <w:pPr>
              <w:ind w:left="4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Albers</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Matthew Griffiths</w:t>
            </w:r>
          </w:p>
        </w:tc>
        <w:tc>
          <w:tcPr>
            <w:tcW w:w="920" w:type="dxa"/>
            <w:vAlign w:val="bottom"/>
          </w:tcPr>
          <w:p>
            <w:pPr>
              <w:ind w:left="400"/>
              <w:spacing w:after="0"/>
              <w:rPr>
                <w:sz w:val="20"/>
                <w:szCs w:val="20"/>
                <w:color w:val="auto"/>
              </w:rPr>
            </w:pPr>
            <w:r>
              <w:rPr>
                <w:rFonts w:ascii="Arial" w:cs="Arial" w:eastAsia="Arial" w:hAnsi="Arial"/>
                <w:sz w:val="18"/>
                <w:szCs w:val="18"/>
                <w:color w:val="auto"/>
                <w:w w:val="94"/>
              </w:rPr>
              <w:t>Name: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Jeffrey Albers</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920" w:type="dxa"/>
            <w:vAlign w:val="bottom"/>
          </w:tcPr>
          <w:p>
            <w:pPr>
              <w:ind w:left="400"/>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1" w:name="page182"/>
    <w:bookmarkEnd w:id="181"/>
    <w:tbl>
      <w:tblPr>
        <w:tblLayout w:type="fixed"/>
        <w:tblInd w:w="1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8"/>
              </w:rPr>
              <w:t>SCHEDULE 1</w:t>
            </w:r>
          </w:p>
        </w:tc>
        <w:tc>
          <w:tcPr>
            <w:tcW w:w="88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2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COMPLIANCE CERTIFICATE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8"/>
        </w:trPr>
        <w:tc>
          <w:tcPr>
            <w:tcW w:w="660" w:type="dxa"/>
            <w:vAlign w:val="bottom"/>
          </w:tcPr>
          <w:p>
            <w:pPr>
              <w:spacing w:after="0"/>
              <w:rPr>
                <w:sz w:val="20"/>
                <w:szCs w:val="20"/>
                <w:color w:val="auto"/>
              </w:rPr>
            </w:pPr>
            <w:r>
              <w:rPr>
                <w:rFonts w:ascii="Arial" w:cs="Arial" w:eastAsia="Arial" w:hAnsi="Arial"/>
                <w:sz w:val="18"/>
                <w:szCs w:val="18"/>
                <w:color w:val="auto"/>
              </w:rPr>
              <w:t>TO:</w:t>
            </w:r>
          </w:p>
        </w:tc>
        <w:tc>
          <w:tcPr>
            <w:tcW w:w="5440" w:type="dxa"/>
            <w:vAlign w:val="bottom"/>
            <w:gridSpan w:val="5"/>
          </w:tcPr>
          <w:p>
            <w:pPr>
              <w:ind w:left="120"/>
              <w:spacing w:after="0"/>
              <w:rPr>
                <w:sz w:val="20"/>
                <w:szCs w:val="20"/>
                <w:color w:val="auto"/>
              </w:rPr>
            </w:pPr>
            <w:r>
              <w:rPr>
                <w:rFonts w:ascii="Arial" w:cs="Arial" w:eastAsia="Arial" w:hAnsi="Arial"/>
                <w:sz w:val="18"/>
                <w:szCs w:val="18"/>
                <w:color w:val="auto"/>
              </w:rPr>
              <w:t>SILICON VALLEY BANK Date:</w:t>
            </w:r>
          </w:p>
        </w:tc>
        <w:tc>
          <w:tcPr>
            <w:tcW w:w="880" w:type="dxa"/>
            <w:vAlign w:val="bottom"/>
          </w:tcPr>
          <w:p>
            <w:pPr>
              <w:ind w:left="500"/>
              <w:spacing w:after="0"/>
              <w:rPr>
                <w:sz w:val="20"/>
                <w:szCs w:val="20"/>
                <w:color w:val="auto"/>
              </w:rPr>
            </w:pPr>
            <w:r>
              <w:rPr>
                <w:rFonts w:ascii="Arial" w:cs="Arial" w:eastAsia="Arial" w:hAnsi="Arial"/>
                <w:sz w:val="18"/>
                <w:szCs w:val="18"/>
                <w:color w:val="auto"/>
                <w:w w:val="83"/>
              </w:rPr>
              <w:t>Date: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FROM:</w:t>
            </w:r>
          </w:p>
        </w:tc>
        <w:tc>
          <w:tcPr>
            <w:tcW w:w="5440" w:type="dxa"/>
            <w:vAlign w:val="bottom"/>
            <w:gridSpan w:val="5"/>
          </w:tcPr>
          <w:p>
            <w:pPr>
              <w:ind w:left="120"/>
              <w:spacing w:after="0"/>
              <w:rPr>
                <w:sz w:val="20"/>
                <w:szCs w:val="20"/>
                <w:color w:val="auto"/>
              </w:rPr>
            </w:pPr>
            <w:r>
              <w:rPr>
                <w:rFonts w:ascii="Arial" w:cs="Arial" w:eastAsia="Arial" w:hAnsi="Arial"/>
                <w:sz w:val="18"/>
                <w:szCs w:val="18"/>
                <w:color w:val="auto"/>
              </w:rPr>
              <w:t>BLUEPRINT MEDICINES CORPORATION</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-136525</wp:posOffset>
            </wp:positionV>
            <wp:extent cx="10636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2" w:lineRule="exact"/>
        <w:rPr>
          <w:sz w:val="20"/>
          <w:szCs w:val="20"/>
          <w:color w:val="auto"/>
        </w:rPr>
      </w:pPr>
    </w:p>
    <w:p>
      <w:pPr>
        <w:ind w:left="160" w:right="379" w:firstLine="648"/>
        <w:spacing w:after="0" w:line="308" w:lineRule="auto"/>
        <w:rPr>
          <w:sz w:val="20"/>
          <w:szCs w:val="20"/>
          <w:color w:val="auto"/>
        </w:rPr>
      </w:pPr>
      <w:r>
        <w:rPr>
          <w:rFonts w:ascii="Arial" w:cs="Arial" w:eastAsia="Arial" w:hAnsi="Arial"/>
          <w:sz w:val="17"/>
          <w:szCs w:val="17"/>
          <w:color w:val="auto"/>
        </w:rPr>
        <w:t>The undersigned authorized officer of Blueprint Medicines Corporation (“Borrower”) certifies that under the terms and conditions of the Loan and Security Agreement between Borrower and Bank (the “Agreement”):</w:t>
      </w:r>
    </w:p>
    <w:p>
      <w:pPr>
        <w:spacing w:after="0" w:line="147" w:lineRule="exact"/>
        <w:rPr>
          <w:sz w:val="20"/>
          <w:szCs w:val="20"/>
          <w:color w:val="auto"/>
        </w:rPr>
      </w:pPr>
    </w:p>
    <w:p>
      <w:pPr>
        <w:ind w:left="160" w:right="139" w:firstLine="648"/>
        <w:spacing w:after="0" w:line="253" w:lineRule="auto"/>
        <w:rPr>
          <w:sz w:val="20"/>
          <w:szCs w:val="20"/>
          <w:color w:val="auto"/>
        </w:rPr>
      </w:pPr>
      <w:r>
        <w:rPr>
          <w:rFonts w:ascii="Arial" w:cs="Arial" w:eastAsia="Arial" w:hAnsi="Arial"/>
          <w:sz w:val="18"/>
          <w:szCs w:val="18"/>
          <w:color w:val="auto"/>
        </w:rPr>
        <w:t>(1) Borrower is in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93" w:lineRule="exact"/>
        <w:rPr>
          <w:sz w:val="20"/>
          <w:szCs w:val="20"/>
          <w:color w:val="auto"/>
        </w:rPr>
      </w:pPr>
    </w:p>
    <w:p>
      <w:pPr>
        <w:ind w:left="160" w:right="199" w:firstLine="648"/>
        <w:spacing w:after="0" w:line="255"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r>
        <w:rPr>
          <w:rFonts w:ascii="Arial" w:cs="Arial" w:eastAsia="Arial" w:hAnsi="Arial"/>
          <w:sz w:val="18"/>
          <w:szCs w:val="18"/>
          <w:color w:val="auto"/>
        </w:rPr>
        <w:t>.</w:t>
      </w:r>
    </w:p>
    <w:p>
      <w:pPr>
        <w:spacing w:after="0" w:line="23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Reporting Covenants</w:t>
            </w:r>
          </w:p>
        </w:tc>
        <w:tc>
          <w:tcPr>
            <w:tcW w:w="260" w:type="dxa"/>
            <w:vAlign w:val="bottom"/>
            <w:tcBorders>
              <w:bottom w:val="single" w:sz="8" w:color="CCEEFF"/>
            </w:tcBorders>
          </w:tcPr>
          <w:p>
            <w:pPr>
              <w:spacing w:after="0"/>
              <w:rPr>
                <w:sz w:val="20"/>
                <w:szCs w:val="20"/>
                <w:color w:val="auto"/>
              </w:rPr>
            </w:pPr>
          </w:p>
        </w:tc>
        <w:tc>
          <w:tcPr>
            <w:tcW w:w="328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Required</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Complies</w:t>
            </w: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financial statements with Compliance</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Monthly within 30 days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Annual financial statement (CPA Audited)</w:t>
            </w:r>
          </w:p>
        </w:tc>
        <w:tc>
          <w:tcPr>
            <w:tcW w:w="2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FYE within 180 days</w:t>
            </w:r>
          </w:p>
        </w:tc>
        <w:tc>
          <w:tcPr>
            <w:tcW w:w="240" w:type="dxa"/>
            <w:vAlign w:val="bottom"/>
          </w:tcPr>
          <w:p>
            <w:pPr>
              <w:spacing w:after="0"/>
              <w:rPr>
                <w:sz w:val="18"/>
                <w:szCs w:val="18"/>
                <w:color w:val="auto"/>
              </w:rPr>
            </w:pPr>
          </w:p>
        </w:tc>
        <w:tc>
          <w:tcPr>
            <w:tcW w:w="11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10-Q, 10-Kand 8-K</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Within 5 days after filing with SEC</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Board-approved projections</w:t>
            </w:r>
          </w:p>
        </w:tc>
        <w:tc>
          <w:tcPr>
            <w:tcW w:w="2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FYE within 60 days</w:t>
            </w:r>
          </w:p>
        </w:tc>
        <w:tc>
          <w:tcPr>
            <w:tcW w:w="240" w:type="dxa"/>
            <w:vAlign w:val="bottom"/>
          </w:tcPr>
          <w:p>
            <w:pPr>
              <w:spacing w:after="0"/>
              <w:rPr>
                <w:sz w:val="18"/>
                <w:szCs w:val="18"/>
                <w:color w:val="auto"/>
              </w:rPr>
            </w:pPr>
          </w:p>
        </w:tc>
        <w:tc>
          <w:tcPr>
            <w:tcW w:w="11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Equity Event</w:t>
            </w: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$30M in equity, after 2014 Effective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r>
      <w:tr>
        <w:trPr>
          <w:trHeight w:val="216"/>
        </w:trPr>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Dale, on or before 12/31/14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Other Matters</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960" w:type="dxa"/>
            <w:vAlign w:val="bottom"/>
          </w:tcPr>
          <w:p>
            <w:pPr>
              <w:ind w:left="20"/>
              <w:spacing w:after="0"/>
              <w:rPr>
                <w:sz w:val="20"/>
                <w:szCs w:val="20"/>
                <w:color w:val="auto"/>
              </w:rPr>
            </w:pPr>
            <w:r>
              <w:rPr>
                <w:rFonts w:ascii="Arial" w:cs="Arial" w:eastAsia="Arial" w:hAnsi="Arial"/>
                <w:sz w:val="18"/>
                <w:szCs w:val="18"/>
                <w:color w:val="auto"/>
                <w:w w:val="93"/>
              </w:rPr>
              <w:t>Have there been any amendments of or other changes to the capitalization table of Borrower</w:t>
            </w:r>
          </w:p>
        </w:tc>
        <w:tc>
          <w:tcPr>
            <w:tcW w:w="76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02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8"/>
                <w:szCs w:val="18"/>
                <w:color w:val="auto"/>
                <w:w w:val="93"/>
              </w:rPr>
              <w:t>and to the Operating Documents of Borrower or any of its Subsidiaries? If yes, provide copies</w:t>
            </w:r>
          </w:p>
        </w:tc>
        <w:tc>
          <w:tcPr>
            <w:tcW w:w="7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of any such amendments or changes with this Compliance Certificate.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7"/>
        </w:trPr>
        <w:tc>
          <w:tcPr>
            <w:tcW w:w="6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82" w:name="page183"/>
    <w:bookmarkEnd w:id="182"/>
    <w:p>
      <w:pPr>
        <w:ind w:left="160" w:right="279"/>
        <w:spacing w:after="0" w:line="277" w:lineRule="auto"/>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BLUEPRINT MEDICINES CORPORATION</w:t>
            </w:r>
          </w:p>
        </w:tc>
        <w:tc>
          <w:tcPr>
            <w:tcW w:w="2520" w:type="dxa"/>
            <w:vAlign w:val="bottom"/>
            <w:gridSpan w:val="2"/>
          </w:tcPr>
          <w:p>
            <w:pPr>
              <w:ind w:left="340"/>
              <w:spacing w:after="0"/>
              <w:rPr>
                <w:sz w:val="20"/>
                <w:szCs w:val="20"/>
                <w:color w:val="auto"/>
              </w:rPr>
            </w:pPr>
            <w:r>
              <w:rPr>
                <w:rFonts w:ascii="Arial" w:cs="Arial" w:eastAsia="Arial" w:hAnsi="Arial"/>
                <w:sz w:val="18"/>
                <w:szCs w:val="18"/>
                <w:b w:val="1"/>
                <w:bCs w:val="1"/>
                <w:color w:val="auto"/>
              </w:rPr>
              <w:t>BANK USE ONLY</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Received by:</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3500" w:type="dxa"/>
            <w:vAlign w:val="bottom"/>
            <w:tcBorders>
              <w:top w:val="single" w:sz="8" w:color="auto"/>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9"/>
              </w:rPr>
              <w:t>Authorized Signer</w:t>
            </w:r>
          </w:p>
        </w:tc>
        <w:tc>
          <w:tcPr>
            <w:tcW w:w="20" w:type="dxa"/>
            <w:vAlign w:val="bottom"/>
          </w:tcPr>
          <w:p>
            <w:pPr>
              <w:spacing w:after="0"/>
              <w:rPr>
                <w:sz w:val="18"/>
                <w:szCs w:val="18"/>
                <w:color w:val="auto"/>
              </w:rPr>
            </w:pPr>
          </w:p>
        </w:tc>
      </w:tr>
      <w:tr>
        <w:trPr>
          <w:trHeight w:val="210"/>
        </w:trPr>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500" w:type="dxa"/>
            <w:vAlign w:val="bottom"/>
            <w:tcBorders>
              <w:bottom w:val="single" w:sz="8" w:color="auto"/>
            </w:tcBorders>
          </w:tcPr>
          <w:p>
            <w:pPr>
              <w:spacing w:after="0"/>
              <w:rPr>
                <w:sz w:val="18"/>
                <w:szCs w:val="18"/>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Date:</w:t>
            </w: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color w:val="auto"/>
              </w:rPr>
              <w:t>Verified:</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9"/>
              </w:rPr>
              <w:t>Authorized Signer</w:t>
            </w:r>
          </w:p>
        </w:tc>
        <w:tc>
          <w:tcPr>
            <w:tcW w:w="20" w:type="dxa"/>
            <w:vAlign w:val="bottom"/>
          </w:tcPr>
          <w:p>
            <w:pPr>
              <w:spacing w:after="0"/>
              <w:rPr>
                <w:sz w:val="19"/>
                <w:szCs w:val="19"/>
                <w:color w:val="auto"/>
              </w:rPr>
            </w:pPr>
          </w:p>
        </w:tc>
      </w:tr>
      <w:tr>
        <w:trPr>
          <w:trHeight w:val="418"/>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Date:</w:t>
            </w: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gridSpan w:val="2"/>
          </w:tcPr>
          <w:p>
            <w:pPr>
              <w:ind w:left="340"/>
              <w:spacing w:after="0" w:line="207" w:lineRule="exact"/>
              <w:rPr>
                <w:sz w:val="20"/>
                <w:szCs w:val="20"/>
                <w:color w:val="auto"/>
              </w:rPr>
            </w:pPr>
            <w:r>
              <w:rPr>
                <w:rFonts w:ascii="Arial" w:cs="Arial" w:eastAsia="Arial" w:hAnsi="Arial"/>
                <w:sz w:val="18"/>
                <w:szCs w:val="18"/>
                <w:color w:val="auto"/>
              </w:rPr>
              <w:t xml:space="preserve">Compliance Status: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140" w:type="dxa"/>
            <w:vAlign w:val="bottom"/>
            <w:gridSpan w:val="2"/>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784"/>
        </w:trPr>
        <w:tc>
          <w:tcPr>
            <w:tcW w:w="5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Updates to the Perfection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683895</wp:posOffset>
            </wp:positionV>
            <wp:extent cx="554863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b w:val="1"/>
          <w:bCs w:val="1"/>
          <w:color w:val="auto"/>
        </w:rPr>
        <w:t>CONSENT AND FOURTH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jc w:val="both"/>
        <w:ind w:left="160" w:right="139" w:firstLine="648"/>
        <w:spacing w:after="0" w:line="258" w:lineRule="auto"/>
        <w:rPr>
          <w:sz w:val="20"/>
          <w:szCs w:val="20"/>
          <w:color w:val="auto"/>
        </w:rPr>
      </w:pPr>
      <w:r>
        <w:rPr>
          <w:rFonts w:ascii="Arial" w:cs="Arial" w:eastAsia="Arial" w:hAnsi="Arial"/>
          <w:sz w:val="18"/>
          <w:szCs w:val="18"/>
          <w:color w:val="auto"/>
        </w:rPr>
        <w:t>This Consent and Fourth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this 22</w:t>
      </w:r>
      <w:r>
        <w:rPr>
          <w:rFonts w:ascii="Arial" w:cs="Arial" w:eastAsia="Arial" w:hAnsi="Arial"/>
          <w:sz w:val="8"/>
          <w:szCs w:val="8"/>
          <w:color w:val="auto"/>
        </w:rPr>
        <w:t>nd</w:t>
      </w:r>
      <w:r>
        <w:rPr>
          <w:rFonts w:ascii="Arial" w:cs="Arial" w:eastAsia="Arial" w:hAnsi="Arial"/>
          <w:sz w:val="18"/>
          <w:szCs w:val="18"/>
          <w:color w:val="auto"/>
        </w:rPr>
        <w:t xml:space="preserve"> day of December, 2015,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with a loan production office located at 275 Grove Street, Suite 2-200, Newton, Massachusetts 02466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MEDICINES CORPORATION</w:t>
      </w:r>
      <w:r>
        <w:rPr>
          <w:rFonts w:ascii="Arial" w:cs="Arial" w:eastAsia="Arial" w:hAnsi="Arial"/>
          <w:sz w:val="18"/>
          <w:szCs w:val="18"/>
          <w:color w:val="auto"/>
        </w:rPr>
        <w:t>, a Delaware corporation with offices located at 38 Sidney Street, Suite 200,</w:t>
      </w:r>
      <w:r>
        <w:rPr>
          <w:rFonts w:ascii="Arial" w:cs="Arial" w:eastAsia="Arial" w:hAnsi="Arial"/>
          <w:sz w:val="18"/>
          <w:szCs w:val="18"/>
          <w:b w:val="1"/>
          <w:bCs w:val="1"/>
          <w:color w:val="auto"/>
        </w:rPr>
        <w:t xml:space="preserve"> </w:t>
      </w:r>
      <w:r>
        <w:rPr>
          <w:rFonts w:ascii="Arial" w:cs="Arial" w:eastAsia="Arial" w:hAnsi="Arial"/>
          <w:sz w:val="18"/>
          <w:szCs w:val="18"/>
          <w:color w:val="auto"/>
        </w:rPr>
        <w:t>Cambridge, Massachusetts 02139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160" w:right="139" w:firstLine="639"/>
        <w:spacing w:after="0" w:line="276" w:lineRule="auto"/>
        <w:tabs>
          <w:tab w:leader="none" w:pos="1523"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Bank and Borrower have entered into that certain Loan and Security Agreement dated as of May 24, 2013, as amended by a certain First Amendment to Loan and Security Agreement dated as of January 21, 2014, as amended by a certain Second Amendment to Loan and Security Agreement dated June 27, 2014, and as further amended by a certain Third Amendment to Loan and Security Agreement dated as of November 4, 2014 (as the same may from time to time be amended, modified, supplemented or restated,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72" w:lineRule="exact"/>
        <w:rPr>
          <w:rFonts w:ascii="Arial" w:cs="Arial" w:eastAsia="Arial" w:hAnsi="Arial"/>
          <w:sz w:val="17"/>
          <w:szCs w:val="17"/>
          <w:b w:val="1"/>
          <w:bCs w:val="1"/>
          <w:color w:val="auto"/>
        </w:rPr>
      </w:pPr>
    </w:p>
    <w:p>
      <w:pPr>
        <w:ind w:left="1500" w:hanging="701"/>
        <w:spacing w:after="0"/>
        <w:tabs>
          <w:tab w:leader="none" w:pos="15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left="160" w:right="139" w:firstLine="639"/>
        <w:spacing w:after="0" w:line="277" w:lineRule="auto"/>
        <w:tabs>
          <w:tab w:leader="none" w:pos="1523"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Borrower has requested that Bank amend the Loan Agreement to make certain revisions to the Loan Agreement as more fully set forth herein.</w:t>
      </w:r>
    </w:p>
    <w:p>
      <w:pPr>
        <w:spacing w:after="0" w:line="170" w:lineRule="exact"/>
        <w:rPr>
          <w:rFonts w:ascii="Arial" w:cs="Arial" w:eastAsia="Arial" w:hAnsi="Arial"/>
          <w:sz w:val="18"/>
          <w:szCs w:val="18"/>
          <w:b w:val="1"/>
          <w:bCs w:val="1"/>
          <w:color w:val="auto"/>
        </w:rPr>
      </w:pPr>
    </w:p>
    <w:p>
      <w:pPr>
        <w:jc w:val="both"/>
        <w:ind w:left="160" w:right="159" w:firstLine="639"/>
        <w:spacing w:after="0" w:line="264" w:lineRule="auto"/>
        <w:tabs>
          <w:tab w:leader="none" w:pos="1523"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left="160" w:right="139" w:firstLine="648"/>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adequacy of which is hereby acknowledged, and intending to be legally bound, the parties hereto agree as follows:</w:t>
      </w:r>
    </w:p>
    <w:p>
      <w:pPr>
        <w:spacing w:after="0" w:line="190" w:lineRule="exact"/>
        <w:rPr>
          <w:sz w:val="20"/>
          <w:szCs w:val="20"/>
          <w:color w:val="auto"/>
        </w:rPr>
      </w:pPr>
    </w:p>
    <w:p>
      <w:pPr>
        <w:ind w:left="160" w:right="159" w:firstLine="639"/>
        <w:spacing w:after="0" w:line="255" w:lineRule="auto"/>
        <w:tabs>
          <w:tab w:leader="none" w:pos="1488" w:val="left"/>
        </w:tabs>
        <w:numPr>
          <w:ilvl w:val="0"/>
          <w:numId w:val="166"/>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them in the Loan Agreement.</w:t>
      </w:r>
    </w:p>
    <w:p>
      <w:pPr>
        <w:spacing w:after="0" w:line="197" w:lineRule="exact"/>
        <w:rPr>
          <w:rFonts w:ascii="Arial" w:cs="Arial" w:eastAsia="Arial" w:hAnsi="Arial"/>
          <w:sz w:val="20"/>
          <w:szCs w:val="20"/>
          <w:b w:val="1"/>
          <w:bCs w:val="1"/>
          <w:color w:val="auto"/>
        </w:rPr>
      </w:pPr>
    </w:p>
    <w:p>
      <w:pPr>
        <w:ind w:left="1480" w:hanging="681"/>
        <w:spacing w:after="0"/>
        <w:tabs>
          <w:tab w:leader="none" w:pos="1480" w:val="left"/>
        </w:tabs>
        <w:numPr>
          <w:ilvl w:val="0"/>
          <w:numId w:val="166"/>
        </w:numPr>
        <w:rPr>
          <w:rFonts w:ascii="Arial" w:cs="Arial" w:eastAsia="Arial" w:hAnsi="Arial"/>
          <w:sz w:val="20"/>
          <w:szCs w:val="20"/>
          <w:b w:val="1"/>
          <w:bCs w:val="1"/>
          <w:color w:val="auto"/>
        </w:rPr>
      </w:pPr>
      <w:r>
        <w:rPr>
          <w:rFonts w:ascii="Arial" w:cs="Arial" w:eastAsia="Arial" w:hAnsi="Arial"/>
          <w:sz w:val="18"/>
          <w:szCs w:val="18"/>
          <w:b w:val="1"/>
          <w:bCs w:val="1"/>
          <w:color w:val="auto"/>
        </w:rPr>
        <w:t>Amendments to Loan Agreement.</w:t>
      </w:r>
    </w:p>
    <w:p>
      <w:pPr>
        <w:sectPr>
          <w:pgSz w:w="11900" w:h="16838" w:orient="portrait"/>
          <w:cols w:equalWidth="0" w:num="1">
            <w:col w:w="9019"/>
          </w:cols>
          <w:pgMar w:left="1440" w:top="608" w:right="1440" w:bottom="1440" w:gutter="0" w:footer="0" w:header="0"/>
        </w:sectPr>
      </w:pP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6.6 (Operating Accounts)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Section 6.6(a) is amended in its entirety and replaced</w:t>
      </w:r>
    </w:p>
    <w:p>
      <w:pPr>
        <w:spacing w:after="0" w:line="49" w:lineRule="exact"/>
        <w:rPr>
          <w:sz w:val="20"/>
          <w:szCs w:val="20"/>
          <w:color w:val="auto"/>
        </w:rPr>
      </w:pPr>
    </w:p>
    <w:p>
      <w:pPr>
        <w:sectPr>
          <w:pgSz w:w="11900" w:h="16838" w:orient="portrait"/>
          <w:cols w:equalWidth="0" w:num="3">
            <w:col w:w="1700" w:space="440"/>
            <w:col w:w="2620" w:space="140"/>
            <w:col w:w="4119"/>
          </w:cols>
          <w:pgMar w:left="1440" w:top="608" w:right="1440"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with the following:</w:t>
      </w:r>
    </w:p>
    <w:p>
      <w:pPr>
        <w:spacing w:after="0" w:line="207" w:lineRule="exact"/>
        <w:rPr>
          <w:sz w:val="20"/>
          <w:szCs w:val="20"/>
          <w:color w:val="auto"/>
        </w:rPr>
      </w:pPr>
    </w:p>
    <w:p>
      <w:pPr>
        <w:ind w:left="1440"/>
        <w:spacing w:after="0"/>
        <w:tabs>
          <w:tab w:leader="none" w:pos="2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Maintain all of its and all of its Subsidiaries’ (excluding Securities Corp.)</w:t>
      </w:r>
    </w:p>
    <w:p>
      <w:pPr>
        <w:sectPr>
          <w:pgSz w:w="11900" w:h="16838" w:orient="portrait"/>
          <w:cols w:equalWidth="0" w:num="1">
            <w:col w:w="9019"/>
          </w:cols>
          <w:pgMar w:left="1440" w:top="608" w:right="1440" w:bottom="1440" w:gutter="0" w:footer="0" w:header="0"/>
          <w:type w:val="continuous"/>
        </w:sectPr>
      </w:pPr>
    </w:p>
    <w:p>
      <w:pPr>
        <w:spacing w:after="0" w:line="23" w:lineRule="exact"/>
        <w:rPr>
          <w:sz w:val="20"/>
          <w:szCs w:val="20"/>
          <w:color w:val="auto"/>
        </w:rPr>
      </w:pPr>
    </w:p>
    <w:p>
      <w:pPr>
        <w:jc w:val="both"/>
        <w:ind w:left="1440" w:right="799"/>
        <w:spacing w:after="0" w:line="269" w:lineRule="auto"/>
        <w:rPr>
          <w:sz w:val="20"/>
          <w:szCs w:val="20"/>
          <w:color w:val="auto"/>
        </w:rPr>
      </w:pPr>
      <w:r>
        <w:rPr>
          <w:rFonts w:ascii="Arial" w:cs="Arial" w:eastAsia="Arial" w:hAnsi="Arial"/>
          <w:sz w:val="17"/>
          <w:szCs w:val="17"/>
          <w:color w:val="auto"/>
        </w:rPr>
        <w:t>operating, depository and securities accounts with Bank and Bank’s Affiliates, provided, further, Borrower (individually and not on a consolidated basis) shall at all times have on deposit in operating, depository and securities accounts maintained with Bank or Bank’s Affiliates, cash in an amount equal to or greater than one hundred five percent (105.0%) of the then-outstanding Obligations of Borrower to Bank. Bank may restrict withdrawals or transfers by or on behalf of Borrower that would violate this Section 6.6(a), regardless of whether an Event of Default exists at such time.”</w:t>
      </w:r>
    </w:p>
    <w:p>
      <w:pPr>
        <w:spacing w:after="0" w:line="172" w:lineRule="exact"/>
        <w:rPr>
          <w:sz w:val="20"/>
          <w:szCs w:val="20"/>
          <w:color w:val="auto"/>
        </w:rPr>
      </w:pPr>
    </w:p>
    <w:p>
      <w:pPr>
        <w:ind w:left="160" w:right="159" w:firstLine="1296"/>
        <w:spacing w:after="0" w:line="248" w:lineRule="auto"/>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18"/>
          <w:szCs w:val="18"/>
          <w:b w:val="1"/>
          <w:bCs w:val="1"/>
          <w:color w:val="auto"/>
        </w:rPr>
        <w:t>Section 7.7 (Distributions; Investments)</w:t>
      </w:r>
      <w:r>
        <w:rPr>
          <w:rFonts w:ascii="Arial" w:cs="Arial" w:eastAsia="Arial" w:hAnsi="Arial"/>
          <w:sz w:val="18"/>
          <w:szCs w:val="18"/>
          <w:color w:val="auto"/>
        </w:rPr>
        <w:t>. Section 7.7(b) is amended in its entirety and</w:t>
      </w:r>
      <w:r>
        <w:rPr>
          <w:rFonts w:ascii="Arial" w:cs="Arial" w:eastAsia="Arial" w:hAnsi="Arial"/>
          <w:sz w:val="20"/>
          <w:szCs w:val="20"/>
          <w:b w:val="1"/>
          <w:bCs w:val="1"/>
          <w:color w:val="auto"/>
        </w:rPr>
        <w:t xml:space="preserve"> </w:t>
      </w:r>
      <w:r>
        <w:rPr>
          <w:rFonts w:ascii="Arial" w:cs="Arial" w:eastAsia="Arial" w:hAnsi="Arial"/>
          <w:sz w:val="18"/>
          <w:szCs w:val="18"/>
          <w:color w:val="auto"/>
        </w:rPr>
        <w:t>replaced with the following: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type w:val="continuous"/>
        </w:sectPr>
      </w:pPr>
    </w:p>
    <w:bookmarkStart w:id="185" w:name="page186"/>
    <w:bookmarkEnd w:id="185"/>
    <w:p>
      <w:pPr>
        <w:jc w:val="both"/>
        <w:ind w:left="1440" w:right="799"/>
        <w:spacing w:after="0" w:line="264" w:lineRule="auto"/>
        <w:rPr>
          <w:sz w:val="20"/>
          <w:szCs w:val="20"/>
          <w:color w:val="auto"/>
        </w:rPr>
      </w:pPr>
      <w:r>
        <w:rPr>
          <w:rFonts w:ascii="Arial" w:cs="Arial" w:eastAsia="Arial" w:hAnsi="Arial"/>
          <w:sz w:val="18"/>
          <w:szCs w:val="18"/>
          <w:color w:val="auto"/>
        </w:rPr>
        <w:t>“(b) directly or indirectly make any Investment (including, without limitation, by the formation of any Subsidiary) other than Permitted Investments, or permit any of its Subsidiaries (other than Securities Corp.) to do so.”</w:t>
      </w:r>
    </w:p>
    <w:p>
      <w:pPr>
        <w:spacing w:after="0" w:line="173" w:lineRule="exact"/>
        <w:rPr>
          <w:sz w:val="20"/>
          <w:szCs w:val="20"/>
          <w:color w:val="auto"/>
        </w:rPr>
      </w:pPr>
    </w:p>
    <w:p>
      <w:pPr>
        <w:jc w:val="both"/>
        <w:ind w:left="160" w:right="139" w:firstLine="1296"/>
        <w:spacing w:after="0" w:line="307"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6"/>
          <w:szCs w:val="16"/>
          <w:b w:val="1"/>
          <w:bCs w:val="1"/>
          <w:color w:val="auto"/>
        </w:rPr>
        <w:t>Section 13.1 (Definitions)</w:t>
      </w:r>
      <w:r>
        <w:rPr>
          <w:rFonts w:ascii="Arial" w:cs="Arial" w:eastAsia="Arial" w:hAnsi="Arial"/>
          <w:sz w:val="16"/>
          <w:szCs w:val="16"/>
          <w:color w:val="auto"/>
        </w:rPr>
        <w:t>. The definition of Permitted Investments as set forth in Section</w:t>
      </w:r>
      <w:r>
        <w:rPr>
          <w:rFonts w:ascii="Arial" w:cs="Arial" w:eastAsia="Arial" w:hAnsi="Arial"/>
          <w:sz w:val="18"/>
          <w:szCs w:val="18"/>
          <w:b w:val="1"/>
          <w:bCs w:val="1"/>
          <w:color w:val="auto"/>
        </w:rPr>
        <w:t xml:space="preserve"> </w:t>
      </w:r>
      <w:r>
        <w:rPr>
          <w:rFonts w:ascii="Arial" w:cs="Arial" w:eastAsia="Arial" w:hAnsi="Arial"/>
          <w:sz w:val="16"/>
          <w:szCs w:val="16"/>
          <w:color w:val="auto"/>
        </w:rPr>
        <w:t>13.1 of the Loan Agreement is amended by (i) deleting “and” at the end of subsection (g), (ii) deleting “.” at the end of subsection (h) and inserting “; and”, and (iii) inserting the following new subsection to appear as subsection (i) thereof:</w:t>
      </w:r>
    </w:p>
    <w:p>
      <w:pPr>
        <w:spacing w:after="0" w:line="151" w:lineRule="exact"/>
        <w:rPr>
          <w:sz w:val="20"/>
          <w:szCs w:val="20"/>
          <w:color w:val="auto"/>
        </w:rPr>
      </w:pPr>
    </w:p>
    <w:p>
      <w:pPr>
        <w:ind w:left="1440" w:right="799"/>
        <w:spacing w:after="0" w:line="277" w:lineRule="auto"/>
        <w:rPr>
          <w:sz w:val="20"/>
          <w:szCs w:val="20"/>
          <w:color w:val="auto"/>
        </w:rPr>
      </w:pPr>
      <w:r>
        <w:rPr>
          <w:rFonts w:ascii="Arial" w:cs="Arial" w:eastAsia="Arial" w:hAnsi="Arial"/>
          <w:sz w:val="18"/>
          <w:szCs w:val="18"/>
          <w:color w:val="auto"/>
        </w:rPr>
        <w:t>“(i) cash Investments by Borrower in Securities Corp.; provided that no Event of Default has occurred and is continuing or would result from such Investment.”</w:t>
      </w:r>
    </w:p>
    <w:p>
      <w:pPr>
        <w:spacing w:after="0" w:line="162"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7"/>
          <w:szCs w:val="17"/>
          <w:b w:val="1"/>
          <w:bCs w:val="1"/>
          <w:color w:val="auto"/>
        </w:rPr>
        <w:t xml:space="preserve">Section 13 </w:t>
      </w:r>
      <w:r>
        <w:rPr>
          <w:rFonts w:ascii="Arial" w:cs="Arial" w:eastAsia="Arial" w:hAnsi="Arial"/>
          <w:sz w:val="17"/>
          <w:szCs w:val="17"/>
          <w:color w:val="auto"/>
        </w:rPr>
        <w:t>(</w:t>
      </w:r>
      <w:r>
        <w:rPr>
          <w:rFonts w:ascii="Arial" w:cs="Arial" w:eastAsia="Arial" w:hAnsi="Arial"/>
          <w:sz w:val="17"/>
          <w:szCs w:val="17"/>
          <w:b w:val="1"/>
          <w:bCs w:val="1"/>
          <w:color w:val="auto"/>
        </w:rPr>
        <w:t>Definitions</w:t>
      </w:r>
      <w:r>
        <w:rPr>
          <w:rFonts w:ascii="Arial" w:cs="Arial" w:eastAsia="Arial" w:hAnsi="Arial"/>
          <w:sz w:val="17"/>
          <w:szCs w:val="17"/>
          <w:color w:val="auto"/>
        </w:rPr>
        <w:t>). The following terms and their respective definitions set forth in</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13.1 are amended in their entirety and replaced with the following:</w:t>
      </w:r>
    </w:p>
    <w:p>
      <w:pPr>
        <w:spacing w:after="0" w:line="205" w:lineRule="exact"/>
        <w:rPr>
          <w:sz w:val="20"/>
          <w:szCs w:val="20"/>
          <w:color w:val="auto"/>
        </w:rPr>
      </w:pPr>
    </w:p>
    <w:p>
      <w:pPr>
        <w:ind w:left="1440" w:right="799"/>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of Borrower.”</w:t>
      </w:r>
    </w:p>
    <w:p>
      <w:pPr>
        <w:spacing w:after="0" w:line="161" w:lineRule="exact"/>
        <w:rPr>
          <w:sz w:val="20"/>
          <w:szCs w:val="20"/>
          <w:color w:val="auto"/>
        </w:rPr>
      </w:pPr>
    </w:p>
    <w:p>
      <w:pPr>
        <w:jc w:val="both"/>
        <w:ind w:left="1440" w:right="799"/>
        <w:spacing w:after="0" w:line="295"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the Warrant, the Perfection Certificate, the Stock Pledge Agreement,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51" w:lineRule="exact"/>
        <w:rPr>
          <w:sz w:val="20"/>
          <w:szCs w:val="20"/>
          <w:color w:val="auto"/>
        </w:rPr>
      </w:pPr>
    </w:p>
    <w:p>
      <w:pPr>
        <w:ind w:left="160" w:right="159" w:firstLine="1296"/>
        <w:spacing w:after="0" w:line="248" w:lineRule="auto"/>
        <w:rPr>
          <w:sz w:val="20"/>
          <w:szCs w:val="20"/>
          <w:color w:val="auto"/>
        </w:rPr>
      </w:pPr>
      <w:r>
        <w:rPr>
          <w:rFonts w:ascii="Arial" w:cs="Arial" w:eastAsia="Arial" w:hAnsi="Arial"/>
          <w:sz w:val="20"/>
          <w:szCs w:val="20"/>
          <w:b w:val="1"/>
          <w:bCs w:val="1"/>
          <w:color w:val="auto"/>
        </w:rPr>
        <w:t xml:space="preserve">2.5 </w:t>
      </w:r>
      <w:r>
        <w:rPr>
          <w:rFonts w:ascii="Arial" w:cs="Arial" w:eastAsia="Arial" w:hAnsi="Arial"/>
          <w:sz w:val="18"/>
          <w:szCs w:val="18"/>
          <w:b w:val="1"/>
          <w:bCs w:val="1"/>
          <w:color w:val="auto"/>
        </w:rPr>
        <w:t>Section 13</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new terms and their definitions are inserted to</w:t>
      </w:r>
      <w:r>
        <w:rPr>
          <w:rFonts w:ascii="Arial" w:cs="Arial" w:eastAsia="Arial" w:hAnsi="Arial"/>
          <w:sz w:val="20"/>
          <w:szCs w:val="20"/>
          <w:b w:val="1"/>
          <w:bCs w:val="1"/>
          <w:color w:val="auto"/>
        </w:rPr>
        <w:t xml:space="preserve"> </w:t>
      </w:r>
      <w:r>
        <w:rPr>
          <w:rFonts w:ascii="Arial" w:cs="Arial" w:eastAsia="Arial" w:hAnsi="Arial"/>
          <w:sz w:val="18"/>
          <w:szCs w:val="18"/>
          <w:color w:val="auto"/>
        </w:rPr>
        <w:t>appear alphabetically in Section 13.1:</w:t>
      </w:r>
    </w:p>
    <w:p>
      <w:pPr>
        <w:spacing w:after="0" w:line="191" w:lineRule="exact"/>
        <w:rPr>
          <w:sz w:val="20"/>
          <w:szCs w:val="20"/>
          <w:color w:val="auto"/>
        </w:rPr>
      </w:pPr>
    </w:p>
    <w:p>
      <w:pPr>
        <w:jc w:val="both"/>
        <w:ind w:left="1440" w:right="799"/>
        <w:spacing w:after="0" w:line="266"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Stock Pledge Agreement</w:t>
      </w:r>
      <w:r>
        <w:rPr>
          <w:rFonts w:ascii="Arial" w:cs="Arial" w:eastAsia="Arial" w:hAnsi="Arial"/>
          <w:sz w:val="18"/>
          <w:szCs w:val="18"/>
          <w:color w:val="auto"/>
        </w:rPr>
        <w:t>” means that certain Stock Pledge Agreement executed by Borrower in favor of Bank dated as of December 21, 2015, as may be amended, modified, supplemented or restated from time to time.”</w:t>
      </w:r>
    </w:p>
    <w:p>
      <w:pPr>
        <w:spacing w:after="0" w:line="176" w:lineRule="exact"/>
        <w:rPr>
          <w:sz w:val="20"/>
          <w:szCs w:val="20"/>
          <w:color w:val="auto"/>
        </w:rPr>
      </w:pPr>
    </w:p>
    <w:p>
      <w:pPr>
        <w:ind w:left="1440" w:right="799"/>
        <w:spacing w:after="0" w:line="313"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Securities Corp.</w:t>
      </w:r>
      <w:r>
        <w:rPr>
          <w:rFonts w:ascii="Arial" w:cs="Arial" w:eastAsia="Arial" w:hAnsi="Arial"/>
          <w:sz w:val="17"/>
          <w:szCs w:val="17"/>
          <w:color w:val="auto"/>
        </w:rPr>
        <w:t>” is Blueprint Medicines Security Corporation, a corporation organized under the laws of the Commonwealth of Massachusetts and a Subsidiary of Borrower.”</w:t>
      </w:r>
    </w:p>
    <w:p>
      <w:pPr>
        <w:spacing w:after="0" w:line="151" w:lineRule="exact"/>
        <w:rPr>
          <w:sz w:val="20"/>
          <w:szCs w:val="20"/>
          <w:color w:val="auto"/>
        </w:rPr>
      </w:pPr>
    </w:p>
    <w:p>
      <w:pPr>
        <w:ind w:left="1480" w:hanging="681"/>
        <w:spacing w:after="0"/>
        <w:tabs>
          <w:tab w:leader="none" w:pos="1480" w:val="left"/>
        </w:tabs>
        <w:numPr>
          <w:ilvl w:val="0"/>
          <w:numId w:val="168"/>
        </w:numPr>
        <w:rPr>
          <w:rFonts w:ascii="Arial" w:cs="Arial" w:eastAsia="Arial" w:hAnsi="Arial"/>
          <w:sz w:val="20"/>
          <w:szCs w:val="20"/>
          <w:b w:val="1"/>
          <w:bCs w:val="1"/>
          <w:color w:val="auto"/>
        </w:rPr>
      </w:pPr>
      <w:r>
        <w:rPr>
          <w:rFonts w:ascii="Arial" w:cs="Arial" w:eastAsia="Arial" w:hAnsi="Arial"/>
          <w:sz w:val="18"/>
          <w:szCs w:val="18"/>
          <w:b w:val="1"/>
          <w:bCs w:val="1"/>
          <w:color w:val="auto"/>
        </w:rPr>
        <w:t>Limitation of Amendments.</w:t>
      </w:r>
    </w:p>
    <w:p>
      <w:pPr>
        <w:spacing w:after="0" w:line="198" w:lineRule="exact"/>
        <w:rPr>
          <w:sz w:val="20"/>
          <w:szCs w:val="20"/>
          <w:color w:val="auto"/>
        </w:rPr>
      </w:pPr>
    </w:p>
    <w:p>
      <w:pPr>
        <w:jc w:val="both"/>
        <w:ind w:left="160" w:right="139" w:firstLine="1296"/>
        <w:spacing w:after="0" w:line="267"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7"/>
          <w:szCs w:val="17"/>
          <w:color w:val="auto"/>
        </w:rPr>
        <w:t>The amendments set forth in Section 2, above, are effective for the purposes set forth herein</w:t>
      </w:r>
      <w:r>
        <w:rPr>
          <w:rFonts w:ascii="Arial" w:cs="Arial" w:eastAsia="Arial" w:hAnsi="Arial"/>
          <w:sz w:val="19"/>
          <w:szCs w:val="19"/>
          <w:b w:val="1"/>
          <w:bCs w:val="1"/>
          <w:color w:val="auto"/>
        </w:rPr>
        <w:t xml:space="preserve"> </w:t>
      </w:r>
      <w:r>
        <w:rPr>
          <w:rFonts w:ascii="Arial" w:cs="Arial" w:eastAsia="Arial" w:hAnsi="Arial"/>
          <w:sz w:val="17"/>
          <w:szCs w:val="17"/>
          <w:color w:val="auto"/>
        </w:rPr>
        <w:t>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3" w:lineRule="exact"/>
        <w:rPr>
          <w:sz w:val="20"/>
          <w:szCs w:val="20"/>
          <w:color w:val="auto"/>
        </w:rPr>
      </w:pPr>
    </w:p>
    <w:p>
      <w:pPr>
        <w:jc w:val="both"/>
        <w:ind w:left="160" w:right="139" w:firstLine="1296"/>
        <w:spacing w:after="0" w:line="270"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7"/>
          <w:szCs w:val="17"/>
          <w:color w:val="auto"/>
        </w:rPr>
        <w:t>This Amendment shall be construed in connection with and as part of the Loan Documents</w:t>
      </w:r>
      <w:r>
        <w:rPr>
          <w:rFonts w:ascii="Arial" w:cs="Arial" w:eastAsia="Arial" w:hAnsi="Arial"/>
          <w:sz w:val="19"/>
          <w:szCs w:val="19"/>
          <w:b w:val="1"/>
          <w:bCs w:val="1"/>
          <w:color w:val="auto"/>
        </w:rPr>
        <w:t xml:space="preserve"> </w:t>
      </w:r>
      <w:r>
        <w:rPr>
          <w:rFonts w:ascii="Arial" w:cs="Arial" w:eastAsia="Arial" w:hAnsi="Arial"/>
          <w:sz w:val="17"/>
          <w:szCs w:val="17"/>
          <w:color w:val="auto"/>
        </w:rPr>
        <w:t>and all terms, conditions, representations, warranties, covenants and agreements set forth in the Loan Documents, except as herein amended, are hereby ratified and confirmed and shall remain in full force and effect.</w:t>
      </w:r>
    </w:p>
    <w:p>
      <w:pPr>
        <w:spacing w:after="0" w:line="184" w:lineRule="exact"/>
        <w:rPr>
          <w:sz w:val="20"/>
          <w:szCs w:val="20"/>
          <w:color w:val="auto"/>
        </w:rPr>
      </w:pPr>
    </w:p>
    <w:p>
      <w:pPr>
        <w:jc w:val="both"/>
        <w:ind w:left="160" w:right="139" w:firstLine="639"/>
        <w:spacing w:after="0" w:line="286" w:lineRule="auto"/>
        <w:tabs>
          <w:tab w:leader="none" w:pos="1515" w:val="left"/>
        </w:tabs>
        <w:numPr>
          <w:ilvl w:val="0"/>
          <w:numId w:val="169"/>
        </w:numPr>
        <w:rPr>
          <w:rFonts w:ascii="Arial" w:cs="Arial" w:eastAsia="Arial" w:hAnsi="Arial"/>
          <w:sz w:val="18"/>
          <w:szCs w:val="18"/>
          <w:b w:val="1"/>
          <w:bCs w:val="1"/>
          <w:color w:val="auto"/>
        </w:rPr>
      </w:pPr>
      <w:r>
        <w:rPr>
          <w:rFonts w:ascii="Arial" w:cs="Arial" w:eastAsia="Arial" w:hAnsi="Arial"/>
          <w:sz w:val="16"/>
          <w:szCs w:val="16"/>
          <w:b w:val="1"/>
          <w:bCs w:val="1"/>
          <w:color w:val="auto"/>
        </w:rPr>
        <w:t>Consent</w:t>
      </w:r>
      <w:r>
        <w:rPr>
          <w:rFonts w:ascii="Arial" w:cs="Arial" w:eastAsia="Arial" w:hAnsi="Arial"/>
          <w:sz w:val="16"/>
          <w:szCs w:val="16"/>
          <w:color w:val="auto"/>
        </w:rPr>
        <w:t>. Borrower has notified Bank that Borrower intends to create the Securities Corp.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Subsidiary Formation</w:t>
      </w:r>
      <w:r>
        <w:rPr>
          <w:rFonts w:ascii="Arial" w:cs="Arial" w:eastAsia="Arial" w:hAnsi="Arial"/>
          <w:sz w:val="16"/>
          <w:szCs w:val="16"/>
          <w:color w:val="auto"/>
        </w:rPr>
        <w:t>”). Borrower has requested that Bank consent to the Subsidiary Formation. Bank hereby consents to the Subsidiary Formation and agrees that the Subsidiary Formation shall not, in and of itself, constitute an “Event of Default” under Section 7.3 (relative to mergers or acquisitions), Section 7.7 (relative to distributions and Investments), or Section 7.8 (relative to transactions with Affiliates) of the Loan Agreement. Borrower hereby acknowledges and agrees that nothing in this Section or anywhere in this Amendment shall be deemed or otherwise construed as a waiver by Bank of any of its rights and remedies pursuant to the Loan Documents, applicable law or</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86" w:name="page187"/>
    <w:bookmarkEnd w:id="186"/>
    <w:p>
      <w:pPr>
        <w:ind w:left="160"/>
        <w:spacing w:after="0"/>
        <w:rPr>
          <w:sz w:val="20"/>
          <w:szCs w:val="20"/>
          <w:color w:val="auto"/>
        </w:rPr>
      </w:pPr>
      <w:r>
        <w:rPr>
          <w:rFonts w:ascii="Arial" w:cs="Arial" w:eastAsia="Arial" w:hAnsi="Arial"/>
          <w:sz w:val="18"/>
          <w:szCs w:val="18"/>
          <w:color w:val="auto"/>
        </w:rPr>
        <w:t>otherwise.</w:t>
      </w:r>
    </w:p>
    <w:p>
      <w:pPr>
        <w:spacing w:after="0" w:line="235" w:lineRule="exact"/>
        <w:rPr>
          <w:sz w:val="20"/>
          <w:szCs w:val="20"/>
          <w:color w:val="auto"/>
        </w:rPr>
      </w:pPr>
    </w:p>
    <w:p>
      <w:pPr>
        <w:ind w:left="160" w:right="159" w:firstLine="639"/>
        <w:spacing w:after="0" w:line="255" w:lineRule="auto"/>
        <w:tabs>
          <w:tab w:leader="none" w:pos="1488" w:val="left"/>
        </w:tabs>
        <w:numPr>
          <w:ilvl w:val="0"/>
          <w:numId w:val="170"/>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Bank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Bank as follows:</w:t>
      </w:r>
    </w:p>
    <w:p>
      <w:pPr>
        <w:spacing w:after="0" w:line="179" w:lineRule="exact"/>
        <w:rPr>
          <w:sz w:val="20"/>
          <w:szCs w:val="20"/>
          <w:color w:val="auto"/>
        </w:rPr>
      </w:pPr>
    </w:p>
    <w:p>
      <w:pPr>
        <w:jc w:val="both"/>
        <w:ind w:left="160" w:right="159" w:firstLine="1296"/>
        <w:spacing w:after="0" w:line="267"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7"/>
          <w:szCs w:val="17"/>
          <w:color w:val="auto"/>
        </w:rPr>
        <w:t>Immediately after giving effect to this Amendment (a) the representations and warranties</w:t>
      </w:r>
      <w:r>
        <w:rPr>
          <w:rFonts w:ascii="Arial" w:cs="Arial" w:eastAsia="Arial" w:hAnsi="Arial"/>
          <w:sz w:val="19"/>
          <w:szCs w:val="19"/>
          <w:b w:val="1"/>
          <w:bCs w:val="1"/>
          <w:color w:val="auto"/>
        </w:rPr>
        <w:t xml:space="preserve"> </w:t>
      </w:r>
      <w:r>
        <w:rPr>
          <w:rFonts w:ascii="Arial" w:cs="Arial" w:eastAsia="Arial" w:hAnsi="Arial"/>
          <w:sz w:val="17"/>
          <w:szCs w:val="17"/>
          <w:color w:val="auto"/>
        </w:rPr>
        <w:t>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3" w:lineRule="exact"/>
        <w:rPr>
          <w:sz w:val="20"/>
          <w:szCs w:val="20"/>
          <w:color w:val="auto"/>
        </w:rPr>
      </w:pPr>
    </w:p>
    <w:p>
      <w:pPr>
        <w:jc w:val="both"/>
        <w:ind w:left="160" w:right="159" w:firstLine="1296"/>
        <w:spacing w:after="0" w:line="248"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18"/>
          <w:szCs w:val="18"/>
          <w:color w:val="auto"/>
        </w:rPr>
        <w:t>Borrower has the power and authority to execute and deliver this Amendment and to perform</w:t>
      </w:r>
      <w:r>
        <w:rPr>
          <w:rFonts w:ascii="Arial" w:cs="Arial" w:eastAsia="Arial" w:hAnsi="Arial"/>
          <w:sz w:val="20"/>
          <w:szCs w:val="20"/>
          <w:b w:val="1"/>
          <w:bCs w:val="1"/>
          <w:color w:val="auto"/>
        </w:rPr>
        <w:t xml:space="preserve"> </w:t>
      </w:r>
      <w:r>
        <w:rPr>
          <w:rFonts w:ascii="Arial" w:cs="Arial" w:eastAsia="Arial" w:hAnsi="Arial"/>
          <w:sz w:val="18"/>
          <w:szCs w:val="18"/>
          <w:color w:val="auto"/>
        </w:rPr>
        <w:t>its obligations under the Loan Agreement, as amended by this Amendment;</w:t>
      </w:r>
    </w:p>
    <w:p>
      <w:pPr>
        <w:spacing w:after="0" w:line="186" w:lineRule="exact"/>
        <w:rPr>
          <w:sz w:val="20"/>
          <w:szCs w:val="20"/>
          <w:color w:val="auto"/>
        </w:rPr>
      </w:pPr>
    </w:p>
    <w:p>
      <w:pPr>
        <w:jc w:val="both"/>
        <w:ind w:left="160" w:right="139" w:firstLine="1296"/>
        <w:spacing w:after="0" w:line="249"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18"/>
          <w:szCs w:val="18"/>
          <w:color w:val="auto"/>
        </w:rPr>
        <w:t>The organizational documents of Borrower delivered to Bank on the Effective Date remain</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true, accurate and complete and have not been amended, supplemented or restated and are and continue to be in full force and effect except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6" w:lineRule="exact"/>
        <w:rPr>
          <w:sz w:val="20"/>
          <w:szCs w:val="20"/>
          <w:color w:val="auto"/>
        </w:rPr>
      </w:pPr>
    </w:p>
    <w:p>
      <w:pPr>
        <w:jc w:val="both"/>
        <w:ind w:left="160" w:right="139" w:firstLine="1296"/>
        <w:spacing w:after="0" w:line="306"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7"/>
          <w:szCs w:val="17"/>
          <w:color w:val="auto"/>
        </w:rPr>
        <w:t>The execution and delivery by Borrower of this Amendment and the performance by</w:t>
      </w:r>
      <w:r>
        <w:rPr>
          <w:rFonts w:ascii="Arial" w:cs="Arial" w:eastAsia="Arial" w:hAnsi="Arial"/>
          <w:sz w:val="19"/>
          <w:szCs w:val="19"/>
          <w:b w:val="1"/>
          <w:bCs w:val="1"/>
          <w:color w:val="auto"/>
        </w:rPr>
        <w:t xml:space="preserve"> </w:t>
      </w:r>
      <w:r>
        <w:rPr>
          <w:rFonts w:ascii="Arial" w:cs="Arial" w:eastAsia="Arial" w:hAnsi="Arial"/>
          <w:sz w:val="17"/>
          <w:szCs w:val="17"/>
          <w:color w:val="auto"/>
        </w:rPr>
        <w:t>Borrower of its obligations under the Loan Agreement, as amended by this Amendment, have been duly authorized;</w:t>
      </w:r>
    </w:p>
    <w:p>
      <w:pPr>
        <w:spacing w:after="0" w:line="134" w:lineRule="exact"/>
        <w:rPr>
          <w:sz w:val="20"/>
          <w:szCs w:val="20"/>
          <w:color w:val="auto"/>
        </w:rPr>
      </w:pPr>
    </w:p>
    <w:p>
      <w:pPr>
        <w:jc w:val="both"/>
        <w:ind w:left="160" w:right="139" w:firstLine="1296"/>
        <w:spacing w:after="0" w:line="271"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7"/>
          <w:szCs w:val="17"/>
          <w:color w:val="auto"/>
        </w:rPr>
        <w:t>The execution and delivery by Borrower of this Amendment and the performance by</w:t>
      </w:r>
      <w:r>
        <w:rPr>
          <w:rFonts w:ascii="Arial" w:cs="Arial" w:eastAsia="Arial" w:hAnsi="Arial"/>
          <w:sz w:val="19"/>
          <w:szCs w:val="19"/>
          <w:b w:val="1"/>
          <w:bCs w:val="1"/>
          <w:color w:val="auto"/>
        </w:rPr>
        <w:t xml:space="preserve"> </w:t>
      </w:r>
      <w:r>
        <w:rPr>
          <w:rFonts w:ascii="Arial" w:cs="Arial" w:eastAsia="Arial" w:hAnsi="Arial"/>
          <w:sz w:val="17"/>
          <w:szCs w:val="17"/>
          <w:color w:val="auto"/>
        </w:rPr>
        <w:t>Borrower of its obligations under the Loan Agreement, as amended by this Amendment, do not and will not contravene</w:t>
      </w:r>
    </w:p>
    <w:p>
      <w:pPr>
        <w:spacing w:after="0" w:line="1" w:lineRule="exact"/>
        <w:rPr>
          <w:sz w:val="20"/>
          <w:szCs w:val="20"/>
          <w:color w:val="auto"/>
        </w:rPr>
      </w:pPr>
    </w:p>
    <w:p>
      <w:pPr>
        <w:jc w:val="both"/>
        <w:ind w:left="160" w:right="159" w:hanging="9"/>
        <w:spacing w:after="0" w:line="255" w:lineRule="auto"/>
        <w:tabs>
          <w:tab w:leader="none" w:pos="42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2" w:lineRule="exact"/>
        <w:rPr>
          <w:sz w:val="20"/>
          <w:szCs w:val="20"/>
          <w:color w:val="auto"/>
        </w:rPr>
      </w:pPr>
    </w:p>
    <w:p>
      <w:pPr>
        <w:jc w:val="both"/>
        <w:ind w:left="160" w:right="139" w:firstLine="1296"/>
        <w:spacing w:after="0" w:line="249" w:lineRule="auto"/>
        <w:rPr>
          <w:sz w:val="20"/>
          <w:szCs w:val="20"/>
          <w:color w:val="auto"/>
        </w:rPr>
      </w:pPr>
      <w:r>
        <w:rPr>
          <w:rFonts w:ascii="Arial" w:cs="Arial" w:eastAsia="Arial" w:hAnsi="Arial"/>
          <w:sz w:val="20"/>
          <w:szCs w:val="20"/>
          <w:b w:val="1"/>
          <w:bCs w:val="1"/>
          <w:color w:val="auto"/>
        </w:rPr>
        <w:t xml:space="preserve">5.6 </w:t>
      </w:r>
      <w:r>
        <w:rPr>
          <w:rFonts w:ascii="Arial" w:cs="Arial" w:eastAsia="Arial" w:hAnsi="Arial"/>
          <w:sz w:val="18"/>
          <w:szCs w:val="18"/>
          <w:color w:val="auto"/>
        </w:rPr>
        <w:t>The execution and delivery by Borrower of this Amendment and the performance by</w:t>
      </w:r>
      <w:r>
        <w:rPr>
          <w:rFonts w:ascii="Arial" w:cs="Arial" w:eastAsia="Arial" w:hAnsi="Arial"/>
          <w:sz w:val="20"/>
          <w:szCs w:val="20"/>
          <w:b w:val="1"/>
          <w:bCs w:val="1"/>
          <w:color w:val="auto"/>
        </w:rPr>
        <w:t xml:space="preserve"> </w:t>
      </w:r>
      <w:r>
        <w:rPr>
          <w:rFonts w:ascii="Arial" w:cs="Arial" w:eastAsia="Arial" w:hAnsi="Arial"/>
          <w:sz w:val="18"/>
          <w:szCs w:val="18"/>
          <w:color w:val="auto"/>
        </w:rPr>
        <w:t>Borrower of its obligations under the Loan Agreement, as amended by this Amendment, do not require any order, consent, approval, license, authorization or validation of, or filing, recording or registration by Borrower with, or exemption by any governmental or public body or authority, or subdivision thereof, binding on Borrower, except as already has been obtained or made; and</w:t>
      </w:r>
    </w:p>
    <w:p>
      <w:pPr>
        <w:spacing w:after="0" w:line="189" w:lineRule="exact"/>
        <w:rPr>
          <w:sz w:val="20"/>
          <w:szCs w:val="20"/>
          <w:color w:val="auto"/>
        </w:rPr>
      </w:pPr>
    </w:p>
    <w:p>
      <w:pPr>
        <w:jc w:val="both"/>
        <w:ind w:left="160" w:right="139" w:firstLine="1296"/>
        <w:spacing w:after="0" w:line="249" w:lineRule="auto"/>
        <w:rPr>
          <w:sz w:val="20"/>
          <w:szCs w:val="20"/>
          <w:color w:val="auto"/>
        </w:rPr>
      </w:pPr>
      <w:r>
        <w:rPr>
          <w:rFonts w:ascii="Arial" w:cs="Arial" w:eastAsia="Arial" w:hAnsi="Arial"/>
          <w:sz w:val="20"/>
          <w:szCs w:val="20"/>
          <w:b w:val="1"/>
          <w:bCs w:val="1"/>
          <w:color w:val="auto"/>
        </w:rPr>
        <w:t xml:space="preserve">5.7 </w:t>
      </w:r>
      <w:r>
        <w:rPr>
          <w:rFonts w:ascii="Arial" w:cs="Arial" w:eastAsia="Arial" w:hAnsi="Arial"/>
          <w:sz w:val="18"/>
          <w:szCs w:val="18"/>
          <w:color w:val="auto"/>
        </w:rPr>
        <w:t>This Amendment has been duly executed and delivered by Borrower and is the binding</w:t>
      </w:r>
      <w:r>
        <w:rPr>
          <w:rFonts w:ascii="Arial" w:cs="Arial" w:eastAsia="Arial" w:hAnsi="Arial"/>
          <w:sz w:val="20"/>
          <w:szCs w:val="20"/>
          <w:b w:val="1"/>
          <w:bCs w:val="1"/>
          <w:color w:val="auto"/>
        </w:rPr>
        <w:t xml:space="preserve"> </w:t>
      </w:r>
      <w:r>
        <w:rPr>
          <w:rFonts w:ascii="Arial" w:cs="Arial" w:eastAsia="Arial" w:hAnsi="Arial"/>
          <w:sz w:val="18"/>
          <w:szCs w:val="18"/>
          <w:color w:val="auto"/>
        </w:rPr>
        <w:t>obligation of Borrower, enforceable against Borrower in accordance with its terms, except as such enforceability may be limited by bankruptcy, insolvency, reorganization, liquidation, moratorium or other similar laws of general application and by general equitable principles.</w:t>
      </w:r>
    </w:p>
    <w:p>
      <w:pPr>
        <w:spacing w:after="0" w:line="205" w:lineRule="exact"/>
        <w:rPr>
          <w:sz w:val="20"/>
          <w:szCs w:val="20"/>
          <w:color w:val="auto"/>
        </w:rPr>
      </w:pPr>
    </w:p>
    <w:p>
      <w:pPr>
        <w:jc w:val="both"/>
        <w:ind w:left="160" w:right="139" w:firstLine="639"/>
        <w:spacing w:after="0" w:line="251" w:lineRule="auto"/>
        <w:tabs>
          <w:tab w:leader="none" w:pos="1528" w:val="left"/>
        </w:tabs>
        <w:numPr>
          <w:ilvl w:val="0"/>
          <w:numId w:val="172"/>
        </w:numPr>
        <w:rPr>
          <w:rFonts w:ascii="Arial" w:cs="Arial" w:eastAsia="Arial" w:hAnsi="Arial"/>
          <w:sz w:val="20"/>
          <w:szCs w:val="20"/>
          <w:b w:val="1"/>
          <w:bCs w:val="1"/>
          <w:color w:val="auto"/>
        </w:rPr>
      </w:pPr>
      <w:r>
        <w:rPr>
          <w:rFonts w:ascii="Arial" w:cs="Arial" w:eastAsia="Arial" w:hAnsi="Arial"/>
          <w:sz w:val="18"/>
          <w:szCs w:val="18"/>
          <w:b w:val="1"/>
          <w:bCs w:val="1"/>
          <w:color w:val="auto"/>
        </w:rPr>
        <w:t>Updated Perfection Certificate</w:t>
      </w:r>
      <w:r>
        <w:rPr>
          <w:rFonts w:ascii="Arial" w:cs="Arial" w:eastAsia="Arial" w:hAnsi="Arial"/>
          <w:sz w:val="18"/>
          <w:szCs w:val="18"/>
          <w:color w:val="auto"/>
        </w:rPr>
        <w:t>. Borrower has delivered an updated Perfection Certificate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Amendment, dated as of the date hereof (the “</w:t>
      </w:r>
      <w:r>
        <w:rPr>
          <w:rFonts w:ascii="Arial" w:cs="Arial" w:eastAsia="Arial" w:hAnsi="Arial"/>
          <w:sz w:val="18"/>
          <w:szCs w:val="18"/>
          <w:b w:val="1"/>
          <w:bCs w:val="1"/>
          <w:color w:val="auto"/>
        </w:rPr>
        <w:t>Updated Perfection Certificate</w:t>
      </w:r>
      <w:r>
        <w:rPr>
          <w:rFonts w:ascii="Arial" w:cs="Arial" w:eastAsia="Arial" w:hAnsi="Arial"/>
          <w:sz w:val="18"/>
          <w:szCs w:val="18"/>
          <w:color w:val="auto"/>
        </w:rPr>
        <w:t>”), which Updated Perfection Certificate shall supersede in all respects that certain Perfection Certificate, dated as of November 4, 2014. Borrower and Bank agree that all references in the Loan Agreement to the “Perfection Certificate” shall hereinafter be deemed to be a reference to the Updated Perfection Certificate.</w:t>
      </w:r>
    </w:p>
    <w:p>
      <w:pPr>
        <w:spacing w:after="0" w:line="203" w:lineRule="exact"/>
        <w:rPr>
          <w:rFonts w:ascii="Arial" w:cs="Arial" w:eastAsia="Arial" w:hAnsi="Arial"/>
          <w:sz w:val="20"/>
          <w:szCs w:val="20"/>
          <w:b w:val="1"/>
          <w:bCs w:val="1"/>
          <w:color w:val="auto"/>
        </w:rPr>
      </w:pPr>
    </w:p>
    <w:p>
      <w:pPr>
        <w:jc w:val="both"/>
        <w:ind w:left="160" w:right="159" w:firstLine="639"/>
        <w:spacing w:after="0" w:line="251" w:lineRule="auto"/>
        <w:tabs>
          <w:tab w:leader="none" w:pos="1501" w:val="left"/>
        </w:tabs>
        <w:numPr>
          <w:ilvl w:val="0"/>
          <w:numId w:val="172"/>
        </w:numPr>
        <w:rPr>
          <w:rFonts w:ascii="Arial" w:cs="Arial" w:eastAsia="Arial" w:hAnsi="Arial"/>
          <w:sz w:val="20"/>
          <w:szCs w:val="20"/>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203" w:lineRule="exact"/>
        <w:rPr>
          <w:rFonts w:ascii="Arial" w:cs="Arial" w:eastAsia="Arial" w:hAnsi="Arial"/>
          <w:sz w:val="20"/>
          <w:szCs w:val="20"/>
          <w:b w:val="1"/>
          <w:bCs w:val="1"/>
          <w:color w:val="auto"/>
        </w:rPr>
      </w:pPr>
    </w:p>
    <w:p>
      <w:pPr>
        <w:jc w:val="both"/>
        <w:ind w:left="160" w:right="139" w:firstLine="639"/>
        <w:spacing w:after="0" w:line="270" w:lineRule="auto"/>
        <w:tabs>
          <w:tab w:leader="none" w:pos="1501" w:val="left"/>
        </w:tabs>
        <w:numPr>
          <w:ilvl w:val="0"/>
          <w:numId w:val="172"/>
        </w:numPr>
        <w:rPr>
          <w:rFonts w:ascii="Arial" w:cs="Arial" w:eastAsia="Arial" w:hAnsi="Arial"/>
          <w:sz w:val="19"/>
          <w:szCs w:val="19"/>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Amendment may be executed in any number of counterparts and all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taken together shall be deemed to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87" w:name="page188"/>
    <w:bookmarkEnd w:id="187"/>
    <w:p>
      <w:pPr>
        <w:jc w:val="both"/>
        <w:ind w:left="160" w:right="139" w:firstLine="639"/>
        <w:spacing w:after="0" w:line="252" w:lineRule="auto"/>
        <w:tabs>
          <w:tab w:leader="none" w:pos="1488" w:val="left"/>
        </w:tabs>
        <w:numPr>
          <w:ilvl w:val="0"/>
          <w:numId w:val="173"/>
        </w:numPr>
        <w:rPr>
          <w:rFonts w:ascii="Arial" w:cs="Arial" w:eastAsia="Arial" w:hAnsi="Arial"/>
          <w:sz w:val="20"/>
          <w:szCs w:val="20"/>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this Amendment by each party hereto and (b) Borrower’s payment of Bank’s legal fees and expenses incurred in connection with this Amendment.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188" w:name="page189"/>
    <w:bookmarkEnd w:id="188"/>
    <w:p>
      <w:pPr>
        <w:ind w:left="160" w:right="159" w:firstLine="648"/>
        <w:spacing w:after="0" w:line="313"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Amendment to be duly executed and delivered as a</w:t>
      </w:r>
      <w:r>
        <w:rPr>
          <w:rFonts w:ascii="Arial" w:cs="Arial" w:eastAsia="Arial" w:hAnsi="Arial"/>
          <w:sz w:val="17"/>
          <w:szCs w:val="17"/>
          <w:b w:val="1"/>
          <w:bCs w:val="1"/>
          <w:color w:val="auto"/>
        </w:rPr>
        <w:t xml:space="preserve"> </w:t>
      </w:r>
      <w:r>
        <w:rPr>
          <w:rFonts w:ascii="Arial" w:cs="Arial" w:eastAsia="Arial" w:hAnsi="Arial"/>
          <w:sz w:val="17"/>
          <w:szCs w:val="17"/>
          <w:color w:val="auto"/>
        </w:rPr>
        <w:t>sealed instrument under the laws of the Commonwealth of Massachusetts as of the date first written above.</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BANK</w:t>
            </w:r>
          </w:p>
        </w:tc>
        <w:tc>
          <w:tcPr>
            <w:tcW w:w="3520" w:type="dxa"/>
            <w:vAlign w:val="bottom"/>
          </w:tcPr>
          <w:p>
            <w:pPr>
              <w:spacing w:after="0"/>
              <w:rPr>
                <w:sz w:val="20"/>
                <w:szCs w:val="20"/>
                <w:color w:val="auto"/>
              </w:rPr>
            </w:pPr>
          </w:p>
        </w:tc>
        <w:tc>
          <w:tcPr>
            <w:tcW w:w="4620" w:type="dxa"/>
            <w:vAlign w:val="bottom"/>
            <w:gridSpan w:val="2"/>
          </w:tcPr>
          <w:p>
            <w:pPr>
              <w:ind w:left="300"/>
              <w:spacing w:after="0"/>
              <w:rPr>
                <w:sz w:val="20"/>
                <w:szCs w:val="20"/>
                <w:color w:val="auto"/>
              </w:rPr>
            </w:pPr>
            <w:r>
              <w:rPr>
                <w:rFonts w:ascii="Arial" w:cs="Arial" w:eastAsia="Arial" w:hAnsi="Arial"/>
                <w:sz w:val="18"/>
                <w:szCs w:val="18"/>
                <w:b w:val="1"/>
                <w:bCs w:val="1"/>
                <w:color w:val="auto"/>
              </w:rPr>
              <w:t>BORROWER</w:t>
            </w:r>
          </w:p>
        </w:tc>
        <w:tc>
          <w:tcPr>
            <w:tcW w:w="20" w:type="dxa"/>
            <w:vAlign w:val="bottom"/>
          </w:tcPr>
          <w:p>
            <w:pPr>
              <w:spacing w:after="0"/>
              <w:rPr>
                <w:sz w:val="20"/>
                <w:szCs w:val="20"/>
                <w:color w:val="auto"/>
              </w:rPr>
            </w:pPr>
          </w:p>
        </w:tc>
      </w:tr>
      <w:tr>
        <w:trPr>
          <w:trHeight w:val="432"/>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SILICON VALLEY BANK</w:t>
            </w:r>
          </w:p>
        </w:tc>
        <w:tc>
          <w:tcPr>
            <w:tcW w:w="4620" w:type="dxa"/>
            <w:vAlign w:val="bottom"/>
            <w:gridSpan w:val="2"/>
          </w:tcPr>
          <w:p>
            <w:pPr>
              <w:ind w:left="300"/>
              <w:spacing w:after="0"/>
              <w:rPr>
                <w:sz w:val="20"/>
                <w:szCs w:val="20"/>
                <w:color w:val="auto"/>
              </w:rPr>
            </w:pPr>
            <w:r>
              <w:rPr>
                <w:rFonts w:ascii="Arial" w:cs="Arial" w:eastAsia="Arial" w:hAnsi="Arial"/>
                <w:sz w:val="18"/>
                <w:szCs w:val="18"/>
                <w:b w:val="1"/>
                <w:bCs w:val="1"/>
                <w:color w:val="auto"/>
              </w:rPr>
              <w:t>BLUEPRINT MEDICINES CORPORATION</w:t>
            </w:r>
          </w:p>
        </w:tc>
        <w:tc>
          <w:tcPr>
            <w:tcW w:w="20" w:type="dxa"/>
            <w:vAlign w:val="bottom"/>
          </w:tcPr>
          <w:p>
            <w:pPr>
              <w:spacing w:after="0"/>
              <w:rPr>
                <w:sz w:val="24"/>
                <w:szCs w:val="24"/>
                <w:color w:val="auto"/>
              </w:rPr>
            </w:pPr>
          </w:p>
        </w:tc>
      </w:tr>
      <w:tr>
        <w:trPr>
          <w:trHeight w:val="64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Roller</w:t>
            </w:r>
          </w:p>
        </w:tc>
        <w:tc>
          <w:tcPr>
            <w:tcW w:w="860" w:type="dxa"/>
            <w:vAlign w:val="bottom"/>
          </w:tcPr>
          <w:p>
            <w:pPr>
              <w:ind w:left="30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20" w:type="dxa"/>
            <w:vAlign w:val="bottom"/>
          </w:tcPr>
          <w:p>
            <w:pPr>
              <w:spacing w:after="0"/>
              <w:rPr>
                <w:sz w:val="24"/>
                <w:szCs w:val="24"/>
                <w:color w:val="auto"/>
              </w:rPr>
            </w:pPr>
          </w:p>
        </w:tc>
      </w:tr>
      <w:tr>
        <w:trPr>
          <w:trHeight w:val="195"/>
        </w:trPr>
        <w:tc>
          <w:tcPr>
            <w:tcW w:w="58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Ryan Roller</w:t>
            </w:r>
          </w:p>
        </w:tc>
        <w:tc>
          <w:tcPr>
            <w:tcW w:w="860" w:type="dxa"/>
            <w:vAlign w:val="bottom"/>
          </w:tcPr>
          <w:p>
            <w:pPr>
              <w:ind w:left="3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20" w:type="dxa"/>
            <w:vAlign w:val="bottom"/>
          </w:tcPr>
          <w:p>
            <w:pPr>
              <w:spacing w:after="0"/>
              <w:rPr>
                <w:sz w:val="16"/>
                <w:szCs w:val="16"/>
                <w:color w:val="auto"/>
              </w:rPr>
            </w:pPr>
          </w:p>
        </w:tc>
      </w:t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w:t>
            </w:r>
          </w:p>
        </w:tc>
        <w:tc>
          <w:tcPr>
            <w:tcW w:w="860" w:type="dxa"/>
            <w:vAlign w:val="bottom"/>
          </w:tcPr>
          <w:p>
            <w:pPr>
              <w:ind w:left="3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6098"/>
        </w:trPr>
        <w:tc>
          <w:tcPr>
            <w:tcW w:w="5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65"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Fifth Amended and Restated Certificate of Incorporation, dated May 6, 2015</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Amended and Restated Bylaws, effective May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512445</wp:posOffset>
            </wp:positionV>
            <wp:extent cx="554863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90" w:name="page191"/>
    <w:bookmarkEnd w:id="190"/>
    <w:p>
      <w:pPr>
        <w:jc w:val="right"/>
        <w:ind w:right="139"/>
        <w:spacing w:after="0"/>
        <w:rPr>
          <w:sz w:val="20"/>
          <w:szCs w:val="20"/>
          <w:color w:val="auto"/>
        </w:rPr>
      </w:pPr>
      <w:r>
        <w:rPr>
          <w:rFonts w:ascii="Arial" w:cs="Arial" w:eastAsia="Arial" w:hAnsi="Arial"/>
          <w:sz w:val="18"/>
          <w:szCs w:val="18"/>
          <w:b w:val="1"/>
          <w:bCs w:val="1"/>
          <w:color w:val="auto"/>
        </w:rPr>
        <w:t>Exhibit 10.15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BLUEPRINT MEDICINES CORPORATION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SENIOR EXECUTIVE CASH INCENTIVE BONUS PLAN</w:t>
      </w:r>
    </w:p>
    <w:p>
      <w:pPr>
        <w:spacing w:after="0" w:line="200" w:lineRule="exact"/>
        <w:rPr>
          <w:sz w:val="20"/>
          <w:szCs w:val="20"/>
          <w:color w:val="auto"/>
        </w:rPr>
      </w:pPr>
    </w:p>
    <w:p>
      <w:pPr>
        <w:spacing w:after="0" w:line="215" w:lineRule="exact"/>
        <w:rPr>
          <w:sz w:val="20"/>
          <w:szCs w:val="20"/>
          <w:color w:val="auto"/>
        </w:rPr>
      </w:pPr>
    </w:p>
    <w:p>
      <w:pPr>
        <w:ind w:left="820" w:hanging="669"/>
        <w:spacing w:after="0"/>
        <w:tabs>
          <w:tab w:leader="none" w:pos="820"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Purpose</w:t>
      </w:r>
    </w:p>
    <w:p>
      <w:pPr>
        <w:spacing w:after="0" w:line="206" w:lineRule="exact"/>
        <w:rPr>
          <w:sz w:val="20"/>
          <w:szCs w:val="20"/>
          <w:color w:val="auto"/>
        </w:rPr>
      </w:pPr>
    </w:p>
    <w:p>
      <w:pPr>
        <w:ind w:left="160" w:right="419" w:firstLine="648"/>
        <w:spacing w:after="0" w:line="248" w:lineRule="auto"/>
        <w:rPr>
          <w:sz w:val="20"/>
          <w:szCs w:val="20"/>
          <w:color w:val="auto"/>
        </w:rPr>
      </w:pPr>
      <w:r>
        <w:rPr>
          <w:rFonts w:ascii="Arial" w:cs="Arial" w:eastAsia="Arial" w:hAnsi="Arial"/>
          <w:sz w:val="21"/>
          <w:szCs w:val="21"/>
          <w:color w:val="auto"/>
        </w:rPr>
        <w:t>This Senior Executive Cash Incentive Bonus Plan (this “</w:t>
      </w:r>
      <w:r>
        <w:rPr>
          <w:rFonts w:ascii="Arial" w:cs="Arial" w:eastAsia="Arial" w:hAnsi="Arial"/>
          <w:sz w:val="21"/>
          <w:szCs w:val="21"/>
          <w:b w:val="1"/>
          <w:bCs w:val="1"/>
          <w:i w:val="1"/>
          <w:iCs w:val="1"/>
          <w:color w:val="auto"/>
        </w:rPr>
        <w:t>Incentive Plan</w:t>
      </w:r>
      <w:r>
        <w:rPr>
          <w:rFonts w:ascii="Arial" w:cs="Arial" w:eastAsia="Arial" w:hAnsi="Arial"/>
          <w:sz w:val="21"/>
          <w:szCs w:val="21"/>
          <w:color w:val="auto"/>
        </w:rPr>
        <w:t>”) is intended to provide an incentive for superior work and to motivate eligible executives of Blueprint Medicines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177" w:lineRule="exact"/>
        <w:rPr>
          <w:sz w:val="20"/>
          <w:szCs w:val="20"/>
          <w:color w:val="auto"/>
        </w:rPr>
      </w:pPr>
    </w:p>
    <w:p>
      <w:pPr>
        <w:ind w:left="820" w:hanging="669"/>
        <w:spacing w:after="0"/>
        <w:tabs>
          <w:tab w:leader="none" w:pos="82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Covered Executives</w:t>
      </w:r>
    </w:p>
    <w:p>
      <w:pPr>
        <w:spacing w:after="0" w:line="206" w:lineRule="exact"/>
        <w:rPr>
          <w:sz w:val="20"/>
          <w:szCs w:val="20"/>
          <w:color w:val="auto"/>
        </w:rPr>
      </w:pPr>
    </w:p>
    <w:p>
      <w:pPr>
        <w:jc w:val="both"/>
        <w:ind w:left="160" w:right="179" w:firstLine="648"/>
        <w:spacing w:after="0" w:line="287" w:lineRule="auto"/>
        <w:rPr>
          <w:sz w:val="20"/>
          <w:szCs w:val="20"/>
          <w:color w:val="auto"/>
        </w:rPr>
      </w:pPr>
      <w:r>
        <w:rPr>
          <w:rFonts w:ascii="Arial" w:cs="Arial" w:eastAsia="Arial" w:hAnsi="Arial"/>
          <w:sz w:val="19"/>
          <w:szCs w:val="19"/>
          <w:color w:val="auto"/>
        </w:rPr>
        <w:t>From time to time, the Compensation Committee of the Board of Directors of the Company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may select certain key executives (the “</w:t>
      </w:r>
      <w:r>
        <w:rPr>
          <w:rFonts w:ascii="Arial" w:cs="Arial" w:eastAsia="Arial" w:hAnsi="Arial"/>
          <w:sz w:val="19"/>
          <w:szCs w:val="19"/>
          <w:b w:val="1"/>
          <w:bCs w:val="1"/>
          <w:i w:val="1"/>
          <w:iCs w:val="1"/>
          <w:color w:val="auto"/>
        </w:rPr>
        <w:t>Covered Executives</w:t>
      </w:r>
      <w:r>
        <w:rPr>
          <w:rFonts w:ascii="Arial" w:cs="Arial" w:eastAsia="Arial" w:hAnsi="Arial"/>
          <w:sz w:val="19"/>
          <w:szCs w:val="19"/>
          <w:color w:val="auto"/>
        </w:rPr>
        <w:t>”) to be eligible to receive bonuses hereunder. Participation in this Incentive Plan does not change the “at will” nature of a Covered Executive’s employment with the Company.</w:t>
      </w:r>
    </w:p>
    <w:p>
      <w:pPr>
        <w:spacing w:after="0" w:line="143" w:lineRule="exact"/>
        <w:rPr>
          <w:sz w:val="20"/>
          <w:szCs w:val="20"/>
          <w:color w:val="auto"/>
        </w:rPr>
      </w:pPr>
    </w:p>
    <w:p>
      <w:pPr>
        <w:ind w:left="820" w:hanging="669"/>
        <w:spacing w:after="0"/>
        <w:tabs>
          <w:tab w:leader="none" w:pos="82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Administration</w:t>
      </w:r>
    </w:p>
    <w:p>
      <w:pPr>
        <w:spacing w:after="0" w:line="206" w:lineRule="exact"/>
        <w:rPr>
          <w:sz w:val="20"/>
          <w:szCs w:val="20"/>
          <w:color w:val="auto"/>
        </w:rPr>
      </w:pPr>
    </w:p>
    <w:p>
      <w:pPr>
        <w:ind w:left="160" w:right="259" w:firstLine="648"/>
        <w:spacing w:after="0" w:line="251" w:lineRule="auto"/>
        <w:rPr>
          <w:sz w:val="20"/>
          <w:szCs w:val="20"/>
          <w:color w:val="auto"/>
        </w:rPr>
      </w:pPr>
      <w:r>
        <w:rPr>
          <w:rFonts w:ascii="Arial" w:cs="Arial" w:eastAsia="Arial" w:hAnsi="Arial"/>
          <w:sz w:val="22"/>
          <w:szCs w:val="22"/>
          <w:color w:val="auto"/>
        </w:rPr>
        <w:t>The Compensation Committee shall have the sole discretion and authority to administer and interpret this Incentive Plan.</w:t>
      </w:r>
    </w:p>
    <w:p>
      <w:pPr>
        <w:spacing w:after="0" w:line="173" w:lineRule="exact"/>
        <w:rPr>
          <w:sz w:val="20"/>
          <w:szCs w:val="20"/>
          <w:color w:val="auto"/>
        </w:rPr>
      </w:pPr>
    </w:p>
    <w:p>
      <w:pPr>
        <w:ind w:left="820" w:hanging="669"/>
        <w:spacing w:after="0"/>
        <w:tabs>
          <w:tab w:leader="none" w:pos="82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Bonus Determinations</w:t>
      </w:r>
    </w:p>
    <w:p>
      <w:pPr>
        <w:spacing w:after="0" w:line="206" w:lineRule="exact"/>
        <w:rPr>
          <w:rFonts w:ascii="Arial" w:cs="Arial" w:eastAsia="Arial" w:hAnsi="Arial"/>
          <w:sz w:val="22"/>
          <w:szCs w:val="22"/>
          <w:color w:val="auto"/>
        </w:rPr>
      </w:pPr>
    </w:p>
    <w:p>
      <w:pPr>
        <w:ind w:left="160" w:right="199" w:firstLine="639"/>
        <w:spacing w:after="0" w:line="268" w:lineRule="auto"/>
        <w:tabs>
          <w:tab w:leader="none" w:pos="1494"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Corporate Performance Goals</w:t>
      </w:r>
      <w:r>
        <w:rPr>
          <w:rFonts w:ascii="Arial" w:cs="Arial" w:eastAsia="Arial" w:hAnsi="Arial"/>
          <w:sz w:val="19"/>
          <w:szCs w:val="19"/>
          <w:color w:val="auto"/>
        </w:rPr>
        <w:t>. A Covered Executive may receive a bonus payment under this Incentive Plan based upon the attainment of one or more performance objectives that are established by the Compensation Committee and relate to financial and operational metrics with respect to the Company or any of its subsidiaries (the “</w:t>
      </w:r>
      <w:r>
        <w:rPr>
          <w:rFonts w:ascii="Arial" w:cs="Arial" w:eastAsia="Arial" w:hAnsi="Arial"/>
          <w:sz w:val="19"/>
          <w:szCs w:val="19"/>
          <w:b w:val="1"/>
          <w:bCs w:val="1"/>
          <w:i w:val="1"/>
          <w:iCs w:val="1"/>
          <w:color w:val="auto"/>
        </w:rPr>
        <w:t>Corporate Performance Goals</w:t>
      </w:r>
      <w:r>
        <w:rPr>
          <w:rFonts w:ascii="Arial" w:cs="Arial" w:eastAsia="Arial" w:hAnsi="Arial"/>
          <w:sz w:val="19"/>
          <w:szCs w:val="19"/>
          <w:color w:val="auto"/>
        </w:rPr>
        <w:t>”), including the following: cash flow (including, but not limited to, operating cash flow and free cash flow); sales or revenue; corporate revenue; earnings before interest, taxes, depreciation and amortization; net income (loss) (either before or after interest, taxes, depreciation and/or amortization); changes in the market price of the Company’s common stock; economic value-added; development, clinical or regulatory milestones;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and/or net annual recurring revenue, any of which may be</w:t>
      </w:r>
    </w:p>
    <w:p>
      <w:pPr>
        <w:spacing w:after="0" w:line="5" w:lineRule="exact"/>
        <w:rPr>
          <w:rFonts w:ascii="Arial" w:cs="Arial" w:eastAsia="Arial" w:hAnsi="Arial"/>
          <w:sz w:val="19"/>
          <w:szCs w:val="19"/>
          <w:color w:val="auto"/>
        </w:rPr>
      </w:pPr>
    </w:p>
    <w:p>
      <w:pPr>
        <w:ind w:left="160" w:right="239"/>
        <w:spacing w:after="0" w:line="244" w:lineRule="auto"/>
        <w:rPr>
          <w:rFonts w:ascii="Arial" w:cs="Arial" w:eastAsia="Arial" w:hAnsi="Arial"/>
          <w:sz w:val="19"/>
          <w:szCs w:val="19"/>
          <w:color w:val="auto"/>
        </w:rPr>
      </w:pPr>
      <w:r>
        <w:rPr>
          <w:rFonts w:ascii="Arial" w:cs="Arial" w:eastAsia="Arial" w:hAnsi="Arial"/>
          <w:sz w:val="21"/>
          <w:szCs w:val="21"/>
          <w:color w:val="auto"/>
        </w:rPr>
        <w:t>(A)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1" w:name="page192"/>
    <w:bookmarkEnd w:id="191"/>
    <w:p>
      <w:pPr>
        <w:ind w:left="160" w:right="699"/>
        <w:spacing w:after="0" w:line="251" w:lineRule="auto"/>
        <w:rPr>
          <w:sz w:val="20"/>
          <w:szCs w:val="20"/>
          <w:color w:val="auto"/>
        </w:rPr>
      </w:pPr>
      <w:r>
        <w:rPr>
          <w:rFonts w:ascii="Arial" w:cs="Arial" w:eastAsia="Arial" w:hAnsi="Arial"/>
          <w:sz w:val="22"/>
          <w:szCs w:val="22"/>
          <w:color w:val="auto"/>
        </w:rPr>
        <w:t>product lines or specific markets. The Corporate Performance Goals may differ from Covered Executive to Covered Executive.</w:t>
      </w:r>
    </w:p>
    <w:p>
      <w:pPr>
        <w:spacing w:after="0" w:line="174" w:lineRule="exact"/>
        <w:rPr>
          <w:sz w:val="20"/>
          <w:szCs w:val="20"/>
          <w:color w:val="auto"/>
        </w:rPr>
      </w:pPr>
    </w:p>
    <w:p>
      <w:pPr>
        <w:ind w:left="160" w:right="239" w:firstLine="639"/>
        <w:spacing w:after="0" w:line="275" w:lineRule="auto"/>
        <w:tabs>
          <w:tab w:leader="none" w:pos="1506"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Calculation of Corporate Performance Goals</w:t>
      </w:r>
      <w:r>
        <w:rPr>
          <w:rFonts w:ascii="Arial" w:cs="Arial" w:eastAsia="Arial" w:hAnsi="Arial"/>
          <w:sz w:val="19"/>
          <w:szCs w:val="19"/>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158" w:lineRule="exact"/>
        <w:rPr>
          <w:rFonts w:ascii="Arial" w:cs="Arial" w:eastAsia="Arial" w:hAnsi="Arial"/>
          <w:sz w:val="19"/>
          <w:szCs w:val="19"/>
          <w:color w:val="auto"/>
        </w:rPr>
      </w:pPr>
    </w:p>
    <w:p>
      <w:pPr>
        <w:ind w:left="160" w:right="779" w:firstLine="639"/>
        <w:spacing w:after="0"/>
        <w:tabs>
          <w:tab w:leader="none" w:pos="1494"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Target; Minimum; Maximum</w:t>
      </w:r>
      <w:r>
        <w:rPr>
          <w:rFonts w:ascii="Arial" w:cs="Arial" w:eastAsia="Arial" w:hAnsi="Arial"/>
          <w:sz w:val="22"/>
          <w:szCs w:val="22"/>
          <w:color w:val="auto"/>
        </w:rPr>
        <w:t>. Each Corporate Performance Goal shall have a “target” (100 percent attainment of the Corporate Performance Goal) and may also have a “minimum” hurdle and/or a “maximum” amount.</w:t>
      </w:r>
    </w:p>
    <w:p>
      <w:pPr>
        <w:spacing w:after="0" w:line="186" w:lineRule="exact"/>
        <w:rPr>
          <w:rFonts w:ascii="Arial" w:cs="Arial" w:eastAsia="Arial" w:hAnsi="Arial"/>
          <w:sz w:val="22"/>
          <w:szCs w:val="22"/>
          <w:color w:val="auto"/>
        </w:rPr>
      </w:pPr>
    </w:p>
    <w:p>
      <w:pPr>
        <w:ind w:left="160" w:right="199" w:firstLine="639"/>
        <w:spacing w:after="0" w:line="269" w:lineRule="auto"/>
        <w:tabs>
          <w:tab w:leader="none" w:pos="1506"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Bonus Requirements; Individual Goals</w:t>
      </w:r>
      <w:r>
        <w:rPr>
          <w:rFonts w:ascii="Arial" w:cs="Arial" w:eastAsia="Arial" w:hAnsi="Arial"/>
          <w:sz w:val="19"/>
          <w:szCs w:val="19"/>
          <w:color w:val="auto"/>
        </w:rPr>
        <w:t>. Except as otherwise set forth in this Section 4(d): (i) any bonuses paid to Covered Executives under this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w:t>
      </w:r>
    </w:p>
    <w:p>
      <w:pPr>
        <w:spacing w:after="0" w:line="3" w:lineRule="exact"/>
        <w:rPr>
          <w:rFonts w:ascii="Arial" w:cs="Arial" w:eastAsia="Arial" w:hAnsi="Arial"/>
          <w:sz w:val="19"/>
          <w:szCs w:val="19"/>
          <w:color w:val="auto"/>
        </w:rPr>
      </w:pPr>
    </w:p>
    <w:p>
      <w:pPr>
        <w:ind w:left="160" w:right="179"/>
        <w:spacing w:after="0" w:line="277" w:lineRule="auto"/>
        <w:rPr>
          <w:rFonts w:ascii="Arial" w:cs="Arial" w:eastAsia="Arial" w:hAnsi="Arial"/>
          <w:sz w:val="19"/>
          <w:szCs w:val="19"/>
          <w:color w:val="auto"/>
        </w:rPr>
      </w:pPr>
      <w:r>
        <w:rPr>
          <w:rFonts w:ascii="Arial" w:cs="Arial" w:eastAsia="Arial" w:hAnsi="Arial"/>
          <w:sz w:val="19"/>
          <w:szCs w:val="19"/>
          <w:color w:val="auto"/>
        </w:rPr>
        <w:t>Goals. Notwithstanding the foregoing, the Compensation Committee may adjust bonuses payable under this Incentive Plan based on achievement of one or more individual performance objectives or pay bonuses (including, without limitation, discretionary bonuses) to Covered Executives under this Incentive Plan based on individual performance goals and/or upon such other terms and conditions as the Compensation Committee may in its discretion determine.</w:t>
      </w:r>
    </w:p>
    <w:p>
      <w:pPr>
        <w:spacing w:after="0" w:line="152" w:lineRule="exact"/>
        <w:rPr>
          <w:rFonts w:ascii="Arial" w:cs="Arial" w:eastAsia="Arial" w:hAnsi="Arial"/>
          <w:sz w:val="19"/>
          <w:szCs w:val="19"/>
          <w:color w:val="auto"/>
        </w:rPr>
      </w:pPr>
    </w:p>
    <w:p>
      <w:pPr>
        <w:ind w:left="160" w:right="379" w:firstLine="639"/>
        <w:spacing w:after="0" w:line="282" w:lineRule="auto"/>
        <w:tabs>
          <w:tab w:leader="none" w:pos="149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Individual Target Bonuses</w:t>
      </w:r>
      <w:r>
        <w:rPr>
          <w:rFonts w:ascii="Arial" w:cs="Arial" w:eastAsia="Arial" w:hAnsi="Arial"/>
          <w:sz w:val="19"/>
          <w:szCs w:val="19"/>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47" w:lineRule="exact"/>
        <w:rPr>
          <w:rFonts w:ascii="Arial" w:cs="Arial" w:eastAsia="Arial" w:hAnsi="Arial"/>
          <w:sz w:val="19"/>
          <w:szCs w:val="19"/>
          <w:color w:val="auto"/>
        </w:rPr>
      </w:pPr>
    </w:p>
    <w:p>
      <w:pPr>
        <w:ind w:left="160" w:right="139" w:firstLine="639"/>
        <w:spacing w:after="0" w:line="279" w:lineRule="auto"/>
        <w:tabs>
          <w:tab w:leader="none" w:pos="147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Employment Requirement</w:t>
      </w:r>
      <w:r>
        <w:rPr>
          <w:rFonts w:ascii="Arial" w:cs="Arial" w:eastAsia="Arial" w:hAnsi="Arial"/>
          <w:sz w:val="19"/>
          <w:szCs w:val="19"/>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2" w:name="page193"/>
    <w:bookmarkEnd w:id="192"/>
    <w:p>
      <w:pPr>
        <w:ind w:left="820" w:hanging="669"/>
        <w:spacing w:after="0"/>
        <w:tabs>
          <w:tab w:leader="none" w:pos="82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Timing of Payment</w:t>
      </w:r>
    </w:p>
    <w:p>
      <w:pPr>
        <w:spacing w:after="0" w:line="206" w:lineRule="exact"/>
        <w:rPr>
          <w:rFonts w:ascii="Arial" w:cs="Arial" w:eastAsia="Arial" w:hAnsi="Arial"/>
          <w:sz w:val="22"/>
          <w:szCs w:val="22"/>
          <w:color w:val="auto"/>
        </w:rPr>
      </w:pPr>
    </w:p>
    <w:p>
      <w:pPr>
        <w:ind w:left="160" w:right="179" w:firstLine="639"/>
        <w:spacing w:after="0" w:line="234" w:lineRule="auto"/>
        <w:tabs>
          <w:tab w:leader="none" w:pos="1494" w:val="left"/>
        </w:tabs>
        <w:numPr>
          <w:ilvl w:val="1"/>
          <w:numId w:val="179"/>
        </w:numPr>
        <w:rPr>
          <w:rFonts w:ascii="Arial" w:cs="Arial" w:eastAsia="Arial" w:hAnsi="Arial"/>
          <w:sz w:val="22"/>
          <w:szCs w:val="22"/>
          <w:color w:val="auto"/>
        </w:rPr>
      </w:pPr>
      <w:r>
        <w:rPr>
          <w:rFonts w:ascii="Arial" w:cs="Arial" w:eastAsia="Arial" w:hAnsi="Arial"/>
          <w:sz w:val="22"/>
          <w:szCs w:val="22"/>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91" w:lineRule="exact"/>
        <w:rPr>
          <w:rFonts w:ascii="Arial" w:cs="Arial" w:eastAsia="Arial" w:hAnsi="Arial"/>
          <w:sz w:val="22"/>
          <w:szCs w:val="22"/>
          <w:color w:val="auto"/>
        </w:rPr>
      </w:pPr>
    </w:p>
    <w:p>
      <w:pPr>
        <w:ind w:left="160" w:right="159" w:firstLine="639"/>
        <w:spacing w:after="0" w:line="279" w:lineRule="auto"/>
        <w:tabs>
          <w:tab w:leader="none" w:pos="1506" w:val="left"/>
        </w:tabs>
        <w:numPr>
          <w:ilvl w:val="1"/>
          <w:numId w:val="179"/>
        </w:numPr>
        <w:rPr>
          <w:rFonts w:ascii="Arial" w:cs="Arial" w:eastAsia="Arial" w:hAnsi="Arial"/>
          <w:sz w:val="19"/>
          <w:szCs w:val="19"/>
          <w:color w:val="auto"/>
        </w:rPr>
      </w:pPr>
      <w:r>
        <w:rPr>
          <w:rFonts w:ascii="Arial" w:cs="Arial" w:eastAsia="Arial" w:hAnsi="Arial"/>
          <w:sz w:val="19"/>
          <w:szCs w:val="19"/>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 or individual goals for any such period are met, bonus payments will be made as soon as practicable, but not later than 74 days after the end of the relevant fiscal year.</w:t>
      </w:r>
    </w:p>
    <w:p>
      <w:pPr>
        <w:spacing w:after="0" w:line="150" w:lineRule="exact"/>
        <w:rPr>
          <w:rFonts w:ascii="Arial" w:cs="Arial" w:eastAsia="Arial" w:hAnsi="Arial"/>
          <w:sz w:val="19"/>
          <w:szCs w:val="19"/>
          <w:color w:val="auto"/>
        </w:rPr>
      </w:pPr>
    </w:p>
    <w:p>
      <w:pPr>
        <w:ind w:left="160" w:right="279" w:firstLine="639"/>
        <w:spacing w:after="0" w:line="251" w:lineRule="auto"/>
        <w:tabs>
          <w:tab w:leader="none" w:pos="1494" w:val="left"/>
        </w:tabs>
        <w:numPr>
          <w:ilvl w:val="1"/>
          <w:numId w:val="179"/>
        </w:numPr>
        <w:rPr>
          <w:rFonts w:ascii="Arial" w:cs="Arial" w:eastAsia="Arial" w:hAnsi="Arial"/>
          <w:sz w:val="22"/>
          <w:szCs w:val="22"/>
          <w:color w:val="auto"/>
        </w:rPr>
      </w:pPr>
      <w:r>
        <w:rPr>
          <w:rFonts w:ascii="Arial" w:cs="Arial" w:eastAsia="Arial" w:hAnsi="Arial"/>
          <w:sz w:val="22"/>
          <w:szCs w:val="22"/>
          <w:color w:val="auto"/>
        </w:rPr>
        <w:t>For the avoidance of doubt, bonuses earned at any time in a fiscal year must be paid no later than 74 days after the last day of such fiscal year.</w:t>
      </w:r>
    </w:p>
    <w:p>
      <w:pPr>
        <w:spacing w:after="0" w:line="173" w:lineRule="exact"/>
        <w:rPr>
          <w:rFonts w:ascii="Arial" w:cs="Arial" w:eastAsia="Arial" w:hAnsi="Arial"/>
          <w:sz w:val="22"/>
          <w:szCs w:val="22"/>
          <w:color w:val="auto"/>
        </w:rPr>
      </w:pPr>
    </w:p>
    <w:p>
      <w:pPr>
        <w:ind w:left="820" w:hanging="669"/>
        <w:spacing w:after="0"/>
        <w:tabs>
          <w:tab w:leader="none" w:pos="82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p>
    <w:p>
      <w:pPr>
        <w:spacing w:after="0" w:line="206" w:lineRule="exact"/>
        <w:rPr>
          <w:sz w:val="20"/>
          <w:szCs w:val="20"/>
          <w:color w:val="auto"/>
        </w:rPr>
      </w:pPr>
    </w:p>
    <w:p>
      <w:pPr>
        <w:ind w:left="160" w:right="339" w:firstLine="648"/>
        <w:spacing w:after="0" w:line="251" w:lineRule="auto"/>
        <w:rPr>
          <w:sz w:val="20"/>
          <w:szCs w:val="20"/>
          <w:color w:val="auto"/>
        </w:rPr>
      </w:pPr>
      <w:r>
        <w:rPr>
          <w:rFonts w:ascii="Arial" w:cs="Arial" w:eastAsia="Arial" w:hAnsi="Arial"/>
          <w:sz w:val="22"/>
          <w:szCs w:val="22"/>
          <w:color w:val="auto"/>
        </w:rPr>
        <w:t>The Company reserves the right to amend or terminate this Incentive Plan at any time in its sole discretion.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ADOPTED: March 12, 2015</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EFFECTIVE: May 5,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3" w:name="page194"/>
    <w:bookmarkEnd w:id="193"/>
    <w:p>
      <w:pPr>
        <w:jc w:val="right"/>
        <w:ind w:right="139"/>
        <w:spacing w:after="0"/>
        <w:rPr>
          <w:sz w:val="20"/>
          <w:szCs w:val="20"/>
          <w:color w:val="auto"/>
        </w:rPr>
      </w:pPr>
      <w:r>
        <w:rPr>
          <w:rFonts w:ascii="Arial" w:cs="Arial" w:eastAsia="Arial" w:hAnsi="Arial"/>
          <w:sz w:val="18"/>
          <w:szCs w:val="18"/>
          <w:b w:val="1"/>
          <w:bCs w:val="1"/>
          <w:color w:val="auto"/>
        </w:rPr>
        <w:t>Exhibit 10.2</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BLUEPRINT MEDICINES CORPORATION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2015 STOCK OPTION AND INCENTIVE PLAN</w:t>
      </w:r>
    </w:p>
    <w:p>
      <w:pPr>
        <w:spacing w:after="0" w:line="200" w:lineRule="exact"/>
        <w:rPr>
          <w:sz w:val="20"/>
          <w:szCs w:val="20"/>
          <w:color w:val="auto"/>
        </w:rPr>
      </w:pPr>
    </w:p>
    <w:p>
      <w:pPr>
        <w:spacing w:after="0" w:line="228"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GENERAL PURPOSE OF THE PLAN; DEFINITIONS</w:t>
      </w:r>
    </w:p>
    <w:p>
      <w:pPr>
        <w:spacing w:after="0" w:line="206" w:lineRule="exact"/>
        <w:rPr>
          <w:sz w:val="20"/>
          <w:szCs w:val="20"/>
          <w:color w:val="auto"/>
        </w:rPr>
      </w:pPr>
    </w:p>
    <w:p>
      <w:pPr>
        <w:ind w:left="160" w:right="239" w:firstLine="648"/>
        <w:spacing w:after="0" w:line="245" w:lineRule="auto"/>
        <w:rPr>
          <w:sz w:val="20"/>
          <w:szCs w:val="20"/>
          <w:color w:val="auto"/>
        </w:rPr>
      </w:pPr>
      <w:r>
        <w:rPr>
          <w:rFonts w:ascii="Arial" w:cs="Arial" w:eastAsia="Arial" w:hAnsi="Arial"/>
          <w:sz w:val="21"/>
          <w:szCs w:val="21"/>
          <w:color w:val="auto"/>
        </w:rPr>
        <w:t>The name of the plan is the Blueprint Medicines Corporation 2015 Stock Option and Incentive Plan (the “Plan”). The purpose of the Plan is to encourage and enable the officers, employees, Non-Employee Directors and other key persons (including Consultants) of Blueprint Medicines Corporation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160" w:right="1059" w:firstLine="648"/>
        <w:spacing w:after="0" w:line="251" w:lineRule="auto"/>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thereunder.</w:t>
      </w:r>
    </w:p>
    <w:p>
      <w:pPr>
        <w:spacing w:after="0" w:line="173" w:lineRule="exact"/>
        <w:rPr>
          <w:sz w:val="20"/>
          <w:szCs w:val="20"/>
          <w:color w:val="auto"/>
        </w:rPr>
      </w:pPr>
    </w:p>
    <w:p>
      <w:pPr>
        <w:ind w:left="160" w:right="219" w:firstLine="648"/>
        <w:spacing w:after="0" w:line="254" w:lineRule="exact"/>
        <w:rPr>
          <w:sz w:val="20"/>
          <w:szCs w:val="20"/>
          <w:color w:val="auto"/>
        </w:rPr>
      </w:pPr>
      <w:r>
        <w:rPr>
          <w:rFonts w:ascii="Arial" w:cs="Arial" w:eastAsia="Arial" w:hAnsi="Arial"/>
          <w:sz w:val="21"/>
          <w:szCs w:val="21"/>
          <w:i w:val="1"/>
          <w:iCs w:val="1"/>
          <w:color w:val="auto"/>
        </w:rPr>
        <w:t xml:space="preserve">“Administrator” </w:t>
      </w:r>
      <w:r>
        <w:rPr>
          <w:rFonts w:ascii="Arial" w:cs="Arial" w:eastAsia="Arial" w:hAnsi="Arial"/>
          <w:sz w:val="21"/>
          <w:szCs w:val="21"/>
          <w:color w:val="auto"/>
        </w:rPr>
        <w:t>means either the Board or the compensation committee of the Board or a</w:t>
      </w:r>
      <w:r>
        <w:rPr>
          <w:rFonts w:ascii="Arial" w:cs="Arial" w:eastAsia="Arial" w:hAnsi="Arial"/>
          <w:sz w:val="21"/>
          <w:szCs w:val="21"/>
          <w:i w:val="1"/>
          <w:iCs w:val="1"/>
          <w:color w:val="auto"/>
        </w:rPr>
        <w:t xml:space="preserve"> </w:t>
      </w:r>
      <w:r>
        <w:rPr>
          <w:rFonts w:ascii="Arial" w:cs="Arial" w:eastAsia="Arial" w:hAnsi="Arial"/>
          <w:sz w:val="21"/>
          <w:szCs w:val="21"/>
          <w:color w:val="auto"/>
        </w:rPr>
        <w:t>similar committee performing the functions of the compensation committee and which is comprised of not less than two Non</w:t>
      </w:r>
      <w:r>
        <w:rPr>
          <w:rFonts w:ascii="MS PGothic" w:cs="MS PGothic" w:eastAsia="MS PGothic" w:hAnsi="MS PGothic"/>
          <w:sz w:val="21"/>
          <w:szCs w:val="21"/>
          <w:color w:val="auto"/>
        </w:rPr>
        <w:t>‑</w:t>
      </w:r>
      <w:r>
        <w:rPr>
          <w:rFonts w:ascii="Arial" w:cs="Arial" w:eastAsia="Arial" w:hAnsi="Arial"/>
          <w:sz w:val="21"/>
          <w:szCs w:val="21"/>
          <w:color w:val="auto"/>
        </w:rPr>
        <w:t>Employee Directors who are independent.</w:t>
      </w:r>
    </w:p>
    <w:p>
      <w:pPr>
        <w:spacing w:after="0" w:line="185" w:lineRule="exact"/>
        <w:rPr>
          <w:sz w:val="20"/>
          <w:szCs w:val="20"/>
          <w:color w:val="auto"/>
        </w:rPr>
      </w:pPr>
    </w:p>
    <w:p>
      <w:pPr>
        <w:ind w:left="160" w:right="439" w:firstLine="648"/>
        <w:spacing w:after="0" w:line="287" w:lineRule="auto"/>
        <w:rPr>
          <w:sz w:val="20"/>
          <w:szCs w:val="20"/>
          <w:color w:val="auto"/>
        </w:rPr>
      </w:pPr>
      <w:r>
        <w:rPr>
          <w:rFonts w:ascii="Arial" w:cs="Arial" w:eastAsia="Arial" w:hAnsi="Arial"/>
          <w:sz w:val="19"/>
          <w:szCs w:val="19"/>
          <w:i w:val="1"/>
          <w:iCs w:val="1"/>
          <w:color w:val="auto"/>
        </w:rPr>
        <w:t xml:space="preserve">“Award” </w:t>
      </w:r>
      <w:r>
        <w:rPr>
          <w:rFonts w:ascii="Arial" w:cs="Arial" w:eastAsia="Arial" w:hAnsi="Arial"/>
          <w:sz w:val="19"/>
          <w:szCs w:val="19"/>
          <w:color w:val="auto"/>
        </w:rPr>
        <w:t>or</w:t>
      </w:r>
      <w:r>
        <w:rPr>
          <w:rFonts w:ascii="Arial" w:cs="Arial" w:eastAsia="Arial" w:hAnsi="Arial"/>
          <w:sz w:val="19"/>
          <w:szCs w:val="19"/>
          <w:i w:val="1"/>
          <w:iCs w:val="1"/>
          <w:color w:val="auto"/>
        </w:rPr>
        <w:t xml:space="preserve"> “Awards,” </w:t>
      </w:r>
      <w:r>
        <w:rPr>
          <w:rFonts w:ascii="Arial" w:cs="Arial" w:eastAsia="Arial" w:hAnsi="Arial"/>
          <w:sz w:val="19"/>
          <w:szCs w:val="19"/>
          <w:color w:val="auto"/>
        </w:rPr>
        <w:t>except where referring to a particular category of grant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shall include Incentive Stock Options, Non-Qualified Stock Options, Stock Appreciation Rights, Restricted Stock Units, Restricted Stock Awards, Unrestricted Stock Awards, Cash-Based Awards, Performance Share Awards and Dividend Equivalent Rights.</w:t>
      </w:r>
    </w:p>
    <w:p>
      <w:pPr>
        <w:spacing w:after="0" w:line="143" w:lineRule="exact"/>
        <w:rPr>
          <w:sz w:val="20"/>
          <w:szCs w:val="20"/>
          <w:color w:val="auto"/>
        </w:rPr>
      </w:pPr>
    </w:p>
    <w:p>
      <w:pPr>
        <w:ind w:left="160" w:right="339" w:firstLine="648"/>
        <w:spacing w:after="0"/>
        <w:rPr>
          <w:sz w:val="20"/>
          <w:szCs w:val="20"/>
          <w:color w:val="auto"/>
        </w:rPr>
      </w:pPr>
      <w:r>
        <w:rPr>
          <w:rFonts w:ascii="Arial" w:cs="Arial" w:eastAsia="Arial" w:hAnsi="Arial"/>
          <w:sz w:val="22"/>
          <w:szCs w:val="22"/>
          <w:i w:val="1"/>
          <w:iCs w:val="1"/>
          <w:color w:val="auto"/>
        </w:rPr>
        <w:t xml:space="preserve">“Award Certificate” </w:t>
      </w:r>
      <w:r>
        <w:rPr>
          <w:rFonts w:ascii="Arial" w:cs="Arial" w:eastAsia="Arial" w:hAnsi="Arial"/>
          <w:sz w:val="22"/>
          <w:szCs w:val="22"/>
          <w:color w:val="auto"/>
        </w:rPr>
        <w:t>means a written or electronic document setting forth the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applicable to an Award granted under the Plan. Each Award Certificate is subject to the terms and conditions of the Plan.</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160" w:right="259" w:firstLine="648"/>
        <w:spacing w:after="0" w:line="251" w:lineRule="auto"/>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w:t>
      </w:r>
      <w:r>
        <w:rPr>
          <w:rFonts w:ascii="Arial" w:cs="Arial" w:eastAsia="Arial" w:hAnsi="Arial"/>
          <w:sz w:val="22"/>
          <w:szCs w:val="22"/>
          <w:i w:val="1"/>
          <w:iCs w:val="1"/>
          <w:color w:val="auto"/>
        </w:rPr>
        <w:t xml:space="preserve"> </w:t>
      </w:r>
      <w:r>
        <w:rPr>
          <w:rFonts w:ascii="Arial" w:cs="Arial" w:eastAsia="Arial" w:hAnsi="Arial"/>
          <w:sz w:val="22"/>
          <w:szCs w:val="22"/>
          <w:color w:val="auto"/>
        </w:rPr>
        <w:t>payment.</w:t>
      </w:r>
    </w:p>
    <w:p>
      <w:pPr>
        <w:spacing w:after="0" w:line="173" w:lineRule="exact"/>
        <w:rPr>
          <w:sz w:val="20"/>
          <w:szCs w:val="20"/>
          <w:color w:val="auto"/>
        </w:rPr>
      </w:pPr>
    </w:p>
    <w:p>
      <w:pPr>
        <w:ind w:left="160" w:right="479" w:firstLine="648"/>
        <w:spacing w:after="0" w:line="25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w:t>
      </w:r>
      <w:r>
        <w:rPr>
          <w:rFonts w:ascii="Arial" w:cs="Arial" w:eastAsia="Arial" w:hAnsi="Arial"/>
          <w:sz w:val="22"/>
          <w:szCs w:val="22"/>
          <w:i w:val="1"/>
          <w:iCs w:val="1"/>
          <w:color w:val="auto"/>
        </w:rPr>
        <w:t xml:space="preserve"> </w:t>
      </w:r>
      <w:r>
        <w:rPr>
          <w:rFonts w:ascii="Arial" w:cs="Arial" w:eastAsia="Arial" w:hAnsi="Arial"/>
          <w:sz w:val="22"/>
          <w:szCs w:val="22"/>
          <w:color w:val="auto"/>
        </w:rPr>
        <w:t>and related rules, regulations and interpretations.</w:t>
      </w:r>
    </w:p>
    <w:p>
      <w:pPr>
        <w:spacing w:after="0" w:line="173" w:lineRule="exact"/>
        <w:rPr>
          <w:sz w:val="20"/>
          <w:szCs w:val="20"/>
          <w:color w:val="auto"/>
        </w:rPr>
      </w:pPr>
    </w:p>
    <w:p>
      <w:pPr>
        <w:jc w:val="both"/>
        <w:ind w:left="160" w:right="139" w:firstLine="648"/>
        <w:spacing w:after="0" w:line="297" w:lineRule="auto"/>
        <w:rPr>
          <w:sz w:val="20"/>
          <w:szCs w:val="20"/>
          <w:color w:val="auto"/>
        </w:rPr>
      </w:pPr>
      <w:r>
        <w:rPr>
          <w:rFonts w:ascii="Arial" w:cs="Arial" w:eastAsia="Arial" w:hAnsi="Arial"/>
          <w:sz w:val="19"/>
          <w:szCs w:val="19"/>
          <w:i w:val="1"/>
          <w:iCs w:val="1"/>
          <w:color w:val="auto"/>
        </w:rPr>
        <w:t xml:space="preserve">“Consultant” </w:t>
      </w:r>
      <w:r>
        <w:rPr>
          <w:rFonts w:ascii="Arial" w:cs="Arial" w:eastAsia="Arial" w:hAnsi="Arial"/>
          <w:sz w:val="19"/>
          <w:szCs w:val="19"/>
          <w:color w:val="auto"/>
        </w:rPr>
        <w:t>means any natural person that provides bona fide services to the Company, and</w:t>
      </w:r>
      <w:r>
        <w:rPr>
          <w:rFonts w:ascii="Arial" w:cs="Arial" w:eastAsia="Arial" w:hAnsi="Arial"/>
          <w:sz w:val="19"/>
          <w:szCs w:val="19"/>
          <w:i w:val="1"/>
          <w:iCs w:val="1"/>
          <w:color w:val="auto"/>
        </w:rPr>
        <w:t xml:space="preserve"> </w:t>
      </w:r>
      <w:r>
        <w:rPr>
          <w:rFonts w:ascii="Arial" w:cs="Arial" w:eastAsia="Arial" w:hAnsi="Arial"/>
          <w:sz w:val="19"/>
          <w:szCs w:val="19"/>
          <w:color w:val="auto"/>
        </w:rPr>
        <w:t>such services are not in connection with the offer or sale of securities in a capital-raising transaction and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99060</wp:posOffset>
            </wp:positionV>
            <wp:extent cx="554863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4" w:name="page195"/>
    <w:bookmarkEnd w:id="194"/>
    <w:p>
      <w:pPr>
        <w:ind w:left="160" w:right="179" w:firstLine="648"/>
        <w:spacing w:after="0" w:line="251" w:lineRule="auto"/>
        <w:rPr>
          <w:sz w:val="20"/>
          <w:szCs w:val="20"/>
          <w:color w:val="auto"/>
        </w:rPr>
      </w:pPr>
      <w:r>
        <w:rPr>
          <w:rFonts w:ascii="Arial" w:cs="Arial" w:eastAsia="Arial" w:hAnsi="Arial"/>
          <w:sz w:val="22"/>
          <w:szCs w:val="22"/>
          <w:i w:val="1"/>
          <w:iCs w:val="1"/>
          <w:color w:val="auto"/>
        </w:rPr>
        <w:t xml:space="preserve">“Covered Employee” </w:t>
      </w:r>
      <w:r>
        <w:rPr>
          <w:rFonts w:ascii="Arial" w:cs="Arial" w:eastAsia="Arial" w:hAnsi="Arial"/>
          <w:sz w:val="22"/>
          <w:szCs w:val="22"/>
          <w:color w:val="auto"/>
        </w:rPr>
        <w:t>means an employee who is a “Covered Employee” within the meaning</w:t>
      </w:r>
      <w:r>
        <w:rPr>
          <w:rFonts w:ascii="Arial" w:cs="Arial" w:eastAsia="Arial" w:hAnsi="Arial"/>
          <w:sz w:val="22"/>
          <w:szCs w:val="22"/>
          <w:i w:val="1"/>
          <w:iCs w:val="1"/>
          <w:color w:val="auto"/>
        </w:rPr>
        <w:t xml:space="preserve"> </w:t>
      </w:r>
      <w:r>
        <w:rPr>
          <w:rFonts w:ascii="Arial" w:cs="Arial" w:eastAsia="Arial" w:hAnsi="Arial"/>
          <w:sz w:val="22"/>
          <w:szCs w:val="22"/>
          <w:color w:val="auto"/>
        </w:rPr>
        <w:t>of Section 162(m) of the Code.</w:t>
      </w:r>
    </w:p>
    <w:p>
      <w:pPr>
        <w:spacing w:after="0" w:line="174" w:lineRule="exact"/>
        <w:rPr>
          <w:sz w:val="20"/>
          <w:szCs w:val="20"/>
          <w:color w:val="auto"/>
        </w:rPr>
      </w:pPr>
    </w:p>
    <w:p>
      <w:pPr>
        <w:ind w:left="160" w:right="339" w:firstLine="648"/>
        <w:spacing w:after="0" w:line="238" w:lineRule="auto"/>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w:t>
      </w:r>
      <w:r>
        <w:rPr>
          <w:rFonts w:ascii="Arial" w:cs="Arial" w:eastAsia="Arial" w:hAnsi="Arial"/>
          <w:sz w:val="22"/>
          <w:szCs w:val="22"/>
          <w:i w:val="1"/>
          <w:iCs w:val="1"/>
          <w:color w:val="auto"/>
        </w:rPr>
        <w:t xml:space="preserve"> </w:t>
      </w:r>
      <w:r>
        <w:rPr>
          <w:rFonts w:ascii="Arial" w:cs="Arial" w:eastAsia="Arial" w:hAnsi="Arial"/>
          <w:sz w:val="22"/>
          <w:szCs w:val="22"/>
          <w:color w:val="auto"/>
        </w:rPr>
        <w:t>on cash dividends that would have been paid on the shares of Stock specified in the Dividend Equivalent Right (or other award to which it relates) if such shares had been issued to and held by the grantee.</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set forth in Section 21.</w:t>
      </w:r>
    </w:p>
    <w:p>
      <w:pPr>
        <w:spacing w:after="0" w:line="206" w:lineRule="exact"/>
        <w:rPr>
          <w:sz w:val="20"/>
          <w:szCs w:val="20"/>
          <w:color w:val="auto"/>
        </w:rPr>
      </w:pPr>
    </w:p>
    <w:p>
      <w:pPr>
        <w:ind w:left="160" w:right="259" w:firstLine="648"/>
        <w:spacing w:after="0" w:line="251" w:lineRule="auto"/>
        <w:rPr>
          <w:sz w:val="20"/>
          <w:szCs w:val="20"/>
          <w:color w:val="auto"/>
        </w:rPr>
      </w:pPr>
      <w:r>
        <w:rPr>
          <w:rFonts w:ascii="Arial" w:cs="Arial" w:eastAsia="Arial" w:hAnsi="Arial"/>
          <w:sz w:val="22"/>
          <w:szCs w:val="22"/>
          <w:i w:val="1"/>
          <w:iCs w:val="1"/>
          <w:color w:val="auto"/>
        </w:rPr>
        <w:t xml:space="preserve">“Exchange Act” </w:t>
      </w:r>
      <w:r>
        <w:rPr>
          <w:rFonts w:ascii="Arial" w:cs="Arial" w:eastAsia="Arial" w:hAnsi="Arial"/>
          <w:sz w:val="22"/>
          <w:szCs w:val="22"/>
          <w:color w:val="auto"/>
        </w:rPr>
        <w:t>means the Securities Exchange Act of 1934, as amended, and the rules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thereunder.</w:t>
      </w:r>
    </w:p>
    <w:p>
      <w:pPr>
        <w:spacing w:after="0" w:line="173" w:lineRule="exact"/>
        <w:rPr>
          <w:sz w:val="20"/>
          <w:szCs w:val="20"/>
          <w:color w:val="auto"/>
        </w:rPr>
      </w:pPr>
    </w:p>
    <w:p>
      <w:pPr>
        <w:ind w:left="160" w:right="139" w:firstLine="648"/>
        <w:spacing w:after="0" w:line="273" w:lineRule="auto"/>
        <w:rPr>
          <w:sz w:val="20"/>
          <w:szCs w:val="20"/>
          <w:color w:val="auto"/>
        </w:rPr>
      </w:pPr>
      <w:r>
        <w:rPr>
          <w:rFonts w:ascii="Arial" w:cs="Arial" w:eastAsia="Arial" w:hAnsi="Arial"/>
          <w:sz w:val="19"/>
          <w:szCs w:val="19"/>
          <w:i w:val="1"/>
          <w:iCs w:val="1"/>
          <w:color w:val="auto"/>
        </w:rPr>
        <w:t xml:space="preserve">“Fair Market Value” </w:t>
      </w:r>
      <w:r>
        <w:rPr>
          <w:rFonts w:ascii="Arial" w:cs="Arial" w:eastAsia="Arial" w:hAnsi="Arial"/>
          <w:sz w:val="19"/>
          <w:szCs w:val="19"/>
          <w:color w:val="auto"/>
        </w:rPr>
        <w:t>of the Stock on any given date means the fair market value of the Stock</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in good faith by the Administrator; provided, however, that if the Stock is admitted to quotation on the NASDAQ Capital Market, the NASDAQ Global Market, the NASDAQ Global Select Market, the New York Stock Exchange or another national securities exchange, the determination shall be made by reference to the closing price of the Stock. If there is no closing price for such date, the determination shall be made by reference to the last date preceding such date for which there is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62" w:lineRule="exact"/>
        <w:rPr>
          <w:sz w:val="20"/>
          <w:szCs w:val="20"/>
          <w:color w:val="auto"/>
        </w:rPr>
      </w:pPr>
    </w:p>
    <w:p>
      <w:pPr>
        <w:ind w:left="160" w:right="239" w:firstLine="648"/>
        <w:spacing w:after="0" w:line="251"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w:t>
      </w:r>
      <w:r>
        <w:rPr>
          <w:rFonts w:ascii="Arial" w:cs="Arial" w:eastAsia="Arial" w:hAnsi="Arial"/>
          <w:sz w:val="22"/>
          <w:szCs w:val="22"/>
          <w:i w:val="1"/>
          <w:iCs w:val="1"/>
          <w:color w:val="auto"/>
        </w:rPr>
        <w:t xml:space="preserve"> </w:t>
      </w:r>
      <w:r>
        <w:rPr>
          <w:rFonts w:ascii="Arial" w:cs="Arial" w:eastAsia="Arial" w:hAnsi="Arial"/>
          <w:sz w:val="22"/>
          <w:szCs w:val="22"/>
          <w:color w:val="auto"/>
        </w:rPr>
        <w:t>stock option” as defined in Section 422 of the Code.</w:t>
      </w:r>
    </w:p>
    <w:p>
      <w:pPr>
        <w:spacing w:after="0" w:line="173" w:lineRule="exact"/>
        <w:rPr>
          <w:sz w:val="20"/>
          <w:szCs w:val="20"/>
          <w:color w:val="auto"/>
        </w:rPr>
      </w:pPr>
    </w:p>
    <w:p>
      <w:pPr>
        <w:ind w:left="160" w:right="399" w:firstLine="648"/>
        <w:spacing w:after="0" w:line="238" w:lineRule="auto"/>
        <w:rPr>
          <w:sz w:val="20"/>
          <w:szCs w:val="20"/>
          <w:color w:val="auto"/>
        </w:rPr>
      </w:pPr>
      <w:r>
        <w:rPr>
          <w:rFonts w:ascii="Arial" w:cs="Arial" w:eastAsia="Arial" w:hAnsi="Arial"/>
          <w:sz w:val="22"/>
          <w:szCs w:val="22"/>
          <w:i w:val="1"/>
          <w:iCs w:val="1"/>
          <w:color w:val="auto"/>
        </w:rPr>
        <w:t xml:space="preserve">“Initial Public Offering” </w:t>
      </w:r>
      <w:r>
        <w:rPr>
          <w:rFonts w:ascii="Arial" w:cs="Arial" w:eastAsia="Arial" w:hAnsi="Arial"/>
          <w:sz w:val="22"/>
          <w:szCs w:val="22"/>
          <w:color w:val="auto"/>
        </w:rPr>
        <w:t>means the consummation of the first underwritten, firm</w:t>
      </w:r>
      <w:r>
        <w:rPr>
          <w:rFonts w:ascii="Arial" w:cs="Arial" w:eastAsia="Arial" w:hAnsi="Arial"/>
          <w:sz w:val="22"/>
          <w:szCs w:val="22"/>
          <w:i w:val="1"/>
          <w:iCs w:val="1"/>
          <w:color w:val="auto"/>
        </w:rPr>
        <w:t xml:space="preserve"> </w:t>
      </w:r>
      <w:r>
        <w:rPr>
          <w:rFonts w:ascii="Arial" w:cs="Arial" w:eastAsia="Arial" w:hAnsi="Arial"/>
          <w:sz w:val="22"/>
          <w:szCs w:val="22"/>
          <w:color w:val="auto"/>
        </w:rPr>
        <w:t>commitment public offering pursuant to an effective registration statement under the Act covering the offer and sale by the Company of its equity securities, or such other event as a result of or following which the Stock shall be publicly held.</w:t>
      </w:r>
    </w:p>
    <w:p>
      <w:pPr>
        <w:spacing w:after="0" w:line="185" w:lineRule="exact"/>
        <w:rPr>
          <w:sz w:val="20"/>
          <w:szCs w:val="20"/>
          <w:color w:val="auto"/>
        </w:rPr>
      </w:pPr>
    </w:p>
    <w:p>
      <w:pPr>
        <w:ind w:left="160" w:right="199" w:firstLine="648"/>
        <w:spacing w:after="0" w:line="251" w:lineRule="auto"/>
        <w:rPr>
          <w:sz w:val="20"/>
          <w:szCs w:val="20"/>
          <w:color w:val="auto"/>
        </w:rPr>
      </w:pPr>
      <w:r>
        <w:rPr>
          <w:rFonts w:ascii="Arial" w:cs="Arial" w:eastAsia="Arial" w:hAnsi="Arial"/>
          <w:sz w:val="22"/>
          <w:szCs w:val="22"/>
          <w:i w:val="1"/>
          <w:iCs w:val="1"/>
          <w:color w:val="auto"/>
        </w:rPr>
        <w:t xml:space="preserve">“Non-Employee Director” </w:t>
      </w:r>
      <w:r>
        <w:rPr>
          <w:rFonts w:ascii="Arial" w:cs="Arial" w:eastAsia="Arial" w:hAnsi="Arial"/>
          <w:sz w:val="22"/>
          <w:szCs w:val="22"/>
          <w:color w:val="auto"/>
        </w:rPr>
        <w:t>means a member of the Board who is not also an employee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or any Subsidiary.</w:t>
      </w:r>
    </w:p>
    <w:p>
      <w:pPr>
        <w:spacing w:after="0" w:line="173" w:lineRule="exact"/>
        <w:rPr>
          <w:sz w:val="20"/>
          <w:szCs w:val="20"/>
          <w:color w:val="auto"/>
        </w:rPr>
      </w:pPr>
    </w:p>
    <w:p>
      <w:pPr>
        <w:ind w:left="160" w:right="819" w:firstLine="648"/>
        <w:spacing w:after="0" w:line="251" w:lineRule="auto"/>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w:t>
      </w:r>
      <w:r>
        <w:rPr>
          <w:rFonts w:ascii="Arial" w:cs="Arial" w:eastAsia="Arial" w:hAnsi="Arial"/>
          <w:sz w:val="22"/>
          <w:szCs w:val="22"/>
          <w:i w:val="1"/>
          <w:iCs w:val="1"/>
          <w:color w:val="auto"/>
        </w:rPr>
        <w:t xml:space="preserve"> </w:t>
      </w:r>
      <w:r>
        <w:rPr>
          <w:rFonts w:ascii="Arial" w:cs="Arial" w:eastAsia="Arial" w:hAnsi="Arial"/>
          <w:sz w:val="22"/>
          <w:szCs w:val="22"/>
          <w:color w:val="auto"/>
        </w:rPr>
        <w:t>Option.</w:t>
      </w:r>
    </w:p>
    <w:p>
      <w:pPr>
        <w:spacing w:after="0" w:line="173" w:lineRule="exact"/>
        <w:rPr>
          <w:sz w:val="20"/>
          <w:szCs w:val="20"/>
          <w:color w:val="auto"/>
        </w:rPr>
      </w:pPr>
    </w:p>
    <w:p>
      <w:pPr>
        <w:ind w:left="160" w:right="239" w:firstLine="648"/>
        <w:spacing w:after="0" w:line="251" w:lineRule="auto"/>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Section 5.</w:t>
      </w:r>
    </w:p>
    <w:p>
      <w:pPr>
        <w:spacing w:after="0" w:line="173" w:lineRule="exact"/>
        <w:rPr>
          <w:sz w:val="20"/>
          <w:szCs w:val="20"/>
          <w:color w:val="auto"/>
        </w:rPr>
      </w:pPr>
    </w:p>
    <w:p>
      <w:pPr>
        <w:ind w:left="160" w:right="159" w:firstLine="648"/>
        <w:spacing w:after="0" w:line="238" w:lineRule="auto"/>
        <w:rPr>
          <w:sz w:val="20"/>
          <w:szCs w:val="20"/>
          <w:color w:val="auto"/>
        </w:rPr>
      </w:pPr>
      <w:r>
        <w:rPr>
          <w:rFonts w:ascii="Arial" w:cs="Arial" w:eastAsia="Arial" w:hAnsi="Arial"/>
          <w:sz w:val="22"/>
          <w:szCs w:val="22"/>
          <w:i w:val="1"/>
          <w:iCs w:val="1"/>
          <w:color w:val="auto"/>
        </w:rPr>
        <w:t xml:space="preserve">“Performance-Based Award” </w:t>
      </w:r>
      <w:r>
        <w:rPr>
          <w:rFonts w:ascii="Arial" w:cs="Arial" w:eastAsia="Arial" w:hAnsi="Arial"/>
          <w:sz w:val="22"/>
          <w:szCs w:val="22"/>
          <w:color w:val="auto"/>
        </w:rPr>
        <w:t>means any Restricted Stock Award, Restricted Stock Units,</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Share Award or Cash-Based Award granted to a Covered Employee that is intended to qualify as “performance-based compensation” under Section 162(m) of the Code and the regulations promulgated thereunder.</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5" w:name="page196"/>
    <w:bookmarkEnd w:id="195"/>
    <w:p>
      <w:pPr>
        <w:ind w:left="160" w:right="159" w:firstLine="648"/>
        <w:spacing w:after="0" w:line="243" w:lineRule="auto"/>
        <w:rPr>
          <w:sz w:val="20"/>
          <w:szCs w:val="20"/>
          <w:color w:val="auto"/>
        </w:rPr>
      </w:pPr>
      <w:r>
        <w:rPr>
          <w:rFonts w:ascii="Arial" w:cs="Arial" w:eastAsia="Arial" w:hAnsi="Arial"/>
          <w:sz w:val="21"/>
          <w:szCs w:val="21"/>
          <w:i w:val="1"/>
          <w:iCs w:val="1"/>
          <w:color w:val="auto"/>
        </w:rPr>
        <w:t xml:space="preserve">“Performance Criteria” </w:t>
      </w:r>
      <w:r>
        <w:rPr>
          <w:rFonts w:ascii="Arial" w:cs="Arial" w:eastAsia="Arial" w:hAnsi="Arial"/>
          <w:sz w:val="21"/>
          <w:szCs w:val="21"/>
          <w:color w:val="auto"/>
        </w:rPr>
        <w:t>means the criteria that the Administrator selects for purposes of</w:t>
      </w:r>
      <w:r>
        <w:rPr>
          <w:rFonts w:ascii="Arial" w:cs="Arial" w:eastAsia="Arial" w:hAnsi="Arial"/>
          <w:sz w:val="21"/>
          <w:szCs w:val="21"/>
          <w:i w:val="1"/>
          <w:iCs w:val="1"/>
          <w:color w:val="auto"/>
        </w:rPr>
        <w:t xml:space="preserve"> </w:t>
      </w:r>
      <w:r>
        <w:rPr>
          <w:rFonts w:ascii="Arial" w:cs="Arial" w:eastAsia="Arial" w:hAnsi="Arial"/>
          <w:sz w:val="21"/>
          <w:szCs w:val="21"/>
          <w:color w:val="auto"/>
        </w:rPr>
        <w:t>establishing the Performance 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achievement of specified research and development, publication, clinical and/or regulatory milestones,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94" w:lineRule="exact"/>
        <w:rPr>
          <w:sz w:val="20"/>
          <w:szCs w:val="20"/>
          <w:color w:val="auto"/>
        </w:rPr>
      </w:pPr>
    </w:p>
    <w:p>
      <w:pPr>
        <w:ind w:left="160" w:right="419" w:firstLine="648"/>
        <w:spacing w:after="0" w:line="279" w:lineRule="auto"/>
        <w:rPr>
          <w:sz w:val="20"/>
          <w:szCs w:val="20"/>
          <w:color w:val="auto"/>
        </w:rPr>
      </w:pPr>
      <w:r>
        <w:rPr>
          <w:rFonts w:ascii="Arial" w:cs="Arial" w:eastAsia="Arial" w:hAnsi="Arial"/>
          <w:sz w:val="19"/>
          <w:szCs w:val="19"/>
          <w:i w:val="1"/>
          <w:iCs w:val="1"/>
          <w:color w:val="auto"/>
        </w:rPr>
        <w:t xml:space="preserve">“Performance Cycle” </w:t>
      </w:r>
      <w:r>
        <w:rPr>
          <w:rFonts w:ascii="Arial" w:cs="Arial" w:eastAsia="Arial" w:hAnsi="Arial"/>
          <w:sz w:val="19"/>
          <w:szCs w:val="19"/>
          <w:color w:val="auto"/>
        </w:rPr>
        <w:t>means one or more periods of time, which may be of varying and</w:t>
      </w:r>
      <w:r>
        <w:rPr>
          <w:rFonts w:ascii="Arial" w:cs="Arial" w:eastAsia="Arial" w:hAnsi="Arial"/>
          <w:sz w:val="19"/>
          <w:szCs w:val="19"/>
          <w:i w:val="1"/>
          <w:iCs w:val="1"/>
          <w:color w:val="auto"/>
        </w:rPr>
        <w:t xml:space="preserve"> </w:t>
      </w:r>
      <w:r>
        <w:rPr>
          <w:rFonts w:ascii="Arial" w:cs="Arial" w:eastAsia="Arial" w:hAnsi="Arial"/>
          <w:sz w:val="19"/>
          <w:szCs w:val="19"/>
          <w:color w:val="auto"/>
        </w:rPr>
        <w:t>overlapping durations, as the 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51" w:lineRule="exact"/>
        <w:rPr>
          <w:sz w:val="20"/>
          <w:szCs w:val="20"/>
          <w:color w:val="auto"/>
        </w:rPr>
      </w:pPr>
    </w:p>
    <w:p>
      <w:pPr>
        <w:ind w:left="160" w:right="599" w:firstLine="648"/>
        <w:spacing w:after="0" w:line="328" w:lineRule="auto"/>
        <w:rPr>
          <w:sz w:val="20"/>
          <w:szCs w:val="20"/>
          <w:color w:val="auto"/>
        </w:rPr>
      </w:pPr>
      <w:r>
        <w:rPr>
          <w:rFonts w:ascii="Arial" w:cs="Arial" w:eastAsia="Arial" w:hAnsi="Arial"/>
          <w:sz w:val="19"/>
          <w:szCs w:val="19"/>
          <w:i w:val="1"/>
          <w:iCs w:val="1"/>
          <w:color w:val="auto"/>
        </w:rPr>
        <w:t xml:space="preserve">“Performance Goals” </w:t>
      </w:r>
      <w:r>
        <w:rPr>
          <w:rFonts w:ascii="Arial" w:cs="Arial" w:eastAsia="Arial" w:hAnsi="Arial"/>
          <w:sz w:val="19"/>
          <w:szCs w:val="19"/>
          <w:color w:val="auto"/>
        </w:rPr>
        <w:t>means, for a Performance Cycle, the specific goals established in</w:t>
      </w:r>
      <w:r>
        <w:rPr>
          <w:rFonts w:ascii="Arial" w:cs="Arial" w:eastAsia="Arial" w:hAnsi="Arial"/>
          <w:sz w:val="19"/>
          <w:szCs w:val="19"/>
          <w:i w:val="1"/>
          <w:iCs w:val="1"/>
          <w:color w:val="auto"/>
        </w:rPr>
        <w:t xml:space="preserve"> </w:t>
      </w:r>
      <w:r>
        <w:rPr>
          <w:rFonts w:ascii="Arial" w:cs="Arial" w:eastAsia="Arial" w:hAnsi="Arial"/>
          <w:sz w:val="19"/>
          <w:szCs w:val="19"/>
          <w:color w:val="auto"/>
        </w:rPr>
        <w:t>writing by the Administrator for a Performance Cycle based upon the Performance Criteria.</w:t>
      </w:r>
    </w:p>
    <w:p>
      <w:pPr>
        <w:spacing w:after="0" w:line="105" w:lineRule="exact"/>
        <w:rPr>
          <w:sz w:val="20"/>
          <w:szCs w:val="20"/>
          <w:color w:val="auto"/>
        </w:rPr>
      </w:pPr>
    </w:p>
    <w:p>
      <w:pPr>
        <w:ind w:left="160" w:right="559" w:firstLine="648"/>
        <w:spacing w:after="0" w:line="251" w:lineRule="auto"/>
        <w:rPr>
          <w:sz w:val="20"/>
          <w:szCs w:val="20"/>
          <w:color w:val="auto"/>
        </w:rPr>
      </w:pPr>
      <w:r>
        <w:rPr>
          <w:rFonts w:ascii="Arial" w:cs="Arial" w:eastAsia="Arial" w:hAnsi="Arial"/>
          <w:sz w:val="22"/>
          <w:szCs w:val="22"/>
          <w:i w:val="1"/>
          <w:iCs w:val="1"/>
          <w:color w:val="auto"/>
        </w:rPr>
        <w:t xml:space="preserve">“Performance Share Award” </w:t>
      </w:r>
      <w:r>
        <w:rPr>
          <w:rFonts w:ascii="Arial" w:cs="Arial" w:eastAsia="Arial" w:hAnsi="Arial"/>
          <w:sz w:val="22"/>
          <w:szCs w:val="22"/>
          <w:color w:val="auto"/>
        </w:rPr>
        <w:t>means an Award entitling the recipient to acquire shares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 upon the attainment of specified Performance Goals.</w:t>
      </w:r>
    </w:p>
    <w:p>
      <w:pPr>
        <w:spacing w:after="0" w:line="173" w:lineRule="exact"/>
        <w:rPr>
          <w:sz w:val="20"/>
          <w:szCs w:val="20"/>
          <w:color w:val="auto"/>
        </w:rPr>
      </w:pPr>
    </w:p>
    <w:p>
      <w:pPr>
        <w:ind w:left="160" w:right="159" w:firstLine="648"/>
        <w:spacing w:after="0" w:line="251"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shares of Stock subject to such restrictions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as the Administrator may determine at the time of grant.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phantom stock units to a grantee.</w:t>
      </w:r>
    </w:p>
    <w:p>
      <w:pPr>
        <w:spacing w:after="0" w:line="206" w:lineRule="exact"/>
        <w:rPr>
          <w:sz w:val="20"/>
          <w:szCs w:val="20"/>
          <w:color w:val="auto"/>
        </w:rPr>
      </w:pPr>
    </w:p>
    <w:p>
      <w:pPr>
        <w:ind w:left="160" w:right="159" w:firstLine="648"/>
        <w:spacing w:after="0" w:line="273" w:lineRule="auto"/>
        <w:rPr>
          <w:sz w:val="20"/>
          <w:szCs w:val="20"/>
          <w:color w:val="auto"/>
        </w:rPr>
      </w:pPr>
      <w:r>
        <w:rPr>
          <w:rFonts w:ascii="Arial" w:cs="Arial" w:eastAsia="Arial" w:hAnsi="Arial"/>
          <w:sz w:val="19"/>
          <w:szCs w:val="19"/>
          <w:i w:val="1"/>
          <w:iCs w:val="1"/>
          <w:color w:val="auto"/>
        </w:rPr>
        <w:t xml:space="preserve">“Sale Event” </w:t>
      </w:r>
      <w:r>
        <w:rPr>
          <w:rFonts w:ascii="Arial" w:cs="Arial" w:eastAsia="Arial" w:hAnsi="Arial"/>
          <w:sz w:val="19"/>
          <w:szCs w:val="19"/>
          <w:color w:val="auto"/>
        </w:rPr>
        <w:t>shall mean (i) the sale of all or substantially all of the assets of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6" w:name="page197"/>
    <w:bookmarkEnd w:id="196"/>
    <w:p>
      <w:pPr>
        <w:ind w:left="160" w:right="439" w:firstLine="64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 Price</w:t>
      </w:r>
      <w:r>
        <w:rPr>
          <w:rFonts w:ascii="Arial" w:cs="Arial" w:eastAsia="Arial" w:hAnsi="Arial"/>
          <w:sz w:val="19"/>
          <w:szCs w:val="19"/>
          <w:color w:val="auto"/>
        </w:rPr>
        <w:t>” means the value as determined by the Administrator of the consideration payable, or otherwise to be received by stockholders, per share of Stock pursuant to a Sale Event.</w:t>
      </w:r>
    </w:p>
    <w:p>
      <w:pPr>
        <w:spacing w:after="0" w:line="104" w:lineRule="exact"/>
        <w:rPr>
          <w:sz w:val="20"/>
          <w:szCs w:val="20"/>
          <w:color w:val="auto"/>
        </w:rPr>
      </w:pPr>
    </w:p>
    <w:p>
      <w:pPr>
        <w:ind w:left="160" w:right="539" w:firstLine="648"/>
        <w:spacing w:after="0" w:line="251" w:lineRule="auto"/>
        <w:rPr>
          <w:sz w:val="20"/>
          <w:szCs w:val="20"/>
          <w:color w:val="auto"/>
        </w:rPr>
      </w:pPr>
      <w:r>
        <w:rPr>
          <w:rFonts w:ascii="Arial" w:cs="Arial" w:eastAsia="Arial" w:hAnsi="Arial"/>
          <w:sz w:val="22"/>
          <w:szCs w:val="22"/>
          <w:i w:val="1"/>
          <w:iCs w:val="1"/>
          <w:color w:val="auto"/>
        </w:rPr>
        <w:t xml:space="preserve">“Section 409A” </w:t>
      </w:r>
      <w:r>
        <w:rPr>
          <w:rFonts w:ascii="Arial" w:cs="Arial" w:eastAsia="Arial" w:hAnsi="Arial"/>
          <w:sz w:val="22"/>
          <w:szCs w:val="22"/>
          <w:color w:val="auto"/>
        </w:rPr>
        <w:t>means Section 409A of the Code and the regulations and other guidance</w:t>
      </w:r>
      <w:r>
        <w:rPr>
          <w:rFonts w:ascii="Arial" w:cs="Arial" w:eastAsia="Arial" w:hAnsi="Arial"/>
          <w:sz w:val="22"/>
          <w:szCs w:val="22"/>
          <w:i w:val="1"/>
          <w:iCs w:val="1"/>
          <w:color w:val="auto"/>
        </w:rPr>
        <w:t xml:space="preserve"> </w:t>
      </w:r>
      <w:r>
        <w:rPr>
          <w:rFonts w:ascii="Arial" w:cs="Arial" w:eastAsia="Arial" w:hAnsi="Arial"/>
          <w:sz w:val="22"/>
          <w:szCs w:val="22"/>
          <w:color w:val="auto"/>
        </w:rPr>
        <w:t>promulgated thereunder.</w:t>
      </w:r>
    </w:p>
    <w:p>
      <w:pPr>
        <w:spacing w:after="0" w:line="173" w:lineRule="exact"/>
        <w:rPr>
          <w:sz w:val="20"/>
          <w:szCs w:val="20"/>
          <w:color w:val="auto"/>
        </w:rPr>
      </w:pPr>
    </w:p>
    <w:p>
      <w:pPr>
        <w:ind w:left="160" w:right="359" w:firstLine="648"/>
        <w:spacing w:after="0" w:line="251"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$0.001 per share, of the Company,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adjustments pursuant to Section 3.</w:t>
      </w:r>
    </w:p>
    <w:p>
      <w:pPr>
        <w:spacing w:after="0" w:line="173" w:lineRule="exact"/>
        <w:rPr>
          <w:sz w:val="20"/>
          <w:szCs w:val="20"/>
          <w:color w:val="auto"/>
        </w:rPr>
      </w:pPr>
    </w:p>
    <w:p>
      <w:pPr>
        <w:jc w:val="both"/>
        <w:ind w:left="160" w:right="159" w:firstLine="648"/>
        <w:spacing w:after="0" w:line="287" w:lineRule="auto"/>
        <w:rPr>
          <w:sz w:val="20"/>
          <w:szCs w:val="20"/>
          <w:color w:val="auto"/>
        </w:rPr>
      </w:pPr>
      <w:r>
        <w:rPr>
          <w:rFonts w:ascii="Arial" w:cs="Arial" w:eastAsia="Arial" w:hAnsi="Arial"/>
          <w:sz w:val="19"/>
          <w:szCs w:val="19"/>
          <w:i w:val="1"/>
          <w:iCs w:val="1"/>
          <w:color w:val="auto"/>
        </w:rPr>
        <w:t xml:space="preserve">“Stock Appreciation Right” </w:t>
      </w:r>
      <w:r>
        <w:rPr>
          <w:rFonts w:ascii="Arial" w:cs="Arial" w:eastAsia="Arial" w:hAnsi="Arial"/>
          <w:sz w:val="19"/>
          <w:szCs w:val="19"/>
          <w:color w:val="auto"/>
        </w:rPr>
        <w:t>means an Award entitling the recipient to receive shares of Stock</w:t>
      </w:r>
      <w:r>
        <w:rPr>
          <w:rFonts w:ascii="Arial" w:cs="Arial" w:eastAsia="Arial" w:hAnsi="Arial"/>
          <w:sz w:val="19"/>
          <w:szCs w:val="19"/>
          <w:i w:val="1"/>
          <w:iCs w:val="1"/>
          <w:color w:val="auto"/>
        </w:rPr>
        <w:t xml:space="preserve"> </w:t>
      </w:r>
      <w:r>
        <w:rPr>
          <w:rFonts w:ascii="Arial" w:cs="Arial" w:eastAsia="Arial" w:hAnsi="Arial"/>
          <w:sz w:val="19"/>
          <w:szCs w:val="19"/>
          <w:color w:val="auto"/>
        </w:rPr>
        <w:t>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3" w:lineRule="exact"/>
        <w:rPr>
          <w:sz w:val="20"/>
          <w:szCs w:val="20"/>
          <w:color w:val="auto"/>
        </w:rPr>
      </w:pPr>
    </w:p>
    <w:p>
      <w:pPr>
        <w:ind w:left="160" w:right="359" w:firstLine="648"/>
        <w:spacing w:after="0" w:line="251"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has at least a 50 percent interest, either directly or indirectly.</w:t>
      </w:r>
    </w:p>
    <w:p>
      <w:pPr>
        <w:spacing w:after="0" w:line="173" w:lineRule="exact"/>
        <w:rPr>
          <w:sz w:val="20"/>
          <w:szCs w:val="20"/>
          <w:color w:val="auto"/>
        </w:rPr>
      </w:pPr>
    </w:p>
    <w:p>
      <w:pPr>
        <w:jc w:val="both"/>
        <w:ind w:left="160" w:right="259" w:firstLine="648"/>
        <w:spacing w:after="0" w:line="258" w:lineRule="auto"/>
        <w:rPr>
          <w:sz w:val="20"/>
          <w:szCs w:val="20"/>
          <w:color w:val="auto"/>
        </w:rPr>
      </w:pPr>
      <w:r>
        <w:rPr>
          <w:rFonts w:ascii="Arial" w:cs="Arial" w:eastAsia="Arial" w:hAnsi="Arial"/>
          <w:sz w:val="21"/>
          <w:szCs w:val="21"/>
          <w:i w:val="1"/>
          <w:iCs w:val="1"/>
          <w:color w:val="auto"/>
        </w:rPr>
        <w:t xml:space="preserve">“Ten Percent Owner” </w:t>
      </w:r>
      <w:r>
        <w:rPr>
          <w:rFonts w:ascii="Arial" w:cs="Arial" w:eastAsia="Arial" w:hAnsi="Arial"/>
          <w:sz w:val="21"/>
          <w:szCs w:val="21"/>
          <w:color w:val="auto"/>
        </w:rPr>
        <w:t>means an employee who owns or is deemed to own (by reason of the</w:t>
      </w:r>
      <w:r>
        <w:rPr>
          <w:rFonts w:ascii="Arial" w:cs="Arial" w:eastAsia="Arial" w:hAnsi="Arial"/>
          <w:sz w:val="21"/>
          <w:szCs w:val="21"/>
          <w:i w:val="1"/>
          <w:iCs w:val="1"/>
          <w:color w:val="auto"/>
        </w:rPr>
        <w:t xml:space="preserve"> </w:t>
      </w:r>
      <w:r>
        <w:rPr>
          <w:rFonts w:ascii="Arial" w:cs="Arial" w:eastAsia="Arial" w:hAnsi="Arial"/>
          <w:sz w:val="21"/>
          <w:szCs w:val="21"/>
          <w:color w:val="auto"/>
        </w:rPr>
        <w:t>attribution rules of Section 424(d) of the Code) more than 10 percent of the combined voting power of all classes of stock of the Company or any parent or subsidiary corporation.</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“Unrestricted Stock Award” </w:t>
      </w:r>
      <w:r>
        <w:rPr>
          <w:rFonts w:ascii="Arial" w:cs="Arial" w:eastAsia="Arial" w:hAnsi="Arial"/>
          <w:sz w:val="19"/>
          <w:szCs w:val="19"/>
          <w:color w:val="auto"/>
        </w:rPr>
        <w:t>means an Award of shares of Stock free of any restrictions.</w:t>
      </w:r>
    </w:p>
    <w:p>
      <w:pPr>
        <w:spacing w:after="0" w:line="241" w:lineRule="exact"/>
        <w:rPr>
          <w:sz w:val="20"/>
          <w:szCs w:val="20"/>
          <w:color w:val="auto"/>
        </w:rPr>
      </w:pPr>
    </w:p>
    <w:p>
      <w:pPr>
        <w:ind w:left="160"/>
        <w:spacing w:after="0"/>
        <w:tabs>
          <w:tab w:leader="none" w:pos="17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ADMINISTRATION OF PLAN; ADMINISTRATOR AUTHORITY TO</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22"/>
          <w:szCs w:val="22"/>
          <w:u w:val="single" w:color="auto"/>
          <w:color w:val="auto"/>
        </w:rPr>
        <w:t>SELECT GRANTEES AND DETERMINE AWARDS</w:t>
      </w:r>
    </w:p>
    <w:p>
      <w:pPr>
        <w:spacing w:after="0" w:line="188" w:lineRule="exact"/>
        <w:rPr>
          <w:sz w:val="20"/>
          <w:szCs w:val="20"/>
          <w:color w:val="auto"/>
        </w:rPr>
      </w:pPr>
    </w:p>
    <w:p>
      <w:pPr>
        <w:ind w:left="1480" w:hanging="681"/>
        <w:spacing w:after="0"/>
        <w:tabs>
          <w:tab w:leader="none" w:pos="1480"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color w:val="auto"/>
        </w:rPr>
      </w:pPr>
    </w:p>
    <w:p>
      <w:pPr>
        <w:ind w:left="160" w:right="359" w:firstLine="639"/>
        <w:spacing w:after="0" w:line="328" w:lineRule="auto"/>
        <w:tabs>
          <w:tab w:leader="none" w:pos="1506"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Powers of Administrator</w:t>
      </w:r>
      <w:r>
        <w:rPr>
          <w:rFonts w:ascii="Arial" w:cs="Arial" w:eastAsia="Arial" w:hAnsi="Arial"/>
          <w:sz w:val="19"/>
          <w:szCs w:val="19"/>
          <w:color w:val="auto"/>
        </w:rPr>
        <w:t>. The Administrator shall have the power and authority to grant Awards consistent with the terms of the Plan, including the power and authority:</w:t>
      </w:r>
    </w:p>
    <w:p>
      <w:pPr>
        <w:spacing w:after="0" w:line="105" w:lineRule="exact"/>
        <w:rPr>
          <w:rFonts w:ascii="Arial" w:cs="Arial" w:eastAsia="Arial" w:hAnsi="Arial"/>
          <w:sz w:val="19"/>
          <w:szCs w:val="19"/>
          <w:color w:val="auto"/>
        </w:rPr>
      </w:pPr>
    </w:p>
    <w:p>
      <w:pPr>
        <w:ind w:left="2740" w:hanging="1293"/>
        <w:spacing w:after="0"/>
        <w:tabs>
          <w:tab w:leader="none" w:pos="274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to select the individuals to whom Awards may from time to time be</w:t>
      </w:r>
    </w:p>
    <w:p>
      <w:pPr>
        <w:spacing w:after="0" w:line="42"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2"/>
          <w:szCs w:val="22"/>
          <w:color w:val="auto"/>
        </w:rPr>
        <w:t>granted;</w:t>
      </w:r>
    </w:p>
    <w:p>
      <w:pPr>
        <w:spacing w:after="0" w:line="188" w:lineRule="exact"/>
        <w:rPr>
          <w:rFonts w:ascii="Arial" w:cs="Arial" w:eastAsia="Arial" w:hAnsi="Arial"/>
          <w:sz w:val="19"/>
          <w:szCs w:val="19"/>
          <w:color w:val="auto"/>
        </w:rPr>
      </w:pPr>
    </w:p>
    <w:p>
      <w:pPr>
        <w:ind w:left="160" w:right="199" w:firstLine="1287"/>
        <w:spacing w:after="0" w:line="236" w:lineRule="auto"/>
        <w:tabs>
          <w:tab w:leader="none" w:pos="2747"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7" w:lineRule="exact"/>
        <w:rPr>
          <w:rFonts w:ascii="Arial" w:cs="Arial" w:eastAsia="Arial" w:hAnsi="Arial"/>
          <w:sz w:val="22"/>
          <w:szCs w:val="22"/>
          <w:color w:val="auto"/>
        </w:rPr>
      </w:pPr>
    </w:p>
    <w:p>
      <w:pPr>
        <w:ind w:left="2740" w:hanging="1293"/>
        <w:spacing w:after="0"/>
        <w:tabs>
          <w:tab w:leader="none" w:pos="2740" w:val="left"/>
        </w:tabs>
        <w:numPr>
          <w:ilvl w:val="1"/>
          <w:numId w:val="180"/>
        </w:numPr>
        <w:rPr>
          <w:rFonts w:ascii="Arial" w:cs="Arial" w:eastAsia="Arial" w:hAnsi="Arial"/>
          <w:sz w:val="21"/>
          <w:szCs w:val="21"/>
          <w:color w:val="auto"/>
        </w:rPr>
      </w:pPr>
      <w:r>
        <w:rPr>
          <w:rFonts w:ascii="Arial" w:cs="Arial" w:eastAsia="Arial" w:hAnsi="Arial"/>
          <w:sz w:val="21"/>
          <w:szCs w:val="21"/>
          <w:color w:val="auto"/>
        </w:rPr>
        <w:t>to determine the number of shares of Stock to be covered by any</w:t>
      </w:r>
    </w:p>
    <w:p>
      <w:pPr>
        <w:spacing w:after="0" w:line="19" w:lineRule="exact"/>
        <w:rPr>
          <w:rFonts w:ascii="Arial" w:cs="Arial" w:eastAsia="Arial" w:hAnsi="Arial"/>
          <w:sz w:val="21"/>
          <w:szCs w:val="21"/>
          <w:color w:val="auto"/>
        </w:rPr>
      </w:pPr>
    </w:p>
    <w:p>
      <w:pPr>
        <w:ind w:left="160"/>
        <w:spacing w:after="0"/>
        <w:rPr>
          <w:rFonts w:ascii="Arial" w:cs="Arial" w:eastAsia="Arial" w:hAnsi="Arial"/>
          <w:sz w:val="21"/>
          <w:szCs w:val="21"/>
          <w:color w:val="auto"/>
        </w:rPr>
      </w:pPr>
      <w:r>
        <w:rPr>
          <w:rFonts w:ascii="Arial" w:cs="Arial" w:eastAsia="Arial" w:hAnsi="Arial"/>
          <w:sz w:val="22"/>
          <w:szCs w:val="22"/>
          <w:color w:val="auto"/>
        </w:rPr>
        <w:t>Award;</w:t>
      </w:r>
    </w:p>
    <w:p>
      <w:pPr>
        <w:spacing w:after="0" w:line="188" w:lineRule="exact"/>
        <w:rPr>
          <w:rFonts w:ascii="Arial" w:cs="Arial" w:eastAsia="Arial" w:hAnsi="Arial"/>
          <w:sz w:val="21"/>
          <w:szCs w:val="21"/>
          <w:color w:val="auto"/>
        </w:rPr>
      </w:pPr>
    </w:p>
    <w:p>
      <w:pPr>
        <w:ind w:left="160" w:right="299" w:firstLine="1287"/>
        <w:spacing w:after="0" w:line="238" w:lineRule="auto"/>
        <w:tabs>
          <w:tab w:leader="none" w:pos="2795"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7" w:name="page198"/>
    <w:bookmarkEnd w:id="197"/>
    <w:p>
      <w:pPr>
        <w:ind w:left="160" w:right="199" w:firstLine="1287"/>
        <w:spacing w:after="0" w:line="287" w:lineRule="auto"/>
        <w:tabs>
          <w:tab w:leader="none" w:pos="280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of the Company (including a Sale Event);</w:t>
      </w:r>
    </w:p>
    <w:p>
      <w:pPr>
        <w:spacing w:after="0" w:line="143" w:lineRule="exact"/>
        <w:rPr>
          <w:rFonts w:ascii="Arial" w:cs="Arial" w:eastAsia="Arial" w:hAnsi="Arial"/>
          <w:sz w:val="19"/>
          <w:szCs w:val="19"/>
          <w:color w:val="auto"/>
        </w:rPr>
      </w:pPr>
    </w:p>
    <w:p>
      <w:pPr>
        <w:ind w:left="160" w:right="539" w:firstLine="1287"/>
        <w:spacing w:after="0" w:line="251" w:lineRule="auto"/>
        <w:tabs>
          <w:tab w:leader="none" w:pos="279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subject to the provisions of Section 5(b), to extend at any time the period in which Stock Options may be exercised; and</w:t>
      </w:r>
    </w:p>
    <w:p>
      <w:pPr>
        <w:spacing w:after="0" w:line="173" w:lineRule="exact"/>
        <w:rPr>
          <w:rFonts w:ascii="Arial" w:cs="Arial" w:eastAsia="Arial" w:hAnsi="Arial"/>
          <w:sz w:val="22"/>
          <w:szCs w:val="22"/>
          <w:color w:val="auto"/>
        </w:rPr>
      </w:pPr>
    </w:p>
    <w:p>
      <w:pPr>
        <w:ind w:left="160" w:right="179" w:firstLine="1287"/>
        <w:spacing w:after="0" w:line="235" w:lineRule="auto"/>
        <w:tabs>
          <w:tab w:leader="none" w:pos="280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8" w:lineRule="exact"/>
        <w:rPr>
          <w:sz w:val="20"/>
          <w:szCs w:val="20"/>
          <w:color w:val="auto"/>
        </w:rPr>
      </w:pPr>
    </w:p>
    <w:p>
      <w:pPr>
        <w:ind w:left="160" w:right="859" w:firstLine="648"/>
        <w:spacing w:after="0" w:line="251" w:lineRule="auto"/>
        <w:rPr>
          <w:sz w:val="20"/>
          <w:szCs w:val="20"/>
          <w:color w:val="auto"/>
        </w:rPr>
      </w:pPr>
      <w:r>
        <w:rPr>
          <w:rFonts w:ascii="Arial" w:cs="Arial" w:eastAsia="Arial" w:hAnsi="Arial"/>
          <w:sz w:val="22"/>
          <w:szCs w:val="22"/>
          <w:color w:val="auto"/>
        </w:rPr>
        <w:t>All decisions and interpretations of the Administrator shall be binding on all persons, including the Company and Plan grantees.</w:t>
      </w:r>
    </w:p>
    <w:p>
      <w:pPr>
        <w:spacing w:after="0" w:line="173" w:lineRule="exact"/>
        <w:rPr>
          <w:sz w:val="20"/>
          <w:szCs w:val="20"/>
          <w:color w:val="auto"/>
        </w:rPr>
      </w:pPr>
    </w:p>
    <w:p>
      <w:pPr>
        <w:ind w:left="160" w:right="199" w:firstLine="639"/>
        <w:spacing w:after="0" w:line="271" w:lineRule="auto"/>
        <w:tabs>
          <w:tab w:leader="none" w:pos="1494"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Awards</w:t>
      </w:r>
      <w:r>
        <w:rPr>
          <w:rFonts w:ascii="Arial" w:cs="Arial" w:eastAsia="Arial" w:hAnsi="Arial"/>
          <w:sz w:val="19"/>
          <w:szCs w:val="19"/>
          <w:color w:val="auto"/>
        </w:rPr>
        <w:t>. Subject to applicable law, the Administrator, in its discretion, may delegate to the Chief Executive Officer of the Company all or part of the Administrator’s authority and duties with respect to the granting of Awards to individuals who are (i) not subject to the reporting and other provisions of Section 16 of the Exchange Act and</w:t>
      </w:r>
    </w:p>
    <w:p>
      <w:pPr>
        <w:spacing w:after="0" w:line="3" w:lineRule="exact"/>
        <w:rPr>
          <w:rFonts w:ascii="Arial" w:cs="Arial" w:eastAsia="Arial" w:hAnsi="Arial"/>
          <w:sz w:val="19"/>
          <w:szCs w:val="19"/>
          <w:color w:val="auto"/>
        </w:rPr>
      </w:pPr>
    </w:p>
    <w:p>
      <w:pPr>
        <w:ind w:left="160" w:right="259" w:hanging="9"/>
        <w:spacing w:after="0" w:line="232" w:lineRule="auto"/>
        <w:tabs>
          <w:tab w:leader="none" w:pos="47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not Covered Employees. Any such delegation by the Administrator shall include a limitation as to the amount of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9" w:lineRule="exact"/>
        <w:rPr>
          <w:rFonts w:ascii="Arial" w:cs="Arial" w:eastAsia="Arial" w:hAnsi="Arial"/>
          <w:sz w:val="22"/>
          <w:szCs w:val="22"/>
          <w:color w:val="auto"/>
        </w:rPr>
      </w:pPr>
    </w:p>
    <w:p>
      <w:pPr>
        <w:ind w:left="160" w:right="299" w:firstLine="639"/>
        <w:spacing w:after="0" w:line="238" w:lineRule="auto"/>
        <w:tabs>
          <w:tab w:leader="none" w:pos="1506" w:val="left"/>
        </w:tabs>
        <w:numPr>
          <w:ilvl w:val="1"/>
          <w:numId w:val="183"/>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5" w:lineRule="exact"/>
        <w:rPr>
          <w:rFonts w:ascii="Arial" w:cs="Arial" w:eastAsia="Arial" w:hAnsi="Arial"/>
          <w:sz w:val="22"/>
          <w:szCs w:val="22"/>
          <w:color w:val="auto"/>
        </w:rPr>
      </w:pPr>
    </w:p>
    <w:p>
      <w:pPr>
        <w:ind w:left="160" w:right="139" w:firstLine="639"/>
        <w:spacing w:after="0" w:line="274" w:lineRule="auto"/>
        <w:tabs>
          <w:tab w:leader="none" w:pos="1494"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58" w:lineRule="exact"/>
        <w:rPr>
          <w:rFonts w:ascii="Arial" w:cs="Arial" w:eastAsia="Arial" w:hAnsi="Arial"/>
          <w:sz w:val="19"/>
          <w:szCs w:val="19"/>
          <w:color w:val="auto"/>
        </w:rPr>
      </w:pPr>
    </w:p>
    <w:p>
      <w:pPr>
        <w:ind w:left="160" w:right="919" w:firstLine="639"/>
        <w:spacing w:after="0" w:line="297" w:lineRule="auto"/>
        <w:tabs>
          <w:tab w:leader="none" w:pos="1470"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8" w:name="page199"/>
    <w:bookmarkEnd w:id="198"/>
    <w:p>
      <w:pPr>
        <w:ind w:left="160" w:right="219"/>
        <w:spacing w:after="0" w:line="272" w:lineRule="auto"/>
        <w:rPr>
          <w:sz w:val="20"/>
          <w:szCs w:val="20"/>
          <w:color w:val="auto"/>
        </w:rPr>
      </w:pPr>
      <w:r>
        <w:rPr>
          <w:rFonts w:ascii="Arial" w:cs="Arial" w:eastAsia="Arial" w:hAnsi="Arial"/>
          <w:sz w:val="19"/>
          <w:szCs w:val="19"/>
          <w:color w:val="auto"/>
        </w:rPr>
        <w:t>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58"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STOCK ISSUABLE UNDER THE PLAN; MERGERS; SUBSTITUTION</w:t>
      </w:r>
    </w:p>
    <w:p>
      <w:pPr>
        <w:spacing w:after="0" w:line="206" w:lineRule="exact"/>
        <w:rPr>
          <w:sz w:val="20"/>
          <w:szCs w:val="20"/>
          <w:color w:val="auto"/>
        </w:rPr>
      </w:pPr>
    </w:p>
    <w:p>
      <w:pPr>
        <w:ind w:left="160" w:right="159" w:firstLine="639"/>
        <w:spacing w:after="0" w:line="269" w:lineRule="auto"/>
        <w:tabs>
          <w:tab w:leader="none" w:pos="1494"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1,460,084 shares (the “Initial Limit”), subject to adjustment as provided in Section 3(c), plus on January 1, 2016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2016 and on each January 1 thereafter by the lesser of the Annual Increase for such year or 1,460,084 shares of Stock, subject in all cases to adjustment as provided in Section 3(c). The shares of Stock underlying any Awards under the Plan and under the Company’s Amended and Restated 2011 Stock Option and Grant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1,460,084 shares of Stock may be granted to any one individual grantee during any one calendar year period. The shares available for issuance under the Plan may be authorized but unissued shares of Stock or shares of Stock reacquired by the Company.</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1500" w:hanging="701"/>
        <w:spacing w:after="0"/>
        <w:tabs>
          <w:tab w:leader="none" w:pos="150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ind w:left="160" w:right="159" w:firstLine="639"/>
        <w:spacing w:after="0" w:line="252" w:lineRule="auto"/>
        <w:tabs>
          <w:tab w:leader="none" w:pos="1494"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Changes in Stock</w:t>
      </w:r>
      <w:r>
        <w:rPr>
          <w:rFonts w:ascii="Arial" w:cs="Arial" w:eastAsia="Arial" w:hAnsi="Arial"/>
          <w:sz w:val="21"/>
          <w:szCs w:val="21"/>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9" w:name="page200"/>
    <w:bookmarkEnd w:id="199"/>
    <w:p>
      <w:pPr>
        <w:ind w:left="160" w:right="159"/>
        <w:spacing w:after="0" w:line="270" w:lineRule="auto"/>
        <w:rPr>
          <w:sz w:val="20"/>
          <w:szCs w:val="20"/>
          <w:color w:val="auto"/>
        </w:rPr>
      </w:pPr>
      <w:r>
        <w:rPr>
          <w:rFonts w:ascii="Arial" w:cs="Arial" w:eastAsia="Arial" w:hAnsi="Arial"/>
          <w:sz w:val="19"/>
          <w:szCs w:val="19"/>
          <w:color w:val="auto"/>
        </w:rPr>
        <w:t>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sz w:val="20"/>
          <w:szCs w:val="20"/>
          <w:color w:val="auto"/>
        </w:rPr>
      </w:pPr>
    </w:p>
    <w:p>
      <w:pPr>
        <w:spacing w:after="0" w:line="203" w:lineRule="exact"/>
        <w:rPr>
          <w:sz w:val="20"/>
          <w:szCs w:val="20"/>
          <w:color w:val="auto"/>
        </w:rPr>
      </w:pPr>
    </w:p>
    <w:p>
      <w:pPr>
        <w:ind w:left="160" w:right="159" w:firstLine="639"/>
        <w:spacing w:after="0" w:line="268" w:lineRule="auto"/>
        <w:tabs>
          <w:tab w:leader="none" w:pos="1506"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Except as the Administrator may otherwise specify with respect to particular Awards in the relevant Award Certificate,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the Plan and all outstanding Awards hereunder will terminate at the effective time of such Sale Event. Notwithstanding the foregoing, the Administrator may in its discretion, or to the extent specified in the relevant Award Certificate, cause certain Awards to become vested and/or exercisable immediately prior to such Sale Event. In the event of such termination, (i) the Company shall have the right, but not the obligation,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w:t>
      </w:r>
    </w:p>
    <w:p>
      <w:pPr>
        <w:spacing w:after="0" w:line="3" w:lineRule="exact"/>
        <w:rPr>
          <w:rFonts w:ascii="Arial" w:cs="Arial" w:eastAsia="Arial" w:hAnsi="Arial"/>
          <w:sz w:val="19"/>
          <w:szCs w:val="19"/>
          <w:color w:val="auto"/>
        </w:rPr>
      </w:pPr>
    </w:p>
    <w:p>
      <w:pPr>
        <w:ind w:left="160" w:right="239" w:hanging="9"/>
        <w:spacing w:after="0" w:line="273" w:lineRule="auto"/>
        <w:tabs>
          <w:tab w:leader="none" w:pos="50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right, but not the obligation, to make or provide a cash payment to the grantees holding other Awards,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0" w:name="page201"/>
    <w:bookmarkEnd w:id="200"/>
    <w:p>
      <w:pPr>
        <w:jc w:val="both"/>
        <w:ind w:left="160" w:right="339"/>
        <w:spacing w:after="0" w:line="241" w:lineRule="auto"/>
        <w:rPr>
          <w:sz w:val="20"/>
          <w:szCs w:val="20"/>
          <w:color w:val="auto"/>
        </w:rPr>
      </w:pPr>
      <w:r>
        <w:rPr>
          <w:rFonts w:ascii="Arial" w:cs="Arial" w:eastAsia="Arial" w:hAnsi="Arial"/>
          <w:sz w:val="22"/>
          <w:szCs w:val="22"/>
          <w:color w:val="auto"/>
        </w:rPr>
        <w:t>in exchange for cancellation thereof an amount equal to the Sale Price multiplied by the number of shares subject to such Awards, to be paid at the time of the Sale Event or upon the later vesting of such Awards</w:t>
      </w:r>
    </w:p>
    <w:p>
      <w:pPr>
        <w:spacing w:after="0" w:line="184"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u w:val="single" w:color="auto"/>
          <w:color w:val="auto"/>
        </w:rPr>
        <w:t>ELIGIBILITY</w:t>
      </w:r>
    </w:p>
    <w:p>
      <w:pPr>
        <w:spacing w:after="0" w:line="206" w:lineRule="exact"/>
        <w:rPr>
          <w:sz w:val="20"/>
          <w:szCs w:val="20"/>
          <w:color w:val="auto"/>
        </w:rPr>
      </w:pPr>
    </w:p>
    <w:p>
      <w:pPr>
        <w:ind w:left="160" w:right="179" w:firstLine="648"/>
        <w:spacing w:after="0" w:line="258" w:lineRule="auto"/>
        <w:rPr>
          <w:sz w:val="20"/>
          <w:szCs w:val="20"/>
          <w:color w:val="auto"/>
        </w:rPr>
      </w:pPr>
      <w:r>
        <w:rPr>
          <w:rFonts w:ascii="Arial" w:cs="Arial" w:eastAsia="Arial" w:hAnsi="Arial"/>
          <w:sz w:val="21"/>
          <w:szCs w:val="21"/>
          <w:color w:val="auto"/>
        </w:rPr>
        <w:t>Grantees under the Plan will be such full or part-time officers and other employees, Non-Employee Directors and key persons (including Consultants) of the Company and its Subsidiaries as are selected from time to time by the Administrator in its sole discretion.</w:t>
      </w:r>
    </w:p>
    <w:p>
      <w:pPr>
        <w:spacing w:after="0" w:line="167" w:lineRule="exact"/>
        <w:rPr>
          <w:sz w:val="20"/>
          <w:szCs w:val="20"/>
          <w:color w:val="auto"/>
        </w:rPr>
      </w:pPr>
    </w:p>
    <w:p>
      <w:pPr>
        <w:ind w:left="160"/>
        <w:spacing w:after="0"/>
        <w:tabs>
          <w:tab w:leader="none" w:pos="19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STOCK OPTIONS</w:t>
      </w:r>
    </w:p>
    <w:p>
      <w:pPr>
        <w:spacing w:after="0" w:line="206" w:lineRule="exact"/>
        <w:rPr>
          <w:sz w:val="20"/>
          <w:szCs w:val="20"/>
          <w:color w:val="auto"/>
        </w:rPr>
      </w:pPr>
    </w:p>
    <w:p>
      <w:pPr>
        <w:ind w:left="160" w:right="539" w:firstLine="648"/>
        <w:spacing w:after="0" w:line="251" w:lineRule="auto"/>
        <w:rPr>
          <w:sz w:val="20"/>
          <w:szCs w:val="20"/>
          <w:color w:val="auto"/>
        </w:rPr>
      </w:pPr>
      <w:r>
        <w:rPr>
          <w:rFonts w:ascii="Arial" w:cs="Arial" w:eastAsia="Arial" w:hAnsi="Arial"/>
          <w:sz w:val="22"/>
          <w:szCs w:val="22"/>
          <w:color w:val="auto"/>
        </w:rPr>
        <w:t>Any Stock Option granted under the Plan shall be in such form as the Administrator may from time to time approve.</w:t>
      </w:r>
    </w:p>
    <w:p>
      <w:pPr>
        <w:spacing w:after="0" w:line="173" w:lineRule="exact"/>
        <w:rPr>
          <w:sz w:val="20"/>
          <w:szCs w:val="20"/>
          <w:color w:val="auto"/>
        </w:rPr>
      </w:pPr>
    </w:p>
    <w:p>
      <w:pPr>
        <w:ind w:left="160" w:right="239" w:firstLine="648"/>
        <w:spacing w:after="0" w:line="236"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8" w:lineRule="exact"/>
        <w:rPr>
          <w:sz w:val="20"/>
          <w:szCs w:val="20"/>
          <w:color w:val="auto"/>
        </w:rPr>
      </w:pPr>
    </w:p>
    <w:p>
      <w:pPr>
        <w:ind w:left="160" w:right="239" w:firstLine="648"/>
        <w:spacing w:after="0" w:line="249" w:lineRule="auto"/>
        <w:rPr>
          <w:sz w:val="20"/>
          <w:szCs w:val="20"/>
          <w:color w:val="auto"/>
        </w:rPr>
      </w:pPr>
      <w:r>
        <w:rPr>
          <w:rFonts w:ascii="Arial" w:cs="Arial" w:eastAsia="Arial" w:hAnsi="Arial"/>
          <w:sz w:val="21"/>
          <w:szCs w:val="21"/>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9" w:lineRule="exact"/>
        <w:rPr>
          <w:sz w:val="20"/>
          <w:szCs w:val="20"/>
          <w:color w:val="auto"/>
        </w:rPr>
      </w:pPr>
    </w:p>
    <w:p>
      <w:pPr>
        <w:ind w:left="160" w:right="179" w:firstLine="639"/>
        <w:spacing w:after="0" w:line="235" w:lineRule="auto"/>
        <w:tabs>
          <w:tab w:leader="none" w:pos="1494"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 In the case of an Incentive Stock Option that is granted to a Ten Percent Owner, the option price of such Incentive Stock Option shall be not less than one hundred ten percent (110%) of the Fair Market Value on the grant date.</w:t>
      </w:r>
    </w:p>
    <w:p>
      <w:pPr>
        <w:spacing w:after="0" w:line="188" w:lineRule="exact"/>
        <w:rPr>
          <w:rFonts w:ascii="Arial" w:cs="Arial" w:eastAsia="Arial" w:hAnsi="Arial"/>
          <w:sz w:val="22"/>
          <w:szCs w:val="22"/>
          <w:color w:val="auto"/>
        </w:rPr>
      </w:pPr>
    </w:p>
    <w:p>
      <w:pPr>
        <w:ind w:left="160" w:right="159" w:firstLine="639"/>
        <w:spacing w:after="0" w:line="287" w:lineRule="auto"/>
        <w:tabs>
          <w:tab w:leader="none" w:pos="1506"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43" w:lineRule="exact"/>
        <w:rPr>
          <w:rFonts w:ascii="Arial" w:cs="Arial" w:eastAsia="Arial" w:hAnsi="Arial"/>
          <w:sz w:val="19"/>
          <w:szCs w:val="19"/>
          <w:color w:val="auto"/>
        </w:rPr>
      </w:pPr>
    </w:p>
    <w:p>
      <w:pPr>
        <w:ind w:left="160" w:right="259" w:firstLine="639"/>
        <w:spacing w:after="0" w:line="282" w:lineRule="auto"/>
        <w:tabs>
          <w:tab w:leader="none" w:pos="1494"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7" w:lineRule="exact"/>
        <w:rPr>
          <w:rFonts w:ascii="Arial" w:cs="Arial" w:eastAsia="Arial" w:hAnsi="Arial"/>
          <w:sz w:val="19"/>
          <w:szCs w:val="19"/>
          <w:color w:val="auto"/>
        </w:rPr>
      </w:pPr>
    </w:p>
    <w:p>
      <w:pPr>
        <w:ind w:left="160" w:right="299" w:firstLine="639"/>
        <w:spacing w:after="0" w:line="328" w:lineRule="auto"/>
        <w:tabs>
          <w:tab w:leader="none" w:pos="1506"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Stock Options may be exercised in whole or in part, by giving written or electronic notice of exercise to the Company, specifying the number of shares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1" w:name="page202"/>
    <w:bookmarkEnd w:id="201"/>
    <w:p>
      <w:pPr>
        <w:ind w:left="160" w:right="719"/>
        <w:spacing w:after="0" w:line="251" w:lineRule="auto"/>
        <w:rPr>
          <w:sz w:val="20"/>
          <w:szCs w:val="20"/>
          <w:color w:val="auto"/>
        </w:rPr>
      </w:pPr>
      <w:r>
        <w:rPr>
          <w:rFonts w:ascii="Arial" w:cs="Arial" w:eastAsia="Arial" w:hAnsi="Arial"/>
          <w:sz w:val="22"/>
          <w:szCs w:val="22"/>
          <w:color w:val="auto"/>
        </w:rPr>
        <w:t>to be purchased. Payment of the purchase price may be made by one or more of the following methods to the extent provided in the Option Award Certificate:</w:t>
      </w:r>
    </w:p>
    <w:p>
      <w:pPr>
        <w:spacing w:after="0" w:line="174" w:lineRule="exact"/>
        <w:rPr>
          <w:sz w:val="20"/>
          <w:szCs w:val="20"/>
          <w:color w:val="auto"/>
        </w:rPr>
      </w:pPr>
    </w:p>
    <w:p>
      <w:pPr>
        <w:ind w:left="2740" w:hanging="1293"/>
        <w:spacing w:after="0"/>
        <w:tabs>
          <w:tab w:leader="none" w:pos="27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In cash, by certified or bank check or other instrument acceptable to</w:t>
      </w:r>
    </w:p>
    <w:p>
      <w:pPr>
        <w:spacing w:after="0" w:line="42"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2"/>
          <w:szCs w:val="22"/>
          <w:color w:val="auto"/>
        </w:rPr>
        <w:t>the Administrator;</w:t>
      </w:r>
    </w:p>
    <w:p>
      <w:pPr>
        <w:spacing w:after="0" w:line="188" w:lineRule="exact"/>
        <w:rPr>
          <w:rFonts w:ascii="Arial" w:cs="Arial" w:eastAsia="Arial" w:hAnsi="Arial"/>
          <w:sz w:val="19"/>
          <w:szCs w:val="19"/>
          <w:color w:val="auto"/>
        </w:rPr>
      </w:pPr>
    </w:p>
    <w:p>
      <w:pPr>
        <w:jc w:val="both"/>
        <w:ind w:left="160" w:right="519" w:firstLine="1287"/>
        <w:spacing w:after="0"/>
        <w:tabs>
          <w:tab w:leader="none" w:pos="274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186" w:lineRule="exact"/>
        <w:rPr>
          <w:rFonts w:ascii="Arial" w:cs="Arial" w:eastAsia="Arial" w:hAnsi="Arial"/>
          <w:sz w:val="22"/>
          <w:szCs w:val="22"/>
          <w:color w:val="auto"/>
        </w:rPr>
      </w:pPr>
    </w:p>
    <w:p>
      <w:pPr>
        <w:ind w:left="160" w:right="139" w:firstLine="1287"/>
        <w:spacing w:after="0" w:line="279" w:lineRule="auto"/>
        <w:tabs>
          <w:tab w:leader="none" w:pos="275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50" w:lineRule="exact"/>
        <w:rPr>
          <w:rFonts w:ascii="Arial" w:cs="Arial" w:eastAsia="Arial" w:hAnsi="Arial"/>
          <w:sz w:val="19"/>
          <w:szCs w:val="19"/>
          <w:color w:val="auto"/>
        </w:rPr>
      </w:pPr>
    </w:p>
    <w:p>
      <w:pPr>
        <w:ind w:left="160" w:right="159" w:firstLine="1287"/>
        <w:spacing w:after="0" w:line="238" w:lineRule="auto"/>
        <w:tabs>
          <w:tab w:leader="none" w:pos="279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5" w:lineRule="exact"/>
        <w:rPr>
          <w:sz w:val="20"/>
          <w:szCs w:val="20"/>
          <w:color w:val="auto"/>
        </w:rPr>
      </w:pPr>
    </w:p>
    <w:p>
      <w:pPr>
        <w:ind w:left="160" w:right="139"/>
        <w:spacing w:after="0" w:line="272" w:lineRule="auto"/>
        <w:rPr>
          <w:sz w:val="20"/>
          <w:szCs w:val="20"/>
          <w:color w:val="auto"/>
        </w:rPr>
      </w:pPr>
      <w:r>
        <w:rPr>
          <w:rFonts w:ascii="Arial" w:cs="Arial" w:eastAsia="Arial" w:hAnsi="Arial"/>
          <w:sz w:val="19"/>
          <w:szCs w:val="19"/>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57" w:lineRule="exact"/>
        <w:rPr>
          <w:sz w:val="20"/>
          <w:szCs w:val="20"/>
          <w:color w:val="auto"/>
        </w:rPr>
      </w:pPr>
    </w:p>
    <w:p>
      <w:pPr>
        <w:ind w:left="160" w:right="159" w:firstLine="639"/>
        <w:spacing w:after="0" w:line="279" w:lineRule="auto"/>
        <w:tabs>
          <w:tab w:leader="none" w:pos="1494"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2" w:name="page203"/>
    <w:bookmarkEnd w:id="202"/>
    <w:p>
      <w:pPr>
        <w:ind w:left="160"/>
        <w:spacing w:after="0"/>
        <w:tabs>
          <w:tab w:leader="none" w:pos="19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STOCK APPRECIATION RIGHTS</w:t>
      </w:r>
    </w:p>
    <w:p>
      <w:pPr>
        <w:spacing w:after="0" w:line="207" w:lineRule="exact"/>
        <w:rPr>
          <w:sz w:val="20"/>
          <w:szCs w:val="20"/>
          <w:color w:val="auto"/>
        </w:rPr>
      </w:pPr>
    </w:p>
    <w:p>
      <w:pPr>
        <w:ind w:left="160" w:right="419" w:firstLine="639"/>
        <w:spacing w:after="0"/>
        <w:tabs>
          <w:tab w:leader="none" w:pos="1494"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one hundred percent (100%) of the Fair Market Value of the Stock on the date of grant.</w:t>
      </w:r>
    </w:p>
    <w:p>
      <w:pPr>
        <w:spacing w:after="0" w:line="186" w:lineRule="exact"/>
        <w:rPr>
          <w:rFonts w:ascii="Arial" w:cs="Arial" w:eastAsia="Arial" w:hAnsi="Arial"/>
          <w:sz w:val="22"/>
          <w:szCs w:val="22"/>
          <w:color w:val="auto"/>
        </w:rPr>
      </w:pPr>
    </w:p>
    <w:p>
      <w:pPr>
        <w:ind w:left="160" w:right="199" w:firstLine="639"/>
        <w:spacing w:after="0"/>
        <w:tabs>
          <w:tab w:leader="none" w:pos="1506"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86" w:lineRule="exact"/>
        <w:rPr>
          <w:rFonts w:ascii="Arial" w:cs="Arial" w:eastAsia="Arial" w:hAnsi="Arial"/>
          <w:sz w:val="22"/>
          <w:szCs w:val="22"/>
          <w:color w:val="auto"/>
        </w:rPr>
      </w:pPr>
    </w:p>
    <w:p>
      <w:pPr>
        <w:ind w:left="160" w:right="599" w:firstLine="639"/>
        <w:spacing w:after="0" w:line="297" w:lineRule="auto"/>
        <w:tabs>
          <w:tab w:leader="none" w:pos="1494"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Terms and Conditions of Stock Appreciation Rights</w:t>
      </w:r>
      <w:r>
        <w:rPr>
          <w:rFonts w:ascii="Arial" w:cs="Arial" w:eastAsia="Arial" w:hAnsi="Arial"/>
          <w:sz w:val="19"/>
          <w:szCs w:val="19"/>
          <w:color w:val="auto"/>
        </w:rPr>
        <w:t>. Stock Appreciation Rights shall be subject to such terms and conditions as shall be determined from time to time by the Administrator. The term of a Stock Appreciation Right may not exceed ten years.</w:t>
      </w:r>
    </w:p>
    <w:p>
      <w:pPr>
        <w:spacing w:after="0" w:line="134"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RESTRICTED STOCK AWARDS</w:t>
      </w:r>
    </w:p>
    <w:p>
      <w:pPr>
        <w:spacing w:after="0" w:line="206" w:lineRule="exact"/>
        <w:rPr>
          <w:sz w:val="20"/>
          <w:szCs w:val="20"/>
          <w:color w:val="auto"/>
        </w:rPr>
      </w:pPr>
    </w:p>
    <w:p>
      <w:pPr>
        <w:ind w:left="160" w:right="139" w:firstLine="639"/>
        <w:spacing w:after="0" w:line="277" w:lineRule="auto"/>
        <w:tabs>
          <w:tab w:leader="none" w:pos="1494"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Stock (the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52" w:lineRule="exact"/>
        <w:rPr>
          <w:rFonts w:ascii="Arial" w:cs="Arial" w:eastAsia="Arial" w:hAnsi="Arial"/>
          <w:sz w:val="19"/>
          <w:szCs w:val="19"/>
          <w:color w:val="auto"/>
        </w:rPr>
      </w:pPr>
    </w:p>
    <w:p>
      <w:pPr>
        <w:ind w:left="160" w:right="179" w:firstLine="639"/>
        <w:spacing w:after="0" w:line="272" w:lineRule="auto"/>
        <w:tabs>
          <w:tab w:leader="none" w:pos="1506"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60" w:right="159" w:firstLine="639"/>
        <w:spacing w:after="0" w:line="274" w:lineRule="auto"/>
        <w:tabs>
          <w:tab w:leader="none" w:pos="1494"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3" w:name="page204"/>
    <w:bookmarkEnd w:id="203"/>
    <w:p>
      <w:pPr>
        <w:ind w:left="160" w:right="159"/>
        <w:spacing w:after="0" w:line="236" w:lineRule="auto"/>
        <w:rPr>
          <w:sz w:val="20"/>
          <w:szCs w:val="20"/>
          <w:color w:val="auto"/>
        </w:rPr>
      </w:pPr>
      <w:r>
        <w:rPr>
          <w:rFonts w:ascii="Arial" w:cs="Arial" w:eastAsia="Arial" w:hAnsi="Arial"/>
          <w:sz w:val="22"/>
          <w:szCs w:val="22"/>
          <w:color w:val="auto"/>
        </w:rPr>
        <w:t>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sz w:val="20"/>
          <w:szCs w:val="20"/>
          <w:color w:val="auto"/>
        </w:rPr>
      </w:pPr>
    </w:p>
    <w:p>
      <w:pPr>
        <w:ind w:left="160" w:right="159" w:firstLine="639"/>
        <w:spacing w:after="0" w:line="279" w:lineRule="auto"/>
        <w:tabs>
          <w:tab w:leader="none" w:pos="150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Vesting of Restricted Shares</w:t>
      </w:r>
      <w:r>
        <w:rPr>
          <w:rFonts w:ascii="Arial" w:cs="Arial" w:eastAsia="Arial" w:hAnsi="Arial"/>
          <w:sz w:val="19"/>
          <w:szCs w:val="19"/>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51"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RESTRICTED STOCK UNITS</w:t>
      </w:r>
    </w:p>
    <w:p>
      <w:pPr>
        <w:spacing w:after="0" w:line="206" w:lineRule="exact"/>
        <w:rPr>
          <w:sz w:val="20"/>
          <w:szCs w:val="20"/>
          <w:color w:val="auto"/>
        </w:rPr>
      </w:pPr>
    </w:p>
    <w:p>
      <w:pPr>
        <w:ind w:left="160" w:right="559" w:firstLine="639"/>
        <w:spacing w:after="0" w:line="273" w:lineRule="auto"/>
        <w:tabs>
          <w:tab w:leader="none" w:pos="1494"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upon the satisfaction of such restrictions and conditions at the time of</w:t>
      </w:r>
    </w:p>
    <w:p>
      <w:pPr>
        <w:spacing w:after="0" w:line="1" w:lineRule="exact"/>
        <w:rPr>
          <w:rFonts w:ascii="Arial" w:cs="Arial" w:eastAsia="Arial" w:hAnsi="Arial"/>
          <w:sz w:val="19"/>
          <w:szCs w:val="19"/>
          <w:color w:val="auto"/>
        </w:rPr>
      </w:pPr>
    </w:p>
    <w:p>
      <w:pPr>
        <w:ind w:left="160" w:right="139"/>
        <w:spacing w:after="0" w:line="267" w:lineRule="auto"/>
        <w:rPr>
          <w:rFonts w:ascii="Arial" w:cs="Arial" w:eastAsia="Arial" w:hAnsi="Arial"/>
          <w:sz w:val="19"/>
          <w:szCs w:val="19"/>
          <w:color w:val="auto"/>
        </w:rPr>
      </w:pPr>
      <w:r>
        <w:rPr>
          <w:rFonts w:ascii="Arial" w:cs="Arial" w:eastAsia="Arial" w:hAnsi="Arial"/>
          <w:sz w:val="19"/>
          <w:szCs w:val="19"/>
          <w:color w:val="auto"/>
        </w:rPr>
        <w:t>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w:t>
      </w:r>
    </w:p>
    <w:p>
      <w:pPr>
        <w:ind w:left="160" w:right="339"/>
        <w:spacing w:after="0" w:line="249" w:lineRule="auto"/>
        <w:rPr>
          <w:rFonts w:ascii="Arial" w:cs="Arial" w:eastAsia="Arial" w:hAnsi="Arial"/>
          <w:sz w:val="19"/>
          <w:szCs w:val="19"/>
          <w:color w:val="auto"/>
        </w:rPr>
      </w:pPr>
      <w:r>
        <w:rPr>
          <w:rFonts w:ascii="Arial" w:cs="Arial" w:eastAsia="Arial" w:hAnsi="Arial"/>
          <w:sz w:val="21"/>
          <w:szCs w:val="21"/>
          <w:color w:val="auto"/>
        </w:rPr>
        <w:t>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75" w:lineRule="exact"/>
        <w:rPr>
          <w:rFonts w:ascii="Arial" w:cs="Arial" w:eastAsia="Arial" w:hAnsi="Arial"/>
          <w:sz w:val="19"/>
          <w:szCs w:val="19"/>
          <w:color w:val="auto"/>
        </w:rPr>
      </w:pPr>
    </w:p>
    <w:p>
      <w:pPr>
        <w:ind w:left="160" w:right="199" w:firstLine="639"/>
        <w:spacing w:after="0" w:line="268" w:lineRule="auto"/>
        <w:tabs>
          <w:tab w:leader="none" w:pos="1506"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w:t>
      </w:r>
    </w:p>
    <w:p>
      <w:pPr>
        <w:spacing w:after="0" w:line="8" w:lineRule="exact"/>
        <w:rPr>
          <w:rFonts w:ascii="Arial" w:cs="Arial" w:eastAsia="Arial" w:hAnsi="Arial"/>
          <w:sz w:val="19"/>
          <w:szCs w:val="19"/>
          <w:color w:val="auto"/>
        </w:rPr>
      </w:pPr>
    </w:p>
    <w:p>
      <w:pPr>
        <w:ind w:left="160" w:right="199"/>
        <w:spacing w:after="0" w:line="237" w:lineRule="auto"/>
        <w:rPr>
          <w:rFonts w:ascii="Arial" w:cs="Arial" w:eastAsia="Arial" w:hAnsi="Arial"/>
          <w:sz w:val="19"/>
          <w:szCs w:val="19"/>
          <w:color w:val="auto"/>
        </w:rPr>
      </w:pPr>
      <w:r>
        <w:rPr>
          <w:rFonts w:ascii="Arial" w:cs="Arial" w:eastAsia="Arial" w:hAnsi="Arial"/>
          <w:sz w:val="22"/>
          <w:szCs w:val="22"/>
          <w:color w:val="auto"/>
        </w:rPr>
        <w:t>appropriate. Any Restricted Stock Units that are elected to be received in lieu of cash compensation shall be fully vested, unless otherwise provided in the Award Certificate.</w:t>
      </w:r>
    </w:p>
    <w:p>
      <w:pPr>
        <w:spacing w:after="0" w:line="184" w:lineRule="exact"/>
        <w:rPr>
          <w:rFonts w:ascii="Arial" w:cs="Arial" w:eastAsia="Arial" w:hAnsi="Arial"/>
          <w:sz w:val="19"/>
          <w:szCs w:val="19"/>
          <w:color w:val="auto"/>
        </w:rPr>
      </w:pPr>
    </w:p>
    <w:p>
      <w:pPr>
        <w:ind w:left="160" w:right="199" w:firstLine="639"/>
        <w:spacing w:after="0" w:line="249" w:lineRule="auto"/>
        <w:tabs>
          <w:tab w:leader="none" w:pos="1494"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13 and such terms and conditions as the Administrator may determine.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4" w:name="page205"/>
    <w:bookmarkEnd w:id="204"/>
    <w:p>
      <w:pPr>
        <w:ind w:left="160" w:right="319" w:firstLine="639"/>
        <w:spacing w:after="0" w:line="236" w:lineRule="auto"/>
        <w:tabs>
          <w:tab w:leader="none" w:pos="1506"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8"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UNRESTRICTED STOCK AWARDS</w:t>
      </w:r>
    </w:p>
    <w:p>
      <w:pPr>
        <w:spacing w:after="0" w:line="206" w:lineRule="exact"/>
        <w:rPr>
          <w:sz w:val="20"/>
          <w:szCs w:val="20"/>
          <w:color w:val="auto"/>
        </w:rPr>
      </w:pPr>
    </w:p>
    <w:p>
      <w:pPr>
        <w:ind w:left="160" w:right="299" w:firstLine="648"/>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in its sole discretion,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CASH-BASED AWARDS</w:t>
      </w:r>
    </w:p>
    <w:p>
      <w:pPr>
        <w:spacing w:after="0" w:line="206" w:lineRule="exact"/>
        <w:rPr>
          <w:sz w:val="20"/>
          <w:szCs w:val="20"/>
          <w:color w:val="auto"/>
        </w:rPr>
      </w:pPr>
    </w:p>
    <w:p>
      <w:pPr>
        <w:ind w:left="160" w:right="219" w:firstLine="648"/>
        <w:spacing w:after="0" w:line="245"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82"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PERFORMANCE SHARE AWARDS</w:t>
      </w:r>
    </w:p>
    <w:p>
      <w:pPr>
        <w:spacing w:after="0" w:line="206" w:lineRule="exact"/>
        <w:rPr>
          <w:sz w:val="20"/>
          <w:szCs w:val="20"/>
          <w:color w:val="auto"/>
        </w:rPr>
      </w:pPr>
    </w:p>
    <w:p>
      <w:pPr>
        <w:ind w:left="160" w:right="219" w:firstLine="639"/>
        <w:spacing w:after="0" w:line="279" w:lineRule="auto"/>
        <w:tabs>
          <w:tab w:leader="none" w:pos="1494"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Nature of Performance Share Awards</w:t>
      </w:r>
      <w:r>
        <w:rPr>
          <w:rFonts w:ascii="Arial" w:cs="Arial" w:eastAsia="Arial" w:hAnsi="Arial"/>
          <w:sz w:val="19"/>
          <w:szCs w:val="19"/>
          <w:color w:val="auto"/>
        </w:rPr>
        <w:t>. The Administrator may, in its sole discretion, grant Performance Share Awards independent of, or in connection with, the granting of any other Award under the Plan.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50" w:lineRule="exact"/>
        <w:rPr>
          <w:rFonts w:ascii="Arial" w:cs="Arial" w:eastAsia="Arial" w:hAnsi="Arial"/>
          <w:sz w:val="19"/>
          <w:szCs w:val="19"/>
          <w:color w:val="auto"/>
        </w:rPr>
      </w:pPr>
    </w:p>
    <w:p>
      <w:pPr>
        <w:ind w:left="160" w:right="199" w:firstLine="639"/>
        <w:spacing w:after="0" w:line="248" w:lineRule="auto"/>
        <w:tabs>
          <w:tab w:leader="none" w:pos="1506"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A grantee receiving a Performance Share Award shall have the rights of a stockholder only as to shares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77" w:lineRule="exact"/>
        <w:rPr>
          <w:rFonts w:ascii="Arial" w:cs="Arial" w:eastAsia="Arial" w:hAnsi="Arial"/>
          <w:sz w:val="21"/>
          <w:szCs w:val="21"/>
          <w:color w:val="auto"/>
        </w:rPr>
      </w:pPr>
    </w:p>
    <w:p>
      <w:pPr>
        <w:ind w:left="160" w:right="139" w:firstLine="639"/>
        <w:spacing w:after="0" w:line="236" w:lineRule="auto"/>
        <w:tabs>
          <w:tab w:leader="none" w:pos="1494"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5" w:name="page206"/>
    <w:bookmarkEnd w:id="205"/>
    <w:p>
      <w:pPr>
        <w:ind w:left="160"/>
        <w:spacing w:after="0"/>
        <w:tabs>
          <w:tab w:leader="none" w:pos="20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PERFORMANCE-BASED AWARDS TO COVERED EMPLOYEES</w:t>
      </w:r>
    </w:p>
    <w:p>
      <w:pPr>
        <w:spacing w:after="0" w:line="207" w:lineRule="exact"/>
        <w:rPr>
          <w:sz w:val="20"/>
          <w:szCs w:val="20"/>
          <w:color w:val="auto"/>
        </w:rPr>
      </w:pPr>
    </w:p>
    <w:p>
      <w:pPr>
        <w:ind w:left="160" w:right="159" w:firstLine="639"/>
        <w:spacing w:after="0" w:line="270" w:lineRule="auto"/>
        <w:tabs>
          <w:tab w:leader="none" w:pos="1494"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Performance-Based Awards</w:t>
      </w:r>
      <w:r>
        <w:rPr>
          <w:rFonts w:ascii="Arial" w:cs="Arial" w:eastAsia="Arial" w:hAnsi="Arial"/>
          <w:sz w:val="19"/>
          <w:szCs w:val="19"/>
          <w:color w:val="auto"/>
        </w:rPr>
        <w:t>. Any employee or other key person providing services to the Company and who is selected by the Administrator may be granted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Cycle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64" w:lineRule="exact"/>
        <w:rPr>
          <w:rFonts w:ascii="Arial" w:cs="Arial" w:eastAsia="Arial" w:hAnsi="Arial"/>
          <w:sz w:val="19"/>
          <w:szCs w:val="19"/>
          <w:color w:val="auto"/>
        </w:rPr>
      </w:pPr>
    </w:p>
    <w:p>
      <w:pPr>
        <w:ind w:left="160" w:right="179" w:firstLine="639"/>
        <w:spacing w:after="0" w:line="272" w:lineRule="auto"/>
        <w:tabs>
          <w:tab w:leader="none" w:pos="1506"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Grant of Performance-Based Awards</w:t>
      </w:r>
      <w:r>
        <w:rPr>
          <w:rFonts w:ascii="Arial" w:cs="Arial" w:eastAsia="Arial" w:hAnsi="Arial"/>
          <w:sz w:val="19"/>
          <w:szCs w:val="19"/>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160" w:right="159" w:firstLine="639"/>
        <w:spacing w:after="0" w:line="246" w:lineRule="auto"/>
        <w:tabs>
          <w:tab w:leader="none" w:pos="1494"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Payment of Performance-Based Awards</w:t>
      </w:r>
      <w:r>
        <w:rPr>
          <w:rFonts w:ascii="Arial" w:cs="Arial" w:eastAsia="Arial" w:hAnsi="Arial"/>
          <w:sz w:val="21"/>
          <w:szCs w:val="21"/>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80" w:lineRule="exact"/>
        <w:rPr>
          <w:rFonts w:ascii="Arial" w:cs="Arial" w:eastAsia="Arial" w:hAnsi="Arial"/>
          <w:sz w:val="21"/>
          <w:szCs w:val="21"/>
          <w:color w:val="auto"/>
        </w:rPr>
      </w:pPr>
    </w:p>
    <w:p>
      <w:pPr>
        <w:jc w:val="both"/>
        <w:ind w:left="160" w:right="519" w:firstLine="639"/>
        <w:spacing w:after="0" w:line="328" w:lineRule="auto"/>
        <w:tabs>
          <w:tab w:leader="none" w:pos="1506"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Maximum Award Payable</w:t>
      </w:r>
      <w:r>
        <w:rPr>
          <w:rFonts w:ascii="Arial" w:cs="Arial" w:eastAsia="Arial" w:hAnsi="Arial"/>
          <w:sz w:val="19"/>
          <w:szCs w:val="19"/>
          <w:color w:val="auto"/>
        </w:rPr>
        <w:t>. The maximum Performance-Based Award payable to any one Covered Employee under the Plan for a Performance Cycle is 1,460,084 shares of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6" w:name="page207"/>
    <w:bookmarkEnd w:id="206"/>
    <w:p>
      <w:pPr>
        <w:ind w:left="160" w:right="1299"/>
        <w:spacing w:after="0" w:line="251" w:lineRule="auto"/>
        <w:rPr>
          <w:sz w:val="20"/>
          <w:szCs w:val="20"/>
          <w:color w:val="auto"/>
        </w:rPr>
      </w:pPr>
      <w:r>
        <w:rPr>
          <w:rFonts w:ascii="Arial" w:cs="Arial" w:eastAsia="Arial" w:hAnsi="Arial"/>
          <w:sz w:val="22"/>
          <w:szCs w:val="22"/>
          <w:color w:val="auto"/>
        </w:rPr>
        <w:t>(subject to adjustment as provided in Section 3(c) hereof) or $2,000,000 in the case of a Performance-Based Award that is a Cash-Based Award.</w:t>
      </w:r>
    </w:p>
    <w:p>
      <w:pPr>
        <w:spacing w:after="0" w:line="174"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u w:val="single" w:color="auto"/>
          <w:color w:val="auto"/>
        </w:rPr>
        <w:t>DIVIDEND EQUIVALENT RIGHTS</w:t>
      </w:r>
    </w:p>
    <w:p>
      <w:pPr>
        <w:spacing w:after="0" w:line="206" w:lineRule="exact"/>
        <w:rPr>
          <w:sz w:val="20"/>
          <w:szCs w:val="20"/>
          <w:color w:val="auto"/>
        </w:rPr>
      </w:pPr>
    </w:p>
    <w:p>
      <w:pPr>
        <w:ind w:left="160" w:right="199" w:firstLine="639"/>
        <w:spacing w:after="0" w:line="271" w:lineRule="auto"/>
        <w:tabs>
          <w:tab w:leader="none" w:pos="1494"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A Dividend Equivalent Right may be granted hereunder to any grantee as a 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65" w:lineRule="exact"/>
        <w:rPr>
          <w:rFonts w:ascii="Arial" w:cs="Arial" w:eastAsia="Arial" w:hAnsi="Arial"/>
          <w:sz w:val="19"/>
          <w:szCs w:val="19"/>
          <w:color w:val="auto"/>
        </w:rPr>
      </w:pPr>
    </w:p>
    <w:p>
      <w:pPr>
        <w:ind w:left="160" w:right="219" w:firstLine="639"/>
        <w:spacing w:after="0" w:line="279" w:lineRule="auto"/>
        <w:tabs>
          <w:tab w:leader="none" w:pos="1506"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Except as may otherwise be provided by the Administrator either in the Award Certificate or, subject to Section 18 below, in writing after the Award is issued, a grantee’s rights in all Dividend Equivalent Rights or interest equivalents granted as a component of an award of Restricted Stock Units, Restricted Stock Award or Performance Share Award that has not vested shall automatically terminate upon the grantee’s termination of employment (or cessation of service relationship) with the Company and its Subsidiaries for any reason.</w:t>
      </w:r>
    </w:p>
    <w:p>
      <w:pPr>
        <w:spacing w:after="0" w:line="151"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Transferability of Awards</w:t>
      </w:r>
    </w:p>
    <w:p>
      <w:pPr>
        <w:spacing w:after="0" w:line="206" w:lineRule="exact"/>
        <w:rPr>
          <w:sz w:val="20"/>
          <w:szCs w:val="20"/>
          <w:color w:val="auto"/>
        </w:rPr>
      </w:pPr>
    </w:p>
    <w:p>
      <w:pPr>
        <w:ind w:left="160" w:right="179" w:firstLine="639"/>
        <w:spacing w:after="0" w:line="247" w:lineRule="auto"/>
        <w:tabs>
          <w:tab w:leader="none" w:pos="1494" w:val="left"/>
        </w:tabs>
        <w:numPr>
          <w:ilvl w:val="0"/>
          <w:numId w:val="198"/>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78" w:lineRule="exact"/>
        <w:rPr>
          <w:rFonts w:ascii="Arial" w:cs="Arial" w:eastAsia="Arial" w:hAnsi="Arial"/>
          <w:sz w:val="21"/>
          <w:szCs w:val="21"/>
          <w:color w:val="auto"/>
        </w:rPr>
      </w:pPr>
    </w:p>
    <w:p>
      <w:pPr>
        <w:ind w:left="160" w:right="239" w:firstLine="639"/>
        <w:spacing w:after="0" w:line="277" w:lineRule="auto"/>
        <w:tabs>
          <w:tab w:leader="none" w:pos="1506"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Administrator Action</w:t>
      </w:r>
      <w:r>
        <w:rPr>
          <w:rFonts w:ascii="Arial" w:cs="Arial" w:eastAsia="Arial" w:hAnsi="Arial"/>
          <w:sz w:val="19"/>
          <w:szCs w:val="19"/>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7" w:name="page208"/>
    <w:bookmarkEnd w:id="207"/>
    <w:p>
      <w:pPr>
        <w:ind w:left="160" w:right="219" w:firstLine="639"/>
        <w:spacing w:after="0" w:line="275" w:lineRule="auto"/>
        <w:tabs>
          <w:tab w:leader="none" w:pos="1494"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Family Member</w:t>
      </w:r>
      <w:r>
        <w:rPr>
          <w:rFonts w:ascii="Arial" w:cs="Arial" w:eastAsia="Arial" w:hAnsi="Arial"/>
          <w:sz w:val="19"/>
          <w:szCs w:val="19"/>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158" w:lineRule="exact"/>
        <w:rPr>
          <w:rFonts w:ascii="Arial" w:cs="Arial" w:eastAsia="Arial" w:hAnsi="Arial"/>
          <w:sz w:val="19"/>
          <w:szCs w:val="19"/>
          <w:color w:val="auto"/>
        </w:rPr>
      </w:pPr>
    </w:p>
    <w:p>
      <w:pPr>
        <w:ind w:left="160" w:right="259" w:firstLine="639"/>
        <w:spacing w:after="0" w:line="279" w:lineRule="auto"/>
        <w:tabs>
          <w:tab w:leader="none" w:pos="1506"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51"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21"/>
          <w:szCs w:val="21"/>
          <w:u w:val="single" w:color="auto"/>
          <w:color w:val="auto"/>
        </w:rPr>
        <w:t>TAX WITHHOLDING</w:t>
      </w:r>
    </w:p>
    <w:p>
      <w:pPr>
        <w:spacing w:after="0" w:line="206" w:lineRule="exact"/>
        <w:rPr>
          <w:sz w:val="20"/>
          <w:szCs w:val="20"/>
          <w:color w:val="auto"/>
        </w:rPr>
      </w:pPr>
    </w:p>
    <w:p>
      <w:pPr>
        <w:ind w:left="160" w:right="179" w:firstLine="639"/>
        <w:spacing w:after="0" w:line="274" w:lineRule="auto"/>
        <w:tabs>
          <w:tab w:leader="none" w:pos="1494"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8" w:lineRule="exact"/>
        <w:rPr>
          <w:rFonts w:ascii="Arial" w:cs="Arial" w:eastAsia="Arial" w:hAnsi="Arial"/>
          <w:sz w:val="19"/>
          <w:szCs w:val="19"/>
          <w:color w:val="auto"/>
        </w:rPr>
      </w:pPr>
    </w:p>
    <w:p>
      <w:pPr>
        <w:ind w:left="160" w:right="199" w:firstLine="639"/>
        <w:spacing w:after="0" w:line="236" w:lineRule="auto"/>
        <w:tabs>
          <w:tab w:leader="none" w:pos="1506"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Payment in Stock</w:t>
      </w:r>
      <w:r>
        <w:rPr>
          <w:rFonts w:ascii="Arial" w:cs="Arial" w:eastAsia="Arial" w:hAnsi="Arial"/>
          <w:sz w:val="22"/>
          <w:szCs w:val="22"/>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w:t>
      </w:r>
    </w:p>
    <w:p>
      <w:pPr>
        <w:spacing w:after="0" w:line="188"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Section 409A awards</w:t>
      </w:r>
    </w:p>
    <w:p>
      <w:pPr>
        <w:spacing w:after="0" w:line="206" w:lineRule="exact"/>
        <w:rPr>
          <w:sz w:val="20"/>
          <w:szCs w:val="20"/>
          <w:color w:val="auto"/>
        </w:rPr>
      </w:pPr>
    </w:p>
    <w:p>
      <w:pPr>
        <w:ind w:left="160" w:right="339" w:firstLine="648"/>
        <w:spacing w:after="0" w:line="274"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8" w:name="page209"/>
    <w:bookmarkEnd w:id="208"/>
    <w:p>
      <w:pPr>
        <w:ind w:left="160" w:right="1099"/>
        <w:spacing w:after="0" w:line="251" w:lineRule="auto"/>
        <w:rPr>
          <w:sz w:val="20"/>
          <w:szCs w:val="20"/>
          <w:color w:val="auto"/>
        </w:rPr>
      </w:pPr>
      <w:r>
        <w:rPr>
          <w:rFonts w:ascii="Arial" w:cs="Arial" w:eastAsia="Arial" w:hAnsi="Arial"/>
          <w:sz w:val="22"/>
          <w:szCs w:val="22"/>
          <w:color w:val="auto"/>
        </w:rPr>
        <w:t>imposed pursuant to Section 409A. Further, the settlement of any such Award may not be accelerated except to the extent permitted by Section 409A.</w:t>
      </w:r>
    </w:p>
    <w:p>
      <w:pPr>
        <w:spacing w:after="0" w:line="174"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TRANSFER, LEAVE OF ABSENCE, ETC.</w:t>
      </w:r>
    </w:p>
    <w:p>
      <w:pPr>
        <w:spacing w:after="0" w:line="206" w:lineRule="exact"/>
        <w:rPr>
          <w:sz w:val="20"/>
          <w:szCs w:val="20"/>
          <w:color w:val="auto"/>
        </w:rPr>
      </w:pPr>
    </w:p>
    <w:p>
      <w:pPr>
        <w:ind w:left="160" w:right="1019" w:firstLine="648"/>
        <w:spacing w:after="0" w:line="251" w:lineRule="auto"/>
        <w:rPr>
          <w:sz w:val="20"/>
          <w:szCs w:val="20"/>
          <w:color w:val="auto"/>
        </w:rPr>
      </w:pPr>
      <w:r>
        <w:rPr>
          <w:rFonts w:ascii="Arial" w:cs="Arial" w:eastAsia="Arial" w:hAnsi="Arial"/>
          <w:sz w:val="22"/>
          <w:szCs w:val="22"/>
          <w:color w:val="auto"/>
        </w:rPr>
        <w:t>For purposes of the Plan, the following events shall not be deemed a termination of employment:</w:t>
      </w:r>
    </w:p>
    <w:p>
      <w:pPr>
        <w:spacing w:after="0" w:line="173" w:lineRule="exact"/>
        <w:rPr>
          <w:sz w:val="20"/>
          <w:szCs w:val="20"/>
          <w:color w:val="auto"/>
        </w:rPr>
      </w:pPr>
    </w:p>
    <w:p>
      <w:pPr>
        <w:ind w:left="160" w:right="979" w:firstLine="639"/>
        <w:spacing w:after="0" w:line="251" w:lineRule="auto"/>
        <w:tabs>
          <w:tab w:leader="none" w:pos="149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3" w:lineRule="exact"/>
        <w:rPr>
          <w:rFonts w:ascii="Arial" w:cs="Arial" w:eastAsia="Arial" w:hAnsi="Arial"/>
          <w:sz w:val="22"/>
          <w:szCs w:val="22"/>
          <w:color w:val="auto"/>
        </w:rPr>
      </w:pPr>
    </w:p>
    <w:p>
      <w:pPr>
        <w:ind w:left="160" w:right="179" w:firstLine="639"/>
        <w:spacing w:after="0" w:line="238" w:lineRule="auto"/>
        <w:tabs>
          <w:tab w:leader="none" w:pos="150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u w:val="single" w:color="auto"/>
          <w:color w:val="auto"/>
        </w:rPr>
        <w:t>AMENDMENTS AND TERMINATION</w:t>
      </w:r>
    </w:p>
    <w:p>
      <w:pPr>
        <w:spacing w:after="0" w:line="206" w:lineRule="exact"/>
        <w:rPr>
          <w:sz w:val="20"/>
          <w:szCs w:val="20"/>
          <w:color w:val="auto"/>
        </w:rPr>
      </w:pPr>
    </w:p>
    <w:p>
      <w:pPr>
        <w:ind w:left="160" w:right="179" w:firstLine="648"/>
        <w:spacing w:after="0" w:line="268"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w:t>
      </w:r>
    </w:p>
    <w:p>
      <w:pPr>
        <w:spacing w:after="0" w:line="7" w:lineRule="exact"/>
        <w:rPr>
          <w:sz w:val="20"/>
          <w:szCs w:val="20"/>
          <w:color w:val="auto"/>
        </w:rPr>
      </w:pPr>
    </w:p>
    <w:p>
      <w:pPr>
        <w:ind w:left="160" w:right="259"/>
        <w:spacing w:after="0" w:line="237" w:lineRule="auto"/>
        <w:rPr>
          <w:sz w:val="20"/>
          <w:szCs w:val="20"/>
          <w:color w:val="auto"/>
        </w:rPr>
      </w:pPr>
      <w:r>
        <w:rPr>
          <w:rFonts w:ascii="Arial" w:cs="Arial" w:eastAsia="Arial" w:hAnsi="Arial"/>
          <w:sz w:val="22"/>
          <w:szCs w:val="22"/>
          <w:color w:val="auto"/>
        </w:rPr>
        <w:t>stockholders. Nothing in this Section 18 shall limit the Administrator’s authority to take any action permitted pursuant to Section 3(c) or 3(d).</w:t>
      </w:r>
    </w:p>
    <w:p>
      <w:pPr>
        <w:spacing w:after="0" w:line="185"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STATUS OF PLAN</w:t>
      </w:r>
    </w:p>
    <w:p>
      <w:pPr>
        <w:spacing w:after="0" w:line="206" w:lineRule="exact"/>
        <w:rPr>
          <w:sz w:val="20"/>
          <w:szCs w:val="20"/>
          <w:color w:val="auto"/>
        </w:rPr>
      </w:pPr>
    </w:p>
    <w:p>
      <w:pPr>
        <w:ind w:left="160" w:right="159" w:firstLine="648"/>
        <w:spacing w:after="0" w:line="277" w:lineRule="auto"/>
        <w:rPr>
          <w:sz w:val="20"/>
          <w:szCs w:val="20"/>
          <w:color w:val="auto"/>
        </w:rPr>
      </w:pPr>
      <w:r>
        <w:rPr>
          <w:rFonts w:ascii="Arial" w:cs="Arial" w:eastAsia="Arial" w:hAnsi="Arial"/>
          <w:sz w:val="19"/>
          <w:szCs w:val="19"/>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9" w:name="page210"/>
    <w:bookmarkEnd w:id="209"/>
    <w:p>
      <w:pPr>
        <w:ind w:left="160"/>
        <w:spacing w:after="0"/>
        <w:tabs>
          <w:tab w:leader="none" w:pos="208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u w:val="single" w:color="auto"/>
          <w:color w:val="auto"/>
        </w:rPr>
        <w:t>GENERAL PROVISIONS</w:t>
      </w:r>
    </w:p>
    <w:p>
      <w:pPr>
        <w:spacing w:after="0" w:line="207" w:lineRule="exact"/>
        <w:rPr>
          <w:sz w:val="20"/>
          <w:szCs w:val="20"/>
          <w:color w:val="auto"/>
        </w:rPr>
      </w:pPr>
    </w:p>
    <w:p>
      <w:pPr>
        <w:ind w:left="160" w:right="639" w:firstLine="639"/>
        <w:spacing w:after="0"/>
        <w:tabs>
          <w:tab w:leader="none" w:pos="1494"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No Distribution</w:t>
      </w:r>
      <w:r>
        <w:rPr>
          <w:rFonts w:ascii="Arial" w:cs="Arial" w:eastAsia="Arial" w:hAnsi="Arial"/>
          <w:sz w:val="22"/>
          <w:szCs w:val="22"/>
          <w:color w:val="auto"/>
        </w:rPr>
        <w:t>. The Administrator may require each person acquiring Stock pursuant to an Award to represent to and agree with the Company in writing that such person is acquiring the shares without a view to distribution thereof.</w:t>
      </w:r>
    </w:p>
    <w:p>
      <w:pPr>
        <w:spacing w:after="0" w:line="186" w:lineRule="exact"/>
        <w:rPr>
          <w:rFonts w:ascii="Arial" w:cs="Arial" w:eastAsia="Arial" w:hAnsi="Arial"/>
          <w:sz w:val="22"/>
          <w:szCs w:val="22"/>
          <w:color w:val="auto"/>
        </w:rPr>
      </w:pPr>
    </w:p>
    <w:p>
      <w:pPr>
        <w:ind w:left="160" w:right="139" w:firstLine="639"/>
        <w:spacing w:after="0" w:line="269" w:lineRule="auto"/>
        <w:tabs>
          <w:tab w:leader="none" w:pos="150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3" w:lineRule="exact"/>
        <w:rPr>
          <w:rFonts w:ascii="Arial" w:cs="Arial" w:eastAsia="Arial" w:hAnsi="Arial"/>
          <w:sz w:val="19"/>
          <w:szCs w:val="19"/>
          <w:color w:val="auto"/>
        </w:rPr>
      </w:pPr>
    </w:p>
    <w:p>
      <w:pPr>
        <w:ind w:left="160" w:right="219" w:firstLine="639"/>
        <w:spacing w:after="0" w:line="287" w:lineRule="auto"/>
        <w:tabs>
          <w:tab w:leader="none" w:pos="1494"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43" w:lineRule="exact"/>
        <w:rPr>
          <w:rFonts w:ascii="Arial" w:cs="Arial" w:eastAsia="Arial" w:hAnsi="Arial"/>
          <w:sz w:val="19"/>
          <w:szCs w:val="19"/>
          <w:color w:val="auto"/>
        </w:rPr>
      </w:pPr>
    </w:p>
    <w:p>
      <w:pPr>
        <w:ind w:left="160" w:right="259" w:firstLine="639"/>
        <w:spacing w:after="0" w:line="282" w:lineRule="auto"/>
        <w:tabs>
          <w:tab w:leader="none" w:pos="150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0" w:name="page211"/>
    <w:bookmarkEnd w:id="210"/>
    <w:p>
      <w:pPr>
        <w:ind w:left="160" w:right="219" w:firstLine="639"/>
        <w:spacing w:after="0" w:line="329" w:lineRule="auto"/>
        <w:tabs>
          <w:tab w:leader="none" w:pos="1494"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Trading Policy Restrictions</w:t>
      </w:r>
      <w:r>
        <w:rPr>
          <w:rFonts w:ascii="Arial" w:cs="Arial" w:eastAsia="Arial" w:hAnsi="Arial"/>
          <w:sz w:val="19"/>
          <w:szCs w:val="19"/>
          <w:color w:val="auto"/>
        </w:rPr>
        <w:t>. Option exercises and other Awards under the Plan shall be subject to the Company’s insider trading policies and procedures, as in effect from time to time.</w:t>
      </w:r>
    </w:p>
    <w:p>
      <w:pPr>
        <w:spacing w:after="0" w:line="103" w:lineRule="exact"/>
        <w:rPr>
          <w:rFonts w:ascii="Arial" w:cs="Arial" w:eastAsia="Arial" w:hAnsi="Arial"/>
          <w:sz w:val="19"/>
          <w:szCs w:val="19"/>
          <w:color w:val="auto"/>
        </w:rPr>
      </w:pPr>
    </w:p>
    <w:p>
      <w:pPr>
        <w:ind w:left="160" w:right="1019" w:firstLine="639"/>
        <w:spacing w:after="0" w:line="251" w:lineRule="auto"/>
        <w:tabs>
          <w:tab w:leader="none" w:pos="147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under the Plan shall be subject to the Company’s clawback policy, as in effect from time to time.</w:t>
      </w:r>
    </w:p>
    <w:p>
      <w:pPr>
        <w:spacing w:after="0" w:line="173" w:lineRule="exact"/>
        <w:rPr>
          <w:sz w:val="20"/>
          <w:szCs w:val="20"/>
          <w:color w:val="auto"/>
        </w:rPr>
      </w:pPr>
    </w:p>
    <w:p>
      <w:pPr>
        <w:ind w:left="160"/>
        <w:spacing w:after="0"/>
        <w:tabs>
          <w:tab w:leader="none" w:pos="19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EFFECTIVE DATE OF PLAN</w:t>
      </w:r>
    </w:p>
    <w:p>
      <w:pPr>
        <w:spacing w:after="0" w:line="206" w:lineRule="exact"/>
        <w:rPr>
          <w:sz w:val="20"/>
          <w:szCs w:val="20"/>
          <w:color w:val="auto"/>
        </w:rPr>
      </w:pPr>
    </w:p>
    <w:p>
      <w:pPr>
        <w:ind w:left="160" w:right="199" w:firstLine="648"/>
        <w:spacing w:after="0" w:line="279" w:lineRule="auto"/>
        <w:rPr>
          <w:sz w:val="20"/>
          <w:szCs w:val="20"/>
          <w:color w:val="auto"/>
        </w:rPr>
      </w:pPr>
      <w:r>
        <w:rPr>
          <w:rFonts w:ascii="Arial" w:cs="Arial" w:eastAsia="Arial" w:hAnsi="Arial"/>
          <w:sz w:val="19"/>
          <w:szCs w:val="19"/>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1" w:lineRule="exact"/>
        <w:rPr>
          <w:sz w:val="20"/>
          <w:szCs w:val="20"/>
          <w:color w:val="auto"/>
        </w:rPr>
      </w:pPr>
    </w:p>
    <w:p>
      <w:pPr>
        <w:ind w:left="160"/>
        <w:spacing w:after="0"/>
        <w:tabs>
          <w:tab w:leader="none" w:pos="20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1"/>
          <w:szCs w:val="21"/>
          <w:u w:val="single" w:color="auto"/>
          <w:color w:val="auto"/>
        </w:rPr>
        <w:t>GOVERNING LAW</w:t>
      </w:r>
    </w:p>
    <w:p>
      <w:pPr>
        <w:spacing w:after="0" w:line="206" w:lineRule="exact"/>
        <w:rPr>
          <w:sz w:val="20"/>
          <w:szCs w:val="20"/>
          <w:color w:val="auto"/>
        </w:rPr>
      </w:pPr>
    </w:p>
    <w:p>
      <w:pPr>
        <w:ind w:left="160" w:right="159" w:firstLine="648"/>
        <w:spacing w:after="0"/>
        <w:rPr>
          <w:sz w:val="20"/>
          <w:szCs w:val="20"/>
          <w:color w:val="auto"/>
        </w:rPr>
      </w:pPr>
      <w:r>
        <w:rPr>
          <w:rFonts w:ascii="Arial" w:cs="Arial" w:eastAsia="Arial" w:hAnsi="Arial"/>
          <w:sz w:val="22"/>
          <w:szCs w:val="22"/>
          <w:color w:val="auto"/>
        </w:rPr>
        <w:t>This Plan and all Awards and actions taken thereunder shall be governed by, and construed in accordance with, the laws of the State of Delaware, applied without regard to conflict of law principles.</w:t>
      </w:r>
    </w:p>
    <w:p>
      <w:pPr>
        <w:spacing w:after="0" w:line="200" w:lineRule="exact"/>
        <w:rPr>
          <w:sz w:val="20"/>
          <w:szCs w:val="20"/>
          <w:color w:val="auto"/>
        </w:rPr>
      </w:pPr>
    </w:p>
    <w:p>
      <w:pPr>
        <w:spacing w:after="0" w:line="311" w:lineRule="exact"/>
        <w:rPr>
          <w:sz w:val="20"/>
          <w:szCs w:val="20"/>
          <w:color w:val="auto"/>
        </w:rPr>
      </w:pPr>
    </w:p>
    <w:p>
      <w:pPr>
        <w:ind w:left="160"/>
        <w:spacing w:after="0"/>
        <w:tabs>
          <w:tab w:leader="none" w:pos="4900" w:val="left"/>
        </w:tabs>
        <w:rPr>
          <w:sz w:val="20"/>
          <w:szCs w:val="20"/>
          <w:color w:val="auto"/>
        </w:rPr>
      </w:pPr>
      <w:r>
        <w:rPr>
          <w:rFonts w:ascii="Arial" w:cs="Arial" w:eastAsia="Arial" w:hAnsi="Arial"/>
          <w:sz w:val="22"/>
          <w:szCs w:val="22"/>
          <w:color w:val="auto"/>
        </w:rPr>
        <w:t>DATE APPROVED BY BOARD OF DIRECTORS:</w:t>
      </w:r>
      <w:r>
        <w:rPr>
          <w:sz w:val="20"/>
          <w:szCs w:val="20"/>
          <w:color w:val="auto"/>
        </w:rPr>
        <w:tab/>
      </w:r>
      <w:r>
        <w:rPr>
          <w:rFonts w:ascii="Arial" w:cs="Arial" w:eastAsia="Arial" w:hAnsi="Arial"/>
          <w:sz w:val="19"/>
          <w:szCs w:val="19"/>
          <w:color w:val="auto"/>
        </w:rPr>
        <w:t>March 12, 2015</w:t>
      </w:r>
    </w:p>
    <w:p>
      <w:pPr>
        <w:spacing w:after="0" w:line="206" w:lineRule="exact"/>
        <w:rPr>
          <w:sz w:val="20"/>
          <w:szCs w:val="20"/>
          <w:color w:val="auto"/>
        </w:rPr>
      </w:pPr>
    </w:p>
    <w:p>
      <w:pPr>
        <w:ind w:left="160"/>
        <w:spacing w:after="0"/>
        <w:tabs>
          <w:tab w:leader="none" w:pos="4260" w:val="left"/>
        </w:tabs>
        <w:rPr>
          <w:sz w:val="20"/>
          <w:szCs w:val="20"/>
          <w:color w:val="auto"/>
        </w:rPr>
      </w:pPr>
      <w:r>
        <w:rPr>
          <w:rFonts w:ascii="Arial" w:cs="Arial" w:eastAsia="Arial" w:hAnsi="Arial"/>
          <w:sz w:val="22"/>
          <w:szCs w:val="22"/>
          <w:color w:val="auto"/>
        </w:rPr>
        <w:t>DATE APPROVED BY STOCKHOLDERS:</w:t>
      </w:r>
      <w:r>
        <w:rPr>
          <w:sz w:val="20"/>
          <w:szCs w:val="20"/>
          <w:color w:val="auto"/>
        </w:rPr>
        <w:tab/>
      </w:r>
      <w:r>
        <w:rPr>
          <w:rFonts w:ascii="Arial" w:cs="Arial" w:eastAsia="Arial" w:hAnsi="Arial"/>
          <w:sz w:val="19"/>
          <w:szCs w:val="19"/>
          <w:color w:val="auto"/>
        </w:rPr>
        <w:t>April 6,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1" w:name="page212"/>
    <w:bookmarkEnd w:id="211"/>
    <w:p>
      <w:pPr>
        <w:jc w:val="center"/>
        <w:ind w:left="160" w:right="159"/>
        <w:spacing w:after="0" w:line="243" w:lineRule="auto"/>
        <w:rPr>
          <w:sz w:val="20"/>
          <w:szCs w:val="20"/>
          <w:color w:val="auto"/>
        </w:rPr>
      </w:pPr>
      <w:r>
        <w:rPr>
          <w:rFonts w:ascii="Arial" w:cs="Arial" w:eastAsia="Arial" w:hAnsi="Arial"/>
          <w:sz w:val="22"/>
          <w:szCs w:val="22"/>
          <w:b w:val="1"/>
          <w:bCs w:val="1"/>
          <w:color w:val="auto"/>
        </w:rPr>
        <w:t>INCENTIVE STOCK OPTION AGREEMENT UNDER THE BLUEPRINT MEDICINES CORPORATION 2015 STOCK OPTION AND INCENTIVE PLAN</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Optionee: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Option Shares: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Option Exercise Price per Share: $</w:t>
      </w:r>
      <w:r>
        <w:rPr>
          <w:rFonts w:ascii="Arial" w:cs="Arial" w:eastAsia="Arial" w:hAnsi="Arial"/>
          <w:sz w:val="22"/>
          <w:szCs w:val="22"/>
          <w:b w:val="1"/>
          <w:bCs w:val="1"/>
          <w:color w:val="auto"/>
        </w:rPr>
        <w:t>[FMV on Grant Date (110% of FMV if a 10% owner)]</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xml:space="preserve">Expiration Date: </w:t>
      </w:r>
      <w:r>
        <w:rPr>
          <w:rFonts w:ascii="Arial" w:cs="Arial" w:eastAsia="Arial" w:hAnsi="Arial"/>
          <w:sz w:val="22"/>
          <w:szCs w:val="22"/>
          <w:b w:val="1"/>
          <w:bCs w:val="1"/>
          <w:color w:val="auto"/>
        </w:rPr>
        <w:t>[up to 10 years (5 if a 10% owner)]</w:t>
      </w:r>
    </w:p>
    <w:p>
      <w:pPr>
        <w:spacing w:after="0" w:line="239" w:lineRule="exact"/>
        <w:rPr>
          <w:sz w:val="20"/>
          <w:szCs w:val="20"/>
          <w:color w:val="auto"/>
        </w:rPr>
      </w:pPr>
    </w:p>
    <w:p>
      <w:pPr>
        <w:ind w:left="160" w:right="139" w:firstLine="648"/>
        <w:spacing w:after="0" w:line="279" w:lineRule="auto"/>
        <w:rPr>
          <w:sz w:val="20"/>
          <w:szCs w:val="20"/>
          <w:color w:val="auto"/>
        </w:rPr>
      </w:pPr>
      <w:r>
        <w:rPr>
          <w:rFonts w:ascii="Arial" w:cs="Arial" w:eastAsia="Arial" w:hAnsi="Arial"/>
          <w:sz w:val="19"/>
          <w:szCs w:val="19"/>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78" w:lineRule="exact"/>
        <w:rPr>
          <w:sz w:val="20"/>
          <w:szCs w:val="20"/>
          <w:color w:val="auto"/>
        </w:rPr>
      </w:pPr>
    </w:p>
    <w:p>
      <w:pPr>
        <w:ind w:left="160" w:right="199" w:firstLine="639"/>
        <w:spacing w:after="0" w:line="235" w:lineRule="auto"/>
        <w:tabs>
          <w:tab w:leader="none" w:pos="1483"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ectPr>
          <w:pgSz w:w="11900" w:h="16838" w:orient="portrait"/>
          <w:cols w:equalWidth="0" w:num="1">
            <w:col w:w="9019"/>
          </w:cols>
          <w:pgMar w:left="1440" w:top="598" w:right="1440" w:bottom="1440" w:gutter="0" w:footer="0" w:header="0"/>
        </w:sectPr>
      </w:pPr>
    </w:p>
    <w:p>
      <w:pPr>
        <w:spacing w:after="0" w:line="209"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Option Shares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Exercisability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33020</wp:posOffset>
            </wp:positionV>
            <wp:extent cx="14490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4640" w:space="660"/>
            <w:col w:w="3719"/>
          </w:cols>
          <w:pgMar w:left="1440" w:top="598" w:right="1440" w:bottom="1440" w:gutter="0" w:footer="0" w:header="0"/>
          <w:type w:val="continuous"/>
        </w:sectPr>
      </w:pPr>
    </w:p>
    <w:p>
      <w:pPr>
        <w:spacing w:after="0" w:line="63" w:lineRule="exact"/>
        <w:rPr>
          <w:sz w:val="20"/>
          <w:szCs w:val="20"/>
          <w:color w:val="auto"/>
        </w:rPr>
      </w:pPr>
    </w:p>
    <w:p>
      <w:pPr>
        <w:ind w:left="4280" w:hanging="348"/>
        <w:spacing w:after="0"/>
        <w:tabs>
          <w:tab w:leader="none" w:pos="42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-146685</wp:posOffset>
            </wp:positionV>
            <wp:extent cx="331914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19145" cy="154305"/>
                    </a:xfrm>
                    <a:prstGeom prst="rect">
                      <a:avLst/>
                    </a:prstGeom>
                    <a:noFill/>
                  </pic:spPr>
                </pic:pic>
              </a:graphicData>
            </a:graphic>
          </wp:anchor>
        </w:drawing>
      </w:r>
    </w:p>
    <w:p>
      <w:pPr>
        <w:ind w:left="4280" w:hanging="348"/>
        <w:spacing w:after="0" w:line="238" w:lineRule="auto"/>
        <w:tabs>
          <w:tab w:leader="none" w:pos="428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t>
      </w:r>
    </w:p>
    <w:p>
      <w:pPr>
        <w:ind w:left="4280" w:hanging="348"/>
        <w:spacing w:after="0" w:line="230" w:lineRule="auto"/>
        <w:tabs>
          <w:tab w:leader="none" w:pos="42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-151130</wp:posOffset>
            </wp:positionV>
            <wp:extent cx="3319145"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19145" cy="154305"/>
                    </a:xfrm>
                    <a:prstGeom prst="rect">
                      <a:avLst/>
                    </a:prstGeom>
                    <a:noFill/>
                  </pic:spPr>
                </pic:pic>
              </a:graphicData>
            </a:graphic>
          </wp:anchor>
        </w:drawing>
      </w:r>
    </w:p>
    <w:p>
      <w:pPr>
        <w:ind w:left="4280" w:hanging="348"/>
        <w:spacing w:after="0" w:line="231" w:lineRule="auto"/>
        <w:tabs>
          <w:tab w:leader="none" w:pos="42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t>
      </w:r>
    </w:p>
    <w:p>
      <w:pPr>
        <w:ind w:left="4280" w:hanging="348"/>
        <w:spacing w:after="0"/>
        <w:tabs>
          <w:tab w:leader="none" w:pos="42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-158115</wp:posOffset>
            </wp:positionV>
            <wp:extent cx="3319145"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19145" cy="15430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219075</wp:posOffset>
            </wp:positionV>
            <wp:extent cx="13893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Max. of $100,000 per yr.</w:t>
      </w:r>
    </w:p>
    <w:p>
      <w:pPr>
        <w:spacing w:after="0" w:line="233" w:lineRule="exact"/>
        <w:rPr>
          <w:sz w:val="20"/>
          <w:szCs w:val="20"/>
          <w:color w:val="auto"/>
        </w:rPr>
      </w:pPr>
    </w:p>
    <w:p>
      <w:pPr>
        <w:ind w:left="160" w:right="139" w:firstLine="648"/>
        <w:spacing w:after="0" w:line="328" w:lineRule="auto"/>
        <w:rPr>
          <w:sz w:val="20"/>
          <w:szCs w:val="20"/>
          <w:color w:val="auto"/>
        </w:rPr>
      </w:pPr>
      <w:r>
        <w:rPr>
          <w:rFonts w:ascii="Arial" w:cs="Arial" w:eastAsia="Arial" w:hAnsi="Arial"/>
          <w:sz w:val="19"/>
          <w:szCs w:val="19"/>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612140</wp:posOffset>
            </wp:positionV>
            <wp:extent cx="554863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type w:val="continuous"/>
        </w:sectPr>
      </w:pPr>
    </w:p>
    <w:bookmarkStart w:id="212" w:name="page213"/>
    <w:bookmarkEnd w:id="212"/>
    <w:p>
      <w:pPr>
        <w:ind w:left="1600" w:hanging="801"/>
        <w:spacing w:after="0"/>
        <w:tabs>
          <w:tab w:leader="none" w:pos="1600"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0" w:right="199" w:firstLine="1287"/>
        <w:spacing w:after="0" w:line="236" w:lineRule="auto"/>
        <w:tabs>
          <w:tab w:leader="none" w:pos="1966" w:val="left"/>
        </w:tabs>
        <w:numPr>
          <w:ilvl w:val="1"/>
          <w:numId w:val="209"/>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5" w:lineRule="exact"/>
        <w:rPr>
          <w:sz w:val="20"/>
          <w:szCs w:val="20"/>
          <w:color w:val="auto"/>
        </w:rPr>
      </w:pPr>
    </w:p>
    <w:p>
      <w:pPr>
        <w:ind w:left="160" w:right="199" w:firstLine="648"/>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4" w:lineRule="exact"/>
        <w:rPr>
          <w:sz w:val="20"/>
          <w:szCs w:val="20"/>
          <w:color w:val="auto"/>
        </w:rPr>
      </w:pPr>
    </w:p>
    <w:p>
      <w:pPr>
        <w:ind w:left="160" w:right="479" w:firstLine="648"/>
        <w:spacing w:after="0" w:line="27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w:t>
      </w:r>
    </w:p>
    <w:p>
      <w:pPr>
        <w:spacing w:after="0" w:line="4" w:lineRule="exact"/>
        <w:rPr>
          <w:sz w:val="20"/>
          <w:szCs w:val="20"/>
          <w:color w:val="auto"/>
        </w:rPr>
      </w:pPr>
    </w:p>
    <w:p>
      <w:pPr>
        <w:ind w:left="160" w:right="179" w:hanging="9"/>
        <w:spacing w:after="0" w:line="232" w:lineRule="auto"/>
        <w:tabs>
          <w:tab w:leader="none" w:pos="53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215" w:lineRule="exact"/>
        <w:rPr>
          <w:rFonts w:ascii="Arial" w:cs="Arial" w:eastAsia="Arial" w:hAnsi="Arial"/>
          <w:sz w:val="22"/>
          <w:szCs w:val="22"/>
          <w:color w:val="auto"/>
        </w:rPr>
      </w:pPr>
    </w:p>
    <w:p>
      <w:pPr>
        <w:ind w:left="160" w:right="159" w:firstLine="1287"/>
        <w:spacing w:after="0" w:line="273" w:lineRule="auto"/>
        <w:tabs>
          <w:tab w:leader="none" w:pos="1979"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3" w:name="page214"/>
    <w:bookmarkEnd w:id="213"/>
    <w:p>
      <w:pPr>
        <w:ind w:left="160" w:right="139" w:firstLine="1287"/>
        <w:spacing w:after="0" w:line="238" w:lineRule="auto"/>
        <w:tabs>
          <w:tab w:leader="none" w:pos="1966"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212" w:lineRule="exact"/>
        <w:rPr>
          <w:rFonts w:ascii="Arial" w:cs="Arial" w:eastAsia="Arial" w:hAnsi="Arial"/>
          <w:sz w:val="22"/>
          <w:szCs w:val="22"/>
          <w:color w:val="auto"/>
        </w:rPr>
      </w:pPr>
    </w:p>
    <w:p>
      <w:pPr>
        <w:ind w:left="160" w:right="439" w:firstLine="1287"/>
        <w:spacing w:after="0" w:line="251" w:lineRule="auto"/>
        <w:tabs>
          <w:tab w:leader="none" w:pos="1979" w:val="left"/>
        </w:tabs>
        <w:numPr>
          <w:ilvl w:val="1"/>
          <w:numId w:val="21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00" w:lineRule="exact"/>
        <w:rPr>
          <w:rFonts w:ascii="Arial" w:cs="Arial" w:eastAsia="Arial" w:hAnsi="Arial"/>
          <w:sz w:val="22"/>
          <w:szCs w:val="22"/>
          <w:color w:val="auto"/>
        </w:rPr>
      </w:pPr>
    </w:p>
    <w:p>
      <w:pPr>
        <w:ind w:left="160" w:right="519" w:firstLine="639"/>
        <w:spacing w:after="0" w:line="258" w:lineRule="auto"/>
        <w:tabs>
          <w:tab w:leader="none" w:pos="1483"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Optionee’s employment by the Company or a Subsidiary (as defined in the Plan) is terminated, the period within which to exercise the Stock Option may be subject to earlier termination as set forth below.</w:t>
      </w:r>
    </w:p>
    <w:p>
      <w:pPr>
        <w:spacing w:after="0" w:line="193" w:lineRule="exact"/>
        <w:rPr>
          <w:rFonts w:ascii="Arial" w:cs="Arial" w:eastAsia="Arial" w:hAnsi="Arial"/>
          <w:sz w:val="21"/>
          <w:szCs w:val="21"/>
          <w:color w:val="auto"/>
        </w:rPr>
      </w:pPr>
    </w:p>
    <w:p>
      <w:pPr>
        <w:ind w:left="160" w:right="259" w:firstLine="1287"/>
        <w:spacing w:after="0" w:line="248" w:lineRule="auto"/>
        <w:tabs>
          <w:tab w:leader="none" w:pos="1966" w:val="left"/>
        </w:tabs>
        <w:numPr>
          <w:ilvl w:val="1"/>
          <w:numId w:val="212"/>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204" w:lineRule="exact"/>
        <w:rPr>
          <w:rFonts w:ascii="Arial" w:cs="Arial" w:eastAsia="Arial" w:hAnsi="Arial"/>
          <w:sz w:val="21"/>
          <w:szCs w:val="21"/>
          <w:color w:val="auto"/>
        </w:rPr>
      </w:pPr>
    </w:p>
    <w:p>
      <w:pPr>
        <w:ind w:left="160" w:right="219" w:firstLine="1287"/>
        <w:spacing w:after="0" w:line="279" w:lineRule="auto"/>
        <w:tabs>
          <w:tab w:leader="none" w:pos="1979"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7" w:lineRule="exact"/>
        <w:rPr>
          <w:rFonts w:ascii="Arial" w:cs="Arial" w:eastAsia="Arial" w:hAnsi="Arial"/>
          <w:sz w:val="19"/>
          <w:szCs w:val="19"/>
          <w:color w:val="auto"/>
        </w:rPr>
      </w:pPr>
    </w:p>
    <w:p>
      <w:pPr>
        <w:ind w:left="160" w:right="159" w:firstLine="1287"/>
        <w:spacing w:after="0" w:line="271" w:lineRule="auto"/>
        <w:tabs>
          <w:tab w:leader="none" w:pos="1966"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160" w:right="159" w:firstLine="1287"/>
        <w:spacing w:after="0" w:line="297" w:lineRule="auto"/>
        <w:tabs>
          <w:tab w:leader="none" w:pos="1979"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employment terminates for any reason other than the Optionee’s death, the Optionee’s disability, or Cause, and unless otherwise determined by the Administrator, any portion of this Stock Option outstanding on such date may</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4" w:name="page215"/>
    <w:bookmarkEnd w:id="214"/>
    <w:p>
      <w:pPr>
        <w:jc w:val="both"/>
        <w:ind w:left="160" w:right="259"/>
        <w:spacing w:after="0" w:line="238" w:lineRule="auto"/>
        <w:rPr>
          <w:sz w:val="20"/>
          <w:szCs w:val="20"/>
          <w:color w:val="auto"/>
        </w:rPr>
      </w:pPr>
      <w:r>
        <w:rPr>
          <w:rFonts w:ascii="Arial" w:cs="Arial" w:eastAsia="Arial" w:hAnsi="Arial"/>
          <w:sz w:val="22"/>
          <w:szCs w:val="22"/>
          <w:color w:val="auto"/>
        </w:rPr>
        <w:t>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212" w:lineRule="exact"/>
        <w:rPr>
          <w:sz w:val="20"/>
          <w:szCs w:val="20"/>
          <w:color w:val="auto"/>
        </w:rPr>
      </w:pPr>
    </w:p>
    <w:p>
      <w:pPr>
        <w:ind w:left="160" w:right="759" w:firstLine="648"/>
        <w:spacing w:after="0"/>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213" w:lineRule="exact"/>
        <w:rPr>
          <w:sz w:val="20"/>
          <w:szCs w:val="20"/>
          <w:color w:val="auto"/>
        </w:rPr>
      </w:pPr>
    </w:p>
    <w:p>
      <w:pPr>
        <w:ind w:left="160" w:right="479" w:firstLine="639"/>
        <w:spacing w:after="0" w:line="236" w:lineRule="auto"/>
        <w:tabs>
          <w:tab w:leader="none" w:pos="1483"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4" w:lineRule="exact"/>
        <w:rPr>
          <w:rFonts w:ascii="Arial" w:cs="Arial" w:eastAsia="Arial" w:hAnsi="Arial"/>
          <w:sz w:val="22"/>
          <w:szCs w:val="22"/>
          <w:color w:val="auto"/>
        </w:rPr>
      </w:pPr>
    </w:p>
    <w:p>
      <w:pPr>
        <w:ind w:left="160" w:right="219" w:firstLine="639"/>
        <w:spacing w:after="0" w:line="287" w:lineRule="auto"/>
        <w:tabs>
          <w:tab w:leader="none" w:pos="1483"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0" w:lineRule="exact"/>
        <w:rPr>
          <w:rFonts w:ascii="Arial" w:cs="Arial" w:eastAsia="Arial" w:hAnsi="Arial"/>
          <w:sz w:val="19"/>
          <w:szCs w:val="19"/>
          <w:color w:val="auto"/>
        </w:rPr>
      </w:pPr>
    </w:p>
    <w:p>
      <w:pPr>
        <w:ind w:left="160" w:right="159" w:firstLine="639"/>
        <w:spacing w:after="0" w:line="272" w:lineRule="auto"/>
        <w:tabs>
          <w:tab w:leader="none" w:pos="1483"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Status of the Stock Option</w:t>
      </w:r>
      <w:r>
        <w:rPr>
          <w:rFonts w:ascii="Arial" w:cs="Arial" w:eastAsia="Arial" w:hAnsi="Arial"/>
          <w:sz w:val="19"/>
          <w:szCs w:val="19"/>
          <w:color w:val="auto"/>
        </w:rPr>
        <w:t>.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60" w:right="219" w:firstLine="639"/>
        <w:spacing w:after="0" w:line="277" w:lineRule="auto"/>
        <w:tabs>
          <w:tab w:leader="none" w:pos="1483"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79" w:lineRule="exact"/>
        <w:rPr>
          <w:rFonts w:ascii="Arial" w:cs="Arial" w:eastAsia="Arial" w:hAnsi="Arial"/>
          <w:sz w:val="19"/>
          <w:szCs w:val="19"/>
          <w:color w:val="auto"/>
        </w:rPr>
      </w:pPr>
    </w:p>
    <w:p>
      <w:pPr>
        <w:ind w:left="160" w:right="219" w:firstLine="639"/>
        <w:spacing w:after="0" w:line="287" w:lineRule="auto"/>
        <w:tabs>
          <w:tab w:leader="none" w:pos="1483"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5" w:name="page216"/>
    <w:bookmarkEnd w:id="215"/>
    <w:p>
      <w:pPr>
        <w:ind w:left="160" w:right="399" w:firstLine="639"/>
        <w:spacing w:after="0"/>
        <w:tabs>
          <w:tab w:leader="none" w:pos="1483"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213" w:lineRule="exact"/>
        <w:rPr>
          <w:rFonts w:ascii="Arial" w:cs="Arial" w:eastAsia="Arial" w:hAnsi="Arial"/>
          <w:sz w:val="22"/>
          <w:szCs w:val="22"/>
          <w:color w:val="auto"/>
        </w:rPr>
      </w:pPr>
    </w:p>
    <w:p>
      <w:pPr>
        <w:ind w:left="160" w:right="239" w:firstLine="639"/>
        <w:spacing w:after="0" w:line="272" w:lineRule="auto"/>
        <w:tabs>
          <w:tab w:leader="none" w:pos="1524"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4" w:lineRule="exact"/>
        <w:rPr>
          <w:rFonts w:ascii="Arial" w:cs="Arial" w:eastAsia="Arial" w:hAnsi="Arial"/>
          <w:sz w:val="19"/>
          <w:szCs w:val="19"/>
          <w:color w:val="auto"/>
        </w:rPr>
      </w:pPr>
    </w:p>
    <w:p>
      <w:pPr>
        <w:ind w:left="160" w:right="299" w:firstLine="639"/>
        <w:spacing w:after="0" w:line="238" w:lineRule="auto"/>
        <w:tabs>
          <w:tab w:leader="none" w:pos="1516"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BLUEPRINT MEDICINES CORPORATION</w:t>
      </w: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7620</wp:posOffset>
            </wp:positionV>
            <wp:extent cx="25215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Name:</w:t>
      </w:r>
    </w:p>
    <w:p>
      <w:pPr>
        <w:ind w:left="4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both"/>
        <w:ind w:left="160" w:right="1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7620</wp:posOffset>
            </wp:positionV>
            <wp:extent cx="51200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Optionee’s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6" w:name="page217"/>
    <w:bookmarkEnd w:id="216"/>
    <w:p>
      <w:pPr>
        <w:jc w:val="center"/>
        <w:ind w:left="160" w:right="159"/>
        <w:spacing w:after="0" w:line="239" w:lineRule="auto"/>
        <w:rPr>
          <w:sz w:val="20"/>
          <w:szCs w:val="20"/>
          <w:color w:val="auto"/>
        </w:rPr>
      </w:pPr>
      <w:r>
        <w:rPr>
          <w:rFonts w:ascii="Arial" w:cs="Arial" w:eastAsia="Arial" w:hAnsi="Arial"/>
          <w:sz w:val="22"/>
          <w:szCs w:val="22"/>
          <w:b w:val="1"/>
          <w:bCs w:val="1"/>
          <w:color w:val="auto"/>
        </w:rPr>
        <w:t>NON-QUALIFIED STOCK OPTION AGREEMENT FOR COMPANY EMPLOYEES UNDER BLUEPRINT MEDICINES CORPORATION 2015 STOCK OPTION AND INCENTIVE PLAN</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Optionee: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Option Shares: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Option Exercise Price per Share: $</w:t>
      </w:r>
      <w:r>
        <w:rPr>
          <w:rFonts w:ascii="Arial" w:cs="Arial" w:eastAsia="Arial" w:hAnsi="Arial"/>
          <w:sz w:val="22"/>
          <w:szCs w:val="22"/>
          <w:b w:val="1"/>
          <w:bCs w:val="1"/>
          <w:color w:val="auto"/>
        </w:rPr>
        <w:t>[FMV on Grant Date]</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xml:space="preserve">Expiration Date: </w:t>
      </w:r>
      <w:r>
        <w:rPr>
          <w:rFonts w:ascii="Arial" w:cs="Arial" w:eastAsia="Arial" w:hAnsi="Arial"/>
          <w:sz w:val="22"/>
          <w:szCs w:val="22"/>
          <w:b w:val="1"/>
          <w:bCs w:val="1"/>
          <w:color w:val="auto"/>
        </w:rPr>
        <w:t>[No more than 10 years]</w:t>
      </w:r>
    </w:p>
    <w:p>
      <w:pPr>
        <w:spacing w:after="0" w:line="239" w:lineRule="exact"/>
        <w:rPr>
          <w:sz w:val="20"/>
          <w:szCs w:val="20"/>
          <w:color w:val="auto"/>
        </w:rPr>
      </w:pPr>
    </w:p>
    <w:p>
      <w:pPr>
        <w:ind w:left="160" w:right="139" w:firstLine="648"/>
        <w:spacing w:after="0" w:line="246" w:lineRule="auto"/>
        <w:rPr>
          <w:sz w:val="20"/>
          <w:szCs w:val="20"/>
          <w:color w:val="auto"/>
        </w:rPr>
      </w:pPr>
      <w:r>
        <w:rPr>
          <w:rFonts w:ascii="Arial" w:cs="Arial" w:eastAsia="Arial" w:hAnsi="Arial"/>
          <w:sz w:val="21"/>
          <w:szCs w:val="21"/>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208" w:lineRule="exact"/>
        <w:rPr>
          <w:sz w:val="20"/>
          <w:szCs w:val="20"/>
          <w:color w:val="auto"/>
        </w:rPr>
      </w:pPr>
    </w:p>
    <w:p>
      <w:pPr>
        <w:ind w:left="160" w:right="199" w:firstLine="639"/>
        <w:spacing w:after="0" w:line="235" w:lineRule="auto"/>
        <w:tabs>
          <w:tab w:leader="none" w:pos="1483"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remains an employee of the Company or a Subsidiary on such dates:</w:t>
      </w:r>
    </w:p>
    <w:p>
      <w:pPr>
        <w:sectPr>
          <w:pgSz w:w="11900" w:h="16838" w:orient="portrait"/>
          <w:cols w:equalWidth="0" w:num="1">
            <w:col w:w="9019"/>
          </w:cols>
          <w:pgMar w:left="1440" w:top="355" w:right="1440" w:bottom="1440" w:gutter="0" w:footer="0" w:header="0"/>
        </w:sectPr>
      </w:pPr>
    </w:p>
    <w:p>
      <w:pPr>
        <w:spacing w:after="0" w:line="209"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2100"/>
        <w:spacing w:after="0"/>
        <w:rPr>
          <w:sz w:val="20"/>
          <w:szCs w:val="20"/>
          <w:color w:val="auto"/>
        </w:rPr>
      </w:pPr>
      <w:r>
        <w:rPr>
          <w:rFonts w:ascii="Arial" w:cs="Arial" w:eastAsia="Arial" w:hAnsi="Arial"/>
          <w:sz w:val="19"/>
          <w:szCs w:val="19"/>
          <w:b w:val="1"/>
          <w:bCs w:val="1"/>
          <w:color w:val="auto"/>
        </w:rPr>
        <w:t>Option Shares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17780</wp:posOffset>
            </wp:positionV>
            <wp:extent cx="2092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1379"/>
        <w:spacing w:after="0"/>
        <w:rPr>
          <w:sz w:val="20"/>
          <w:szCs w:val="20"/>
          <w:color w:val="auto"/>
        </w:rPr>
      </w:pPr>
      <w:r>
        <w:rPr>
          <w:rFonts w:ascii="Arial" w:cs="Arial" w:eastAsia="Arial" w:hAnsi="Arial"/>
          <w:sz w:val="19"/>
          <w:szCs w:val="19"/>
          <w:b w:val="1"/>
          <w:bCs w:val="1"/>
          <w:color w:val="auto"/>
        </w:rPr>
        <w:t>Exercisability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33020</wp:posOffset>
            </wp:positionV>
            <wp:extent cx="13550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5160" w:space="720"/>
            <w:col w:w="3139"/>
          </w:cols>
          <w:pgMar w:left="1440" w:top="355" w:right="1440" w:bottom="1440" w:gutter="0" w:footer="0" w:header="0"/>
          <w:type w:val="continuous"/>
        </w:sectPr>
      </w:pPr>
    </w:p>
    <w:p>
      <w:pPr>
        <w:spacing w:after="0" w:line="63" w:lineRule="exact"/>
        <w:rPr>
          <w:sz w:val="20"/>
          <w:szCs w:val="20"/>
          <w:color w:val="auto"/>
        </w:rPr>
      </w:pPr>
    </w:p>
    <w:p>
      <w:pPr>
        <w:ind w:left="4280" w:hanging="456"/>
        <w:spacing w:after="0"/>
        <w:tabs>
          <w:tab w:leader="none" w:pos="42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-146685</wp:posOffset>
            </wp:positionV>
            <wp:extent cx="3687445"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4280" w:hanging="456"/>
        <w:spacing w:after="0" w:line="238" w:lineRule="auto"/>
        <w:tabs>
          <w:tab w:leader="none" w:pos="42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t>
      </w:r>
    </w:p>
    <w:p>
      <w:pPr>
        <w:ind w:left="4280" w:hanging="456"/>
        <w:spacing w:after="0" w:line="230" w:lineRule="auto"/>
        <w:tabs>
          <w:tab w:leader="none" w:pos="42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-151130</wp:posOffset>
            </wp:positionV>
            <wp:extent cx="3687445"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4280" w:hanging="456"/>
        <w:spacing w:after="0" w:line="231" w:lineRule="auto"/>
        <w:tabs>
          <w:tab w:leader="none" w:pos="42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w:t>
      </w:r>
    </w:p>
    <w:p>
      <w:pPr>
        <w:ind w:left="4280" w:hanging="456"/>
        <w:spacing w:after="0"/>
        <w:tabs>
          <w:tab w:leader="none" w:pos="42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-158115</wp:posOffset>
            </wp:positionV>
            <wp:extent cx="3687445"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spacing w:after="0" w:line="195" w:lineRule="exact"/>
        <w:rPr>
          <w:sz w:val="20"/>
          <w:szCs w:val="20"/>
          <w:color w:val="auto"/>
        </w:rPr>
      </w:pPr>
    </w:p>
    <w:p>
      <w:pPr>
        <w:ind w:left="160" w:right="139" w:firstLine="648"/>
        <w:spacing w:after="0" w:line="328" w:lineRule="auto"/>
        <w:rPr>
          <w:sz w:val="20"/>
          <w:szCs w:val="20"/>
          <w:color w:val="auto"/>
        </w:rPr>
      </w:pPr>
      <w:r>
        <w:rPr>
          <w:rFonts w:ascii="Arial" w:cs="Arial" w:eastAsia="Arial" w:hAnsi="Arial"/>
          <w:sz w:val="19"/>
          <w:szCs w:val="19"/>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612140</wp:posOffset>
            </wp:positionV>
            <wp:extent cx="554863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217" w:name="page218"/>
    <w:bookmarkEnd w:id="217"/>
    <w:p>
      <w:pPr>
        <w:ind w:left="1600" w:hanging="801"/>
        <w:spacing w:after="0"/>
        <w:tabs>
          <w:tab w:leader="none" w:pos="1600"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0" w:right="199" w:firstLine="1287"/>
        <w:spacing w:after="0" w:line="236" w:lineRule="auto"/>
        <w:tabs>
          <w:tab w:leader="none" w:pos="1966" w:val="left"/>
        </w:tabs>
        <w:numPr>
          <w:ilvl w:val="1"/>
          <w:numId w:val="22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5" w:lineRule="exact"/>
        <w:rPr>
          <w:sz w:val="20"/>
          <w:szCs w:val="20"/>
          <w:color w:val="auto"/>
        </w:rPr>
      </w:pPr>
    </w:p>
    <w:p>
      <w:pPr>
        <w:ind w:left="160" w:right="139" w:firstLine="648"/>
        <w:spacing w:after="0" w:line="271"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200" w:lineRule="exact"/>
        <w:rPr>
          <w:sz w:val="20"/>
          <w:szCs w:val="20"/>
          <w:color w:val="auto"/>
        </w:rPr>
      </w:pPr>
    </w:p>
    <w:p>
      <w:pPr>
        <w:spacing w:after="0" w:line="232" w:lineRule="exact"/>
        <w:rPr>
          <w:sz w:val="20"/>
          <w:szCs w:val="20"/>
          <w:color w:val="auto"/>
        </w:rPr>
      </w:pPr>
    </w:p>
    <w:p>
      <w:pPr>
        <w:ind w:left="160" w:right="479" w:firstLine="648"/>
        <w:spacing w:after="0" w:line="27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w:t>
      </w:r>
    </w:p>
    <w:p>
      <w:pPr>
        <w:spacing w:after="0" w:line="4" w:lineRule="exact"/>
        <w:rPr>
          <w:sz w:val="20"/>
          <w:szCs w:val="20"/>
          <w:color w:val="auto"/>
        </w:rPr>
      </w:pPr>
    </w:p>
    <w:p>
      <w:pPr>
        <w:ind w:left="160" w:right="179" w:hanging="9"/>
        <w:spacing w:after="0" w:line="232" w:lineRule="auto"/>
        <w:tabs>
          <w:tab w:leader="none" w:pos="538"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215" w:lineRule="exact"/>
        <w:rPr>
          <w:rFonts w:ascii="Arial" w:cs="Arial" w:eastAsia="Arial" w:hAnsi="Arial"/>
          <w:sz w:val="22"/>
          <w:szCs w:val="22"/>
          <w:color w:val="auto"/>
        </w:rPr>
      </w:pPr>
    </w:p>
    <w:p>
      <w:pPr>
        <w:ind w:left="160" w:right="179" w:firstLine="1287"/>
        <w:spacing w:after="0" w:line="274" w:lineRule="auto"/>
        <w:tabs>
          <w:tab w:leader="none" w:pos="1979" w:val="left"/>
        </w:tabs>
        <w:numPr>
          <w:ilvl w:val="1"/>
          <w:numId w:val="221"/>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8" w:name="page219"/>
    <w:bookmarkEnd w:id="218"/>
    <w:p>
      <w:pPr>
        <w:ind w:left="160" w:right="459"/>
        <w:spacing w:after="0" w:line="329" w:lineRule="auto"/>
        <w:rPr>
          <w:sz w:val="20"/>
          <w:szCs w:val="20"/>
          <w:color w:val="auto"/>
        </w:rPr>
      </w:pPr>
      <w:r>
        <w:rPr>
          <w:rFonts w:ascii="Arial" w:cs="Arial" w:eastAsia="Arial" w:hAnsi="Arial"/>
          <w:sz w:val="19"/>
          <w:szCs w:val="19"/>
          <w:color w:val="auto"/>
        </w:rPr>
        <w:t>entered as the stockholder of record on the books of the Company. Thereupon, the Optionee shall have full voting, dividend and other ownership rights with respect to such shares of Stock.</w:t>
      </w:r>
    </w:p>
    <w:p>
      <w:pPr>
        <w:spacing w:after="0" w:line="131" w:lineRule="exact"/>
        <w:rPr>
          <w:sz w:val="20"/>
          <w:szCs w:val="20"/>
          <w:color w:val="auto"/>
        </w:rPr>
      </w:pPr>
    </w:p>
    <w:p>
      <w:pPr>
        <w:ind w:left="160" w:right="139" w:firstLine="1287"/>
        <w:spacing w:after="0" w:line="238" w:lineRule="auto"/>
        <w:tabs>
          <w:tab w:leader="none" w:pos="196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212" w:lineRule="exact"/>
        <w:rPr>
          <w:rFonts w:ascii="Arial" w:cs="Arial" w:eastAsia="Arial" w:hAnsi="Arial"/>
          <w:sz w:val="22"/>
          <w:szCs w:val="22"/>
          <w:color w:val="auto"/>
        </w:rPr>
      </w:pPr>
    </w:p>
    <w:p>
      <w:pPr>
        <w:ind w:left="160" w:right="439" w:firstLine="1287"/>
        <w:spacing w:after="0" w:line="251" w:lineRule="auto"/>
        <w:tabs>
          <w:tab w:leader="none" w:pos="1979" w:val="left"/>
        </w:tabs>
        <w:numPr>
          <w:ilvl w:val="1"/>
          <w:numId w:val="222"/>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00" w:lineRule="exact"/>
        <w:rPr>
          <w:rFonts w:ascii="Arial" w:cs="Arial" w:eastAsia="Arial" w:hAnsi="Arial"/>
          <w:sz w:val="22"/>
          <w:szCs w:val="22"/>
          <w:color w:val="auto"/>
        </w:rPr>
      </w:pPr>
    </w:p>
    <w:p>
      <w:pPr>
        <w:ind w:left="160" w:right="519" w:firstLine="639"/>
        <w:spacing w:after="0" w:line="258" w:lineRule="auto"/>
        <w:tabs>
          <w:tab w:leader="none" w:pos="1483" w:val="left"/>
        </w:tabs>
        <w:numPr>
          <w:ilvl w:val="0"/>
          <w:numId w:val="22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Optionee’s employment by the Company or a Subsidiary (as defined in the Plan) is terminated, the period within which to exercise the Stock Option may be subject to earlier termination as set forth below.</w:t>
      </w:r>
    </w:p>
    <w:p>
      <w:pPr>
        <w:spacing w:after="0" w:line="193" w:lineRule="exact"/>
        <w:rPr>
          <w:rFonts w:ascii="Arial" w:cs="Arial" w:eastAsia="Arial" w:hAnsi="Arial"/>
          <w:sz w:val="21"/>
          <w:szCs w:val="21"/>
          <w:color w:val="auto"/>
        </w:rPr>
      </w:pPr>
    </w:p>
    <w:p>
      <w:pPr>
        <w:ind w:left="160" w:right="259" w:firstLine="1287"/>
        <w:spacing w:after="0" w:line="248" w:lineRule="auto"/>
        <w:tabs>
          <w:tab w:leader="none" w:pos="1966" w:val="left"/>
        </w:tabs>
        <w:numPr>
          <w:ilvl w:val="1"/>
          <w:numId w:val="223"/>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204" w:lineRule="exact"/>
        <w:rPr>
          <w:rFonts w:ascii="Arial" w:cs="Arial" w:eastAsia="Arial" w:hAnsi="Arial"/>
          <w:sz w:val="21"/>
          <w:szCs w:val="21"/>
          <w:color w:val="auto"/>
        </w:rPr>
      </w:pPr>
    </w:p>
    <w:p>
      <w:pPr>
        <w:ind w:left="160" w:right="219" w:firstLine="1287"/>
        <w:spacing w:after="0" w:line="279" w:lineRule="auto"/>
        <w:tabs>
          <w:tab w:leader="none" w:pos="1979" w:val="left"/>
        </w:tabs>
        <w:numPr>
          <w:ilvl w:val="1"/>
          <w:numId w:val="223"/>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7" w:lineRule="exact"/>
        <w:rPr>
          <w:rFonts w:ascii="Arial" w:cs="Arial" w:eastAsia="Arial" w:hAnsi="Arial"/>
          <w:sz w:val="19"/>
          <w:szCs w:val="19"/>
          <w:color w:val="auto"/>
        </w:rPr>
      </w:pPr>
    </w:p>
    <w:p>
      <w:pPr>
        <w:ind w:left="160" w:right="159" w:firstLine="1287"/>
        <w:spacing w:after="0" w:line="271" w:lineRule="auto"/>
        <w:tabs>
          <w:tab w:leader="none" w:pos="1966" w:val="left"/>
        </w:tabs>
        <w:numPr>
          <w:ilvl w:val="1"/>
          <w:numId w:val="223"/>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9" w:name="page220"/>
    <w:bookmarkEnd w:id="219"/>
    <w:p>
      <w:pPr>
        <w:ind w:left="160" w:right="159" w:firstLine="1287"/>
        <w:spacing w:after="0" w:line="234" w:lineRule="auto"/>
        <w:tabs>
          <w:tab w:leader="none" w:pos="1979"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219" w:lineRule="exact"/>
        <w:rPr>
          <w:sz w:val="20"/>
          <w:szCs w:val="20"/>
          <w:color w:val="auto"/>
        </w:rPr>
      </w:pPr>
    </w:p>
    <w:p>
      <w:pPr>
        <w:ind w:left="160" w:right="759" w:firstLine="648"/>
        <w:spacing w:after="0"/>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213" w:lineRule="exact"/>
        <w:rPr>
          <w:sz w:val="20"/>
          <w:szCs w:val="20"/>
          <w:color w:val="auto"/>
        </w:rPr>
      </w:pPr>
    </w:p>
    <w:p>
      <w:pPr>
        <w:ind w:left="160" w:right="479" w:firstLine="639"/>
        <w:spacing w:after="0" w:line="236" w:lineRule="auto"/>
        <w:tabs>
          <w:tab w:leader="none" w:pos="1483"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4" w:lineRule="exact"/>
        <w:rPr>
          <w:rFonts w:ascii="Arial" w:cs="Arial" w:eastAsia="Arial" w:hAnsi="Arial"/>
          <w:sz w:val="22"/>
          <w:szCs w:val="22"/>
          <w:color w:val="auto"/>
        </w:rPr>
      </w:pPr>
    </w:p>
    <w:p>
      <w:pPr>
        <w:ind w:left="160" w:right="219" w:firstLine="639"/>
        <w:spacing w:after="0" w:line="287" w:lineRule="auto"/>
        <w:tabs>
          <w:tab w:leader="none" w:pos="1483"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0" w:lineRule="exact"/>
        <w:rPr>
          <w:rFonts w:ascii="Arial" w:cs="Arial" w:eastAsia="Arial" w:hAnsi="Arial"/>
          <w:sz w:val="19"/>
          <w:szCs w:val="19"/>
          <w:color w:val="auto"/>
        </w:rPr>
      </w:pPr>
    </w:p>
    <w:p>
      <w:pPr>
        <w:ind w:left="160" w:right="219" w:firstLine="639"/>
        <w:spacing w:after="0" w:line="277" w:lineRule="auto"/>
        <w:tabs>
          <w:tab w:leader="none" w:pos="1483"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79" w:lineRule="exact"/>
        <w:rPr>
          <w:rFonts w:ascii="Arial" w:cs="Arial" w:eastAsia="Arial" w:hAnsi="Arial"/>
          <w:sz w:val="19"/>
          <w:szCs w:val="19"/>
          <w:color w:val="auto"/>
        </w:rPr>
      </w:pPr>
    </w:p>
    <w:p>
      <w:pPr>
        <w:ind w:left="160" w:right="219" w:firstLine="639"/>
        <w:spacing w:after="0" w:line="287" w:lineRule="auto"/>
        <w:tabs>
          <w:tab w:leader="none" w:pos="1483"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70" w:lineRule="exact"/>
        <w:rPr>
          <w:rFonts w:ascii="Arial" w:cs="Arial" w:eastAsia="Arial" w:hAnsi="Arial"/>
          <w:sz w:val="19"/>
          <w:szCs w:val="19"/>
          <w:color w:val="auto"/>
        </w:rPr>
      </w:pPr>
    </w:p>
    <w:p>
      <w:pPr>
        <w:ind w:left="160" w:right="399" w:firstLine="639"/>
        <w:spacing w:after="0"/>
        <w:tabs>
          <w:tab w:leader="none" w:pos="1483"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213" w:lineRule="exact"/>
        <w:rPr>
          <w:rFonts w:ascii="Arial" w:cs="Arial" w:eastAsia="Arial" w:hAnsi="Arial"/>
          <w:sz w:val="22"/>
          <w:szCs w:val="22"/>
          <w:color w:val="auto"/>
        </w:rPr>
      </w:pPr>
    </w:p>
    <w:p>
      <w:pPr>
        <w:ind w:left="160" w:right="319" w:firstLine="639"/>
        <w:spacing w:after="0" w:line="282" w:lineRule="auto"/>
        <w:tabs>
          <w:tab w:leader="none" w:pos="1483"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0" w:name="page221"/>
    <w:bookmarkEnd w:id="220"/>
    <w:p>
      <w:pPr>
        <w:ind w:left="160" w:right="139"/>
        <w:spacing w:after="0" w:line="275" w:lineRule="auto"/>
        <w:rPr>
          <w:sz w:val="20"/>
          <w:szCs w:val="20"/>
          <w:color w:val="auto"/>
        </w:rPr>
      </w:pPr>
      <w:r>
        <w:rPr>
          <w:rFonts w:ascii="Arial" w:cs="Arial" w:eastAsia="Arial" w:hAnsi="Arial"/>
          <w:sz w:val="19"/>
          <w:szCs w:val="19"/>
          <w:color w:val="auto"/>
        </w:rPr>
        <w:t>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5" w:lineRule="exact"/>
        <w:rPr>
          <w:sz w:val="20"/>
          <w:szCs w:val="20"/>
          <w:color w:val="auto"/>
        </w:rPr>
      </w:pPr>
    </w:p>
    <w:p>
      <w:pPr>
        <w:ind w:left="160" w:right="299" w:firstLine="639"/>
        <w:spacing w:after="0" w:line="238" w:lineRule="auto"/>
        <w:tabs>
          <w:tab w:leader="none" w:pos="1524"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BLUEPRINT MEDICINES</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7620</wp:posOffset>
            </wp:positionV>
            <wp:extent cx="25387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2"/>
          <w:szCs w:val="22"/>
          <w:color w:val="auto"/>
        </w:rPr>
        <w:t>Name:</w:t>
      </w:r>
    </w:p>
    <w:p>
      <w:pPr>
        <w:ind w:left="4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both"/>
        <w:ind w:left="160" w:right="1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wp:posOffset>
            </wp:positionV>
            <wp:extent cx="51542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Optionee’s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1" w:name="page222"/>
    <w:bookmarkEnd w:id="221"/>
    <w:p>
      <w:pPr>
        <w:jc w:val="center"/>
        <w:ind w:left="1640" w:right="1780"/>
        <w:spacing w:after="0" w:line="239" w:lineRule="auto"/>
        <w:rPr>
          <w:sz w:val="20"/>
          <w:szCs w:val="20"/>
          <w:color w:val="auto"/>
        </w:rPr>
      </w:pPr>
      <w:r>
        <w:rPr>
          <w:rFonts w:ascii="Arial" w:cs="Arial" w:eastAsia="Arial" w:hAnsi="Arial"/>
          <w:sz w:val="22"/>
          <w:szCs w:val="22"/>
          <w:b w:val="1"/>
          <w:bCs w:val="1"/>
          <w:color w:val="auto"/>
        </w:rPr>
        <w:t>NON-QUALIFIED STOCK OPTION AGREEMENT FOR NON-EMPLOYEE DIRECTORS UNDER BLUEPRINT MEDICINES CORPORATION 2015 STOCK OPTION AND INCENTIVE PLAN</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Optionee: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Option Shares: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Option Exercise Price per Share:  $</w:t>
      </w:r>
      <w:r>
        <w:rPr>
          <w:rFonts w:ascii="Arial" w:cs="Arial" w:eastAsia="Arial" w:hAnsi="Arial"/>
          <w:sz w:val="22"/>
          <w:szCs w:val="22"/>
          <w:b w:val="1"/>
          <w:bCs w:val="1"/>
          <w:color w:val="auto"/>
        </w:rPr>
        <w:t>[FMV on Grant Date]</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xml:space="preserve">Expiration Date: </w:t>
      </w:r>
      <w:r>
        <w:rPr>
          <w:rFonts w:ascii="Arial" w:cs="Arial" w:eastAsia="Arial" w:hAnsi="Arial"/>
          <w:sz w:val="22"/>
          <w:szCs w:val="22"/>
          <w:b w:val="1"/>
          <w:bCs w:val="1"/>
          <w:color w:val="auto"/>
        </w:rPr>
        <w:t>[No more than 10 years]</w:t>
      </w:r>
    </w:p>
    <w:p>
      <w:pPr>
        <w:spacing w:after="0" w:line="239" w:lineRule="exact"/>
        <w:rPr>
          <w:sz w:val="20"/>
          <w:szCs w:val="20"/>
          <w:color w:val="auto"/>
        </w:rPr>
      </w:pPr>
    </w:p>
    <w:p>
      <w:pPr>
        <w:ind w:left="160" w:right="299" w:firstLine="648"/>
        <w:spacing w:after="0" w:line="245" w:lineRule="auto"/>
        <w:rPr>
          <w:sz w:val="20"/>
          <w:szCs w:val="20"/>
          <w:color w:val="auto"/>
        </w:rPr>
      </w:pPr>
      <w:r>
        <w:rPr>
          <w:rFonts w:ascii="Arial" w:cs="Arial" w:eastAsia="Arial" w:hAnsi="Arial"/>
          <w:sz w:val="21"/>
          <w:szCs w:val="21"/>
          <w:color w:val="auto"/>
        </w:rPr>
        <w:t>Pursuant to the Blueprint Medicines Corporation 2015 Stock Option and Incentive Plan as amended through the date hereof (the “Plan”), Blueprint Medicines Corporation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212" w:lineRule="exact"/>
        <w:rPr>
          <w:sz w:val="20"/>
          <w:szCs w:val="20"/>
          <w:color w:val="auto"/>
        </w:rPr>
      </w:pPr>
    </w:p>
    <w:p>
      <w:pPr>
        <w:ind w:left="160" w:right="199" w:firstLine="639"/>
        <w:spacing w:after="0" w:line="235" w:lineRule="auto"/>
        <w:tabs>
          <w:tab w:leader="none" w:pos="1483"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ectPr>
          <w:pgSz w:w="11900" w:h="16838" w:orient="portrait"/>
          <w:cols w:equalWidth="0" w:num="1">
            <w:col w:w="9019"/>
          </w:cols>
          <w:pgMar w:left="1440" w:top="355" w:right="1440" w:bottom="1440" w:gutter="0" w:footer="0" w:header="0"/>
        </w:sectPr>
      </w:pPr>
    </w:p>
    <w:p>
      <w:pPr>
        <w:spacing w:after="0" w:line="209"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9"/>
          <w:szCs w:val="19"/>
          <w:b w:val="1"/>
          <w:bCs w:val="1"/>
          <w:color w:val="auto"/>
        </w:rPr>
        <w:t>Option Shares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17780</wp:posOffset>
            </wp:positionV>
            <wp:extent cx="21609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Exercisability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5436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4660" w:space="720"/>
            <w:col w:w="3639"/>
          </w:cols>
          <w:pgMar w:left="1440" w:top="355" w:right="1440" w:bottom="1440" w:gutter="0" w:footer="0" w:header="0"/>
          <w:type w:val="continuous"/>
        </w:sectPr>
      </w:pPr>
    </w:p>
    <w:p>
      <w:pPr>
        <w:spacing w:after="0" w:line="63" w:lineRule="exact"/>
        <w:rPr>
          <w:sz w:val="20"/>
          <w:szCs w:val="20"/>
          <w:color w:val="auto"/>
        </w:rPr>
      </w:pPr>
    </w:p>
    <w:p>
      <w:pPr>
        <w:ind w:left="3620" w:hanging="444"/>
        <w:spacing w:after="0"/>
        <w:tabs>
          <w:tab w:leader="none" w:pos="362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-146685</wp:posOffset>
            </wp:positionV>
            <wp:extent cx="387604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6040" cy="154305"/>
                    </a:xfrm>
                    <a:prstGeom prst="rect">
                      <a:avLst/>
                    </a:prstGeom>
                    <a:noFill/>
                  </pic:spPr>
                </pic:pic>
              </a:graphicData>
            </a:graphic>
          </wp:anchor>
        </w:drawing>
      </w:r>
    </w:p>
    <w:p>
      <w:pPr>
        <w:ind w:left="3620" w:hanging="444"/>
        <w:spacing w:after="0" w:line="238" w:lineRule="auto"/>
        <w:tabs>
          <w:tab w:leader="none" w:pos="362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w:t>
      </w:r>
    </w:p>
    <w:p>
      <w:pPr>
        <w:ind w:left="3620" w:hanging="444"/>
        <w:spacing w:after="0" w:line="230" w:lineRule="auto"/>
        <w:tabs>
          <w:tab w:leader="none" w:pos="36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-151130</wp:posOffset>
            </wp:positionV>
            <wp:extent cx="387604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6040" cy="154305"/>
                    </a:xfrm>
                    <a:prstGeom prst="rect">
                      <a:avLst/>
                    </a:prstGeom>
                    <a:noFill/>
                  </pic:spPr>
                </pic:pic>
              </a:graphicData>
            </a:graphic>
          </wp:anchor>
        </w:drawing>
      </w:r>
    </w:p>
    <w:p>
      <w:pPr>
        <w:ind w:left="3620" w:hanging="444"/>
        <w:spacing w:after="0" w:line="231" w:lineRule="auto"/>
        <w:tabs>
          <w:tab w:leader="none" w:pos="36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t>
      </w:r>
    </w:p>
    <w:p>
      <w:pPr>
        <w:ind w:left="3620" w:hanging="444"/>
        <w:spacing w:after="0"/>
        <w:tabs>
          <w:tab w:leader="none" w:pos="36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-158115</wp:posOffset>
            </wp:positionV>
            <wp:extent cx="387604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6040" cy="154305"/>
                    </a:xfrm>
                    <a:prstGeom prst="rect">
                      <a:avLst/>
                    </a:prstGeom>
                    <a:noFill/>
                  </pic:spPr>
                </pic:pic>
              </a:graphicData>
            </a:graphic>
          </wp:anchor>
        </w:drawing>
      </w:r>
    </w:p>
    <w:p>
      <w:pPr>
        <w:spacing w:after="0" w:line="195" w:lineRule="exact"/>
        <w:rPr>
          <w:sz w:val="20"/>
          <w:szCs w:val="20"/>
          <w:color w:val="auto"/>
        </w:rPr>
      </w:pPr>
    </w:p>
    <w:p>
      <w:pPr>
        <w:ind w:left="160" w:right="139" w:firstLine="648"/>
        <w:spacing w:after="0" w:line="328" w:lineRule="auto"/>
        <w:rPr>
          <w:sz w:val="20"/>
          <w:szCs w:val="20"/>
          <w:color w:val="auto"/>
        </w:rPr>
      </w:pPr>
      <w:r>
        <w:rPr>
          <w:rFonts w:ascii="Arial" w:cs="Arial" w:eastAsia="Arial" w:hAnsi="Arial"/>
          <w:sz w:val="19"/>
          <w:szCs w:val="19"/>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612140</wp:posOffset>
            </wp:positionV>
            <wp:extent cx="554863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222" w:name="page223"/>
    <w:bookmarkEnd w:id="222"/>
    <w:p>
      <w:pPr>
        <w:ind w:left="1600" w:hanging="801"/>
        <w:spacing w:after="0"/>
        <w:tabs>
          <w:tab w:leader="none" w:pos="160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0" w:right="199" w:firstLine="1287"/>
        <w:spacing w:after="0" w:line="236" w:lineRule="auto"/>
        <w:tabs>
          <w:tab w:leader="none" w:pos="202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5" w:lineRule="exact"/>
        <w:rPr>
          <w:sz w:val="20"/>
          <w:szCs w:val="20"/>
          <w:color w:val="auto"/>
        </w:rPr>
      </w:pPr>
    </w:p>
    <w:p>
      <w:pPr>
        <w:ind w:left="160" w:right="139" w:firstLine="648"/>
        <w:spacing w:after="0" w:line="271"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200" w:lineRule="exact"/>
        <w:rPr>
          <w:sz w:val="20"/>
          <w:szCs w:val="20"/>
          <w:color w:val="auto"/>
        </w:rPr>
      </w:pPr>
    </w:p>
    <w:p>
      <w:pPr>
        <w:spacing w:after="0" w:line="232" w:lineRule="exact"/>
        <w:rPr>
          <w:sz w:val="20"/>
          <w:szCs w:val="20"/>
          <w:color w:val="auto"/>
        </w:rPr>
      </w:pPr>
    </w:p>
    <w:p>
      <w:pPr>
        <w:ind w:left="160" w:right="479" w:firstLine="648"/>
        <w:spacing w:after="0" w:line="27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w:t>
      </w:r>
    </w:p>
    <w:p>
      <w:pPr>
        <w:spacing w:after="0" w:line="4" w:lineRule="exact"/>
        <w:rPr>
          <w:sz w:val="20"/>
          <w:szCs w:val="20"/>
          <w:color w:val="auto"/>
        </w:rPr>
      </w:pPr>
    </w:p>
    <w:p>
      <w:pPr>
        <w:ind w:left="160" w:right="179" w:hanging="9"/>
        <w:spacing w:after="0" w:line="232" w:lineRule="auto"/>
        <w:tabs>
          <w:tab w:leader="none" w:pos="538"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215" w:lineRule="exact"/>
        <w:rPr>
          <w:rFonts w:ascii="Arial" w:cs="Arial" w:eastAsia="Arial" w:hAnsi="Arial"/>
          <w:sz w:val="22"/>
          <w:szCs w:val="22"/>
          <w:color w:val="auto"/>
        </w:rPr>
      </w:pPr>
    </w:p>
    <w:p>
      <w:pPr>
        <w:ind w:left="160" w:right="179" w:firstLine="1287"/>
        <w:spacing w:after="0" w:line="274" w:lineRule="auto"/>
        <w:tabs>
          <w:tab w:leader="none" w:pos="2033" w:val="left"/>
        </w:tabs>
        <w:numPr>
          <w:ilvl w:val="1"/>
          <w:numId w:val="233"/>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3" w:name="page224"/>
    <w:bookmarkEnd w:id="223"/>
    <w:p>
      <w:pPr>
        <w:ind w:left="160" w:right="459"/>
        <w:spacing w:after="0" w:line="329" w:lineRule="auto"/>
        <w:rPr>
          <w:sz w:val="20"/>
          <w:szCs w:val="20"/>
          <w:color w:val="auto"/>
        </w:rPr>
      </w:pPr>
      <w:r>
        <w:rPr>
          <w:rFonts w:ascii="Arial" w:cs="Arial" w:eastAsia="Arial" w:hAnsi="Arial"/>
          <w:sz w:val="19"/>
          <w:szCs w:val="19"/>
          <w:color w:val="auto"/>
        </w:rPr>
        <w:t>entered as the stockholder of record on the books of the Company. Thereupon, the Optionee shall have full voting, dividend and other ownership rights with respect to such shares of Stock.</w:t>
      </w:r>
    </w:p>
    <w:p>
      <w:pPr>
        <w:spacing w:after="0" w:line="131" w:lineRule="exact"/>
        <w:rPr>
          <w:sz w:val="20"/>
          <w:szCs w:val="20"/>
          <w:color w:val="auto"/>
        </w:rPr>
      </w:pPr>
    </w:p>
    <w:p>
      <w:pPr>
        <w:ind w:left="160" w:right="139" w:firstLine="1287"/>
        <w:spacing w:after="0" w:line="238" w:lineRule="auto"/>
        <w:tabs>
          <w:tab w:leader="none" w:pos="1966" w:val="left"/>
        </w:tabs>
        <w:numPr>
          <w:ilvl w:val="1"/>
          <w:numId w:val="234"/>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212" w:lineRule="exact"/>
        <w:rPr>
          <w:rFonts w:ascii="Arial" w:cs="Arial" w:eastAsia="Arial" w:hAnsi="Arial"/>
          <w:sz w:val="22"/>
          <w:szCs w:val="22"/>
          <w:color w:val="auto"/>
        </w:rPr>
      </w:pPr>
    </w:p>
    <w:p>
      <w:pPr>
        <w:ind w:left="160" w:right="439" w:firstLine="1287"/>
        <w:spacing w:after="0" w:line="251" w:lineRule="auto"/>
        <w:tabs>
          <w:tab w:leader="none" w:pos="1979" w:val="left"/>
        </w:tabs>
        <w:numPr>
          <w:ilvl w:val="1"/>
          <w:numId w:val="234"/>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00" w:lineRule="exact"/>
        <w:rPr>
          <w:rFonts w:ascii="Arial" w:cs="Arial" w:eastAsia="Arial" w:hAnsi="Arial"/>
          <w:sz w:val="22"/>
          <w:szCs w:val="22"/>
          <w:color w:val="auto"/>
        </w:rPr>
      </w:pPr>
    </w:p>
    <w:p>
      <w:pPr>
        <w:ind w:left="160" w:right="259" w:firstLine="639"/>
        <w:spacing w:after="0"/>
        <w:tabs>
          <w:tab w:leader="none" w:pos="1483"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Termination as Director</w:t>
      </w:r>
      <w:r>
        <w:rPr>
          <w:rFonts w:ascii="Arial" w:cs="Arial" w:eastAsia="Arial" w:hAnsi="Arial"/>
          <w:sz w:val="22"/>
          <w:szCs w:val="22"/>
          <w:color w:val="auto"/>
        </w:rPr>
        <w:t>. If the Optionee ceases to be a Director of the Company, the period within which to exercise the Stock Option may be subject to earlier termination as set forth below.</w:t>
      </w:r>
    </w:p>
    <w:p>
      <w:pPr>
        <w:spacing w:after="0" w:line="213" w:lineRule="exact"/>
        <w:rPr>
          <w:rFonts w:ascii="Arial" w:cs="Arial" w:eastAsia="Arial" w:hAnsi="Arial"/>
          <w:sz w:val="22"/>
          <w:szCs w:val="22"/>
          <w:color w:val="auto"/>
        </w:rPr>
      </w:pPr>
    </w:p>
    <w:p>
      <w:pPr>
        <w:ind w:left="160" w:right="199" w:firstLine="1287"/>
        <w:spacing w:after="0" w:line="279" w:lineRule="auto"/>
        <w:tabs>
          <w:tab w:leader="none" w:pos="1966" w:val="left"/>
        </w:tabs>
        <w:numPr>
          <w:ilvl w:val="1"/>
          <w:numId w:val="235"/>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7" w:lineRule="exact"/>
        <w:rPr>
          <w:rFonts w:ascii="Arial" w:cs="Arial" w:eastAsia="Arial" w:hAnsi="Arial"/>
          <w:sz w:val="19"/>
          <w:szCs w:val="19"/>
          <w:color w:val="auto"/>
        </w:rPr>
      </w:pPr>
    </w:p>
    <w:p>
      <w:pPr>
        <w:ind w:left="160" w:right="179" w:firstLine="1287"/>
        <w:spacing w:after="0" w:line="279" w:lineRule="auto"/>
        <w:tabs>
          <w:tab w:leader="none" w:pos="1979" w:val="left"/>
        </w:tabs>
        <w:numPr>
          <w:ilvl w:val="1"/>
          <w:numId w:val="235"/>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 ceases to be a Director for any reason other than the Optionee’s death, any portion of this Stock Option outstanding on such date may be exercised, to the extent exercisable on the date the Optionee ceased to be a Director, for a period of twelve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77" w:lineRule="exact"/>
        <w:rPr>
          <w:rFonts w:ascii="Arial" w:cs="Arial" w:eastAsia="Arial" w:hAnsi="Arial"/>
          <w:sz w:val="19"/>
          <w:szCs w:val="19"/>
          <w:color w:val="auto"/>
        </w:rPr>
      </w:pPr>
    </w:p>
    <w:p>
      <w:pPr>
        <w:ind w:left="160" w:right="479" w:firstLine="639"/>
        <w:spacing w:after="0" w:line="236" w:lineRule="auto"/>
        <w:tabs>
          <w:tab w:leader="none" w:pos="1483"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4" w:lineRule="exact"/>
        <w:rPr>
          <w:rFonts w:ascii="Arial" w:cs="Arial" w:eastAsia="Arial" w:hAnsi="Arial"/>
          <w:sz w:val="22"/>
          <w:szCs w:val="22"/>
          <w:color w:val="auto"/>
        </w:rPr>
      </w:pPr>
    </w:p>
    <w:p>
      <w:pPr>
        <w:ind w:left="160" w:right="219" w:firstLine="639"/>
        <w:spacing w:after="0" w:line="287" w:lineRule="auto"/>
        <w:tabs>
          <w:tab w:leader="none" w:pos="1483"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0" w:lineRule="exact"/>
        <w:rPr>
          <w:rFonts w:ascii="Arial" w:cs="Arial" w:eastAsia="Arial" w:hAnsi="Arial"/>
          <w:sz w:val="19"/>
          <w:szCs w:val="19"/>
          <w:color w:val="auto"/>
        </w:rPr>
      </w:pPr>
    </w:p>
    <w:p>
      <w:pPr>
        <w:ind w:left="160" w:right="659" w:firstLine="639"/>
        <w:spacing w:after="0" w:line="274" w:lineRule="auto"/>
        <w:tabs>
          <w:tab w:leader="none" w:pos="1483"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as a Director</w:t>
      </w:r>
      <w:r>
        <w:rPr>
          <w:rFonts w:ascii="Arial" w:cs="Arial" w:eastAsia="Arial" w:hAnsi="Arial"/>
          <w:sz w:val="21"/>
          <w:szCs w:val="21"/>
          <w:color w:val="auto"/>
        </w:rPr>
        <w:t>. Neither the Plan nor this Stock Option confers upon the Optionee any rights with respect to continuance as a Director.</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4" w:name="page225"/>
    <w:bookmarkEnd w:id="224"/>
    <w:p>
      <w:pPr>
        <w:ind w:left="160" w:right="399" w:firstLine="639"/>
        <w:spacing w:after="0" w:line="241" w:lineRule="auto"/>
        <w:tabs>
          <w:tab w:leader="none" w:pos="1483"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210" w:lineRule="exact"/>
        <w:rPr>
          <w:rFonts w:ascii="Arial" w:cs="Arial" w:eastAsia="Arial" w:hAnsi="Arial"/>
          <w:sz w:val="22"/>
          <w:szCs w:val="22"/>
          <w:color w:val="auto"/>
        </w:rPr>
      </w:pPr>
    </w:p>
    <w:p>
      <w:pPr>
        <w:ind w:left="160" w:right="239" w:firstLine="639"/>
        <w:spacing w:after="0" w:line="272" w:lineRule="auto"/>
        <w:tabs>
          <w:tab w:leader="none" w:pos="1483"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4" w:lineRule="exact"/>
        <w:rPr>
          <w:rFonts w:ascii="Arial" w:cs="Arial" w:eastAsia="Arial" w:hAnsi="Arial"/>
          <w:sz w:val="19"/>
          <w:szCs w:val="19"/>
          <w:color w:val="auto"/>
        </w:rPr>
      </w:pPr>
    </w:p>
    <w:p>
      <w:pPr>
        <w:ind w:left="160" w:right="299" w:firstLine="639"/>
        <w:spacing w:after="0" w:line="238" w:lineRule="auto"/>
        <w:tabs>
          <w:tab w:leader="none" w:pos="1483"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BLUEPRINT MEDICINES</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7620</wp:posOffset>
            </wp:positionV>
            <wp:extent cx="2521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Name:</w:t>
      </w:r>
    </w:p>
    <w:p>
      <w:pPr>
        <w:ind w:left="4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both"/>
        <w:ind w:left="160" w:right="1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7620</wp:posOffset>
            </wp:positionV>
            <wp:extent cx="51625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Optionee’s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5" w:name="page226"/>
    <w:bookmarkEnd w:id="225"/>
    <w:p>
      <w:pPr>
        <w:jc w:val="center"/>
        <w:ind w:left="160" w:right="159"/>
        <w:spacing w:after="0" w:line="243" w:lineRule="auto"/>
        <w:rPr>
          <w:sz w:val="20"/>
          <w:szCs w:val="20"/>
          <w:color w:val="auto"/>
        </w:rPr>
      </w:pPr>
      <w:r>
        <w:rPr>
          <w:rFonts w:ascii="Arial" w:cs="Arial" w:eastAsia="Arial" w:hAnsi="Arial"/>
          <w:sz w:val="22"/>
          <w:szCs w:val="22"/>
          <w:b w:val="1"/>
          <w:bCs w:val="1"/>
          <w:color w:val="auto"/>
        </w:rPr>
        <w:t>RESTRICTED STOCK AWARD AGREEMENT UNDER THE BLUEPRINT MEDICINES CORPORATION 2015 STOCK OPTION AND INCENTIVE PLAN</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Grantee: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Shares:</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33" w:lineRule="exact"/>
        <w:rPr>
          <w:sz w:val="20"/>
          <w:szCs w:val="20"/>
          <w:color w:val="auto"/>
        </w:rPr>
      </w:pPr>
    </w:p>
    <w:p>
      <w:pPr>
        <w:ind w:left="160" w:right="139" w:firstLine="648"/>
        <w:spacing w:after="0" w:line="245" w:lineRule="auto"/>
        <w:rPr>
          <w:sz w:val="20"/>
          <w:szCs w:val="20"/>
          <w:color w:val="auto"/>
        </w:rPr>
      </w:pPr>
      <w:r>
        <w:rPr>
          <w:rFonts w:ascii="Arial" w:cs="Arial" w:eastAsia="Arial" w:hAnsi="Arial"/>
          <w:sz w:val="21"/>
          <w:szCs w:val="21"/>
          <w:color w:val="auto"/>
        </w:rPr>
        <w:t>Pursuant to the Blueprint Medicines Corporation 2015 Stock Option and Incentive Plan (the “Plan”) as amended through the date hereof, Blueprint Medicines Corporation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212" w:lineRule="exact"/>
        <w:rPr>
          <w:sz w:val="20"/>
          <w:szCs w:val="20"/>
          <w:color w:val="auto"/>
        </w:rPr>
      </w:pPr>
    </w:p>
    <w:p>
      <w:pPr>
        <w:ind w:left="160" w:right="139" w:firstLine="639"/>
        <w:spacing w:after="0" w:line="247" w:lineRule="auto"/>
        <w:tabs>
          <w:tab w:leader="none" w:pos="1483"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205" w:lineRule="exact"/>
        <w:rPr>
          <w:rFonts w:ascii="Arial" w:cs="Arial" w:eastAsia="Arial" w:hAnsi="Arial"/>
          <w:sz w:val="21"/>
          <w:szCs w:val="21"/>
          <w:color w:val="auto"/>
        </w:rPr>
      </w:pPr>
    </w:p>
    <w:p>
      <w:pPr>
        <w:ind w:left="1600" w:hanging="801"/>
        <w:spacing w:after="0"/>
        <w:tabs>
          <w:tab w:leader="none" w:pos="1600"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0" w:right="199" w:firstLine="1287"/>
        <w:spacing w:after="0" w:line="258" w:lineRule="auto"/>
        <w:tabs>
          <w:tab w:leader="none" w:pos="1966" w:val="left"/>
        </w:tabs>
        <w:numPr>
          <w:ilvl w:val="1"/>
          <w:numId w:val="237"/>
        </w:numPr>
        <w:rPr>
          <w:rFonts w:ascii="Arial" w:cs="Arial" w:eastAsia="Arial" w:hAnsi="Arial"/>
          <w:sz w:val="21"/>
          <w:szCs w:val="21"/>
          <w:color w:val="auto"/>
        </w:rPr>
      </w:pPr>
      <w:r>
        <w:rPr>
          <w:rFonts w:ascii="Arial" w:cs="Arial" w:eastAsia="Arial" w:hAnsi="Arial"/>
          <w:sz w:val="21"/>
          <w:szCs w:val="21"/>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93" w:lineRule="exact"/>
        <w:rPr>
          <w:rFonts w:ascii="Arial" w:cs="Arial" w:eastAsia="Arial" w:hAnsi="Arial"/>
          <w:sz w:val="21"/>
          <w:szCs w:val="21"/>
          <w:color w:val="auto"/>
        </w:rPr>
      </w:pPr>
    </w:p>
    <w:p>
      <w:pPr>
        <w:ind w:left="160" w:right="879" w:firstLine="1287"/>
        <w:spacing w:after="0" w:line="328" w:lineRule="auto"/>
        <w:tabs>
          <w:tab w:leader="none" w:pos="1979" w:val="left"/>
        </w:tabs>
        <w:numPr>
          <w:ilvl w:val="1"/>
          <w:numId w:val="237"/>
        </w:numPr>
        <w:rPr>
          <w:rFonts w:ascii="Arial" w:cs="Arial" w:eastAsia="Arial" w:hAnsi="Arial"/>
          <w:sz w:val="19"/>
          <w:szCs w:val="19"/>
          <w:color w:val="auto"/>
        </w:rPr>
      </w:pPr>
      <w:r>
        <w:rPr>
          <w:rFonts w:ascii="Arial" w:cs="Arial" w:eastAsia="Arial" w:hAnsi="Arial"/>
          <w:sz w:val="19"/>
          <w:szCs w:val="19"/>
          <w:color w:val="auto"/>
        </w:rPr>
        <w:t>Shares of Restricted Stock granted herein may not be sold, assigned, transferred, pledged or otherwise encumbered or disposed of by the Grantee prior to vesting.</w:t>
      </w:r>
    </w:p>
    <w:p>
      <w:pPr>
        <w:spacing w:after="0" w:line="132" w:lineRule="exact"/>
        <w:rPr>
          <w:rFonts w:ascii="Arial" w:cs="Arial" w:eastAsia="Arial" w:hAnsi="Arial"/>
          <w:sz w:val="19"/>
          <w:szCs w:val="19"/>
          <w:color w:val="auto"/>
        </w:rPr>
      </w:pPr>
    </w:p>
    <w:p>
      <w:pPr>
        <w:ind w:left="160" w:right="279" w:firstLine="1287"/>
        <w:spacing w:after="0" w:line="238" w:lineRule="auto"/>
        <w:tabs>
          <w:tab w:leader="none" w:pos="1966" w:val="left"/>
        </w:tabs>
        <w:numPr>
          <w:ilvl w:val="1"/>
          <w:numId w:val="237"/>
        </w:numPr>
        <w:rPr>
          <w:rFonts w:ascii="Arial" w:cs="Arial" w:eastAsia="Arial" w:hAnsi="Arial"/>
          <w:sz w:val="22"/>
          <w:szCs w:val="22"/>
          <w:color w:val="auto"/>
        </w:rPr>
      </w:pPr>
      <w:r>
        <w:rPr>
          <w:rFonts w:ascii="Arial" w:cs="Arial" w:eastAsia="Arial" w:hAnsi="Arial"/>
          <w:sz w:val="22"/>
          <w:szCs w:val="22"/>
          <w:color w:val="auto"/>
        </w:rPr>
        <w:t>If the Grantee’s employment with the Company and its Subsidiaries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212" w:lineRule="exact"/>
        <w:rPr>
          <w:rFonts w:ascii="Arial" w:cs="Arial" w:eastAsia="Arial" w:hAnsi="Arial"/>
          <w:sz w:val="22"/>
          <w:szCs w:val="22"/>
          <w:color w:val="auto"/>
        </w:rPr>
      </w:pPr>
    </w:p>
    <w:p>
      <w:pPr>
        <w:jc w:val="both"/>
        <w:ind w:left="160" w:right="419" w:firstLine="639"/>
        <w:spacing w:after="0" w:line="287" w:lineRule="auto"/>
        <w:tabs>
          <w:tab w:leader="none" w:pos="1483"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w:t>
      </w:r>
      <w:r>
        <w:rPr>
          <w:rFonts w:ascii="Arial" w:cs="Arial" w:eastAsia="Arial" w:hAnsi="Arial"/>
          <w:sz w:val="19"/>
          <w:szCs w:val="19"/>
          <w:color w:val="auto"/>
        </w:rPr>
        <w:t>. The restrictions and conditions in Paragraph 2 of this Agreement shall lapse on the Vesting Date or Dates specified in the following schedule so long as the Grantee remains an employee of the Company or a Subsidiary on such Dates. If a series of Vesting Dates is specified, then the restrictions and conditions in Paragraph 2 shall lapse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481965</wp:posOffset>
            </wp:positionV>
            <wp:extent cx="554863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6" w:name="page227"/>
    <w:bookmarkEnd w:id="226"/>
    <w:p>
      <w:pPr>
        <w:ind w:left="160"/>
        <w:spacing w:after="0"/>
        <w:rPr>
          <w:sz w:val="20"/>
          <w:szCs w:val="20"/>
          <w:color w:val="auto"/>
        </w:rPr>
      </w:pPr>
      <w:r>
        <w:rPr>
          <w:rFonts w:ascii="Arial" w:cs="Arial" w:eastAsia="Arial" w:hAnsi="Arial"/>
          <w:sz w:val="19"/>
          <w:szCs w:val="19"/>
          <w:color w:val="auto"/>
        </w:rPr>
        <w:t>with respect to the number of shares of Restricted Stock specified as vested on such date.</w:t>
      </w:r>
    </w:p>
    <w:p>
      <w:pPr>
        <w:sectPr>
          <w:pgSz w:w="11900" w:h="16838" w:orient="portrait"/>
          <w:cols w:equalWidth="0" w:num="1">
            <w:col w:w="9019"/>
          </w:cols>
          <w:pgMar w:left="1440" w:top="118" w:right="1440" w:bottom="1440" w:gutter="0" w:footer="0" w:header="0"/>
        </w:sectPr>
      </w:pPr>
    </w:p>
    <w:p>
      <w:pPr>
        <w:spacing w:after="0" w:line="262" w:lineRule="exact"/>
        <w:rPr>
          <w:sz w:val="20"/>
          <w:szCs w:val="20"/>
          <w:color w:val="auto"/>
        </w:rPr>
      </w:pPr>
    </w:p>
    <w:p>
      <w:pPr>
        <w:ind w:left="1780"/>
        <w:spacing w:after="0"/>
        <w:rPr>
          <w:sz w:val="20"/>
          <w:szCs w:val="20"/>
          <w:color w:val="auto"/>
        </w:rPr>
      </w:pPr>
      <w:r>
        <w:rPr>
          <w:rFonts w:ascii="Arial" w:cs="Arial" w:eastAsia="Arial" w:hAnsi="Arial"/>
          <w:sz w:val="19"/>
          <w:szCs w:val="19"/>
          <w:b w:val="1"/>
          <w:bCs w:val="1"/>
          <w:color w:val="auto"/>
        </w:rPr>
        <w:t>Incremental Number</w:t>
      </w:r>
    </w:p>
    <w:p>
      <w:pPr>
        <w:spacing w:after="0" w:line="49"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of Shares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-3175</wp:posOffset>
            </wp:positionV>
            <wp:extent cx="26841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 Date</w:t>
      </w:r>
    </w:p>
    <w:p>
      <w:pPr>
        <w:spacing w:after="0" w:line="258" w:lineRule="exact"/>
        <w:rPr>
          <w:sz w:val="20"/>
          <w:szCs w:val="20"/>
          <w:color w:val="auto"/>
        </w:rPr>
      </w:pPr>
    </w:p>
    <w:p>
      <w:pPr>
        <w:sectPr>
          <w:pgSz w:w="11900" w:h="16838" w:orient="portrait"/>
          <w:cols w:equalWidth="0" w:num="2">
            <w:col w:w="5540" w:space="720"/>
            <w:col w:w="2759"/>
          </w:cols>
          <w:pgMar w:left="1440" w:top="118" w:right="1440" w:bottom="1440" w:gutter="0" w:footer="0" w:header="0"/>
          <w:type w:val="continuous"/>
        </w:sectPr>
      </w:pPr>
    </w:p>
    <w:p>
      <w:pPr>
        <w:spacing w:after="0" w:line="29" w:lineRule="exact"/>
        <w:rPr>
          <w:sz w:val="20"/>
          <w:szCs w:val="20"/>
          <w:color w:val="auto"/>
        </w:rPr>
      </w:pPr>
    </w:p>
    <w:p>
      <w:pPr>
        <w:ind w:left="3960" w:hanging="460"/>
        <w:spacing w:after="0"/>
        <w:tabs>
          <w:tab w:leader="none" w:pos="396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-146685</wp:posOffset>
            </wp:positionV>
            <wp:extent cx="368744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3960" w:hanging="460"/>
        <w:spacing w:after="0" w:line="238" w:lineRule="auto"/>
        <w:tabs>
          <w:tab w:leader="none" w:pos="3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w:t>
      </w:r>
    </w:p>
    <w:p>
      <w:pPr>
        <w:ind w:left="3960" w:hanging="460"/>
        <w:spacing w:after="0" w:line="230" w:lineRule="auto"/>
        <w:tabs>
          <w:tab w:leader="none" w:pos="396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-151130</wp:posOffset>
            </wp:positionV>
            <wp:extent cx="368744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3960" w:hanging="460"/>
        <w:spacing w:after="0" w:line="231" w:lineRule="auto"/>
        <w:tabs>
          <w:tab w:leader="none" w:pos="39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t>
      </w:r>
    </w:p>
    <w:p>
      <w:pPr>
        <w:ind w:left="3960" w:hanging="460"/>
        <w:spacing w:after="0"/>
        <w:tabs>
          <w:tab w:leader="none" w:pos="39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-158115</wp:posOffset>
            </wp:positionV>
            <wp:extent cx="368744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spacing w:after="0" w:line="195" w:lineRule="exact"/>
        <w:rPr>
          <w:sz w:val="20"/>
          <w:szCs w:val="20"/>
          <w:color w:val="auto"/>
        </w:rPr>
      </w:pPr>
    </w:p>
    <w:p>
      <w:pPr>
        <w:jc w:val="both"/>
        <w:ind w:left="160" w:right="359" w:firstLine="648"/>
        <w:spacing w:after="0" w:line="297" w:lineRule="auto"/>
        <w:rPr>
          <w:sz w:val="20"/>
          <w:szCs w:val="20"/>
          <w:color w:val="auto"/>
        </w:rPr>
      </w:pPr>
      <w:r>
        <w:rPr>
          <w:rFonts w:ascii="Arial" w:cs="Arial" w:eastAsia="Arial" w:hAnsi="Arial"/>
          <w:sz w:val="19"/>
          <w:szCs w:val="19"/>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61" w:lineRule="exact"/>
        <w:rPr>
          <w:sz w:val="20"/>
          <w:szCs w:val="20"/>
          <w:color w:val="auto"/>
        </w:rPr>
      </w:pPr>
    </w:p>
    <w:p>
      <w:pPr>
        <w:ind w:left="1480" w:hanging="681"/>
        <w:spacing w:after="0"/>
        <w:tabs>
          <w:tab w:leader="none" w:pos="1480"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Dividends on shares of Restricted Stock shall be paid currently to the</w:t>
      </w:r>
    </w:p>
    <w:p>
      <w:pPr>
        <w:spacing w:after="0" w:line="42"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2"/>
          <w:szCs w:val="22"/>
          <w:color w:val="auto"/>
        </w:rPr>
        <w:t>Grantee.</w:t>
      </w:r>
    </w:p>
    <w:p>
      <w:pPr>
        <w:spacing w:after="0" w:line="215" w:lineRule="exact"/>
        <w:rPr>
          <w:rFonts w:ascii="Arial" w:cs="Arial" w:eastAsia="Arial" w:hAnsi="Arial"/>
          <w:sz w:val="19"/>
          <w:szCs w:val="19"/>
          <w:color w:val="auto"/>
        </w:rPr>
      </w:pPr>
    </w:p>
    <w:p>
      <w:pPr>
        <w:ind w:left="160" w:right="239" w:firstLine="639"/>
        <w:spacing w:after="0" w:line="287" w:lineRule="auto"/>
        <w:tabs>
          <w:tab w:leader="none" w:pos="1483"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0" w:lineRule="exact"/>
        <w:rPr>
          <w:rFonts w:ascii="Arial" w:cs="Arial" w:eastAsia="Arial" w:hAnsi="Arial"/>
          <w:sz w:val="19"/>
          <w:szCs w:val="19"/>
          <w:color w:val="auto"/>
        </w:rPr>
      </w:pPr>
    </w:p>
    <w:p>
      <w:pPr>
        <w:ind w:left="160" w:right="339" w:firstLine="639"/>
        <w:spacing w:after="0"/>
        <w:tabs>
          <w:tab w:leader="none" w:pos="1483"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Grantee, is non-assignable and is not transferable in any manner, by operation of law or otherwise, other than by will or the laws of descent and distribution.</w:t>
      </w:r>
    </w:p>
    <w:p>
      <w:pPr>
        <w:spacing w:after="0" w:line="213" w:lineRule="exact"/>
        <w:rPr>
          <w:rFonts w:ascii="Arial" w:cs="Arial" w:eastAsia="Arial" w:hAnsi="Arial"/>
          <w:sz w:val="22"/>
          <w:szCs w:val="22"/>
          <w:color w:val="auto"/>
        </w:rPr>
      </w:pPr>
    </w:p>
    <w:p>
      <w:pPr>
        <w:ind w:left="160" w:right="219" w:firstLine="639"/>
        <w:spacing w:after="0" w:line="275" w:lineRule="auto"/>
        <w:tabs>
          <w:tab w:leader="none" w:pos="1483"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85" w:lineRule="exact"/>
        <w:rPr>
          <w:rFonts w:ascii="Arial" w:cs="Arial" w:eastAsia="Arial" w:hAnsi="Arial"/>
          <w:sz w:val="19"/>
          <w:szCs w:val="19"/>
          <w:color w:val="auto"/>
        </w:rPr>
      </w:pPr>
    </w:p>
    <w:p>
      <w:pPr>
        <w:ind w:left="160" w:right="139" w:firstLine="639"/>
        <w:spacing w:after="0" w:line="246" w:lineRule="auto"/>
        <w:tabs>
          <w:tab w:leader="none" w:pos="1483" w:val="left"/>
        </w:tabs>
        <w:numPr>
          <w:ilvl w:val="0"/>
          <w:numId w:val="242"/>
        </w:numPr>
        <w:rPr>
          <w:rFonts w:ascii="Arial" w:cs="Arial" w:eastAsia="Arial" w:hAnsi="Arial"/>
          <w:sz w:val="21"/>
          <w:szCs w:val="21"/>
          <w:color w:val="auto"/>
        </w:rPr>
      </w:pPr>
      <w:r>
        <w:rPr>
          <w:rFonts w:ascii="Arial" w:cs="Arial" w:eastAsia="Arial" w:hAnsi="Arial"/>
          <w:sz w:val="21"/>
          <w:szCs w:val="21"/>
          <w:u w:val="single" w:color="auto"/>
          <w:color w:val="auto"/>
        </w:rPr>
        <w:t>Election Under Section 83(b)</w:t>
      </w:r>
      <w:r>
        <w:rPr>
          <w:rFonts w:ascii="Arial" w:cs="Arial" w:eastAsia="Arial" w:hAnsi="Arial"/>
          <w:sz w:val="21"/>
          <w:szCs w:val="21"/>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27" w:name="page228"/>
    <w:bookmarkEnd w:id="227"/>
    <w:p>
      <w:pPr>
        <w:jc w:val="both"/>
        <w:ind w:left="160" w:right="219" w:firstLine="639"/>
        <w:spacing w:after="0" w:line="287" w:lineRule="auto"/>
        <w:tabs>
          <w:tab w:leader="none" w:pos="1483"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71" w:lineRule="exact"/>
        <w:rPr>
          <w:rFonts w:ascii="Arial" w:cs="Arial" w:eastAsia="Arial" w:hAnsi="Arial"/>
          <w:sz w:val="19"/>
          <w:szCs w:val="19"/>
          <w:color w:val="auto"/>
        </w:rPr>
      </w:pPr>
    </w:p>
    <w:p>
      <w:pPr>
        <w:ind w:left="160" w:right="339" w:firstLine="639"/>
        <w:spacing w:after="0"/>
        <w:tabs>
          <w:tab w:leader="none" w:pos="1524"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13" w:lineRule="exact"/>
        <w:rPr>
          <w:rFonts w:ascii="Arial" w:cs="Arial" w:eastAsia="Arial" w:hAnsi="Arial"/>
          <w:sz w:val="22"/>
          <w:szCs w:val="22"/>
          <w:color w:val="auto"/>
        </w:rPr>
      </w:pPr>
    </w:p>
    <w:p>
      <w:pPr>
        <w:ind w:left="160" w:right="239" w:firstLine="639"/>
        <w:spacing w:after="0" w:line="272" w:lineRule="auto"/>
        <w:tabs>
          <w:tab w:leader="none" w:pos="1516"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4" w:lineRule="exact"/>
        <w:rPr>
          <w:rFonts w:ascii="Arial" w:cs="Arial" w:eastAsia="Arial" w:hAnsi="Arial"/>
          <w:sz w:val="19"/>
          <w:szCs w:val="19"/>
          <w:color w:val="auto"/>
        </w:rPr>
      </w:pPr>
    </w:p>
    <w:p>
      <w:pPr>
        <w:ind w:left="160" w:right="199" w:firstLine="639"/>
        <w:spacing w:after="0" w:line="238" w:lineRule="auto"/>
        <w:tabs>
          <w:tab w:leader="none" w:pos="1524"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BLUEPRINT MEDICINES</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7620</wp:posOffset>
            </wp:positionV>
            <wp:extent cx="2546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2"/>
          <w:szCs w:val="22"/>
          <w:color w:val="auto"/>
        </w:rPr>
        <w:t>Name:</w:t>
      </w:r>
    </w:p>
    <w:p>
      <w:pPr>
        <w:ind w:left="486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both"/>
        <w:ind w:left="160" w:right="1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7620</wp:posOffset>
            </wp:positionV>
            <wp:extent cx="51454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Grantee’s name and address: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8" w:name="page229"/>
    <w:bookmarkEnd w:id="228"/>
    <w:p>
      <w:pPr>
        <w:jc w:val="center"/>
        <w:ind w:left="1640" w:right="1760"/>
        <w:spacing w:after="0" w:line="239" w:lineRule="auto"/>
        <w:rPr>
          <w:sz w:val="20"/>
          <w:szCs w:val="20"/>
          <w:color w:val="auto"/>
        </w:rPr>
      </w:pPr>
      <w:r>
        <w:rPr>
          <w:rFonts w:ascii="Arial" w:cs="Arial" w:eastAsia="Arial" w:hAnsi="Arial"/>
          <w:sz w:val="22"/>
          <w:szCs w:val="22"/>
          <w:b w:val="1"/>
          <w:bCs w:val="1"/>
          <w:color w:val="auto"/>
        </w:rPr>
        <w:t>RESTRICTED STOCK UNIT AWARD AGREEMENT FOR COMPANY EMPLOYEES UNDER BLUEPRINT MEDICINES CORPORATION 2015 STOCK OPTION AND INCENTIVE PLAN</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Grantee: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Restricted Stock Units:</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33" w:lineRule="exact"/>
        <w:rPr>
          <w:sz w:val="20"/>
          <w:szCs w:val="20"/>
          <w:color w:val="auto"/>
        </w:rPr>
      </w:pPr>
    </w:p>
    <w:p>
      <w:pPr>
        <w:jc w:val="both"/>
        <w:ind w:left="160" w:right="399" w:firstLine="648"/>
        <w:spacing w:after="0" w:line="249" w:lineRule="auto"/>
        <w:rPr>
          <w:sz w:val="20"/>
          <w:szCs w:val="20"/>
          <w:color w:val="auto"/>
        </w:rPr>
      </w:pPr>
      <w:r>
        <w:rPr>
          <w:rFonts w:ascii="Arial" w:cs="Arial" w:eastAsia="Arial" w:hAnsi="Arial"/>
          <w:sz w:val="21"/>
          <w:szCs w:val="21"/>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206" w:lineRule="exact"/>
        <w:rPr>
          <w:sz w:val="20"/>
          <w:szCs w:val="20"/>
          <w:color w:val="auto"/>
        </w:rPr>
      </w:pPr>
    </w:p>
    <w:p>
      <w:pPr>
        <w:ind w:left="160" w:right="179" w:firstLine="639"/>
        <w:spacing w:after="0" w:line="248" w:lineRule="auto"/>
        <w:tabs>
          <w:tab w:leader="none" w:pos="1483" w:val="left"/>
        </w:tabs>
        <w:numPr>
          <w:ilvl w:val="0"/>
          <w:numId w:val="244"/>
        </w:numPr>
        <w:rPr>
          <w:rFonts w:ascii="Arial" w:cs="Arial" w:eastAsia="Arial" w:hAnsi="Arial"/>
          <w:sz w:val="21"/>
          <w:szCs w:val="21"/>
          <w:color w:val="auto"/>
        </w:rPr>
      </w:pPr>
      <w:r>
        <w:rPr>
          <w:rFonts w:ascii="Arial" w:cs="Arial" w:eastAsia="Arial" w:hAnsi="Arial"/>
          <w:sz w:val="21"/>
          <w:szCs w:val="21"/>
          <w:u w:val="single" w:color="auto"/>
          <w:color w:val="auto"/>
        </w:rPr>
        <w:t>Restrictions on Transfer of Award</w:t>
      </w:r>
      <w:r>
        <w:rPr>
          <w:rFonts w:ascii="Arial" w:cs="Arial" w:eastAsia="Arial" w:hAnsi="Arial"/>
          <w:sz w:val="21"/>
          <w:szCs w:val="21"/>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4" w:lineRule="exact"/>
        <w:rPr>
          <w:rFonts w:ascii="Arial" w:cs="Arial" w:eastAsia="Arial" w:hAnsi="Arial"/>
          <w:sz w:val="21"/>
          <w:szCs w:val="21"/>
          <w:color w:val="auto"/>
        </w:rPr>
      </w:pPr>
    </w:p>
    <w:p>
      <w:pPr>
        <w:ind w:left="160" w:right="279" w:firstLine="639"/>
        <w:spacing w:after="0" w:line="282" w:lineRule="auto"/>
        <w:tabs>
          <w:tab w:leader="none" w:pos="1483"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on the Vesting Date or Dates specified in the following schedule so long as the Grantee remains an employee of the Company or a Subsidiary on such Dates.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9019"/>
          </w:cols>
          <w:pgMar w:left="1440" w:top="355" w:right="1440" w:bottom="1440" w:gutter="0" w:footer="0" w:header="0"/>
        </w:sectPr>
      </w:pPr>
    </w:p>
    <w:p>
      <w:pPr>
        <w:spacing w:after="0" w:line="169"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9"/>
          <w:szCs w:val="19"/>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17780</wp:posOffset>
            </wp:positionV>
            <wp:extent cx="26841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 Date</w:t>
      </w:r>
    </w:p>
    <w:p>
      <w:pPr>
        <w:spacing w:after="0" w:line="224" w:lineRule="exact"/>
        <w:rPr>
          <w:sz w:val="20"/>
          <w:szCs w:val="20"/>
          <w:color w:val="auto"/>
        </w:rPr>
      </w:pPr>
    </w:p>
    <w:p>
      <w:pPr>
        <w:sectPr>
          <w:pgSz w:w="11900" w:h="16838" w:orient="portrait"/>
          <w:cols w:equalWidth="0" w:num="2">
            <w:col w:w="5540" w:space="720"/>
            <w:col w:w="2759"/>
          </w:cols>
          <w:pgMar w:left="1440" w:top="355" w:right="1440" w:bottom="1440" w:gutter="0" w:footer="0" w:header="0"/>
          <w:type w:val="continuous"/>
        </w:sectPr>
      </w:pPr>
    </w:p>
    <w:p>
      <w:pPr>
        <w:spacing w:after="0" w:line="63" w:lineRule="exact"/>
        <w:rPr>
          <w:sz w:val="20"/>
          <w:szCs w:val="20"/>
          <w:color w:val="auto"/>
        </w:rPr>
      </w:pPr>
    </w:p>
    <w:p>
      <w:pPr>
        <w:ind w:left="3960" w:hanging="460"/>
        <w:spacing w:after="0"/>
        <w:tabs>
          <w:tab w:leader="none" w:pos="396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-146685</wp:posOffset>
            </wp:positionV>
            <wp:extent cx="368744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3960" w:hanging="460"/>
        <w:spacing w:after="0" w:line="238" w:lineRule="auto"/>
        <w:tabs>
          <w:tab w:leader="none" w:pos="39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p>
    <w:p>
      <w:pPr>
        <w:ind w:left="3960" w:hanging="460"/>
        <w:spacing w:after="0" w:line="230" w:lineRule="auto"/>
        <w:tabs>
          <w:tab w:leader="none" w:pos="396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-151130</wp:posOffset>
            </wp:positionV>
            <wp:extent cx="368744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3960" w:hanging="460"/>
        <w:spacing w:after="0" w:line="231" w:lineRule="auto"/>
        <w:tabs>
          <w:tab w:leader="none" w:pos="39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w:t>
      </w:r>
    </w:p>
    <w:p>
      <w:pPr>
        <w:ind w:left="3960" w:hanging="460"/>
        <w:spacing w:after="0"/>
        <w:tabs>
          <w:tab w:leader="none" w:pos="39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-158115</wp:posOffset>
            </wp:positionV>
            <wp:extent cx="3687445"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spacing w:after="0" w:line="195" w:lineRule="exact"/>
        <w:rPr>
          <w:sz w:val="20"/>
          <w:szCs w:val="20"/>
          <w:color w:val="auto"/>
        </w:rPr>
      </w:pPr>
    </w:p>
    <w:p>
      <w:pPr>
        <w:ind w:left="160" w:right="1039" w:firstLine="648"/>
        <w:spacing w:after="0" w:line="251" w:lineRule="auto"/>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00" w:lineRule="exact"/>
        <w:rPr>
          <w:sz w:val="20"/>
          <w:szCs w:val="20"/>
          <w:color w:val="auto"/>
        </w:rPr>
      </w:pPr>
    </w:p>
    <w:p>
      <w:pPr>
        <w:ind w:left="160" w:right="199" w:firstLine="639"/>
        <w:spacing w:after="0" w:line="287" w:lineRule="auto"/>
        <w:tabs>
          <w:tab w:leader="none" w:pos="1483"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481965</wp:posOffset>
            </wp:positionV>
            <wp:extent cx="554863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229" w:name="page230"/>
    <w:bookmarkEnd w:id="229"/>
    <w:p>
      <w:pPr>
        <w:ind w:left="160" w:right="359"/>
        <w:spacing w:after="0" w:line="329" w:lineRule="auto"/>
        <w:rPr>
          <w:sz w:val="20"/>
          <w:szCs w:val="20"/>
          <w:color w:val="auto"/>
        </w:rPr>
      </w:pPr>
      <w:r>
        <w:rPr>
          <w:rFonts w:ascii="Arial" w:cs="Arial" w:eastAsia="Arial" w:hAnsi="Arial"/>
          <w:sz w:val="19"/>
          <w:szCs w:val="19"/>
          <w:color w:val="auto"/>
        </w:rPr>
        <w:t>neither the Grantee nor any of his or her successors, heirs, assigns, or personal representatives will thereafter have any further rights or interests in such unvested Restricted Stock Units.</w:t>
      </w:r>
    </w:p>
    <w:p>
      <w:pPr>
        <w:spacing w:after="0" w:line="131" w:lineRule="exact"/>
        <w:rPr>
          <w:sz w:val="20"/>
          <w:szCs w:val="20"/>
          <w:color w:val="auto"/>
        </w:rPr>
      </w:pPr>
    </w:p>
    <w:p>
      <w:pPr>
        <w:ind w:left="160" w:right="139" w:firstLine="639"/>
        <w:spacing w:after="0" w:line="248" w:lineRule="auto"/>
        <w:tabs>
          <w:tab w:leader="none" w:pos="1483" w:val="left"/>
        </w:tabs>
        <w:numPr>
          <w:ilvl w:val="0"/>
          <w:numId w:val="250"/>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4" w:lineRule="exact"/>
        <w:rPr>
          <w:rFonts w:ascii="Arial" w:cs="Arial" w:eastAsia="Arial" w:hAnsi="Arial"/>
          <w:sz w:val="21"/>
          <w:szCs w:val="21"/>
          <w:color w:val="auto"/>
        </w:rPr>
      </w:pPr>
    </w:p>
    <w:p>
      <w:pPr>
        <w:ind w:left="160" w:right="439" w:firstLine="639"/>
        <w:spacing w:after="0" w:line="236" w:lineRule="auto"/>
        <w:tabs>
          <w:tab w:leader="none" w:pos="1483"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4" w:lineRule="exact"/>
        <w:rPr>
          <w:rFonts w:ascii="Arial" w:cs="Arial" w:eastAsia="Arial" w:hAnsi="Arial"/>
          <w:sz w:val="22"/>
          <w:szCs w:val="22"/>
          <w:color w:val="auto"/>
        </w:rPr>
      </w:pPr>
    </w:p>
    <w:p>
      <w:pPr>
        <w:ind w:left="160" w:right="219" w:firstLine="639"/>
        <w:spacing w:after="0" w:line="277" w:lineRule="auto"/>
        <w:tabs>
          <w:tab w:leader="none" w:pos="1483"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minimum tax withholding obligation to be satisfied, in whole or in part, by withholding from shares of Stock to be issued to the Grantee a number of shares of Stock with an aggregate Fair Market Value that would satisfy the withholding amount due.</w:t>
      </w:r>
    </w:p>
    <w:p>
      <w:pPr>
        <w:spacing w:after="0" w:line="179" w:lineRule="exact"/>
        <w:rPr>
          <w:rFonts w:ascii="Arial" w:cs="Arial" w:eastAsia="Arial" w:hAnsi="Arial"/>
          <w:sz w:val="19"/>
          <w:szCs w:val="19"/>
          <w:color w:val="auto"/>
        </w:rPr>
      </w:pPr>
    </w:p>
    <w:p>
      <w:pPr>
        <w:ind w:left="160" w:right="179" w:firstLine="639"/>
        <w:spacing w:after="0" w:line="297" w:lineRule="auto"/>
        <w:tabs>
          <w:tab w:leader="none" w:pos="1483"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Arial" w:cs="Arial" w:eastAsia="Arial" w:hAnsi="Arial"/>
          <w:sz w:val="19"/>
          <w:szCs w:val="19"/>
          <w:color w:val="auto"/>
        </w:rPr>
      </w:pPr>
    </w:p>
    <w:p>
      <w:pPr>
        <w:jc w:val="both"/>
        <w:ind w:left="160" w:right="219" w:firstLine="639"/>
        <w:spacing w:after="0" w:line="287" w:lineRule="auto"/>
        <w:tabs>
          <w:tab w:leader="none" w:pos="1483"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70" w:lineRule="exact"/>
        <w:rPr>
          <w:rFonts w:ascii="Arial" w:cs="Arial" w:eastAsia="Arial" w:hAnsi="Arial"/>
          <w:sz w:val="19"/>
          <w:szCs w:val="19"/>
          <w:color w:val="auto"/>
        </w:rPr>
      </w:pPr>
    </w:p>
    <w:p>
      <w:pPr>
        <w:ind w:left="160" w:right="339" w:firstLine="639"/>
        <w:spacing w:after="0"/>
        <w:tabs>
          <w:tab w:leader="none" w:pos="1483"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13" w:lineRule="exact"/>
        <w:rPr>
          <w:rFonts w:ascii="Arial" w:cs="Arial" w:eastAsia="Arial" w:hAnsi="Arial"/>
          <w:sz w:val="22"/>
          <w:szCs w:val="22"/>
          <w:color w:val="auto"/>
        </w:rPr>
      </w:pPr>
    </w:p>
    <w:p>
      <w:pPr>
        <w:ind w:left="160" w:right="259" w:firstLine="639"/>
        <w:spacing w:after="0" w:line="274" w:lineRule="auto"/>
        <w:tabs>
          <w:tab w:leader="none" w:pos="1524"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0" w:name="page231"/>
    <w:bookmarkEnd w:id="230"/>
    <w:p>
      <w:pPr>
        <w:ind w:left="160" w:right="399"/>
        <w:spacing w:after="0" w:line="287" w:lineRule="auto"/>
        <w:rPr>
          <w:sz w:val="20"/>
          <w:szCs w:val="20"/>
          <w:color w:val="auto"/>
        </w:rPr>
      </w:pPr>
      <w:r>
        <w:rPr>
          <w:rFonts w:ascii="Arial" w:cs="Arial" w:eastAsia="Arial" w:hAnsi="Arial"/>
          <w:sz w:val="19"/>
          <w:szCs w:val="19"/>
          <w:color w:val="auto"/>
        </w:rPr>
        <w:t>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1" w:lineRule="exact"/>
        <w:rPr>
          <w:sz w:val="20"/>
          <w:szCs w:val="20"/>
          <w:color w:val="auto"/>
        </w:rPr>
      </w:pPr>
    </w:p>
    <w:p>
      <w:pPr>
        <w:ind w:left="160" w:right="199" w:firstLine="639"/>
        <w:spacing w:after="0" w:line="238" w:lineRule="auto"/>
        <w:tabs>
          <w:tab w:leader="none" w:pos="1516"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BLUEPRINT MEDICINES</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ind w:left="490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-151130</wp:posOffset>
            </wp:positionV>
            <wp:extent cx="25126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both"/>
        <w:ind w:left="160" w:right="1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wp:posOffset>
            </wp:positionV>
            <wp:extent cx="51542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Grantee’s name and 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1" w:name="page232"/>
    <w:bookmarkEnd w:id="231"/>
    <w:p>
      <w:pPr>
        <w:jc w:val="center"/>
        <w:ind w:left="1640" w:right="1760"/>
        <w:spacing w:after="0" w:line="254" w:lineRule="auto"/>
        <w:rPr>
          <w:sz w:val="20"/>
          <w:szCs w:val="20"/>
          <w:color w:val="auto"/>
        </w:rPr>
      </w:pPr>
      <w:r>
        <w:rPr>
          <w:rFonts w:ascii="Arial" w:cs="Arial" w:eastAsia="Arial" w:hAnsi="Arial"/>
          <w:sz w:val="21"/>
          <w:szCs w:val="21"/>
          <w:b w:val="1"/>
          <w:bCs w:val="1"/>
          <w:color w:val="auto"/>
        </w:rPr>
        <w:t>RESTRICTED STOCK UNIT AWARD AGREEMENT FOR NON-EMPLOYEE DIRECTORS UNDER BLUEPRINT MEDICINES CORPORATION 2015 STOCK OPTION AND INCENTIVE PLAN</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Grantee:</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Restricted Stock Units:</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33" w:lineRule="exact"/>
        <w:rPr>
          <w:sz w:val="20"/>
          <w:szCs w:val="20"/>
          <w:color w:val="auto"/>
        </w:rPr>
      </w:pPr>
    </w:p>
    <w:p>
      <w:pPr>
        <w:jc w:val="both"/>
        <w:ind w:left="160" w:right="399" w:firstLine="648"/>
        <w:spacing w:after="0" w:line="249" w:lineRule="auto"/>
        <w:rPr>
          <w:sz w:val="20"/>
          <w:szCs w:val="20"/>
          <w:color w:val="auto"/>
        </w:rPr>
      </w:pPr>
      <w:r>
        <w:rPr>
          <w:rFonts w:ascii="Arial" w:cs="Arial" w:eastAsia="Arial" w:hAnsi="Arial"/>
          <w:sz w:val="21"/>
          <w:szCs w:val="21"/>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206" w:lineRule="exact"/>
        <w:rPr>
          <w:sz w:val="20"/>
          <w:szCs w:val="20"/>
          <w:color w:val="auto"/>
        </w:rPr>
      </w:pPr>
    </w:p>
    <w:p>
      <w:pPr>
        <w:ind w:left="160" w:right="179" w:firstLine="639"/>
        <w:spacing w:after="0" w:line="248" w:lineRule="auto"/>
        <w:tabs>
          <w:tab w:leader="none" w:pos="1483" w:val="left"/>
        </w:tabs>
        <w:numPr>
          <w:ilvl w:val="0"/>
          <w:numId w:val="252"/>
        </w:numPr>
        <w:rPr>
          <w:rFonts w:ascii="Arial" w:cs="Arial" w:eastAsia="Arial" w:hAnsi="Arial"/>
          <w:sz w:val="21"/>
          <w:szCs w:val="21"/>
          <w:color w:val="auto"/>
        </w:rPr>
      </w:pPr>
      <w:r>
        <w:rPr>
          <w:rFonts w:ascii="Arial" w:cs="Arial" w:eastAsia="Arial" w:hAnsi="Arial"/>
          <w:sz w:val="21"/>
          <w:szCs w:val="21"/>
          <w:u w:val="single" w:color="auto"/>
          <w:color w:val="auto"/>
        </w:rPr>
        <w:t>Restrictions on Transfer of Award</w:t>
      </w:r>
      <w:r>
        <w:rPr>
          <w:rFonts w:ascii="Arial" w:cs="Arial" w:eastAsia="Arial" w:hAnsi="Arial"/>
          <w:sz w:val="21"/>
          <w:szCs w:val="21"/>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4" w:lineRule="exact"/>
        <w:rPr>
          <w:rFonts w:ascii="Arial" w:cs="Arial" w:eastAsia="Arial" w:hAnsi="Arial"/>
          <w:sz w:val="21"/>
          <w:szCs w:val="21"/>
          <w:color w:val="auto"/>
        </w:rPr>
      </w:pPr>
    </w:p>
    <w:p>
      <w:pPr>
        <w:ind w:left="160" w:right="179" w:firstLine="639"/>
        <w:spacing w:after="0" w:line="282" w:lineRule="auto"/>
        <w:tabs>
          <w:tab w:leader="none" w:pos="1483"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9019"/>
          </w:cols>
          <w:pgMar w:left="1440" w:top="355" w:right="1440" w:bottom="1440" w:gutter="0" w:footer="0" w:header="0"/>
        </w:sectPr>
      </w:pPr>
    </w:p>
    <w:p>
      <w:pPr>
        <w:spacing w:after="0" w:line="169"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9"/>
          <w:szCs w:val="19"/>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17780</wp:posOffset>
            </wp:positionV>
            <wp:extent cx="26841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 Date</w:t>
      </w:r>
    </w:p>
    <w:p>
      <w:pPr>
        <w:spacing w:after="0" w:line="224" w:lineRule="exact"/>
        <w:rPr>
          <w:sz w:val="20"/>
          <w:szCs w:val="20"/>
          <w:color w:val="auto"/>
        </w:rPr>
      </w:pPr>
    </w:p>
    <w:p>
      <w:pPr>
        <w:sectPr>
          <w:pgSz w:w="11900" w:h="16838" w:orient="portrait"/>
          <w:cols w:equalWidth="0" w:num="2">
            <w:col w:w="5540" w:space="720"/>
            <w:col w:w="2759"/>
          </w:cols>
          <w:pgMar w:left="1440" w:top="355" w:right="1440" w:bottom="1440" w:gutter="0" w:footer="0" w:header="0"/>
          <w:type w:val="continuous"/>
        </w:sectPr>
      </w:pPr>
    </w:p>
    <w:p>
      <w:pPr>
        <w:spacing w:after="0" w:line="63" w:lineRule="exact"/>
        <w:rPr>
          <w:sz w:val="20"/>
          <w:szCs w:val="20"/>
          <w:color w:val="auto"/>
        </w:rPr>
      </w:pPr>
    </w:p>
    <w:p>
      <w:pPr>
        <w:ind w:left="3960" w:hanging="460"/>
        <w:spacing w:after="0"/>
        <w:tabs>
          <w:tab w:leader="none" w:pos="396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-146685</wp:posOffset>
            </wp:positionV>
            <wp:extent cx="3687445"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3960" w:hanging="460"/>
        <w:spacing w:after="0" w:line="238" w:lineRule="auto"/>
        <w:tabs>
          <w:tab w:leader="none" w:pos="39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w:t>
      </w:r>
    </w:p>
    <w:p>
      <w:pPr>
        <w:ind w:left="3960" w:hanging="460"/>
        <w:spacing w:after="0" w:line="230" w:lineRule="auto"/>
        <w:tabs>
          <w:tab w:leader="none" w:pos="396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-151130</wp:posOffset>
            </wp:positionV>
            <wp:extent cx="3687445"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ind w:left="3960" w:hanging="460"/>
        <w:spacing w:after="0" w:line="231" w:lineRule="auto"/>
        <w:tabs>
          <w:tab w:leader="none" w:pos="39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w:t>
      </w:r>
    </w:p>
    <w:p>
      <w:pPr>
        <w:ind w:left="3960" w:hanging="460"/>
        <w:spacing w:after="0"/>
        <w:tabs>
          <w:tab w:leader="none" w:pos="39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-158115</wp:posOffset>
            </wp:positionV>
            <wp:extent cx="3687445"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687445" cy="154305"/>
                    </a:xfrm>
                    <a:prstGeom prst="rect">
                      <a:avLst/>
                    </a:prstGeom>
                    <a:noFill/>
                  </pic:spPr>
                </pic:pic>
              </a:graphicData>
            </a:graphic>
          </wp:anchor>
        </w:drawing>
      </w:r>
    </w:p>
    <w:p>
      <w:pPr>
        <w:spacing w:after="0" w:line="195" w:lineRule="exact"/>
        <w:rPr>
          <w:sz w:val="20"/>
          <w:szCs w:val="20"/>
          <w:color w:val="auto"/>
        </w:rPr>
      </w:pPr>
    </w:p>
    <w:p>
      <w:pPr>
        <w:ind w:left="160" w:right="1039" w:firstLine="648"/>
        <w:spacing w:after="0" w:line="251" w:lineRule="auto"/>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00" w:lineRule="exact"/>
        <w:rPr>
          <w:sz w:val="20"/>
          <w:szCs w:val="20"/>
          <w:color w:val="auto"/>
        </w:rPr>
      </w:pPr>
    </w:p>
    <w:p>
      <w:pPr>
        <w:ind w:left="160" w:right="199" w:firstLine="639"/>
        <w:spacing w:after="0" w:line="287" w:lineRule="auto"/>
        <w:tabs>
          <w:tab w:leader="none" w:pos="1483"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481965</wp:posOffset>
            </wp:positionV>
            <wp:extent cx="554863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232" w:name="page233"/>
    <w:bookmarkEnd w:id="232"/>
    <w:p>
      <w:pPr>
        <w:ind w:left="160" w:right="359"/>
        <w:spacing w:after="0" w:line="329" w:lineRule="auto"/>
        <w:rPr>
          <w:sz w:val="20"/>
          <w:szCs w:val="20"/>
          <w:color w:val="auto"/>
        </w:rPr>
      </w:pPr>
      <w:r>
        <w:rPr>
          <w:rFonts w:ascii="Arial" w:cs="Arial" w:eastAsia="Arial" w:hAnsi="Arial"/>
          <w:sz w:val="19"/>
          <w:szCs w:val="19"/>
          <w:color w:val="auto"/>
        </w:rPr>
        <w:t>neither the Grantee nor any of his or her successors, heirs, assigns, or personal representatives will thereafter have any further rights or interests in such unvested Restricted Stock Units.</w:t>
      </w:r>
    </w:p>
    <w:p>
      <w:pPr>
        <w:spacing w:after="0" w:line="131" w:lineRule="exact"/>
        <w:rPr>
          <w:sz w:val="20"/>
          <w:szCs w:val="20"/>
          <w:color w:val="auto"/>
        </w:rPr>
      </w:pPr>
    </w:p>
    <w:p>
      <w:pPr>
        <w:ind w:left="160" w:right="139" w:firstLine="639"/>
        <w:spacing w:after="0" w:line="248" w:lineRule="auto"/>
        <w:tabs>
          <w:tab w:leader="none" w:pos="1483" w:val="left"/>
        </w:tabs>
        <w:numPr>
          <w:ilvl w:val="0"/>
          <w:numId w:val="258"/>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4" w:lineRule="exact"/>
        <w:rPr>
          <w:rFonts w:ascii="Arial" w:cs="Arial" w:eastAsia="Arial" w:hAnsi="Arial"/>
          <w:sz w:val="21"/>
          <w:szCs w:val="21"/>
          <w:color w:val="auto"/>
        </w:rPr>
      </w:pPr>
    </w:p>
    <w:p>
      <w:pPr>
        <w:ind w:left="160" w:right="439" w:firstLine="639"/>
        <w:spacing w:after="0" w:line="236" w:lineRule="auto"/>
        <w:tabs>
          <w:tab w:leader="none" w:pos="1483"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4" w:lineRule="exact"/>
        <w:rPr>
          <w:rFonts w:ascii="Arial" w:cs="Arial" w:eastAsia="Arial" w:hAnsi="Arial"/>
          <w:sz w:val="22"/>
          <w:szCs w:val="22"/>
          <w:color w:val="auto"/>
        </w:rPr>
      </w:pPr>
    </w:p>
    <w:p>
      <w:pPr>
        <w:ind w:left="160" w:right="179" w:firstLine="639"/>
        <w:spacing w:after="0" w:line="297" w:lineRule="auto"/>
        <w:tabs>
          <w:tab w:leader="none" w:pos="1483"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Arial" w:cs="Arial" w:eastAsia="Arial" w:hAnsi="Arial"/>
          <w:sz w:val="19"/>
          <w:szCs w:val="19"/>
          <w:color w:val="auto"/>
        </w:rPr>
      </w:pPr>
    </w:p>
    <w:p>
      <w:pPr>
        <w:ind w:left="160" w:right="539" w:firstLine="639"/>
        <w:spacing w:after="0" w:line="251" w:lineRule="auto"/>
        <w:tabs>
          <w:tab w:leader="none" w:pos="1483"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Award confers upon the Grantee any rights with respect to continuance as a Director.</w:t>
      </w:r>
    </w:p>
    <w:p>
      <w:pPr>
        <w:spacing w:after="0" w:line="200" w:lineRule="exact"/>
        <w:rPr>
          <w:rFonts w:ascii="Arial" w:cs="Arial" w:eastAsia="Arial" w:hAnsi="Arial"/>
          <w:sz w:val="22"/>
          <w:szCs w:val="22"/>
          <w:color w:val="auto"/>
        </w:rPr>
      </w:pPr>
    </w:p>
    <w:p>
      <w:pPr>
        <w:ind w:left="160" w:right="339" w:firstLine="639"/>
        <w:spacing w:after="0"/>
        <w:tabs>
          <w:tab w:leader="none" w:pos="1483"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13" w:lineRule="exact"/>
        <w:rPr>
          <w:rFonts w:ascii="Arial" w:cs="Arial" w:eastAsia="Arial" w:hAnsi="Arial"/>
          <w:sz w:val="22"/>
          <w:szCs w:val="22"/>
          <w:color w:val="auto"/>
        </w:rPr>
      </w:pPr>
    </w:p>
    <w:p>
      <w:pPr>
        <w:ind w:left="160" w:right="239" w:firstLine="639"/>
        <w:spacing w:after="0" w:line="272" w:lineRule="auto"/>
        <w:tabs>
          <w:tab w:leader="none" w:pos="1483"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4" w:lineRule="exact"/>
        <w:rPr>
          <w:rFonts w:ascii="Arial" w:cs="Arial" w:eastAsia="Arial" w:hAnsi="Arial"/>
          <w:sz w:val="19"/>
          <w:szCs w:val="19"/>
          <w:color w:val="auto"/>
        </w:rPr>
      </w:pPr>
    </w:p>
    <w:p>
      <w:pPr>
        <w:ind w:left="160" w:right="199" w:firstLine="639"/>
        <w:spacing w:after="0" w:line="238" w:lineRule="auto"/>
        <w:tabs>
          <w:tab w:leader="none" w:pos="1524"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3" w:name="page234"/>
    <w:bookmarkEnd w:id="233"/>
    <w:p>
      <w:pPr>
        <w:ind w:left="4520"/>
        <w:spacing w:after="0"/>
        <w:rPr>
          <w:sz w:val="20"/>
          <w:szCs w:val="20"/>
          <w:color w:val="auto"/>
        </w:rPr>
      </w:pPr>
      <w:r>
        <w:rPr>
          <w:rFonts w:ascii="Arial" w:cs="Arial" w:eastAsia="Arial" w:hAnsi="Arial"/>
          <w:sz w:val="22"/>
          <w:szCs w:val="22"/>
          <w:b w:val="1"/>
          <w:bCs w:val="1"/>
          <w:color w:val="auto"/>
        </w:rPr>
        <w:t>BLUEPRINT MEDICINES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7620</wp:posOffset>
            </wp:positionV>
            <wp:extent cx="25215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Name:</w:t>
      </w:r>
    </w:p>
    <w:p>
      <w:pPr>
        <w:ind w:left="49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both"/>
        <w:ind w:left="160" w:right="1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7620</wp:posOffset>
            </wp:positionV>
            <wp:extent cx="51542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Grantee’s name and 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4" w:name="page235"/>
    <w:bookmarkEnd w:id="234"/>
    <w:p>
      <w:pPr>
        <w:jc w:val="right"/>
        <w:ind w:right="139"/>
        <w:spacing w:after="0"/>
        <w:rPr>
          <w:sz w:val="20"/>
          <w:szCs w:val="20"/>
          <w:color w:val="auto"/>
        </w:rPr>
      </w:pPr>
      <w:r>
        <w:rPr>
          <w:rFonts w:ascii="Arial" w:cs="Arial" w:eastAsia="Arial" w:hAnsi="Arial"/>
          <w:sz w:val="18"/>
          <w:szCs w:val="18"/>
          <w:b w:val="1"/>
          <w:bCs w:val="1"/>
          <w:color w:val="auto"/>
        </w:rPr>
        <w:t>Exhibit 10.9</w:t>
      </w:r>
    </w:p>
    <w:p>
      <w:pPr>
        <w:spacing w:after="0" w:line="243" w:lineRule="exact"/>
        <w:rPr>
          <w:sz w:val="20"/>
          <w:szCs w:val="20"/>
          <w:color w:val="auto"/>
        </w:rPr>
      </w:pPr>
    </w:p>
    <w:p>
      <w:pPr>
        <w:jc w:val="right"/>
        <w:ind w:right="139"/>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EMPLOYMENT AGREEMENT</w:t>
      </w:r>
    </w:p>
    <w:p>
      <w:pPr>
        <w:spacing w:after="0" w:line="200" w:lineRule="exact"/>
        <w:rPr>
          <w:sz w:val="20"/>
          <w:szCs w:val="20"/>
          <w:color w:val="auto"/>
        </w:rPr>
      </w:pPr>
    </w:p>
    <w:p>
      <w:pPr>
        <w:spacing w:after="0" w:line="243" w:lineRule="exact"/>
        <w:rPr>
          <w:sz w:val="20"/>
          <w:szCs w:val="20"/>
          <w:color w:val="auto"/>
        </w:rPr>
      </w:pPr>
    </w:p>
    <w:p>
      <w:pPr>
        <w:jc w:val="both"/>
        <w:ind w:left="160" w:right="359" w:firstLine="648"/>
        <w:spacing w:after="0"/>
        <w:rPr>
          <w:sz w:val="20"/>
          <w:szCs w:val="20"/>
          <w:color w:val="auto"/>
        </w:rPr>
      </w:pPr>
      <w:r>
        <w:rPr>
          <w:rFonts w:ascii="Arial" w:cs="Arial" w:eastAsia="Arial" w:hAnsi="Arial"/>
          <w:sz w:val="22"/>
          <w:szCs w:val="22"/>
          <w:color w:val="auto"/>
        </w:rPr>
        <w:t>This Employment Agreement (“Agreement”) is dated as of March 10, 2016 (the “Effective Date”), between Blueprint Medicines Corporation, a Delaware corporation (the “Company”), and Kathryn Haviland (the “Executive”).</w:t>
      </w:r>
    </w:p>
    <w:p>
      <w:pPr>
        <w:spacing w:after="0" w:line="186" w:lineRule="exact"/>
        <w:rPr>
          <w:sz w:val="20"/>
          <w:szCs w:val="20"/>
          <w:color w:val="auto"/>
        </w:rPr>
      </w:pPr>
    </w:p>
    <w:p>
      <w:pPr>
        <w:ind w:left="160" w:right="199" w:firstLine="648"/>
        <w:spacing w:after="0"/>
        <w:rPr>
          <w:sz w:val="20"/>
          <w:szCs w:val="20"/>
          <w:color w:val="auto"/>
        </w:rPr>
      </w:pPr>
      <w:r>
        <w:rPr>
          <w:rFonts w:ascii="Arial" w:cs="Arial" w:eastAsia="Arial" w:hAnsi="Arial"/>
          <w:sz w:val="22"/>
          <w:szCs w:val="22"/>
          <w:color w:val="auto"/>
        </w:rPr>
        <w:t>WHEREAS, the Company and the Executive previously entered in an offer letter agreement, dated December 4, 2015 (the “Prior Agreement”), which the Company and the Executive intend to replace in its entirety with this Agreement; and</w:t>
      </w:r>
    </w:p>
    <w:p>
      <w:pPr>
        <w:spacing w:after="0" w:line="186" w:lineRule="exact"/>
        <w:rPr>
          <w:sz w:val="20"/>
          <w:szCs w:val="20"/>
          <w:color w:val="auto"/>
        </w:rPr>
      </w:pPr>
    </w:p>
    <w:p>
      <w:pPr>
        <w:ind w:left="160" w:right="399" w:firstLine="648"/>
        <w:spacing w:after="0" w:line="328" w:lineRule="auto"/>
        <w:rPr>
          <w:sz w:val="20"/>
          <w:szCs w:val="20"/>
          <w:color w:val="auto"/>
        </w:rPr>
      </w:pPr>
      <w:r>
        <w:rPr>
          <w:rFonts w:ascii="Arial" w:cs="Arial" w:eastAsia="Arial" w:hAnsi="Arial"/>
          <w:sz w:val="19"/>
          <w:szCs w:val="19"/>
          <w:color w:val="auto"/>
        </w:rPr>
        <w:t>WHEREAS, the Company desires to continue to employ the Executive and the Executive desires to continue to be employed by the Company on the terms and conditions contained herein.</w:t>
      </w:r>
    </w:p>
    <w:p>
      <w:pPr>
        <w:spacing w:after="0" w:line="105" w:lineRule="exact"/>
        <w:rPr>
          <w:sz w:val="20"/>
          <w:szCs w:val="20"/>
          <w:color w:val="auto"/>
        </w:rPr>
      </w:pPr>
    </w:p>
    <w:p>
      <w:pPr>
        <w:ind w:left="160" w:right="259"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6" w:lineRule="exact"/>
        <w:rPr>
          <w:sz w:val="20"/>
          <w:szCs w:val="20"/>
          <w:color w:val="auto"/>
        </w:rPr>
      </w:pPr>
    </w:p>
    <w:p>
      <w:pPr>
        <w:ind w:left="1480" w:hanging="681"/>
        <w:spacing w:after="0"/>
        <w:tabs>
          <w:tab w:leader="none" w:pos="1480"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59" w:firstLine="1287"/>
        <w:spacing w:after="0" w:line="328" w:lineRule="auto"/>
        <w:tabs>
          <w:tab w:leader="none" w:pos="2142" w:val="left"/>
        </w:tabs>
        <w:numPr>
          <w:ilvl w:val="1"/>
          <w:numId w:val="25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continue until terminated in accordance with the provisions of Section 3 (the “Term”).</w:t>
      </w:r>
    </w:p>
    <w:p>
      <w:pPr>
        <w:spacing w:after="0" w:line="105" w:lineRule="exact"/>
        <w:rPr>
          <w:rFonts w:ascii="Arial" w:cs="Arial" w:eastAsia="Arial" w:hAnsi="Arial"/>
          <w:sz w:val="19"/>
          <w:szCs w:val="19"/>
          <w:color w:val="auto"/>
        </w:rPr>
      </w:pPr>
    </w:p>
    <w:p>
      <w:pPr>
        <w:ind w:left="160" w:right="159" w:firstLine="1287"/>
        <w:spacing w:after="0" w:line="245" w:lineRule="auto"/>
        <w:tabs>
          <w:tab w:leader="none" w:pos="2154" w:val="left"/>
        </w:tabs>
        <w:numPr>
          <w:ilvl w:val="1"/>
          <w:numId w:val="259"/>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Chief Business Officer of the Company, and shall have such duties as are consistent with such position. The Executive shall report to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85" w:lineRule="exact"/>
        <w:rPr>
          <w:rFonts w:ascii="Arial" w:cs="Arial" w:eastAsia="Arial" w:hAnsi="Arial"/>
          <w:sz w:val="21"/>
          <w:szCs w:val="21"/>
          <w:color w:val="auto"/>
        </w:rPr>
      </w:pPr>
    </w:p>
    <w:p>
      <w:pPr>
        <w:ind w:left="1480" w:hanging="681"/>
        <w:spacing w:after="0"/>
        <w:tabs>
          <w:tab w:leader="none" w:pos="1480"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93"/>
        <w:spacing w:after="0"/>
        <w:tabs>
          <w:tab w:leader="none" w:pos="2140" w:val="left"/>
        </w:tabs>
        <w:numPr>
          <w:ilvl w:val="1"/>
          <w:numId w:val="25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annual base salary shall be</w:t>
      </w:r>
    </w:p>
    <w:p>
      <w:pPr>
        <w:spacing w:after="0" w:line="43" w:lineRule="exact"/>
        <w:rPr>
          <w:sz w:val="20"/>
          <w:szCs w:val="20"/>
          <w:color w:val="auto"/>
        </w:rPr>
      </w:pPr>
    </w:p>
    <w:p>
      <w:pPr>
        <w:ind w:left="160" w:right="359"/>
        <w:spacing w:after="0" w:line="233" w:lineRule="auto"/>
        <w:rPr>
          <w:sz w:val="20"/>
          <w:szCs w:val="20"/>
          <w:color w:val="auto"/>
        </w:rPr>
      </w:pPr>
      <w:r>
        <w:rPr>
          <w:rFonts w:ascii="Arial" w:cs="Arial" w:eastAsia="Arial" w:hAnsi="Arial"/>
          <w:sz w:val="22"/>
          <w:szCs w:val="22"/>
          <w:color w:val="auto"/>
        </w:rPr>
        <w:t>$340,000. The Executive’s base salary shall be re-determined annually by the Board or the Compensation Committee and shall be subject to increase but not decrease while serving in this role. The annual base salary in effect at any given time is referred to herein as “Base Salary.” The Base Salary shall be payable in a manner that is consistent with the Company’s usual payroll practices for senior executives.</w:t>
      </w:r>
    </w:p>
    <w:p>
      <w:pPr>
        <w:spacing w:after="0" w:line="186" w:lineRule="exact"/>
        <w:rPr>
          <w:sz w:val="20"/>
          <w:szCs w:val="20"/>
          <w:color w:val="auto"/>
        </w:rPr>
      </w:pPr>
    </w:p>
    <w:p>
      <w:pPr>
        <w:ind w:left="160" w:right="239" w:firstLine="1287"/>
        <w:spacing w:after="0" w:line="287" w:lineRule="auto"/>
        <w:tabs>
          <w:tab w:leader="none" w:pos="2154"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from time to time. The Executive’s target annual incentive compensation shall be 35% of his Base Salary (the “Target Incentive Compensation”). To earn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241935</wp:posOffset>
            </wp:positionV>
            <wp:extent cx="554863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5" w:name="page236"/>
    <w:bookmarkEnd w:id="235"/>
    <w:p>
      <w:pPr>
        <w:ind w:left="160" w:right="999"/>
        <w:spacing w:after="0" w:line="251" w:lineRule="auto"/>
        <w:rPr>
          <w:sz w:val="20"/>
          <w:szCs w:val="20"/>
          <w:color w:val="auto"/>
        </w:rPr>
      </w:pPr>
      <w:r>
        <w:rPr>
          <w:rFonts w:ascii="Arial" w:cs="Arial" w:eastAsia="Arial" w:hAnsi="Arial"/>
          <w:sz w:val="22"/>
          <w:szCs w:val="22"/>
          <w:color w:val="auto"/>
        </w:rPr>
        <w:t>compensation, the Executive must be employed by the Company on the day such incentive compensation is paid.</w:t>
      </w:r>
    </w:p>
    <w:p>
      <w:pPr>
        <w:spacing w:after="0" w:line="174" w:lineRule="exact"/>
        <w:rPr>
          <w:sz w:val="20"/>
          <w:szCs w:val="20"/>
          <w:color w:val="auto"/>
        </w:rPr>
      </w:pPr>
    </w:p>
    <w:p>
      <w:pPr>
        <w:ind w:left="160" w:right="299" w:firstLine="1287"/>
        <w:spacing w:after="0" w:line="238" w:lineRule="auto"/>
        <w:tabs>
          <w:tab w:leader="none" w:pos="2155"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him during the Term in performing services hereunder, in accordance with the policies and procedures then in effect and established by the Company for its senior executive officers.</w:t>
      </w:r>
    </w:p>
    <w:p>
      <w:pPr>
        <w:spacing w:after="0" w:line="185" w:lineRule="exact"/>
        <w:rPr>
          <w:rFonts w:ascii="Arial" w:cs="Arial" w:eastAsia="Arial" w:hAnsi="Arial"/>
          <w:sz w:val="22"/>
          <w:szCs w:val="22"/>
          <w:color w:val="auto"/>
        </w:rPr>
      </w:pPr>
    </w:p>
    <w:p>
      <w:pPr>
        <w:ind w:left="160" w:right="159" w:firstLine="1287"/>
        <w:spacing w:after="0"/>
        <w:tabs>
          <w:tab w:leader="none" w:pos="2154"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subject to the terms of such plans.</w:t>
      </w:r>
    </w:p>
    <w:p>
      <w:pPr>
        <w:spacing w:after="0" w:line="186" w:lineRule="exact"/>
        <w:rPr>
          <w:rFonts w:ascii="Arial" w:cs="Arial" w:eastAsia="Arial" w:hAnsi="Arial"/>
          <w:sz w:val="22"/>
          <w:szCs w:val="22"/>
          <w:color w:val="auto"/>
        </w:rPr>
      </w:pPr>
    </w:p>
    <w:p>
      <w:pPr>
        <w:ind w:left="160" w:right="479" w:firstLine="1287"/>
        <w:spacing w:after="0" w:line="251" w:lineRule="auto"/>
        <w:tabs>
          <w:tab w:leader="none" w:pos="2142"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3" w:lineRule="exact"/>
        <w:rPr>
          <w:rFonts w:ascii="Arial" w:cs="Arial" w:eastAsia="Arial" w:hAnsi="Arial"/>
          <w:sz w:val="22"/>
          <w:szCs w:val="22"/>
          <w:color w:val="auto"/>
        </w:rPr>
      </w:pPr>
    </w:p>
    <w:p>
      <w:pPr>
        <w:ind w:left="160" w:right="719" w:firstLine="639"/>
        <w:spacing w:after="0" w:line="328" w:lineRule="auto"/>
        <w:tabs>
          <w:tab w:leader="none" w:pos="1483"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5" w:lineRule="exact"/>
        <w:rPr>
          <w:rFonts w:ascii="Arial" w:cs="Arial" w:eastAsia="Arial" w:hAnsi="Arial"/>
          <w:sz w:val="19"/>
          <w:szCs w:val="19"/>
          <w:color w:val="auto"/>
        </w:rPr>
      </w:pPr>
    </w:p>
    <w:p>
      <w:pPr>
        <w:ind w:left="2140" w:hanging="693"/>
        <w:spacing w:after="0"/>
        <w:tabs>
          <w:tab w:leader="none" w:pos="2140" w:val="left"/>
        </w:tabs>
        <w:numPr>
          <w:ilvl w:val="1"/>
          <w:numId w:val="262"/>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his</w:t>
      </w:r>
    </w:p>
    <w:p>
      <w:pPr>
        <w:spacing w:after="0" w:line="19" w:lineRule="exact"/>
        <w:rPr>
          <w:rFonts w:ascii="Arial" w:cs="Arial" w:eastAsia="Arial" w:hAnsi="Arial"/>
          <w:sz w:val="21"/>
          <w:szCs w:val="21"/>
          <w:color w:val="auto"/>
        </w:rPr>
      </w:pPr>
    </w:p>
    <w:p>
      <w:pPr>
        <w:ind w:left="160"/>
        <w:spacing w:after="0"/>
        <w:rPr>
          <w:rFonts w:ascii="Arial" w:cs="Arial" w:eastAsia="Arial" w:hAnsi="Arial"/>
          <w:sz w:val="21"/>
          <w:szCs w:val="21"/>
          <w:color w:val="auto"/>
        </w:rPr>
      </w:pPr>
      <w:r>
        <w:rPr>
          <w:rFonts w:ascii="Arial" w:cs="Arial" w:eastAsia="Arial" w:hAnsi="Arial"/>
          <w:sz w:val="22"/>
          <w:szCs w:val="22"/>
          <w:color w:val="auto"/>
        </w:rPr>
        <w:t>death.</w:t>
      </w:r>
    </w:p>
    <w:p>
      <w:pPr>
        <w:spacing w:after="0" w:line="188" w:lineRule="exact"/>
        <w:rPr>
          <w:rFonts w:ascii="Arial" w:cs="Arial" w:eastAsia="Arial" w:hAnsi="Arial"/>
          <w:sz w:val="21"/>
          <w:szCs w:val="21"/>
          <w:color w:val="auto"/>
        </w:rPr>
      </w:pPr>
    </w:p>
    <w:p>
      <w:pPr>
        <w:ind w:left="160" w:right="159" w:firstLine="1287"/>
        <w:spacing w:after="0" w:line="271" w:lineRule="auto"/>
        <w:tabs>
          <w:tab w:leader="none" w:pos="2154" w:val="left"/>
        </w:tabs>
        <w:numPr>
          <w:ilvl w:val="1"/>
          <w:numId w:val="262"/>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8" w:lineRule="exact"/>
        <w:rPr>
          <w:rFonts w:ascii="Arial" w:cs="Arial" w:eastAsia="Arial" w:hAnsi="Arial"/>
          <w:sz w:val="19"/>
          <w:szCs w:val="19"/>
          <w:color w:val="auto"/>
        </w:rPr>
      </w:pPr>
    </w:p>
    <w:p>
      <w:pPr>
        <w:ind w:left="160" w:right="159" w:firstLine="1287"/>
        <w:spacing w:after="0" w:line="275" w:lineRule="auto"/>
        <w:tabs>
          <w:tab w:leader="none" w:pos="2155" w:val="left"/>
        </w:tabs>
        <w:numPr>
          <w:ilvl w:val="1"/>
          <w:numId w:val="262"/>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6" w:name="page237"/>
    <w:bookmarkEnd w:id="236"/>
    <w:p>
      <w:pPr>
        <w:ind w:left="160" w:right="259"/>
        <w:spacing w:after="0" w:line="273" w:lineRule="auto"/>
        <w:rPr>
          <w:sz w:val="20"/>
          <w:szCs w:val="20"/>
          <w:color w:val="auto"/>
        </w:rPr>
      </w:pPr>
      <w:r>
        <w:rPr>
          <w:rFonts w:ascii="Arial" w:cs="Arial" w:eastAsia="Arial" w:hAnsi="Arial"/>
          <w:sz w:val="19"/>
          <w:szCs w:val="19"/>
          <w:color w:val="auto"/>
        </w:rPr>
        <w:t>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57" w:lineRule="exact"/>
        <w:rPr>
          <w:sz w:val="20"/>
          <w:szCs w:val="20"/>
          <w:color w:val="auto"/>
        </w:rPr>
      </w:pPr>
    </w:p>
    <w:p>
      <w:pPr>
        <w:ind w:left="160" w:right="319" w:firstLine="1287"/>
        <w:spacing w:after="0" w:line="282" w:lineRule="auto"/>
        <w:tabs>
          <w:tab w:leader="none" w:pos="2154"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9"/>
          <w:szCs w:val="19"/>
          <w:color w:val="auto"/>
        </w:rPr>
      </w:pPr>
    </w:p>
    <w:p>
      <w:pPr>
        <w:ind w:left="160" w:right="159" w:firstLine="1287"/>
        <w:spacing w:after="0" w:line="270" w:lineRule="auto"/>
        <w:tabs>
          <w:tab w:leader="none" w:pos="2142"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60" w:right="299" w:firstLine="1287"/>
        <w:spacing w:after="0" w:line="249" w:lineRule="auto"/>
        <w:tabs>
          <w:tab w:leader="none" w:pos="2172"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7" w:name="page238"/>
    <w:bookmarkEnd w:id="237"/>
    <w:p>
      <w:pPr>
        <w:ind w:left="160" w:right="159" w:firstLine="1287"/>
        <w:spacing w:after="0" w:line="269" w:lineRule="auto"/>
        <w:tabs>
          <w:tab w:leader="none" w:pos="2154" w:val="left"/>
        </w:tabs>
        <w:numPr>
          <w:ilvl w:val="1"/>
          <w:numId w:val="264"/>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w:t>
      </w:r>
    </w:p>
    <w:p>
      <w:pPr>
        <w:spacing w:after="0" w:line="2" w:lineRule="exact"/>
        <w:rPr>
          <w:rFonts w:ascii="Arial" w:cs="Arial" w:eastAsia="Arial" w:hAnsi="Arial"/>
          <w:sz w:val="19"/>
          <w:szCs w:val="19"/>
          <w:color w:val="auto"/>
        </w:rPr>
      </w:pPr>
    </w:p>
    <w:p>
      <w:pPr>
        <w:ind w:left="160" w:right="259"/>
        <w:spacing w:after="0" w:line="287" w:lineRule="auto"/>
        <w:rPr>
          <w:rFonts w:ascii="Arial" w:cs="Arial" w:eastAsia="Arial" w:hAnsi="Arial"/>
          <w:sz w:val="19"/>
          <w:szCs w:val="19"/>
          <w:color w:val="auto"/>
        </w:rPr>
      </w:pPr>
      <w:r>
        <w:rPr>
          <w:rFonts w:ascii="Arial" w:cs="Arial" w:eastAsia="Arial" w:hAnsi="Arial"/>
          <w:sz w:val="19"/>
          <w:szCs w:val="19"/>
          <w:color w:val="auto"/>
        </w:rPr>
        <w:t>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43" w:lineRule="exact"/>
        <w:rPr>
          <w:rFonts w:ascii="Arial" w:cs="Arial" w:eastAsia="Arial" w:hAnsi="Arial"/>
          <w:sz w:val="19"/>
          <w:szCs w:val="19"/>
          <w:color w:val="auto"/>
        </w:rPr>
      </w:pPr>
    </w:p>
    <w:p>
      <w:pPr>
        <w:ind w:left="1480" w:hanging="681"/>
        <w:spacing w:after="0"/>
        <w:tabs>
          <w:tab w:leader="none" w:pos="1480"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79" w:firstLine="1287"/>
        <w:spacing w:after="0" w:line="274" w:lineRule="auto"/>
        <w:tabs>
          <w:tab w:leader="none" w:pos="2142"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8" w:lineRule="exact"/>
        <w:rPr>
          <w:rFonts w:ascii="Arial" w:cs="Arial" w:eastAsia="Arial" w:hAnsi="Arial"/>
          <w:sz w:val="19"/>
          <w:szCs w:val="19"/>
          <w:color w:val="auto"/>
        </w:rPr>
      </w:pPr>
    </w:p>
    <w:p>
      <w:pPr>
        <w:ind w:left="160" w:right="259" w:firstLine="1287"/>
        <w:spacing w:after="0" w:line="274" w:lineRule="auto"/>
        <w:tabs>
          <w:tab w:leader="none" w:pos="2154"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58" w:lineRule="exact"/>
        <w:rPr>
          <w:rFonts w:ascii="Arial" w:cs="Arial" w:eastAsia="Arial" w:hAnsi="Arial"/>
          <w:sz w:val="19"/>
          <w:szCs w:val="19"/>
          <w:color w:val="auto"/>
        </w:rPr>
      </w:pPr>
    </w:p>
    <w:p>
      <w:pPr>
        <w:ind w:left="2820" w:hanging="725"/>
        <w:spacing w:after="0"/>
        <w:tabs>
          <w:tab w:leader="none" w:pos="2820" w:val="left"/>
        </w:tabs>
        <w:numPr>
          <w:ilvl w:val="2"/>
          <w:numId w:val="265"/>
        </w:numPr>
        <w:rPr>
          <w:rFonts w:ascii="Arial" w:cs="Arial" w:eastAsia="Arial" w:hAnsi="Arial"/>
          <w:sz w:val="21"/>
          <w:szCs w:val="21"/>
          <w:color w:val="auto"/>
        </w:rPr>
      </w:pPr>
      <w:r>
        <w:rPr>
          <w:rFonts w:ascii="Arial" w:cs="Arial" w:eastAsia="Arial" w:hAnsi="Arial"/>
          <w:sz w:val="21"/>
          <w:szCs w:val="21"/>
          <w:color w:val="auto"/>
        </w:rPr>
        <w:t>the Company shall pay the Executive an amount equal to one (1)</w:t>
      </w:r>
    </w:p>
    <w:p>
      <w:pPr>
        <w:spacing w:after="0" w:line="19" w:lineRule="exact"/>
        <w:rPr>
          <w:rFonts w:ascii="Arial" w:cs="Arial" w:eastAsia="Arial" w:hAnsi="Arial"/>
          <w:sz w:val="21"/>
          <w:szCs w:val="21"/>
          <w:color w:val="auto"/>
        </w:rPr>
      </w:pPr>
    </w:p>
    <w:p>
      <w:pPr>
        <w:ind w:left="800"/>
        <w:spacing w:after="0"/>
        <w:rPr>
          <w:rFonts w:ascii="Arial" w:cs="Arial" w:eastAsia="Arial" w:hAnsi="Arial"/>
          <w:sz w:val="21"/>
          <w:szCs w:val="21"/>
          <w:color w:val="auto"/>
        </w:rPr>
      </w:pPr>
      <w:r>
        <w:rPr>
          <w:rFonts w:ascii="Arial" w:cs="Arial" w:eastAsia="Arial" w:hAnsi="Arial"/>
          <w:sz w:val="22"/>
          <w:szCs w:val="22"/>
          <w:color w:val="auto"/>
        </w:rPr>
        <w:t>times the Executive’s Base Salary (the “Severance Amount”); and</w:t>
      </w:r>
    </w:p>
    <w:p>
      <w:pPr>
        <w:spacing w:after="0" w:line="188" w:lineRule="exact"/>
        <w:rPr>
          <w:rFonts w:ascii="Arial" w:cs="Arial" w:eastAsia="Arial" w:hAnsi="Arial"/>
          <w:sz w:val="21"/>
          <w:szCs w:val="21"/>
          <w:color w:val="auto"/>
        </w:rPr>
      </w:pPr>
    </w:p>
    <w:p>
      <w:pPr>
        <w:ind w:left="800" w:right="159" w:firstLine="1295"/>
        <w:spacing w:after="0" w:line="279" w:lineRule="auto"/>
        <w:tabs>
          <w:tab w:leader="none" w:pos="2847" w:val="left"/>
        </w:tabs>
        <w:numPr>
          <w:ilvl w:val="2"/>
          <w:numId w:val="265"/>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8" w:name="page239"/>
    <w:bookmarkEnd w:id="238"/>
    <w:p>
      <w:pPr>
        <w:ind w:left="160" w:right="299"/>
        <w:spacing w:after="0" w:line="277"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w:t>
      </w:r>
    </w:p>
    <w:p>
      <w:pPr>
        <w:spacing w:after="0" w:line="1" w:lineRule="exact"/>
        <w:rPr>
          <w:sz w:val="20"/>
          <w:szCs w:val="20"/>
          <w:color w:val="auto"/>
        </w:rPr>
      </w:pPr>
    </w:p>
    <w:p>
      <w:pPr>
        <w:ind w:left="160" w:right="139"/>
        <w:spacing w:after="0" w:line="275" w:lineRule="auto"/>
        <w:rPr>
          <w:sz w:val="20"/>
          <w:szCs w:val="20"/>
          <w:color w:val="auto"/>
        </w:rPr>
      </w:pPr>
      <w:r>
        <w:rPr>
          <w:rFonts w:ascii="Arial" w:cs="Arial" w:eastAsia="Arial" w:hAnsi="Arial"/>
          <w:sz w:val="19"/>
          <w:szCs w:val="19"/>
          <w:color w:val="auto"/>
        </w:rPr>
        <w:t>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55" w:lineRule="exact"/>
        <w:rPr>
          <w:sz w:val="20"/>
          <w:szCs w:val="20"/>
          <w:color w:val="auto"/>
        </w:rPr>
      </w:pPr>
    </w:p>
    <w:p>
      <w:pPr>
        <w:ind w:left="160" w:right="199"/>
        <w:spacing w:after="0" w:line="247" w:lineRule="auto"/>
        <w:rPr>
          <w:sz w:val="20"/>
          <w:szCs w:val="20"/>
          <w:color w:val="auto"/>
        </w:rPr>
      </w:pPr>
      <w:r>
        <w:rPr>
          <w:rFonts w:ascii="Arial" w:cs="Arial" w:eastAsia="Arial" w:hAnsi="Arial"/>
          <w:sz w:val="21"/>
          <w:szCs w:val="21"/>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78" w:lineRule="exact"/>
        <w:rPr>
          <w:sz w:val="20"/>
          <w:szCs w:val="20"/>
          <w:color w:val="auto"/>
        </w:rPr>
      </w:pPr>
    </w:p>
    <w:p>
      <w:pPr>
        <w:ind w:left="160" w:right="319" w:firstLine="639"/>
        <w:spacing w:after="0" w:line="269" w:lineRule="auto"/>
        <w:tabs>
          <w:tab w:leader="none" w:pos="1483" w:val="left"/>
        </w:tabs>
        <w:numPr>
          <w:ilvl w:val="1"/>
          <w:numId w:val="266"/>
        </w:numPr>
        <w:rPr>
          <w:rFonts w:ascii="Arial" w:cs="Arial" w:eastAsia="Arial" w:hAnsi="Arial"/>
          <w:sz w:val="19"/>
          <w:szCs w:val="19"/>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The provisions of this Section 5 set forth certain terms of an agreement reached between the Executive and the Company regarding the Executive’s rights and obligations upon the occurrence of a Sale Event (as defined below).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w:t>
      </w:r>
    </w:p>
    <w:p>
      <w:pPr>
        <w:spacing w:after="0" w:line="1" w:lineRule="exact"/>
        <w:rPr>
          <w:rFonts w:ascii="Arial" w:cs="Arial" w:eastAsia="Arial" w:hAnsi="Arial"/>
          <w:sz w:val="19"/>
          <w:szCs w:val="19"/>
          <w:color w:val="auto"/>
        </w:rPr>
      </w:pPr>
    </w:p>
    <w:p>
      <w:pPr>
        <w:ind w:left="560" w:hanging="409"/>
        <w:spacing w:after="0"/>
        <w:tabs>
          <w:tab w:leader="none" w:pos="56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months after the occurrence of a Sale Event.</w:t>
      </w:r>
    </w:p>
    <w:p>
      <w:pPr>
        <w:spacing w:after="0" w:line="188" w:lineRule="exact"/>
        <w:rPr>
          <w:rFonts w:ascii="Arial" w:cs="Arial" w:eastAsia="Arial" w:hAnsi="Arial"/>
          <w:sz w:val="22"/>
          <w:szCs w:val="22"/>
          <w:color w:val="auto"/>
        </w:rPr>
      </w:pPr>
    </w:p>
    <w:p>
      <w:pPr>
        <w:ind w:left="160" w:right="259" w:firstLine="1287"/>
        <w:spacing w:after="0" w:line="235" w:lineRule="auto"/>
        <w:tabs>
          <w:tab w:leader="none" w:pos="2142" w:val="left"/>
        </w:tabs>
        <w:numPr>
          <w:ilvl w:val="2"/>
          <w:numId w:val="267"/>
        </w:numPr>
        <w:rPr>
          <w:rFonts w:ascii="Arial" w:cs="Arial" w:eastAsia="Arial" w:hAnsi="Arial"/>
          <w:sz w:val="22"/>
          <w:szCs w:val="22"/>
          <w:color w:val="auto"/>
        </w:rPr>
      </w:pPr>
      <w:r>
        <w:rPr>
          <w:rFonts w:ascii="Arial" w:cs="Arial" w:eastAsia="Arial" w:hAnsi="Arial"/>
          <w:sz w:val="22"/>
          <w:szCs w:val="22"/>
          <w:u w:val="single" w:color="auto"/>
          <w:color w:val="auto"/>
        </w:rPr>
        <w:t>Sale Event</w:t>
      </w:r>
      <w:r>
        <w:rPr>
          <w:rFonts w:ascii="Arial" w:cs="Arial" w:eastAsia="Arial" w:hAnsi="Arial"/>
          <w:sz w:val="22"/>
          <w:szCs w:val="22"/>
          <w:color w:val="auto"/>
        </w:rPr>
        <w:t>. During the Term, if within twelve (12) months after a Sale Event,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8" w:lineRule="exact"/>
        <w:rPr>
          <w:rFonts w:ascii="Arial" w:cs="Arial" w:eastAsia="Arial" w:hAnsi="Arial"/>
          <w:sz w:val="22"/>
          <w:szCs w:val="22"/>
          <w:color w:val="auto"/>
        </w:rPr>
      </w:pPr>
    </w:p>
    <w:p>
      <w:pPr>
        <w:ind w:left="800" w:right="199" w:firstLine="1295"/>
        <w:spacing w:after="0" w:line="273" w:lineRule="auto"/>
        <w:tabs>
          <w:tab w:leader="none" w:pos="2814" w:val="left"/>
        </w:tabs>
        <w:numPr>
          <w:ilvl w:val="3"/>
          <w:numId w:val="267"/>
        </w:numPr>
        <w:rPr>
          <w:rFonts w:ascii="Arial" w:cs="Arial" w:eastAsia="Arial" w:hAnsi="Arial"/>
          <w:sz w:val="19"/>
          <w:szCs w:val="19"/>
          <w:color w:val="auto"/>
        </w:rPr>
      </w:pPr>
      <w:r>
        <w:rPr>
          <w:rFonts w:ascii="Arial" w:cs="Arial" w:eastAsia="Arial" w:hAnsi="Arial"/>
          <w:sz w:val="19"/>
          <w:szCs w:val="19"/>
          <w:color w:val="auto"/>
        </w:rPr>
        <w:t>the Company shall pay the Executive a lump sum in cash in an amount equal to the sum of (A) one (1) times the Executive’s current Base Salary (or the Executive’s Base Salary in effect immediately prior to the Sale Event, if higher) plus (B) one</w:t>
      </w:r>
    </w:p>
    <w:p>
      <w:pPr>
        <w:spacing w:after="0" w:line="1"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(1) times the Executive’s Target Incentive Compensation; and</w:t>
      </w:r>
    </w:p>
    <w:p>
      <w:pPr>
        <w:spacing w:after="0" w:line="188" w:lineRule="exact"/>
        <w:rPr>
          <w:rFonts w:ascii="Arial" w:cs="Arial" w:eastAsia="Arial" w:hAnsi="Arial"/>
          <w:sz w:val="19"/>
          <w:szCs w:val="19"/>
          <w:color w:val="auto"/>
        </w:rPr>
      </w:pPr>
    </w:p>
    <w:p>
      <w:pPr>
        <w:ind w:left="800" w:right="159" w:firstLine="1295"/>
        <w:spacing w:after="0" w:line="234" w:lineRule="auto"/>
        <w:tabs>
          <w:tab w:leader="none" w:pos="2847" w:val="left"/>
        </w:tabs>
        <w:numPr>
          <w:ilvl w:val="3"/>
          <w:numId w:val="267"/>
        </w:numPr>
        <w:rPr>
          <w:rFonts w:ascii="Arial" w:cs="Arial" w:eastAsia="Arial" w:hAnsi="Arial"/>
          <w:sz w:val="22"/>
          <w:szCs w:val="22"/>
          <w:color w:val="auto"/>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9" w:name="page240"/>
    <w:bookmarkEnd w:id="239"/>
    <w:p>
      <w:pPr>
        <w:ind w:left="800" w:right="139" w:firstLine="1295"/>
        <w:spacing w:after="0" w:line="277" w:lineRule="auto"/>
        <w:tabs>
          <w:tab w:leader="none" w:pos="2866"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53" w:lineRule="exact"/>
        <w:rPr>
          <w:sz w:val="20"/>
          <w:szCs w:val="20"/>
          <w:color w:val="auto"/>
        </w:rPr>
      </w:pPr>
    </w:p>
    <w:p>
      <w:pPr>
        <w:ind w:left="160" w:right="33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3" w:lineRule="exact"/>
        <w:rPr>
          <w:sz w:val="20"/>
          <w:szCs w:val="20"/>
          <w:color w:val="auto"/>
        </w:rPr>
      </w:pPr>
    </w:p>
    <w:p>
      <w:pPr>
        <w:ind w:left="2140" w:hanging="693"/>
        <w:spacing w:after="0"/>
        <w:tabs>
          <w:tab w:leader="none" w:pos="21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Additional Limitation.</w:t>
      </w:r>
    </w:p>
    <w:p>
      <w:pPr>
        <w:spacing w:after="0" w:line="206" w:lineRule="exact"/>
        <w:rPr>
          <w:rFonts w:ascii="Arial" w:cs="Arial" w:eastAsia="Arial" w:hAnsi="Arial"/>
          <w:sz w:val="22"/>
          <w:szCs w:val="22"/>
          <w:color w:val="auto"/>
        </w:rPr>
      </w:pPr>
    </w:p>
    <w:p>
      <w:pPr>
        <w:ind w:left="800" w:right="199" w:firstLine="1295"/>
        <w:spacing w:after="0" w:line="268" w:lineRule="auto"/>
        <w:tabs>
          <w:tab w:leader="none" w:pos="2814" w:val="left"/>
        </w:tabs>
        <w:numPr>
          <w:ilvl w:val="1"/>
          <w:numId w:val="269"/>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w:t>
      </w:r>
    </w:p>
    <w:p>
      <w:pPr>
        <w:spacing w:after="0" w:line="4" w:lineRule="exact"/>
        <w:rPr>
          <w:rFonts w:ascii="Arial" w:cs="Arial" w:eastAsia="Arial" w:hAnsi="Arial"/>
          <w:sz w:val="19"/>
          <w:szCs w:val="19"/>
          <w:color w:val="auto"/>
        </w:rPr>
      </w:pPr>
    </w:p>
    <w:p>
      <w:pPr>
        <w:ind w:left="800" w:right="159"/>
        <w:spacing w:after="0" w:line="244" w:lineRule="auto"/>
        <w:rPr>
          <w:rFonts w:ascii="Arial" w:cs="Arial" w:eastAsia="Arial" w:hAnsi="Arial"/>
          <w:sz w:val="19"/>
          <w:szCs w:val="19"/>
          <w:color w:val="auto"/>
        </w:rPr>
      </w:pPr>
      <w:r>
        <w:rPr>
          <w:rFonts w:ascii="Arial" w:cs="Arial" w:eastAsia="Arial" w:hAnsi="Arial"/>
          <w:sz w:val="21"/>
          <w:szCs w:val="21"/>
          <w:color w:val="auto"/>
        </w:rPr>
        <w:t>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3" w:lineRule="exact"/>
        <w:rPr>
          <w:rFonts w:ascii="Arial" w:cs="Arial" w:eastAsia="Arial" w:hAnsi="Arial"/>
          <w:sz w:val="19"/>
          <w:szCs w:val="19"/>
          <w:color w:val="auto"/>
        </w:rPr>
      </w:pPr>
    </w:p>
    <w:p>
      <w:pPr>
        <w:ind w:left="800" w:right="199" w:firstLine="1295"/>
        <w:spacing w:after="0" w:line="277" w:lineRule="auto"/>
        <w:tabs>
          <w:tab w:leader="none" w:pos="2847" w:val="left"/>
        </w:tabs>
        <w:numPr>
          <w:ilvl w:val="1"/>
          <w:numId w:val="269"/>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0" w:name="page241"/>
    <w:bookmarkEnd w:id="240"/>
    <w:p>
      <w:pPr>
        <w:ind w:left="800" w:right="799"/>
        <w:spacing w:after="0" w:line="329" w:lineRule="auto"/>
        <w:rPr>
          <w:sz w:val="20"/>
          <w:szCs w:val="20"/>
          <w:color w:val="auto"/>
        </w:rPr>
      </w:pPr>
      <w:r>
        <w:rPr>
          <w:rFonts w:ascii="Arial" w:cs="Arial" w:eastAsia="Arial" w:hAnsi="Arial"/>
          <w:sz w:val="19"/>
          <w:szCs w:val="19"/>
          <w:color w:val="auto"/>
        </w:rPr>
        <w:t>taxation in each applicable state and locality, net of the maximum reduction in federal income taxes which could be obtained from deduction of such state and local taxes.</w:t>
      </w:r>
    </w:p>
    <w:p>
      <w:pPr>
        <w:spacing w:after="0" w:line="104" w:lineRule="exact"/>
        <w:rPr>
          <w:sz w:val="20"/>
          <w:szCs w:val="20"/>
          <w:color w:val="auto"/>
        </w:rPr>
      </w:pPr>
    </w:p>
    <w:p>
      <w:pPr>
        <w:ind w:left="800" w:right="219" w:firstLine="1295"/>
        <w:spacing w:after="0" w:line="247" w:lineRule="auto"/>
        <w:tabs>
          <w:tab w:leader="none" w:pos="2866" w:val="left"/>
        </w:tabs>
        <w:numPr>
          <w:ilvl w:val="1"/>
          <w:numId w:val="270"/>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78" w:lineRule="exact"/>
        <w:rPr>
          <w:rFonts w:ascii="Arial" w:cs="Arial" w:eastAsia="Arial" w:hAnsi="Arial"/>
          <w:sz w:val="21"/>
          <w:szCs w:val="21"/>
          <w:color w:val="auto"/>
        </w:rPr>
      </w:pPr>
    </w:p>
    <w:p>
      <w:pPr>
        <w:ind w:left="160" w:right="419" w:firstLine="1287"/>
        <w:spacing w:after="0" w:line="251" w:lineRule="auto"/>
        <w:tabs>
          <w:tab w:leader="none" w:pos="2155"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5, the following terms shall have the following meanings:</w:t>
      </w:r>
    </w:p>
    <w:p>
      <w:pPr>
        <w:spacing w:after="0" w:line="173" w:lineRule="exact"/>
        <w:rPr>
          <w:sz w:val="20"/>
          <w:szCs w:val="20"/>
          <w:color w:val="auto"/>
        </w:rPr>
      </w:pPr>
    </w:p>
    <w:p>
      <w:pPr>
        <w:ind w:left="160" w:right="159" w:firstLine="648"/>
        <w:spacing w:after="0" w:line="271" w:lineRule="auto"/>
        <w:rPr>
          <w:sz w:val="20"/>
          <w:szCs w:val="20"/>
          <w:color w:val="auto"/>
        </w:rPr>
      </w:pPr>
      <w:r>
        <w:rPr>
          <w:rFonts w:ascii="Arial" w:cs="Arial" w:eastAsia="Arial" w:hAnsi="Arial"/>
          <w:sz w:val="19"/>
          <w:szCs w:val="19"/>
          <w:i w:val="1"/>
          <w:iCs w:val="1"/>
          <w:color w:val="auto"/>
        </w:rPr>
        <w:t xml:space="preserve">“Sale Event” </w:t>
      </w:r>
      <w:r>
        <w:rPr>
          <w:rFonts w:ascii="Arial" w:cs="Arial" w:eastAsia="Arial" w:hAnsi="Arial"/>
          <w:sz w:val="19"/>
          <w:szCs w:val="19"/>
          <w:color w:val="auto"/>
        </w:rPr>
        <w:t>shall mean (i) the sale of all or substantially all of the assets of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200" w:lineRule="exact"/>
        <w:rPr>
          <w:sz w:val="20"/>
          <w:szCs w:val="20"/>
          <w:color w:val="auto"/>
        </w:rPr>
      </w:pPr>
    </w:p>
    <w:p>
      <w:pPr>
        <w:spacing w:after="0" w:line="205" w:lineRule="exact"/>
        <w:rPr>
          <w:sz w:val="20"/>
          <w:szCs w:val="20"/>
          <w:color w:val="auto"/>
        </w:rPr>
      </w:pPr>
    </w:p>
    <w:p>
      <w:pPr>
        <w:ind w:left="160" w:right="139" w:firstLine="648"/>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56" w:lineRule="exact"/>
        <w:rPr>
          <w:sz w:val="20"/>
          <w:szCs w:val="20"/>
          <w:color w:val="auto"/>
        </w:rPr>
      </w:pPr>
    </w:p>
    <w:p>
      <w:pPr>
        <w:ind w:left="1480" w:hanging="681"/>
        <w:spacing w:after="0"/>
        <w:tabs>
          <w:tab w:leader="none" w:pos="1480"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59" w:firstLine="1287"/>
        <w:spacing w:after="0" w:line="328" w:lineRule="auto"/>
        <w:tabs>
          <w:tab w:leader="none" w:pos="2142" w:val="left"/>
        </w:tabs>
        <w:numPr>
          <w:ilvl w:val="1"/>
          <w:numId w:val="27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1" w:name="page242"/>
    <w:bookmarkEnd w:id="241"/>
    <w:p>
      <w:pPr>
        <w:ind w:left="160" w:right="179"/>
        <w:spacing w:after="0" w:line="273" w:lineRule="auto"/>
        <w:rPr>
          <w:sz w:val="20"/>
          <w:szCs w:val="20"/>
          <w:color w:val="auto"/>
        </w:rPr>
      </w:pPr>
      <w:r>
        <w:rPr>
          <w:rFonts w:ascii="Arial" w:cs="Arial" w:eastAsia="Arial" w:hAnsi="Arial"/>
          <w:sz w:val="19"/>
          <w:szCs w:val="19"/>
          <w:color w:val="auto"/>
        </w:rPr>
        <w:t>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7" w:lineRule="exact"/>
        <w:rPr>
          <w:sz w:val="20"/>
          <w:szCs w:val="20"/>
          <w:color w:val="auto"/>
        </w:rPr>
      </w:pPr>
    </w:p>
    <w:p>
      <w:pPr>
        <w:ind w:left="160" w:right="239" w:firstLine="1287"/>
        <w:spacing w:after="0" w:line="274" w:lineRule="auto"/>
        <w:tabs>
          <w:tab w:leader="none" w:pos="2154" w:val="left"/>
        </w:tabs>
        <w:numPr>
          <w:ilvl w:val="0"/>
          <w:numId w:val="273"/>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left="160" w:right="439" w:firstLine="1287"/>
        <w:spacing w:after="0" w:line="248" w:lineRule="exact"/>
        <w:tabs>
          <w:tab w:leader="none" w:pos="2155"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1(h).</w:t>
      </w:r>
    </w:p>
    <w:p>
      <w:pPr>
        <w:spacing w:after="0" w:line="188" w:lineRule="exact"/>
        <w:rPr>
          <w:rFonts w:ascii="Arial" w:cs="Arial" w:eastAsia="Arial" w:hAnsi="Arial"/>
          <w:sz w:val="19"/>
          <w:szCs w:val="19"/>
          <w:color w:val="auto"/>
        </w:rPr>
      </w:pPr>
    </w:p>
    <w:p>
      <w:pPr>
        <w:ind w:left="160" w:right="199" w:firstLine="1287"/>
        <w:spacing w:after="0" w:line="246" w:lineRule="exact"/>
        <w:tabs>
          <w:tab w:leader="none" w:pos="2154"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1" w:lineRule="exact"/>
        <w:rPr>
          <w:rFonts w:ascii="Arial" w:cs="Arial" w:eastAsia="Arial" w:hAnsi="Arial"/>
          <w:sz w:val="19"/>
          <w:szCs w:val="19"/>
          <w:color w:val="auto"/>
        </w:rPr>
      </w:pPr>
    </w:p>
    <w:p>
      <w:pPr>
        <w:jc w:val="both"/>
        <w:ind w:left="160" w:right="159" w:firstLine="1287"/>
        <w:spacing w:after="0" w:line="238" w:lineRule="auto"/>
        <w:tabs>
          <w:tab w:leader="none" w:pos="214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2" w:name="page243"/>
    <w:bookmarkEnd w:id="242"/>
    <w:p>
      <w:pPr>
        <w:ind w:left="160" w:right="239" w:firstLine="639"/>
        <w:spacing w:after="0" w:line="236" w:lineRule="auto"/>
        <w:tabs>
          <w:tab w:leader="none" w:pos="1483"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and Cooperation</w:t>
      </w:r>
      <w:r>
        <w:rPr>
          <w:rFonts w:ascii="Arial" w:cs="Arial" w:eastAsia="Arial" w:hAnsi="Arial"/>
          <w:sz w:val="22"/>
          <w:szCs w:val="22"/>
          <w:color w:val="auto"/>
        </w:rPr>
        <w:t>. The Executive agrees to the terms of the Non-Solicitation, Non-Competition, Confidentiality and Assignment Agreement, dated as of November 22, 2014, by and between the Company and the Executive (the “Restrictive Covenant Agreement”), the terms of which are hereby are incorporated by reference as material terms of this Agreement.</w:t>
      </w:r>
    </w:p>
    <w:p>
      <w:pPr>
        <w:spacing w:after="0" w:line="188" w:lineRule="exact"/>
        <w:rPr>
          <w:rFonts w:ascii="Arial" w:cs="Arial" w:eastAsia="Arial" w:hAnsi="Arial"/>
          <w:sz w:val="22"/>
          <w:szCs w:val="22"/>
          <w:color w:val="auto"/>
        </w:rPr>
      </w:pPr>
    </w:p>
    <w:p>
      <w:pPr>
        <w:ind w:left="160" w:right="159" w:firstLine="639"/>
        <w:spacing w:after="0" w:line="271" w:lineRule="auto"/>
        <w:tabs>
          <w:tab w:leader="none" w:pos="1483"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8" w:lineRule="exact"/>
        <w:rPr>
          <w:rFonts w:ascii="Arial" w:cs="Arial" w:eastAsia="Arial" w:hAnsi="Arial"/>
          <w:sz w:val="19"/>
          <w:szCs w:val="19"/>
          <w:color w:val="auto"/>
        </w:rPr>
      </w:pPr>
    </w:p>
    <w:p>
      <w:pPr>
        <w:ind w:left="160" w:right="199" w:firstLine="639"/>
        <w:spacing w:after="0" w:line="247" w:lineRule="auto"/>
        <w:tabs>
          <w:tab w:leader="none" w:pos="1483"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1"/>
          <w:szCs w:val="21"/>
          <w:color w:val="auto"/>
        </w:rPr>
      </w:pPr>
    </w:p>
    <w:p>
      <w:pPr>
        <w:jc w:val="both"/>
        <w:ind w:left="160" w:right="519" w:firstLine="639"/>
        <w:spacing w:after="0" w:line="258" w:lineRule="auto"/>
        <w:tabs>
          <w:tab w:leader="none" w:pos="1483"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the subject matter hereof and supersedes the Prior Agreement as well as all other prior agreements between the parties concerning such subject matter.</w:t>
      </w:r>
    </w:p>
    <w:p>
      <w:pPr>
        <w:spacing w:after="0" w:line="166" w:lineRule="exact"/>
        <w:rPr>
          <w:rFonts w:ascii="Arial" w:cs="Arial" w:eastAsia="Arial" w:hAnsi="Arial"/>
          <w:sz w:val="21"/>
          <w:szCs w:val="21"/>
          <w:color w:val="auto"/>
        </w:rPr>
      </w:pPr>
    </w:p>
    <w:p>
      <w:pPr>
        <w:ind w:left="160" w:right="339" w:firstLine="639"/>
        <w:spacing w:after="0"/>
        <w:tabs>
          <w:tab w:leader="none" w:pos="1475"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86" w:lineRule="exact"/>
        <w:rPr>
          <w:rFonts w:ascii="Arial" w:cs="Arial" w:eastAsia="Arial" w:hAnsi="Arial"/>
          <w:sz w:val="22"/>
          <w:szCs w:val="22"/>
          <w:color w:val="auto"/>
        </w:rPr>
      </w:pPr>
    </w:p>
    <w:p>
      <w:pPr>
        <w:ind w:left="160" w:right="219" w:firstLine="639"/>
        <w:spacing w:after="0" w:line="234" w:lineRule="auto"/>
        <w:tabs>
          <w:tab w:leader="none" w:pos="1483"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Successor to the Executive</w:t>
      </w:r>
      <w:r>
        <w:rPr>
          <w:rFonts w:ascii="Arial" w:cs="Arial" w:eastAsia="Arial" w:hAnsi="Arial"/>
          <w:sz w:val="22"/>
          <w:szCs w:val="22"/>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3" w:name="page244"/>
    <w:bookmarkEnd w:id="243"/>
    <w:p>
      <w:pPr>
        <w:ind w:left="160" w:right="199" w:firstLine="639"/>
        <w:spacing w:after="0" w:line="279" w:lineRule="auto"/>
        <w:tabs>
          <w:tab w:leader="none" w:pos="1483"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1" w:lineRule="exact"/>
        <w:rPr>
          <w:rFonts w:ascii="Arial" w:cs="Arial" w:eastAsia="Arial" w:hAnsi="Arial"/>
          <w:sz w:val="19"/>
          <w:szCs w:val="19"/>
          <w:color w:val="auto"/>
        </w:rPr>
      </w:pPr>
    </w:p>
    <w:p>
      <w:pPr>
        <w:ind w:left="160" w:right="619" w:firstLine="639"/>
        <w:spacing w:after="0"/>
        <w:tabs>
          <w:tab w:leader="none" w:pos="1483"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6" w:lineRule="exact"/>
        <w:rPr>
          <w:rFonts w:ascii="Arial" w:cs="Arial" w:eastAsia="Arial" w:hAnsi="Arial"/>
          <w:sz w:val="22"/>
          <w:szCs w:val="22"/>
          <w:color w:val="auto"/>
        </w:rPr>
      </w:pPr>
    </w:p>
    <w:p>
      <w:pPr>
        <w:ind w:left="160" w:right="239" w:firstLine="639"/>
        <w:spacing w:after="0" w:line="236" w:lineRule="auto"/>
        <w:tabs>
          <w:tab w:leader="none" w:pos="1483"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2"/>
          <w:szCs w:val="22"/>
          <w:color w:val="auto"/>
        </w:rPr>
      </w:pPr>
    </w:p>
    <w:p>
      <w:pPr>
        <w:ind w:left="160" w:right="259" w:firstLine="639"/>
        <w:spacing w:after="0" w:line="282" w:lineRule="auto"/>
        <w:tabs>
          <w:tab w:leader="none" w:pos="1483"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9"/>
          <w:szCs w:val="19"/>
          <w:color w:val="auto"/>
        </w:rPr>
      </w:pPr>
    </w:p>
    <w:p>
      <w:pPr>
        <w:jc w:val="both"/>
        <w:ind w:left="160" w:right="819" w:firstLine="639"/>
        <w:spacing w:after="0" w:line="328" w:lineRule="auto"/>
        <w:tabs>
          <w:tab w:leader="none" w:pos="1483"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5" w:lineRule="exact"/>
        <w:rPr>
          <w:rFonts w:ascii="Arial" w:cs="Arial" w:eastAsia="Arial" w:hAnsi="Arial"/>
          <w:sz w:val="19"/>
          <w:szCs w:val="19"/>
          <w:color w:val="auto"/>
        </w:rPr>
      </w:pPr>
    </w:p>
    <w:p>
      <w:pPr>
        <w:ind w:left="160" w:right="259" w:firstLine="639"/>
        <w:spacing w:after="0" w:line="282" w:lineRule="auto"/>
        <w:tabs>
          <w:tab w:leader="none" w:pos="1483"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9"/>
          <w:szCs w:val="19"/>
          <w:color w:val="auto"/>
        </w:rPr>
      </w:pPr>
    </w:p>
    <w:p>
      <w:pPr>
        <w:jc w:val="both"/>
        <w:ind w:left="160" w:right="159" w:firstLine="639"/>
        <w:spacing w:after="0"/>
        <w:tabs>
          <w:tab w:leader="none" w:pos="1483"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left="160" w:right="159" w:firstLine="639"/>
        <w:spacing w:after="0" w:line="279" w:lineRule="auto"/>
        <w:tabs>
          <w:tab w:leader="none" w:pos="1483"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0" w:lineRule="exact"/>
        <w:rPr>
          <w:rFonts w:ascii="Arial" w:cs="Arial" w:eastAsia="Arial" w:hAnsi="Arial"/>
          <w:sz w:val="19"/>
          <w:szCs w:val="19"/>
          <w:color w:val="auto"/>
        </w:rPr>
      </w:pPr>
    </w:p>
    <w:p>
      <w:pPr>
        <w:ind w:left="160" w:right="339" w:firstLine="639"/>
        <w:spacing w:after="0" w:line="328" w:lineRule="auto"/>
        <w:tabs>
          <w:tab w:leader="none" w:pos="1483"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Gender Neutral</w:t>
      </w:r>
      <w:r>
        <w:rPr>
          <w:rFonts w:ascii="Arial" w:cs="Arial" w:eastAsia="Arial" w:hAnsi="Arial"/>
          <w:sz w:val="19"/>
          <w:szCs w:val="19"/>
          <w:color w:val="auto"/>
        </w:rPr>
        <w:t>. Wherever used herein, a pronoun in the masculine gender shall be considered as including the feminine gender unless the context clearly indicates otherwise.</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4" w:name="page245"/>
    <w:bookmarkEnd w:id="244"/>
    <w:p>
      <w:pPr>
        <w:ind w:left="160" w:right="43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BLUEPRINT MEDICINES CORPORATION</w:t>
      </w:r>
    </w:p>
    <w:p>
      <w:pPr>
        <w:spacing w:after="0" w:line="239"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tab/>
        <w:t>/s/ Jeffrey W. Albers</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-158115</wp:posOffset>
            </wp:positionV>
            <wp:extent cx="26244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410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7620</wp:posOffset>
            </wp:positionV>
            <wp:extent cx="30270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Kathryn Haviland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b w:val="1"/>
                <w:bCs w:val="1"/>
                <w:color w:val="auto"/>
              </w:rPr>
              <w:t>Subsidiaries of the Registrant</w:t>
            </w:r>
          </w:p>
        </w:tc>
        <w:tc>
          <w:tcPr>
            <w:tcW w:w="2500" w:type="dxa"/>
            <w:vAlign w:val="bottom"/>
          </w:tcPr>
          <w:p>
            <w:pPr>
              <w:spacing w:after="0"/>
              <w:rPr>
                <w:sz w:val="20"/>
                <w:szCs w:val="20"/>
                <w:color w:val="auto"/>
              </w:rPr>
            </w:pPr>
          </w:p>
        </w:tc>
      </w:tr>
      <w:tr>
        <w:trPr>
          <w:trHeight w:val="378"/>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Entity</w:t>
            </w:r>
          </w:p>
        </w:tc>
        <w:tc>
          <w:tcPr>
            <w:tcW w:w="28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2500" w:type="dxa"/>
            <w:vAlign w:val="bottom"/>
          </w:tcPr>
          <w:p>
            <w:pPr>
              <w:spacing w:after="0"/>
              <w:rPr>
                <w:sz w:val="24"/>
                <w:szCs w:val="24"/>
                <w:color w:val="auto"/>
              </w:rPr>
            </w:pPr>
          </w:p>
        </w:tc>
      </w:tr>
      <w:tr>
        <w:trPr>
          <w:trHeight w:val="304"/>
        </w:trPr>
        <w:tc>
          <w:tcPr>
            <w:tcW w:w="3280" w:type="dxa"/>
            <w:vAlign w:val="bottom"/>
          </w:tcPr>
          <w:p>
            <w:pPr>
              <w:jc w:val="center"/>
              <w:spacing w:after="0"/>
              <w:rPr>
                <w:sz w:val="20"/>
                <w:szCs w:val="20"/>
                <w:color w:val="auto"/>
              </w:rPr>
            </w:pPr>
            <w:r>
              <w:rPr>
                <w:rFonts w:ascii="Arial" w:cs="Arial" w:eastAsia="Arial" w:hAnsi="Arial"/>
                <w:sz w:val="18"/>
                <w:szCs w:val="18"/>
                <w:color w:val="auto"/>
                <w:w w:val="93"/>
              </w:rPr>
              <w:t>Blueprint Medicines Security Corporation</w:t>
            </w:r>
          </w:p>
        </w:tc>
        <w:tc>
          <w:tcPr>
            <w:tcW w:w="28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c>
          <w:tcPr>
            <w:tcW w:w="2500" w:type="dxa"/>
            <w:vAlign w:val="bottom"/>
          </w:tcPr>
          <w:p>
            <w:pPr>
              <w:spacing w:after="0"/>
              <w:rPr>
                <w:sz w:val="24"/>
                <w:szCs w:val="24"/>
                <w:color w:val="auto"/>
              </w:rPr>
            </w:pPr>
          </w:p>
        </w:tc>
      </w:tr>
      <w:tr>
        <w:trPr>
          <w:trHeight w:val="952"/>
        </w:trPr>
        <w:tc>
          <w:tcPr>
            <w:tcW w:w="3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46" w:name="page247"/>
    <w:bookmarkEnd w:id="246"/>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88" w:lineRule="exact"/>
        <w:rPr>
          <w:sz w:val="20"/>
          <w:szCs w:val="20"/>
          <w:color w:val="auto"/>
        </w:rPr>
      </w:pPr>
    </w:p>
    <w:p>
      <w:pPr>
        <w:ind w:left="160" w:right="199"/>
        <w:spacing w:after="0" w:line="282" w:lineRule="auto"/>
        <w:rPr>
          <w:sz w:val="20"/>
          <w:szCs w:val="20"/>
          <w:color w:val="auto"/>
        </w:rPr>
      </w:pPr>
      <w:r>
        <w:rPr>
          <w:rFonts w:ascii="Arial" w:cs="Arial" w:eastAsia="Arial" w:hAnsi="Arial"/>
          <w:sz w:val="19"/>
          <w:szCs w:val="19"/>
          <w:color w:val="auto"/>
        </w:rPr>
        <w:t>We consent to the incorporation by reference in the Registration Statement (Form S-8 No. 333-203749) pertaining to the 2011 Stock Option and Grant Plan, 2015 Stock Option and Grant Plan and 2015 Employee Stock Purchase Plan of Blueprint Medicines Corporation of our report dated March 11, 2016, with respect to the consolidated financial statements of Blueprint Medicines Corporation included in this Annual Report (Form 10-K) for the year ended December 31, 2015.</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Ernst &amp; Young LLP</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March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133350</wp:posOffset>
            </wp:positionV>
            <wp:extent cx="554863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7" w:name="page248"/>
    <w:bookmarkEnd w:id="247"/>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11, 2016</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5984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Jeffrey W. Albers</w:t>
      </w:r>
    </w:p>
    <w:p>
      <w:pPr>
        <w:ind w:left="4780"/>
        <w:spacing w:after="0" w:line="204" w:lineRule="auto"/>
        <w:rPr>
          <w:sz w:val="20"/>
          <w:szCs w:val="20"/>
          <w:color w:val="auto"/>
        </w:rPr>
      </w:pPr>
      <w:r>
        <w:rPr>
          <w:rFonts w:ascii="Arial" w:cs="Arial" w:eastAsia="Arial" w:hAnsi="Arial"/>
          <w:sz w:val="18"/>
          <w:szCs w:val="18"/>
          <w:color w:val="auto"/>
        </w:rPr>
        <w:t>President and Chief Executive Officer</w:t>
      </w: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8" w:name="page249"/>
    <w:bookmarkEnd w:id="248"/>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11, 2016</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5984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Michael Landsittel</w:t>
      </w:r>
    </w:p>
    <w:p>
      <w:pPr>
        <w:ind w:left="4780"/>
        <w:spacing w:after="0" w:line="204" w:lineRule="auto"/>
        <w:rPr>
          <w:sz w:val="20"/>
          <w:szCs w:val="20"/>
          <w:color w:val="auto"/>
        </w:rPr>
      </w:pPr>
      <w:r>
        <w:rPr>
          <w:rFonts w:ascii="Arial" w:cs="Arial" w:eastAsia="Arial" w:hAnsi="Arial"/>
          <w:sz w:val="18"/>
          <w:szCs w:val="18"/>
          <w:color w:val="auto"/>
        </w:rPr>
        <w:t>Vice President of Finance</w:t>
      </w:r>
    </w:p>
    <w:p>
      <w:pPr>
        <w:ind w:left="4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left="1440" w:right="210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In connection with the Annual Report on Form 10-K of Blueprint Medicines Corporation (the “Company”) for the year ended December 31, 2015 as filed with the Securities and Exchange Commission on the date hereof (the “Report”), each of the undersigned officers of the Company hereby certifies, pursuant to 18 U.S.C. Section 1350, that to his knowledge:</w:t>
      </w:r>
    </w:p>
    <w:p>
      <w:pPr>
        <w:spacing w:after="0" w:line="147" w:lineRule="exact"/>
        <w:rPr>
          <w:sz w:val="20"/>
          <w:szCs w:val="20"/>
          <w:color w:val="auto"/>
        </w:rPr>
      </w:pPr>
    </w:p>
    <w:p>
      <w:pPr>
        <w:ind w:left="1300" w:right="180" w:hanging="568"/>
        <w:spacing w:after="0" w:line="235" w:lineRule="auto"/>
        <w:tabs>
          <w:tab w:leader="none" w:pos="13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right="100" w:hanging="568"/>
        <w:spacing w:after="0" w:line="235" w:lineRule="auto"/>
        <w:tabs>
          <w:tab w:leader="none" w:pos="13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11, 2016</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-635</wp:posOffset>
            </wp:positionV>
            <wp:extent cx="260731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Jeffrey W. Albers</w:t>
      </w:r>
    </w:p>
    <w:p>
      <w:pPr>
        <w:ind w:left="4960"/>
        <w:spacing w:after="0" w:line="204" w:lineRule="auto"/>
        <w:rPr>
          <w:sz w:val="20"/>
          <w:szCs w:val="20"/>
          <w:color w:val="auto"/>
        </w:rPr>
      </w:pPr>
      <w:r>
        <w:rPr>
          <w:rFonts w:ascii="Arial" w:cs="Arial" w:eastAsia="Arial" w:hAnsi="Arial"/>
          <w:sz w:val="18"/>
          <w:szCs w:val="18"/>
          <w:color w:val="auto"/>
        </w:rPr>
        <w:t>President and Chief Executive Officer</w:t>
      </w: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12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11, 2016</w:t>
      </w:r>
      <w:r>
        <w:rPr>
          <w:sz w:val="20"/>
          <w:szCs w:val="20"/>
          <w:color w:val="auto"/>
        </w:rPr>
        <w:tab/>
      </w:r>
      <w:r>
        <w:rPr>
          <w:rFonts w:ascii="Arial" w:cs="Arial" w:eastAsia="Arial" w:hAnsi="Arial"/>
          <w:sz w:val="17"/>
          <w:szCs w:val="17"/>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-635</wp:posOffset>
            </wp:positionV>
            <wp:extent cx="260731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Michael Landsittel</w:t>
      </w:r>
    </w:p>
    <w:p>
      <w:pPr>
        <w:ind w:left="4960"/>
        <w:spacing w:after="0" w:line="204" w:lineRule="auto"/>
        <w:rPr>
          <w:sz w:val="20"/>
          <w:szCs w:val="20"/>
          <w:color w:val="auto"/>
        </w:rPr>
      </w:pPr>
      <w:r>
        <w:rPr>
          <w:rFonts w:ascii="Arial" w:cs="Arial" w:eastAsia="Arial" w:hAnsi="Arial"/>
          <w:sz w:val="18"/>
          <w:szCs w:val="18"/>
          <w:color w:val="auto"/>
        </w:rPr>
        <w:t>Vice President of Finance</w:t>
      </w:r>
    </w:p>
    <w:p>
      <w:pPr>
        <w:ind w:left="4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
      <w:numFmt w:val="bullet"/>
      <w:start w:val="1"/>
    </w:lvl>
  </w:abstractNum>
  <w:abstractNum w:abstractNumId="2">
    <w:nsid w:val="7DFF9D09"/>
    <w:multiLevelType w:val="hybridMultilevel"/>
    <w:lvl w:ilvl="0">
      <w:lvlJc w:val="left"/>
      <w:lvlText w:val="·"/>
      <w:numFmt w:val="bullet"/>
      <w:start w:val="1"/>
    </w:lvl>
  </w:abstractNum>
  <w:abstractNum w:abstractNumId="3">
    <w:nsid w:val="754342"/>
    <w:multiLevelType w:val="hybridMultilevel"/>
    <w:lvl w:ilvl="0">
      <w:lvlJc w:val="left"/>
      <w:lvlText w:val="·"/>
      <w:numFmt w:val="bullet"/>
      <w:start w:val="1"/>
    </w:lvl>
  </w:abstractNum>
  <w:abstractNum w:abstractNumId="4">
    <w:nsid w:val="69E7F3E5"/>
    <w:multiLevelType w:val="hybridMultilevel"/>
    <w:lvl w:ilvl="0">
      <w:lvlJc w:val="left"/>
      <w:lvlText w:val="·"/>
      <w:numFmt w:val="bullet"/>
      <w:start w:val="1"/>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1)"/>
      <w:numFmt w:val="decimal"/>
      <w:start w:val="3"/>
    </w:lvl>
  </w:abstractNum>
  <w:abstractNum w:abstractNumId="7">
    <w:nsid w:val="37DF2233"/>
    <w:multiLevelType w:val="hybridMultilevel"/>
    <w:lvl w:ilvl="0">
      <w:lvlJc w:val="left"/>
      <w:lvlText w:val="·"/>
      <w:numFmt w:val="bullet"/>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
      <w:numFmt w:val="bullet"/>
      <w:start w:val="1"/>
    </w:lvl>
  </w:abstractNum>
  <w:abstractNum w:abstractNumId="10">
    <w:nsid w:val="61E74EA3"/>
    <w:multiLevelType w:val="hybridMultilevel"/>
    <w:lvl w:ilvl="0">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
      <w:numFmt w:val="bullet"/>
      <w:start w:val="1"/>
    </w:lvl>
  </w:abstractNum>
  <w:abstractNum w:abstractNumId="13">
    <w:nsid w:val="57C7D42D"/>
    <w:multiLevelType w:val="hybridMultilevel"/>
    <w:lvl w:ilvl="0">
      <w:lvlJc w:val="left"/>
      <w:lvlText w:val="·"/>
      <w:numFmt w:val="bullet"/>
      <w:start w:val="1"/>
    </w:lvl>
  </w:abstractNum>
  <w:abstractNum w:abstractNumId="14">
    <w:nsid w:val="312167AD"/>
    <w:multiLevelType w:val="hybridMultilevel"/>
    <w:lvl w:ilvl="0">
      <w:lvlJc w:val="left"/>
      <w:lvlText w:val="·"/>
      <w:numFmt w:val="bullet"/>
      <w:start w:val="1"/>
    </w:lvl>
  </w:abstractNum>
  <w:abstractNum w:abstractNumId="15">
    <w:nsid w:val="631B64D4"/>
    <w:multiLevelType w:val="hybridMultilevel"/>
    <w:lvl w:ilvl="0">
      <w:lvlJc w:val="left"/>
      <w:lvlText w:val="·"/>
      <w:numFmt w:val="bullet"/>
      <w:start w:val="1"/>
    </w:lvl>
  </w:abstractNum>
  <w:abstractNum w:abstractNumId="16">
    <w:nsid w:val="78B5E776"/>
    <w:multiLevelType w:val="hybridMultilevel"/>
    <w:lvl w:ilvl="0">
      <w:lvlJc w:val="left"/>
      <w:lvlText w:val="·"/>
      <w:numFmt w:val="bullet"/>
      <w:start w:val="1"/>
    </w:lvl>
  </w:abstractNum>
  <w:abstractNum w:abstractNumId="17">
    <w:nsid w:val="75486E47"/>
    <w:multiLevelType w:val="hybridMultilevel"/>
    <w:lvl w:ilvl="0">
      <w:lvlJc w:val="left"/>
      <w:lvlText w:val="(%1)"/>
      <w:numFmt w:val="lowerRoman"/>
      <w:start w:val="3"/>
    </w:lvl>
  </w:abstractNum>
  <w:abstractNum w:abstractNumId="18">
    <w:nsid w:val="6E534CDE"/>
    <w:multiLevelType w:val="hybridMultilevel"/>
    <w:lvl w:ilvl="0">
      <w:lvlJc w:val="left"/>
      <w:lvlText w:val="·"/>
      <w:numFmt w:val="bullet"/>
      <w:start w:val="1"/>
    </w:lvl>
  </w:abstractNum>
  <w:abstractNum w:abstractNumId="19">
    <w:nsid w:val="1A0DDE32"/>
    <w:multiLevelType w:val="hybridMultilevel"/>
    <w:lvl w:ilvl="0">
      <w:lvlJc w:val="left"/>
      <w:lvlText w:val="·"/>
      <w:numFmt w:val="bullet"/>
      <w:start w:val="1"/>
    </w:lvl>
  </w:abstractNum>
  <w:abstractNum w:abstractNumId="20">
    <w:nsid w:val="65968C1C"/>
    <w:multiLevelType w:val="hybridMultilevel"/>
    <w:lvl w:ilvl="0">
      <w:lvlJc w:val="left"/>
      <w:lvlText w:val="·"/>
      <w:numFmt w:val="bullet"/>
      <w:start w:val="1"/>
    </w:lvl>
  </w:abstractNum>
  <w:abstractNum w:abstractNumId="21">
    <w:nsid w:val="46263DEC"/>
    <w:multiLevelType w:val="hybridMultilevel"/>
    <w:lvl w:ilvl="0">
      <w:lvlJc w:val="left"/>
      <w:lvlText w:val="·"/>
      <w:numFmt w:val="bullet"/>
      <w:start w:val="1"/>
    </w:lvl>
  </w:abstractNum>
  <w:abstractNum w:abstractNumId="22">
    <w:nsid w:val="260D8C4A"/>
    <w:multiLevelType w:val="hybridMultilevel"/>
    <w:lvl w:ilvl="0">
      <w:lvlJc w:val="left"/>
      <w:lvlText w:val="·"/>
      <w:numFmt w:val="bullet"/>
      <w:start w:val="1"/>
    </w:lvl>
  </w:abstractNum>
  <w:abstractNum w:abstractNumId="23">
    <w:nsid w:val="73D4D3C4"/>
    <w:multiLevelType w:val="hybridMultilevel"/>
    <w:lvl w:ilvl="0">
      <w:lvlJc w:val="left"/>
      <w:lvlText w:val="·"/>
      <w:numFmt w:val="bullet"/>
      <w:start w:val="1"/>
    </w:lvl>
  </w:abstractNum>
  <w:abstractNum w:abstractNumId="24">
    <w:nsid w:val="746F2E30"/>
    <w:multiLevelType w:val="hybridMultilevel"/>
    <w:lvl w:ilvl="0">
      <w:lvlJc w:val="left"/>
      <w:lvlText w:val="·"/>
      <w:numFmt w:val="bullet"/>
      <w:start w:val="1"/>
    </w:lvl>
  </w:abstractNum>
  <w:abstractNum w:abstractNumId="25">
    <w:nsid w:val="6FDE8AF6"/>
    <w:multiLevelType w:val="hybridMultilevel"/>
    <w:lvl w:ilvl="0">
      <w:lvlJc w:val="left"/>
      <w:lvlText w:val="·"/>
      <w:numFmt w:val="bullet"/>
      <w:start w:val="1"/>
    </w:lvl>
  </w:abstractNum>
  <w:abstractNum w:abstractNumId="26">
    <w:nsid w:val="3FC32E20"/>
    <w:multiLevelType w:val="hybridMultilevel"/>
    <w:lvl w:ilvl="0">
      <w:lvlJc w:val="left"/>
      <w:lvlText w:val="·"/>
      <w:numFmt w:val="bullet"/>
      <w:start w:val="1"/>
    </w:lvl>
  </w:abstractNum>
  <w:abstractNum w:abstractNumId="27">
    <w:nsid w:val="49C0E823"/>
    <w:multiLevelType w:val="hybridMultilevel"/>
    <w:lvl w:ilvl="0">
      <w:lvlJc w:val="left"/>
      <w:lvlText w:val="·"/>
      <w:numFmt w:val="bullet"/>
      <w:start w:val="1"/>
    </w:lvl>
  </w:abstractNum>
  <w:abstractNum w:abstractNumId="28">
    <w:nsid w:val="14D53685"/>
    <w:multiLevelType w:val="hybridMultilevel"/>
    <w:lvl w:ilvl="0">
      <w:lvlJc w:val="left"/>
      <w:lvlText w:val="·"/>
      <w:numFmt w:val="bullet"/>
      <w:start w:val="1"/>
    </w:lvl>
  </w:abstractNum>
  <w:abstractNum w:abstractNumId="29">
    <w:nsid w:val="230F856C"/>
    <w:multiLevelType w:val="hybridMultilevel"/>
    <w:lvl w:ilvl="0">
      <w:lvlJc w:val="left"/>
      <w:lvlText w:val="·"/>
      <w:numFmt w:val="bullet"/>
      <w:start w:val="1"/>
    </w:lvl>
  </w:abstractNum>
  <w:abstractNum w:abstractNumId="30">
    <w:nsid w:val="6EAA85FB"/>
    <w:multiLevelType w:val="hybridMultilevel"/>
    <w:lvl w:ilvl="0">
      <w:lvlJc w:val="left"/>
      <w:lvlText w:val="(%1)"/>
      <w:numFmt w:val="lowerRoman"/>
      <w:start w:val="2"/>
    </w:lvl>
  </w:abstractNum>
  <w:abstractNum w:abstractNumId="31">
    <w:nsid w:val="3F06ECB2"/>
    <w:multiLevelType w:val="hybridMultilevel"/>
    <w:lvl w:ilvl="0">
      <w:lvlJc w:val="left"/>
      <w:lvlText w:val="·"/>
      <w:numFmt w:val="bullet"/>
      <w:start w:val="1"/>
    </w:lvl>
  </w:abstractNum>
  <w:abstractNum w:abstractNumId="32">
    <w:nsid w:val="3B594807"/>
    <w:multiLevelType w:val="hybridMultilevel"/>
    <w:lvl w:ilvl="0">
      <w:lvlJc w:val="left"/>
      <w:lvlText w:val="·"/>
      <w:numFmt w:val="bullet"/>
      <w:start w:val="1"/>
    </w:lvl>
  </w:abstractNum>
  <w:abstractNum w:abstractNumId="33">
    <w:nsid w:val="6CAA2304"/>
    <w:multiLevelType w:val="hybridMultilevel"/>
    <w:lvl w:ilvl="0">
      <w:lvlJc w:val="left"/>
      <w:lvlText w:val="·"/>
      <w:numFmt w:val="bullet"/>
      <w:start w:val="1"/>
    </w:lvl>
  </w:abstractNum>
  <w:abstractNum w:abstractNumId="34">
    <w:nsid w:val="3F7C2FF4"/>
    <w:multiLevelType w:val="hybridMultilevel"/>
    <w:lvl w:ilvl="0">
      <w:lvlJc w:val="left"/>
      <w:lvlText w:val="·"/>
      <w:numFmt w:val="bullet"/>
      <w:start w:val="1"/>
    </w:lvl>
  </w:abstractNum>
  <w:abstractNum w:abstractNumId="35">
    <w:nsid w:val="25413BEC"/>
    <w:multiLevelType w:val="hybridMultilevel"/>
    <w:lvl w:ilvl="0">
      <w:lvlJc w:val="left"/>
      <w:lvlText w:val="·"/>
      <w:numFmt w:val="bullet"/>
      <w:start w:val="1"/>
    </w:lvl>
  </w:abstractNum>
  <w:abstractNum w:abstractNumId="36">
    <w:nsid w:val="17180B0B"/>
    <w:multiLevelType w:val="hybridMultilevel"/>
    <w:lvl w:ilvl="0">
      <w:lvlJc w:val="left"/>
      <w:lvlText w:val="·"/>
      <w:numFmt w:val="bullet"/>
      <w:start w:val="1"/>
    </w:lvl>
  </w:abstractNum>
  <w:abstractNum w:abstractNumId="37">
    <w:nsid w:val="579328B9"/>
    <w:multiLevelType w:val="hybridMultilevel"/>
    <w:lvl w:ilvl="0">
      <w:lvlJc w:val="left"/>
      <w:lvlText w:val="·"/>
      <w:numFmt w:val="bullet"/>
      <w:start w:val="1"/>
    </w:lvl>
  </w:abstractNum>
  <w:abstractNum w:abstractNumId="38">
    <w:nsid w:val="5D205E20"/>
    <w:multiLevelType w:val="hybridMultilevel"/>
    <w:lvl w:ilvl="0">
      <w:lvlJc w:val="left"/>
      <w:lvlText w:val="·"/>
      <w:numFmt w:val="bullet"/>
      <w:start w:val="1"/>
    </w:lvl>
  </w:abstractNum>
  <w:abstractNum w:abstractNumId="39">
    <w:nsid w:val="11CCA8BA"/>
    <w:multiLevelType w:val="hybridMultilevel"/>
    <w:lvl w:ilvl="0">
      <w:lvlJc w:val="left"/>
      <w:lvlText w:val="·"/>
      <w:numFmt w:val="bullet"/>
      <w:start w:val="1"/>
    </w:lvl>
  </w:abstractNum>
  <w:abstractNum w:abstractNumId="40">
    <w:nsid w:val="4D32AB86"/>
    <w:multiLevelType w:val="hybridMultilevel"/>
    <w:lvl w:ilvl="0">
      <w:lvlJc w:val="left"/>
      <w:lvlText w:val="·"/>
      <w:numFmt w:val="bullet"/>
      <w:start w:val="1"/>
    </w:lvl>
  </w:abstractNum>
  <w:abstractNum w:abstractNumId="41">
    <w:nsid w:val="3F07ACC3"/>
    <w:multiLevelType w:val="hybridMultilevel"/>
    <w:lvl w:ilvl="0">
      <w:lvlJc w:val="left"/>
      <w:lvlText w:val="·"/>
      <w:numFmt w:val="bullet"/>
      <w:start w:val="1"/>
    </w:lvl>
  </w:abstractNum>
  <w:abstractNum w:abstractNumId="42">
    <w:nsid w:val="6B47F63E"/>
    <w:multiLevelType w:val="hybridMultilevel"/>
    <w:lvl w:ilvl="0">
      <w:lvlJc w:val="left"/>
      <w:lvlText w:val="·"/>
      <w:numFmt w:val="bullet"/>
      <w:start w:val="1"/>
    </w:lvl>
  </w:abstractNum>
  <w:abstractNum w:abstractNumId="43">
    <w:nsid w:val="5CB44A05"/>
    <w:multiLevelType w:val="hybridMultilevel"/>
    <w:lvl w:ilvl="0">
      <w:lvlJc w:val="left"/>
      <w:lvlText w:val="·"/>
      <w:numFmt w:val="bullet"/>
      <w:start w:val="1"/>
    </w:lvl>
  </w:abstractNum>
  <w:abstractNum w:abstractNumId="44">
    <w:nsid w:val="16CF80F1"/>
    <w:multiLevelType w:val="hybridMultilevel"/>
    <w:lvl w:ilvl="0">
      <w:lvlJc w:val="left"/>
      <w:lvlText w:val="·"/>
      <w:numFmt w:val="bullet"/>
      <w:start w:val="1"/>
    </w:lvl>
  </w:abstractNum>
  <w:abstractNum w:abstractNumId="45">
    <w:nsid w:val="1C695DEC"/>
    <w:multiLevelType w:val="hybridMultilevel"/>
    <w:lvl w:ilvl="0">
      <w:lvlJc w:val="left"/>
      <w:lvlText w:val="(%1)"/>
      <w:numFmt w:val="decimal"/>
      <w:start w:val="1"/>
    </w:lvl>
  </w:abstractNum>
  <w:abstractNum w:abstractNumId="46">
    <w:nsid w:val="3FCFAED9"/>
    <w:multiLevelType w:val="hybridMultilevel"/>
    <w:lvl w:ilvl="0">
      <w:lvlJc w:val="left"/>
      <w:lvlText w:val="(%1)"/>
      <w:numFmt w:val="decimal"/>
      <w:start w:val="1"/>
    </w:lvl>
  </w:abstractNum>
  <w:abstractNum w:abstractNumId="47">
    <w:nsid w:val="F856867"/>
    <w:multiLevelType w:val="hybridMultilevel"/>
    <w:lvl w:ilvl="0">
      <w:lvlJc w:val="left"/>
      <w:lvlText w:val="·"/>
      <w:numFmt w:val="bullet"/>
      <w:start w:val="1"/>
    </w:lvl>
  </w:abstractNum>
  <w:abstractNum w:abstractNumId="48">
    <w:nsid w:val="11B1CC33"/>
    <w:multiLevelType w:val="hybridMultilevel"/>
    <w:lvl w:ilvl="0">
      <w:lvlJc w:val="left"/>
      <w:lvlText w:val="·"/>
      <w:numFmt w:val="bullet"/>
      <w:start w:val="1"/>
    </w:lvl>
  </w:abstractNum>
  <w:abstractNum w:abstractNumId="49">
    <w:nsid w:val="2E22FBB7"/>
    <w:multiLevelType w:val="hybridMultilevel"/>
    <w:lvl w:ilvl="0">
      <w:lvlJc w:val="left"/>
      <w:lvlText w:val="·"/>
      <w:numFmt w:val="bullet"/>
      <w:start w:val="1"/>
    </w:lvl>
  </w:abstractNum>
  <w:abstractNum w:abstractNumId="50">
    <w:nsid w:val="29934699"/>
    <w:multiLevelType w:val="hybridMultilevel"/>
    <w:lvl w:ilvl="0">
      <w:lvlJc w:val="left"/>
      <w:lvlText w:val="·"/>
      <w:numFmt w:val="bullet"/>
      <w:start w:val="1"/>
    </w:lvl>
  </w:abstractNum>
  <w:abstractNum w:abstractNumId="51">
    <w:nsid w:val="77485850"/>
    <w:multiLevelType w:val="hybridMultilevel"/>
    <w:lvl w:ilvl="0">
      <w:lvlJc w:val="left"/>
      <w:lvlText w:val="·"/>
      <w:numFmt w:val="bullet"/>
      <w:start w:val="1"/>
    </w:lvl>
  </w:abstractNum>
  <w:abstractNum w:abstractNumId="52">
    <w:nsid w:val="744939A3"/>
    <w:multiLevelType w:val="hybridMultilevel"/>
    <w:lvl w:ilvl="0">
      <w:lvlJc w:val="left"/>
      <w:lvlText w:val="·"/>
      <w:numFmt w:val="bullet"/>
      <w:start w:val="1"/>
    </w:lvl>
  </w:abstractNum>
  <w:abstractNum w:abstractNumId="53">
    <w:nsid w:val="4FA0D2E3"/>
    <w:multiLevelType w:val="hybridMultilevel"/>
    <w:lvl w:ilvl="0">
      <w:lvlJc w:val="left"/>
      <w:lvlText w:val="·"/>
      <w:numFmt w:val="bullet"/>
      <w:start w:val="1"/>
    </w:lvl>
  </w:abstractNum>
  <w:abstractNum w:abstractNumId="54">
    <w:nsid w:val="6B1D2C14"/>
    <w:multiLevelType w:val="hybridMultilevel"/>
    <w:lvl w:ilvl="0">
      <w:lvlJc w:val="left"/>
      <w:lvlText w:val="·"/>
      <w:numFmt w:val="bullet"/>
      <w:start w:val="1"/>
    </w:lvl>
  </w:abstractNum>
  <w:abstractNum w:abstractNumId="55">
    <w:nsid w:val="68B867D3"/>
    <w:multiLevelType w:val="hybridMultilevel"/>
    <w:lvl w:ilvl="0">
      <w:lvlJc w:val="left"/>
      <w:lvlText w:val="·"/>
      <w:numFmt w:val="bullet"/>
      <w:start w:val="1"/>
    </w:lvl>
  </w:abstractNum>
  <w:abstractNum w:abstractNumId="56">
    <w:nsid w:val="3F7F5DD9"/>
    <w:multiLevelType w:val="hybridMultilevel"/>
    <w:lvl w:ilvl="0">
      <w:lvlJc w:val="left"/>
      <w:lvlText w:val="·"/>
      <w:numFmt w:val="bullet"/>
      <w:start w:val="1"/>
    </w:lvl>
  </w:abstractNum>
  <w:abstractNum w:abstractNumId="57">
    <w:nsid w:val="2AE05A34"/>
    <w:multiLevelType w:val="hybridMultilevel"/>
    <w:lvl w:ilvl="0">
      <w:lvlJc w:val="left"/>
      <w:lvlText w:val="·"/>
      <w:numFmt w:val="bullet"/>
      <w:start w:val="1"/>
    </w:lvl>
  </w:abstractNum>
  <w:abstractNum w:abstractNumId="58">
    <w:nsid w:val="32794FF7"/>
    <w:multiLevelType w:val="hybridMultilevel"/>
    <w:lvl w:ilvl="0">
      <w:lvlJc w:val="left"/>
      <w:lvlText w:val="·"/>
      <w:numFmt w:val="bullet"/>
      <w:start w:val="1"/>
    </w:lvl>
  </w:abstractNum>
  <w:abstractNum w:abstractNumId="59">
    <w:nsid w:val="5454945E"/>
    <w:multiLevelType w:val="hybridMultilevel"/>
    <w:lvl w:ilvl="0">
      <w:lvlJc w:val="left"/>
      <w:lvlText w:val="(%1)"/>
      <w:numFmt w:val="decimal"/>
      <w:start w:val="1"/>
    </w:lvl>
  </w:abstractNum>
  <w:abstractNum w:abstractNumId="60">
    <w:nsid w:val="4DEFDFA0"/>
    <w:multiLevelType w:val="hybridMultilevel"/>
    <w:lvl w:ilvl="0">
      <w:lvlJc w:val="left"/>
      <w:lvlText w:val="(%1)"/>
      <w:numFmt w:val="decimal"/>
      <w:start w:val="2"/>
    </w:lvl>
  </w:abstractNum>
  <w:abstractNum w:abstractNumId="61">
    <w:nsid w:val="2123D5F2"/>
    <w:multiLevelType w:val="hybridMultilevel"/>
    <w:lvl w:ilvl="0">
      <w:lvlJc w:val="left"/>
      <w:lvlText w:val="(%1)"/>
      <w:numFmt w:val="decimal"/>
      <w:start w:val="3"/>
    </w:lvl>
  </w:abstractNum>
  <w:abstractNum w:abstractNumId="62">
    <w:nsid w:val="135B8110"/>
    <w:multiLevelType w:val="hybridMultilevel"/>
    <w:lvl w:ilvl="0">
      <w:lvlJc w:val="left"/>
      <w:lvlText w:val="·"/>
      <w:numFmt w:val="bullet"/>
      <w:start w:val="1"/>
    </w:lvl>
  </w:abstractNum>
  <w:abstractNum w:abstractNumId="63">
    <w:nsid w:val="94927A8"/>
    <w:multiLevelType w:val="hybridMultilevel"/>
    <w:lvl w:ilvl="0">
      <w:lvlJc w:val="left"/>
      <w:lvlText w:val="·"/>
      <w:numFmt w:val="bullet"/>
      <w:start w:val="1"/>
    </w:lvl>
  </w:abstractNum>
  <w:abstractNum w:abstractNumId="64">
    <w:nsid w:val="DCDF8F6"/>
    <w:multiLevelType w:val="hybridMultilevel"/>
    <w:lvl w:ilvl="0">
      <w:lvlJc w:val="left"/>
      <w:lvlText w:val="·"/>
      <w:numFmt w:val="bullet"/>
      <w:start w:val="1"/>
    </w:lvl>
  </w:abstractNum>
  <w:abstractNum w:abstractNumId="65">
    <w:nsid w:val="52D7B105"/>
    <w:multiLevelType w:val="hybridMultilevel"/>
    <w:lvl w:ilvl="0">
      <w:lvlJc w:val="left"/>
      <w:lvlText w:val="·"/>
      <w:numFmt w:val="bullet"/>
      <w:start w:val="1"/>
    </w:lvl>
  </w:abstractNum>
  <w:abstractNum w:abstractNumId="66">
    <w:nsid w:val="2E8A6394"/>
    <w:multiLevelType w:val="hybridMultilevel"/>
    <w:lvl w:ilvl="0">
      <w:lvlJc w:val="left"/>
      <w:lvlText w:val="·"/>
      <w:numFmt w:val="bullet"/>
      <w:start w:val="1"/>
    </w:lvl>
  </w:abstractNum>
  <w:abstractNum w:abstractNumId="67">
    <w:nsid w:val="24E60401"/>
    <w:multiLevelType w:val="hybridMultilevel"/>
    <w:lvl w:ilvl="0">
      <w:lvlJc w:val="left"/>
      <w:lvlText w:val="·"/>
      <w:numFmt w:val="bullet"/>
      <w:start w:val="1"/>
    </w:lvl>
  </w:abstractNum>
  <w:abstractNum w:abstractNumId="68">
    <w:nsid w:val="2A6AD9BE"/>
    <w:multiLevelType w:val="hybridMultilevel"/>
    <w:lvl w:ilvl="0">
      <w:lvlJc w:val="left"/>
      <w:lvlText w:val="(%1)"/>
      <w:numFmt w:val="decimal"/>
      <w:start w:val="1"/>
    </w:lvl>
  </w:abstractNum>
  <w:abstractNum w:abstractNumId="69">
    <w:nsid w:val="BAAC1B4"/>
    <w:multiLevelType w:val="hybridMultilevel"/>
    <w:lvl w:ilvl="0">
      <w:lvlJc w:val="left"/>
      <w:lvlText w:val="$"/>
      <w:numFmt w:val="bullet"/>
      <w:start w:val="1"/>
    </w:lvl>
  </w:abstractNum>
  <w:abstractNum w:abstractNumId="70">
    <w:nsid w:val="36B2ACBC"/>
    <w:multiLevelType w:val="hybridMultilevel"/>
    <w:lvl w:ilvl="0">
      <w:lvlJc w:val="left"/>
      <w:lvlText w:val="$"/>
      <w:numFmt w:val="bullet"/>
      <w:start w:val="1"/>
    </w:lvl>
  </w:abstractNum>
  <w:abstractNum w:abstractNumId="71">
    <w:nsid w:val="779D8544"/>
    <w:multiLevelType w:val="hybridMultilevel"/>
    <w:lvl w:ilvl="0">
      <w:lvlJc w:val="left"/>
      <w:lvlText w:val="†"/>
      <w:numFmt w:val="bullet"/>
      <w:start w:val="1"/>
    </w:lvl>
  </w:abstractNum>
  <w:abstractNum w:abstractNumId="72">
    <w:nsid w:val="4AB26E78"/>
    <w:multiLevelType w:val="hybridMultilevel"/>
    <w:lvl w:ilvl="0">
      <w:lvlJc w:val="left"/>
      <w:lvlText w:val="+"/>
      <w:numFmt w:val="bullet"/>
      <w:start w:val="1"/>
    </w:lvl>
  </w:abstractNum>
  <w:abstractNum w:abstractNumId="73">
    <w:nsid w:val="21FAA2FA"/>
    <w:multiLevelType w:val="hybridMultilevel"/>
    <w:lvl w:ilvl="0">
      <w:lvlJc w:val="left"/>
      <w:lvlText w:val="%1."/>
      <w:numFmt w:val="decimal"/>
      <w:start w:val="1"/>
    </w:lvl>
    <w:lvl w:ilvl="1">
      <w:lvlJc w:val="left"/>
      <w:lvlText w:val="(%2)"/>
      <w:numFmt w:val="lowerLetter"/>
      <w:start w:val="1"/>
    </w:lvl>
  </w:abstractNum>
  <w:abstractNum w:abstractNumId="74">
    <w:nsid w:val="5451CF49"/>
    <w:multiLevelType w:val="hybridMultilevel"/>
    <w:lvl w:ilvl="0">
      <w:lvlJc w:val="left"/>
      <w:lvlText w:val="(%1)"/>
      <w:numFmt w:val="lowerLetter"/>
      <w:start w:val="4"/>
    </w:lvl>
    <w:lvl w:ilvl="1">
      <w:lvlJc w:val="left"/>
      <w:lvlText w:val="(%2)"/>
      <w:numFmt w:val="lowerRoman"/>
      <w:start w:val="1"/>
    </w:lvl>
  </w:abstractNum>
  <w:abstractNum w:abstractNumId="75">
    <w:nsid w:val="6181EF69"/>
    <w:multiLevelType w:val="hybridMultilevel"/>
    <w:lvl w:ilvl="0">
      <w:lvlJc w:val="left"/>
      <w:lvlText w:val="(%1)"/>
      <w:numFmt w:val="lowerLetter"/>
      <w:start w:val="5"/>
    </w:lvl>
  </w:abstractNum>
  <w:abstractNum w:abstractNumId="76">
    <w:nsid w:val="3E6400E6"/>
    <w:multiLevelType w:val="hybridMultilevel"/>
    <w:lvl w:ilvl="0">
      <w:lvlJc w:val="left"/>
      <w:lvlText w:val="(%1)"/>
      <w:numFmt w:val="lowerRoman"/>
      <w:start w:val="4"/>
    </w:lvl>
  </w:abstractNum>
  <w:abstractNum w:abstractNumId="77">
    <w:nsid w:val="14217E23"/>
    <w:multiLevelType w:val="hybridMultilevel"/>
    <w:lvl w:ilvl="0">
      <w:lvlJc w:val="left"/>
      <w:lvlText w:val="%1."/>
      <w:numFmt w:val="decimal"/>
      <w:start w:val="2"/>
    </w:lvl>
    <w:lvl w:ilvl="1">
      <w:lvlJc w:val="left"/>
      <w:lvlText w:val="(%2)"/>
      <w:numFmt w:val="lowerLetter"/>
      <w:start w:val="1"/>
    </w:lvl>
  </w:abstractNum>
  <w:abstractNum w:abstractNumId="78">
    <w:nsid w:val="710757D0"/>
    <w:multiLevelType w:val="hybridMultilevel"/>
    <w:lvl w:ilvl="0">
      <w:lvlJc w:val="left"/>
      <w:lvlText w:val="%1"/>
      <w:numFmt w:val="decimal"/>
      <w:start w:val="1"/>
    </w:lvl>
    <w:lvl w:ilvl="1">
      <w:lvlJc w:val="left"/>
      <w:lvlText w:val="(%2)"/>
      <w:numFmt w:val="lowerLetter"/>
      <w:start w:val="4"/>
    </w:lvl>
  </w:abstractNum>
  <w:abstractNum w:abstractNumId="79">
    <w:nsid w:val="5015CD1A"/>
    <w:multiLevelType w:val="hybridMultilevel"/>
    <w:lvl w:ilvl="0">
      <w:lvlJc w:val="left"/>
      <w:lvlText w:val="%1."/>
      <w:numFmt w:val="decimal"/>
      <w:start w:val="3"/>
    </w:lvl>
    <w:lvl w:ilvl="1">
      <w:lvlJc w:val="left"/>
      <w:lvlText w:val="%2"/>
      <w:numFmt w:val="lowerLetter"/>
      <w:start w:val="1"/>
    </w:lvl>
  </w:abstractNum>
  <w:abstractNum w:abstractNumId="80">
    <w:nsid w:val="424479DA"/>
    <w:multiLevelType w:val="hybridMultilevel"/>
    <w:lvl w:ilvl="0">
      <w:lvlJc w:val="left"/>
      <w:lvlText w:val="%1."/>
      <w:numFmt w:val="decimal"/>
      <w:start w:val="7"/>
    </w:lvl>
  </w:abstractNum>
  <w:abstractNum w:abstractNumId="81">
    <w:nsid w:val="1A9A9E69"/>
    <w:multiLevelType w:val="hybridMultilevel"/>
    <w:lvl w:ilvl="0">
      <w:lvlJc w:val="left"/>
      <w:lvlText w:val="%1."/>
      <w:numFmt w:val="decimal"/>
      <w:start w:val="15"/>
    </w:lvl>
  </w:abstractNum>
  <w:abstractNum w:abstractNumId="82">
    <w:nsid w:val="475E256A"/>
    <w:multiLevelType w:val="hybridMultilevel"/>
    <w:lvl w:ilvl="0">
      <w:lvlJc w:val="left"/>
      <w:lvlText w:val="%1."/>
      <w:numFmt w:val="decimal"/>
      <w:start w:val="1"/>
    </w:lvl>
  </w:abstractNum>
  <w:abstractNum w:abstractNumId="83">
    <w:nsid w:val="368DB37E"/>
    <w:multiLevelType w:val="hybridMultilevel"/>
    <w:lvl w:ilvl="0">
      <w:lvlJc w:val="left"/>
      <w:lvlText w:val="%1."/>
      <w:numFmt w:val="decimal"/>
      <w:start w:val="2"/>
    </w:lvl>
  </w:abstractNum>
  <w:abstractNum w:abstractNumId="84">
    <w:nsid w:val="6A3B714C"/>
    <w:multiLevelType w:val="hybridMultilevel"/>
    <w:lvl w:ilvl="0">
      <w:lvlJc w:val="left"/>
      <w:lvlText w:val="(%1)"/>
      <w:numFmt w:val="lowerLetter"/>
      <w:start w:val="1"/>
    </w:lvl>
  </w:abstractNum>
  <w:abstractNum w:abstractNumId="85">
    <w:nsid w:val="327B517E"/>
    <w:multiLevelType w:val="hybridMultilevel"/>
    <w:lvl w:ilvl="0">
      <w:lvlJc w:val="left"/>
      <w:lvlText w:val="(%1)"/>
      <w:numFmt w:val="lowerLetter"/>
      <w:start w:val="1"/>
    </w:lvl>
  </w:abstractNum>
  <w:abstractNum w:abstractNumId="86">
    <w:nsid w:val="1F461B51"/>
    <w:multiLevelType w:val="hybridMultilevel"/>
    <w:lvl w:ilvl="0">
      <w:lvlJc w:val="left"/>
      <w:lvlText w:val="(%1)"/>
      <w:numFmt w:val="lowerLetter"/>
      <w:start w:val="1"/>
    </w:lvl>
  </w:abstractNum>
  <w:abstractNum w:abstractNumId="87">
    <w:nsid w:val="29BACF25"/>
    <w:multiLevelType w:val="hybridMultilevel"/>
    <w:lvl w:ilvl="0">
      <w:lvlJc w:val="left"/>
      <w:lvlText w:val="(%1)"/>
      <w:numFmt w:val="lowerLetter"/>
      <w:start w:val="1"/>
    </w:lvl>
  </w:abstractNum>
  <w:abstractNum w:abstractNumId="88">
    <w:nsid w:val="5D5BABB3"/>
    <w:multiLevelType w:val="hybridMultilevel"/>
    <w:lvl w:ilvl="0">
      <w:lvlJc w:val="left"/>
      <w:lvlText w:val="%1"/>
      <w:numFmt w:val="decimal"/>
      <w:start w:val="1"/>
    </w:lvl>
    <w:lvl w:ilvl="1">
      <w:lvlJc w:val="left"/>
      <w:lvlText w:val="(%2)"/>
      <w:numFmt w:val="lowerLetter"/>
      <w:start w:val="2"/>
    </w:lvl>
  </w:abstractNum>
  <w:abstractNum w:abstractNumId="89">
    <w:nsid w:val="51BF6B48"/>
    <w:multiLevelType w:val="hybridMultilevel"/>
    <w:lvl w:ilvl="0">
      <w:lvlJc w:val="left"/>
      <w:lvlText w:val="%1."/>
      <w:numFmt w:val="decimal"/>
      <w:start w:val="3"/>
    </w:lvl>
    <w:lvl w:ilvl="1">
      <w:lvlJc w:val="left"/>
      <w:lvlText w:val="%2"/>
      <w:numFmt w:val="lowerLetter"/>
      <w:start w:val="1"/>
    </w:lvl>
  </w:abstractNum>
  <w:abstractNum w:abstractNumId="90">
    <w:nsid w:val="7E0F6384"/>
    <w:multiLevelType w:val="hybridMultilevel"/>
    <w:lvl w:ilvl="0">
      <w:lvlJc w:val="left"/>
      <w:lvlText w:val="(%1)"/>
      <w:numFmt w:val="lowerLetter"/>
      <w:start w:val="1"/>
    </w:lvl>
  </w:abstractNum>
  <w:abstractNum w:abstractNumId="91">
    <w:nsid w:val="2B4B8B53"/>
    <w:multiLevelType w:val="hybridMultilevel"/>
    <w:lvl w:ilvl="0">
      <w:lvlJc w:val="left"/>
      <w:lvlText w:val="(%1)"/>
      <w:numFmt w:val="lowerLetter"/>
      <w:start w:val="1"/>
    </w:lvl>
  </w:abstractNum>
  <w:abstractNum w:abstractNumId="92">
    <w:nsid w:val="72E3413A"/>
    <w:multiLevelType w:val="hybridMultilevel"/>
    <w:lvl w:ilvl="0">
      <w:lvlJc w:val="left"/>
      <w:lvlText w:val="(%1)"/>
      <w:numFmt w:val="lowerLetter"/>
      <w:start w:val="2"/>
    </w:lvl>
  </w:abstractNum>
  <w:abstractNum w:abstractNumId="93">
    <w:nsid w:val="116AE494"/>
    <w:multiLevelType w:val="hybridMultilevel"/>
    <w:lvl w:ilvl="0">
      <w:lvlJc w:val="left"/>
      <w:lvlText w:val="(%1)"/>
      <w:numFmt w:val="lowerLetter"/>
      <w:start w:val="3"/>
    </w:lvl>
  </w:abstractNum>
  <w:abstractNum w:abstractNumId="94">
    <w:nsid w:val="3494B2FB"/>
    <w:multiLevelType w:val="hybridMultilevel"/>
    <w:lvl w:ilvl="0">
      <w:lvlJc w:val="left"/>
      <w:lvlText w:val="%1."/>
      <w:numFmt w:val="decimal"/>
      <w:start w:val="4"/>
    </w:lvl>
  </w:abstractNum>
  <w:abstractNum w:abstractNumId="95">
    <w:nsid w:val="B13A31"/>
    <w:multiLevelType w:val="hybridMultilevel"/>
    <w:lvl w:ilvl="0">
      <w:lvlJc w:val="left"/>
      <w:lvlText w:val="%1."/>
      <w:numFmt w:val="decimal"/>
      <w:start w:val="5"/>
    </w:lvl>
  </w:abstractNum>
  <w:abstractNum w:abstractNumId="96">
    <w:nsid w:val="64429599"/>
    <w:multiLevelType w:val="hybridMultilevel"/>
    <w:lvl w:ilvl="0">
      <w:lvlJc w:val="left"/>
      <w:lvlText w:val="%1."/>
      <w:numFmt w:val="decimal"/>
      <w:start w:val="6"/>
    </w:lvl>
  </w:abstractNum>
  <w:abstractNum w:abstractNumId="97">
    <w:nsid w:val="631F1690"/>
    <w:multiLevelType w:val="hybridMultilevel"/>
    <w:lvl w:ilvl="0">
      <w:lvlJc w:val="left"/>
      <w:lvlText w:val="(%1)"/>
      <w:numFmt w:val="lowerLetter"/>
      <w:start w:val="1"/>
    </w:lvl>
  </w:abstractNum>
  <w:abstractNum w:abstractNumId="98">
    <w:nsid w:val="25973E32"/>
    <w:multiLevelType w:val="hybridMultilevel"/>
    <w:lvl w:ilvl="0">
      <w:lvlJc w:val="left"/>
      <w:lvlText w:val="(%1)"/>
      <w:numFmt w:val="lowerLetter"/>
      <w:start w:val="1"/>
    </w:lvl>
  </w:abstractNum>
  <w:abstractNum w:abstractNumId="99">
    <w:nsid w:val="EAD6F57"/>
    <w:multiLevelType w:val="hybridMultilevel"/>
    <w:lvl w:ilvl="0">
      <w:lvlJc w:val="left"/>
      <w:lvlText w:val="(%1)"/>
      <w:numFmt w:val="lowerLetter"/>
      <w:start w:val="2"/>
    </w:lvl>
  </w:abstractNum>
  <w:abstractNum w:abstractNumId="100">
    <w:nsid w:val="6EC9D844"/>
    <w:multiLevelType w:val="hybridMultilevel"/>
    <w:lvl w:ilvl="0">
      <w:lvlJc w:val="left"/>
      <w:lvlText w:val="(%1)"/>
      <w:numFmt w:val="lowerLetter"/>
      <w:start w:val="1"/>
    </w:lvl>
  </w:abstractNum>
  <w:abstractNum w:abstractNumId="101">
    <w:nsid w:val="5C49EAEE"/>
    <w:multiLevelType w:val="hybridMultilevel"/>
    <w:lvl w:ilvl="0">
      <w:lvlJc w:val="left"/>
      <w:lvlText w:val="(%1)"/>
      <w:numFmt w:val="lowerLetter"/>
      <w:start w:val="2"/>
    </w:lvl>
  </w:abstractNum>
  <w:abstractNum w:abstractNumId="102">
    <w:nsid w:val="64AF49B"/>
    <w:multiLevelType w:val="hybridMultilevel"/>
    <w:lvl w:ilvl="0">
      <w:lvlJc w:val="left"/>
      <w:lvlText w:val="(%1)"/>
      <w:numFmt w:val="lowerLetter"/>
      <w:start w:val="1"/>
    </w:lvl>
  </w:abstractNum>
  <w:abstractNum w:abstractNumId="103">
    <w:nsid w:val="397C46BC"/>
    <w:multiLevelType w:val="hybridMultilevel"/>
    <w:lvl w:ilvl="0">
      <w:lvlJc w:val="left"/>
      <w:lvlText w:val="%1"/>
      <w:numFmt w:val="lowerLetter"/>
      <w:start w:val="1"/>
    </w:lvl>
    <w:lvl w:ilvl="1">
      <w:lvlJc w:val="left"/>
      <w:lvlText w:val="(%2)"/>
      <w:numFmt w:val="lowerLetter"/>
      <w:start w:val="1"/>
    </w:lvl>
  </w:abstractNum>
  <w:abstractNum w:abstractNumId="104">
    <w:nsid w:val="7E448DE9"/>
    <w:multiLevelType w:val="hybridMultilevel"/>
    <w:lvl w:ilvl="0">
      <w:lvlJc w:val="left"/>
      <w:lvlText w:val="(%1)"/>
      <w:numFmt w:val="lowerLetter"/>
      <w:start w:val="35"/>
    </w:lvl>
    <w:lvl w:ilvl="1">
      <w:lvlJc w:val="left"/>
      <w:lvlText w:val="(%2)"/>
      <w:numFmt w:val="lowerLetter"/>
      <w:start w:val="2"/>
    </w:lvl>
  </w:abstractNum>
  <w:abstractNum w:abstractNumId="105">
    <w:nsid w:val="5A9CC3E5"/>
    <w:multiLevelType w:val="hybridMultilevel"/>
    <w:lvl w:ilvl="0">
      <w:lvlJc w:val="left"/>
      <w:lvlText w:val="(%1)"/>
      <w:numFmt w:val="decimal"/>
      <w:start w:val="1"/>
    </w:lvl>
  </w:abstractNum>
  <w:abstractNum w:abstractNumId="106">
    <w:nsid w:val="1AFE3625"/>
    <w:multiLevelType w:val="hybridMultilevel"/>
    <w:lvl w:ilvl="0">
      <w:lvlJc w:val="left"/>
      <w:lvlText w:val="%1."/>
      <w:numFmt w:val="decimal"/>
      <w:start w:val="7"/>
    </w:lvl>
  </w:abstractNum>
  <w:abstractNum w:abstractNumId="107">
    <w:nsid w:val="3CA88ECF"/>
    <w:multiLevelType w:val="hybridMultilevel"/>
    <w:lvl w:ilvl="0">
      <w:lvlJc w:val="left"/>
      <w:lvlText w:val="(%1)"/>
      <w:numFmt w:val="decimal"/>
      <w:start w:val="3"/>
    </w:lvl>
  </w:abstractNum>
  <w:abstractNum w:abstractNumId="108">
    <w:nsid w:val="6EBE4208"/>
    <w:multiLevelType w:val="hybridMultilevel"/>
    <w:lvl w:ilvl="0">
      <w:lvlJc w:val="left"/>
      <w:lvlText w:val="(%1)"/>
      <w:numFmt w:val="lowerLetter"/>
      <w:start w:val="2"/>
    </w:lvl>
  </w:abstractNum>
  <w:abstractNum w:abstractNumId="109">
    <w:nsid w:val="C058DF5"/>
    <w:multiLevelType w:val="hybridMultilevel"/>
    <w:lvl w:ilvl="0">
      <w:lvlJc w:val="left"/>
      <w:lvlText w:val="(%1)"/>
      <w:numFmt w:val="lowerLetter"/>
      <w:start w:val="1"/>
    </w:lvl>
  </w:abstractNum>
  <w:abstractNum w:abstractNumId="110">
    <w:nsid w:val="CBE5BE9"/>
    <w:multiLevelType w:val="hybridMultilevel"/>
    <w:lvl w:ilvl="0">
      <w:lvlJc w:val="left"/>
      <w:lvlText w:val="%1."/>
      <w:numFmt w:val="decimal"/>
      <w:start w:val="8"/>
    </w:lvl>
  </w:abstractNum>
  <w:abstractNum w:abstractNumId="111">
    <w:nsid w:val="3102BBE2"/>
    <w:multiLevelType w:val="hybridMultilevel"/>
    <w:lvl w:ilvl="0">
      <w:lvlJc w:val="left"/>
      <w:lvlText w:val="(%1)"/>
      <w:numFmt w:val="lowerLetter"/>
      <w:start w:val="1"/>
    </w:lvl>
  </w:abstractNum>
  <w:abstractNum w:abstractNumId="112">
    <w:nsid w:val="26A02C5E"/>
    <w:multiLevelType w:val="hybridMultilevel"/>
    <w:lvl w:ilvl="0">
      <w:lvlJc w:val="left"/>
      <w:lvlText w:val="(%1)"/>
      <w:numFmt w:val="lowerLetter"/>
      <w:start w:val="1"/>
    </w:lvl>
  </w:abstractNum>
  <w:abstractNum w:abstractNumId="113">
    <w:nsid w:val="541C8153"/>
    <w:multiLevelType w:val="hybridMultilevel"/>
    <w:lvl w:ilvl="0">
      <w:lvlJc w:val="left"/>
      <w:lvlText w:val="(%1)"/>
      <w:numFmt w:val="decimal"/>
      <w:start w:val="10"/>
    </w:lvl>
  </w:abstractNum>
  <w:abstractNum w:abstractNumId="114">
    <w:nsid w:val="67906F60"/>
    <w:multiLevelType w:val="hybridMultilevel"/>
    <w:lvl w:ilvl="0">
      <w:lvlJc w:val="left"/>
      <w:lvlText w:val="%1."/>
      <w:numFmt w:val="decimal"/>
      <w:start w:val="9"/>
    </w:lvl>
  </w:abstractNum>
  <w:abstractNum w:abstractNumId="115">
    <w:nsid w:val="10DB9DAA"/>
    <w:multiLevelType w:val="hybridMultilevel"/>
    <w:lvl w:ilvl="0">
      <w:lvlJc w:val="left"/>
      <w:lvlText w:val="(%1)"/>
      <w:numFmt w:val="lowerLetter"/>
      <w:start w:val="1"/>
    </w:lvl>
  </w:abstractNum>
  <w:abstractNum w:abstractNumId="116">
    <w:nsid w:val="697D2D2"/>
    <w:multiLevelType w:val="hybridMultilevel"/>
    <w:lvl w:ilvl="0">
      <w:lvlJc w:val="left"/>
      <w:lvlText w:val="(%1)"/>
      <w:numFmt w:val="lowerLetter"/>
      <w:start w:val="6"/>
    </w:lvl>
  </w:abstractNum>
  <w:abstractNum w:abstractNumId="117">
    <w:nsid w:val="6D68AB2"/>
    <w:multiLevelType w:val="hybridMultilevel"/>
    <w:lvl w:ilvl="0">
      <w:lvlJc w:val="left"/>
      <w:lvlText w:val="%1."/>
      <w:numFmt w:val="decimal"/>
      <w:start w:val="10"/>
    </w:lvl>
  </w:abstractNum>
  <w:abstractNum w:abstractNumId="118">
    <w:nsid w:val="3A966CD0"/>
    <w:multiLevelType w:val="hybridMultilevel"/>
    <w:lvl w:ilvl="0">
      <w:lvlJc w:val="left"/>
      <w:lvlText w:val="(%1)"/>
      <w:numFmt w:val="lowerLetter"/>
      <w:start w:val="1"/>
    </w:lvl>
  </w:abstractNum>
  <w:abstractNum w:abstractNumId="119">
    <w:nsid w:val="63F37E85"/>
    <w:multiLevelType w:val="hybridMultilevel"/>
    <w:lvl w:ilvl="0">
      <w:lvlJc w:val="left"/>
      <w:lvlText w:val="%1."/>
      <w:numFmt w:val="decimal"/>
      <w:start w:val="11"/>
    </w:lvl>
  </w:abstractNum>
  <w:abstractNum w:abstractNumId="120">
    <w:nsid w:val="5895F5FA"/>
    <w:multiLevelType w:val="hybridMultilevel"/>
    <w:lvl w:ilvl="0">
      <w:lvlJc w:val="left"/>
      <w:lvlText w:val="%1."/>
      <w:numFmt w:val="decimal"/>
      <w:start w:val="12"/>
    </w:lvl>
  </w:abstractNum>
  <w:abstractNum w:abstractNumId="121">
    <w:nsid w:val="38A5D054"/>
    <w:multiLevelType w:val="hybridMultilevel"/>
    <w:lvl w:ilvl="0">
      <w:lvlJc w:val="left"/>
      <w:lvlText w:val="(%1)"/>
      <w:numFmt w:val="lowerRoman"/>
      <w:start w:val="2"/>
    </w:lvl>
  </w:abstractNum>
  <w:abstractNum w:abstractNumId="122">
    <w:nsid w:val="F3F09D8"/>
    <w:multiLevelType w:val="hybridMultilevel"/>
    <w:lvl w:ilvl="0">
      <w:lvlJc w:val="left"/>
      <w:lvlText w:val="%1."/>
      <w:numFmt w:val="decimal"/>
      <w:start w:val="13"/>
    </w:lvl>
  </w:abstractNum>
  <w:abstractNum w:abstractNumId="123">
    <w:nsid w:val="4B793735"/>
    <w:multiLevelType w:val="hybridMultilevel"/>
    <w:lvl w:ilvl="0">
      <w:lvlJc w:val="left"/>
      <w:lvlText w:val="(%1)"/>
      <w:numFmt w:val="lowerLetter"/>
      <w:start w:val="2"/>
    </w:lvl>
  </w:abstractNum>
  <w:abstractNum w:abstractNumId="124">
    <w:nsid w:val="4A10B4E8"/>
    <w:multiLevelType w:val="hybridMultilevel"/>
    <w:lvl w:ilvl="0">
      <w:lvlJc w:val="left"/>
      <w:lvlText w:val="(%1)"/>
      <w:numFmt w:val="lowerLetter"/>
      <w:start w:val="1"/>
    </w:lvl>
  </w:abstractNum>
  <w:abstractNum w:abstractNumId="125">
    <w:nsid w:val="43D3BCD4"/>
    <w:multiLevelType w:val="hybridMultilevel"/>
    <w:lvl w:ilvl="0">
      <w:lvlJc w:val="left"/>
      <w:lvlText w:val="(%1)"/>
      <w:numFmt w:val="lowerLetter"/>
      <w:start w:val="3"/>
    </w:lvl>
  </w:abstractNum>
  <w:abstractNum w:abstractNumId="126">
    <w:nsid w:val="4C2A7166"/>
    <w:multiLevelType w:val="hybridMultilevel"/>
    <w:lvl w:ilvl="0">
      <w:lvlJc w:val="left"/>
      <w:lvlText w:val="(%1)"/>
      <w:numFmt w:val="lowerLetter"/>
      <w:start w:val="2"/>
    </w:lvl>
  </w:abstractNum>
  <w:abstractNum w:abstractNumId="127">
    <w:nsid w:val="2E534A82"/>
    <w:multiLevelType w:val="hybridMultilevel"/>
    <w:lvl w:ilvl="0">
      <w:lvlJc w:val="left"/>
      <w:lvlText w:val="(%1)"/>
      <w:numFmt w:val="lowerLetter"/>
      <w:start w:val="1"/>
    </w:lvl>
  </w:abstractNum>
  <w:abstractNum w:abstractNumId="128">
    <w:nsid w:val="26F2D364"/>
    <w:multiLevelType w:val="hybridMultilevel"/>
    <w:lvl w:ilvl="0">
      <w:lvlJc w:val="left"/>
      <w:lvlText w:val="(%1)"/>
      <w:numFmt w:val="lowerLetter"/>
      <w:start w:val="1"/>
    </w:lvl>
  </w:abstractNum>
  <w:abstractNum w:abstractNumId="129">
    <w:nsid w:val="71C1AF98"/>
    <w:multiLevelType w:val="hybridMultilevel"/>
    <w:lvl w:ilvl="0">
      <w:lvlJc w:val="left"/>
      <w:lvlText w:val="(%1)"/>
      <w:numFmt w:val="lowerLetter"/>
      <w:start w:val="4"/>
    </w:lvl>
  </w:abstractNum>
  <w:abstractNum w:abstractNumId="130">
    <w:nsid w:val="3D00B9D9"/>
    <w:multiLevelType w:val="hybridMultilevel"/>
    <w:lvl w:ilvl="0">
      <w:lvlJc w:val="left"/>
      <w:lvlText w:val="%1"/>
      <w:numFmt w:val="lowerLetter"/>
      <w:start w:val="1"/>
    </w:lvl>
    <w:lvl w:ilvl="1">
      <w:lvlJc w:val="left"/>
      <w:lvlText w:val="(%2)"/>
      <w:numFmt w:val="lowerLetter"/>
      <w:start w:val="1"/>
    </w:lvl>
  </w:abstractNum>
  <w:abstractNum w:abstractNumId="131">
    <w:nsid w:val="15BCABA8"/>
    <w:multiLevelType w:val="hybridMultilevel"/>
    <w:lvl w:ilvl="0">
      <w:lvlJc w:val="left"/>
      <w:lvlText w:val="(%1)"/>
      <w:numFmt w:val="lowerLetter"/>
      <w:start w:val="8"/>
    </w:lvl>
    <w:lvl w:ilvl="1">
      <w:lvlJc w:val="left"/>
      <w:lvlText w:val="%2"/>
      <w:numFmt w:val="lowerLetter"/>
      <w:start w:val="1"/>
    </w:lvl>
  </w:abstractNum>
  <w:abstractNum w:abstractNumId="132">
    <w:nsid w:val="4E0B9A87"/>
    <w:multiLevelType w:val="hybridMultilevel"/>
    <w:lvl w:ilvl="0">
      <w:lvlJc w:val="left"/>
      <w:lvlText w:val="(%1)"/>
      <w:numFmt w:val="lowerLetter"/>
      <w:start w:val="1"/>
    </w:lvl>
  </w:abstractNum>
  <w:abstractNum w:abstractNumId="133">
    <w:nsid w:val="434BAE75"/>
    <w:multiLevelType w:val="hybridMultilevel"/>
    <w:lvl w:ilvl="0">
      <w:lvlJc w:val="left"/>
      <w:lvlText w:val="(%1)"/>
      <w:numFmt w:val="lowerLetter"/>
      <w:start w:val="4"/>
    </w:lvl>
  </w:abstractNum>
  <w:abstractNum w:abstractNumId="134">
    <w:nsid w:val="4F38F265"/>
    <w:multiLevelType w:val="hybridMultilevel"/>
    <w:lvl w:ilvl="0">
      <w:lvlJc w:val="left"/>
      <w:lvlText w:val="(%1)"/>
      <w:numFmt w:val="lowerLetter"/>
      <w:start w:val="1"/>
    </w:lvl>
  </w:abstractNum>
  <w:abstractNum w:abstractNumId="135">
    <w:nsid w:val="4C502870"/>
    <w:multiLevelType w:val="hybridMultilevel"/>
    <w:lvl w:ilvl="0">
      <w:lvlJc w:val="left"/>
      <w:lvlText w:val="(%1)"/>
      <w:numFmt w:val="lowerLetter"/>
      <w:start w:val="1"/>
    </w:lvl>
  </w:abstractNum>
  <w:abstractNum w:abstractNumId="136">
    <w:nsid w:val="1DE8725A"/>
    <w:multiLevelType w:val="hybridMultilevel"/>
    <w:lvl w:ilvl="0">
      <w:lvlJc w:val="left"/>
      <w:lvlText w:val="%1."/>
      <w:numFmt w:val="upperLetter"/>
      <w:start w:val="1"/>
    </w:lvl>
  </w:abstractNum>
  <w:abstractNum w:abstractNumId="137">
    <w:nsid w:val="6A37288A"/>
    <w:multiLevelType w:val="hybridMultilevel"/>
    <w:lvl w:ilvl="0">
      <w:lvlJc w:val="left"/>
      <w:lvlText w:val="%1."/>
      <w:numFmt w:val="decimal"/>
      <w:start w:val="1"/>
    </w:lvl>
  </w:abstractNum>
  <w:abstractNum w:abstractNumId="138">
    <w:nsid w:val="8F8B73F"/>
    <w:multiLevelType w:val="hybridMultilevel"/>
    <w:lvl w:ilvl="0">
      <w:lvlJc w:val="left"/>
      <w:lvlText w:val="\ldblquote"/>
      <w:numFmt w:val="bullet"/>
      <w:start w:val="1"/>
    </w:lvl>
  </w:abstractNum>
  <w:abstractNum w:abstractNumId="139">
    <w:nsid w:val="CA6B462"/>
    <w:multiLevelType w:val="hybridMultilevel"/>
    <w:lvl w:ilvl="0">
      <w:lvlJc w:val="left"/>
      <w:lvlText w:val="%1."/>
      <w:numFmt w:val="decimal"/>
      <w:start w:val="3"/>
    </w:lvl>
    <w:lvl w:ilvl="1">
      <w:lvlJc w:val="left"/>
      <w:lvlText w:val="\ldblquote"/>
      <w:numFmt w:val="bullet"/>
      <w:start w:val="1"/>
    </w:lvl>
  </w:abstractNum>
  <w:abstractNum w:abstractNumId="140">
    <w:nsid w:val="763CB680"/>
    <w:multiLevelType w:val="hybridMultilevel"/>
    <w:lvl w:ilvl="0">
      <w:lvlJc w:val="left"/>
      <w:lvlText w:val="%1."/>
      <w:numFmt w:val="decimal"/>
      <w:start w:val="4"/>
    </w:lvl>
  </w:abstractNum>
  <w:abstractNum w:abstractNumId="141">
    <w:nsid w:val="15B71329"/>
    <w:multiLevelType w:val="hybridMultilevel"/>
    <w:lvl w:ilvl="0">
      <w:lvlJc w:val="left"/>
      <w:lvlText w:val="(%1)"/>
      <w:numFmt w:val="lowerLetter"/>
      <w:start w:val="1"/>
    </w:lvl>
  </w:abstractNum>
  <w:abstractNum w:abstractNumId="142">
    <w:nsid w:val="3DA97044"/>
    <w:multiLevelType w:val="hybridMultilevel"/>
    <w:lvl w:ilvl="0">
      <w:lvlJc w:val="left"/>
      <w:lvlText w:val="%1."/>
      <w:numFmt w:val="decimal"/>
      <w:start w:val="5"/>
    </w:lvl>
  </w:abstractNum>
  <w:abstractNum w:abstractNumId="143">
    <w:nsid w:val="1CDCE2DE"/>
    <w:multiLevelType w:val="hybridMultilevel"/>
    <w:lvl w:ilvl="0">
      <w:lvlJc w:val="left"/>
      <w:lvlText w:val="%1."/>
      <w:numFmt w:val="decimal"/>
      <w:start w:val="6"/>
    </w:lvl>
  </w:abstractNum>
  <w:abstractNum w:abstractNumId="144">
    <w:nsid w:val="69D3947C"/>
    <w:multiLevelType w:val="hybridMultilevel"/>
    <w:lvl w:ilvl="0">
      <w:lvlJc w:val="left"/>
      <w:lvlText w:val="%1."/>
      <w:numFmt w:val="upperLetter"/>
      <w:start w:val="1"/>
    </w:lvl>
  </w:abstractNum>
  <w:abstractNum w:abstractNumId="145">
    <w:nsid w:val="2539DFA5"/>
    <w:multiLevelType w:val="hybridMultilevel"/>
    <w:lvl w:ilvl="0">
      <w:lvlJc w:val="left"/>
      <w:lvlText w:val="%1."/>
      <w:numFmt w:val="decimal"/>
      <w:start w:val="1"/>
    </w:lvl>
  </w:abstractNum>
  <w:abstractNum w:abstractNumId="146">
    <w:nsid w:val="2DB88089"/>
    <w:multiLevelType w:val="hybridMultilevel"/>
    <w:lvl w:ilvl="0">
      <w:lvlJc w:val="left"/>
      <w:lvlText w:val="%1."/>
      <w:numFmt w:val="decimal"/>
      <w:start w:val="3"/>
    </w:lvl>
    <w:lvl w:ilvl="1">
      <w:lvlJc w:val="left"/>
      <w:lvlText w:val="\ldblquote"/>
      <w:numFmt w:val="bullet"/>
      <w:start w:val="1"/>
    </w:lvl>
  </w:abstractNum>
  <w:abstractNum w:abstractNumId="147">
    <w:nsid w:val="706B674E"/>
    <w:multiLevelType w:val="hybridMultilevel"/>
    <w:lvl w:ilvl="0">
      <w:lvlJc w:val="left"/>
      <w:lvlText w:val="%1."/>
      <w:numFmt w:val="upperLetter"/>
      <w:start w:val="1"/>
    </w:lvl>
  </w:abstractNum>
  <w:abstractNum w:abstractNumId="148">
    <w:nsid w:val="2C106A57"/>
    <w:multiLevelType w:val="hybridMultilevel"/>
    <w:lvl w:ilvl="0">
      <w:lvlJc w:val="left"/>
      <w:lvlText w:val="%1."/>
      <w:numFmt w:val="upperLetter"/>
      <w:start w:val="2"/>
    </w:lvl>
  </w:abstractNum>
  <w:abstractNum w:abstractNumId="149">
    <w:nsid w:val="684EED59"/>
    <w:multiLevelType w:val="hybridMultilevel"/>
    <w:lvl w:ilvl="0">
      <w:lvlJc w:val="left"/>
      <w:lvlText w:val="%1."/>
      <w:numFmt w:val="decimal"/>
      <w:start w:val="1"/>
    </w:lvl>
  </w:abstractNum>
  <w:abstractNum w:abstractNumId="150">
    <w:nsid w:val="545EE5D3"/>
    <w:multiLevelType w:val="hybridMultilevel"/>
    <w:lvl w:ilvl="0">
      <w:lvlJc w:val="left"/>
      <w:lvlText w:val="(%1)"/>
      <w:numFmt w:val="lowerLetter"/>
      <w:start w:val="1"/>
    </w:lvl>
  </w:abstractNum>
  <w:abstractNum w:abstractNumId="151">
    <w:nsid w:val="4A66051"/>
    <w:multiLevelType w:val="hybridMultilevel"/>
    <w:lvl w:ilvl="0">
      <w:lvlJc w:val="left"/>
      <w:lvlText w:val="%1"/>
      <w:numFmt w:val="upperLetter"/>
      <w:start w:val="1"/>
    </w:lvl>
    <w:lvl w:ilvl="1">
      <w:lvlJc w:val="left"/>
      <w:lvlText w:val="(%2)"/>
      <w:numFmt w:val="lowerLetter"/>
      <w:start w:val="4"/>
    </w:lvl>
  </w:abstractNum>
  <w:abstractNum w:abstractNumId="152">
    <w:nsid w:val="20F4BDAD"/>
    <w:multiLevelType w:val="hybridMultilevel"/>
    <w:lvl w:ilvl="0">
      <w:lvlJc w:val="left"/>
      <w:lvlText w:val="(%1)"/>
      <w:numFmt w:val="upperLetter"/>
      <w:start w:val="1"/>
    </w:lvl>
    <w:lvl w:ilvl="1">
      <w:lvlJc w:val="left"/>
      <w:lvlText w:val="%2"/>
      <w:numFmt w:val="lowerLetter"/>
      <w:start w:val="1"/>
    </w:lvl>
  </w:abstractNum>
  <w:abstractNum w:abstractNumId="153">
    <w:nsid w:val="639DEFAC"/>
    <w:multiLevelType w:val="hybridMultilevel"/>
    <w:lvl w:ilvl="0">
      <w:lvlJc w:val="left"/>
      <w:lvlText w:val="\ldblquote"/>
      <w:numFmt w:val="bullet"/>
      <w:start w:val="1"/>
    </w:lvl>
    <w:lvl w:ilvl="1">
      <w:lvlJc w:val="left"/>
      <w:lvlText w:val="(%2)"/>
      <w:numFmt w:val="lowerLetter"/>
      <w:start w:val="1"/>
    </w:lvl>
  </w:abstractNum>
  <w:abstractNum w:abstractNumId="154">
    <w:nsid w:val="501F9786"/>
    <w:multiLevelType w:val="hybridMultilevel"/>
    <w:lvl w:ilvl="0">
      <w:lvlJc w:val="left"/>
      <w:lvlText w:val="(%1)"/>
      <w:numFmt w:val="lowerLetter"/>
      <w:start w:val="3"/>
    </w:lvl>
  </w:abstractNum>
  <w:abstractNum w:abstractNumId="155">
    <w:nsid w:val="6B057295"/>
    <w:multiLevelType w:val="hybridMultilevel"/>
    <w:lvl w:ilvl="0">
      <w:lvlJc w:val="left"/>
      <w:lvlText w:val="(%1)"/>
      <w:numFmt w:val="lowerLetter"/>
      <w:start w:val="2"/>
    </w:lvl>
  </w:abstractNum>
  <w:abstractNum w:abstractNumId="156">
    <w:nsid w:val="2771AC80"/>
    <w:multiLevelType w:val="hybridMultilevel"/>
    <w:lvl w:ilvl="0">
      <w:lvlJc w:val="left"/>
      <w:lvlText w:val="\ldblquote"/>
      <w:numFmt w:val="bullet"/>
      <w:start w:val="1"/>
    </w:lvl>
    <w:lvl w:ilvl="1">
      <w:lvlJc w:val="left"/>
      <w:lvlText w:val="(%2)"/>
      <w:numFmt w:val="lowerLetter"/>
      <w:start w:val="1"/>
    </w:lvl>
    <w:lvl w:ilvl="2">
      <w:lvlJc w:val="left"/>
      <w:lvlText w:val="(%3)"/>
      <w:numFmt w:val="lowerRoman"/>
      <w:start w:val="1"/>
    </w:lvl>
  </w:abstractNum>
  <w:abstractNum w:abstractNumId="157">
    <w:nsid w:val="1C4A08EC"/>
    <w:multiLevelType w:val="hybridMultilevel"/>
    <w:lvl w:ilvl="0">
      <w:lvlJc w:val="left"/>
      <w:lvlText w:val="\ldblquote"/>
      <w:numFmt w:val="bullet"/>
      <w:start w:val="1"/>
    </w:lvl>
  </w:abstractNum>
  <w:abstractNum w:abstractNumId="158">
    <w:nsid w:val="1958BD17"/>
    <w:multiLevelType w:val="hybridMultilevel"/>
    <w:lvl w:ilvl="0">
      <w:lvlJc w:val="left"/>
      <w:lvlText w:val="\ldblquote"/>
      <w:numFmt w:val="bullet"/>
      <w:start w:val="1"/>
    </w:lvl>
  </w:abstractNum>
  <w:abstractNum w:abstractNumId="159">
    <w:nsid w:val="4E647FE4"/>
    <w:multiLevelType w:val="hybridMultilevel"/>
    <w:lvl w:ilvl="0">
      <w:lvlJc w:val="left"/>
      <w:lvlText w:val="%1."/>
      <w:numFmt w:val="decimal"/>
      <w:start w:val="3"/>
    </w:lvl>
  </w:abstractNum>
  <w:abstractNum w:abstractNumId="160">
    <w:nsid w:val="E0BB885"/>
    <w:multiLevelType w:val="hybridMultilevel"/>
    <w:lvl w:ilvl="0">
      <w:lvlJc w:val="left"/>
      <w:lvlText w:val="%1."/>
      <w:numFmt w:val="decimal"/>
      <w:start w:val="4"/>
    </w:lvl>
  </w:abstractNum>
  <w:abstractNum w:abstractNumId="161">
    <w:nsid w:val="565976F1"/>
    <w:multiLevelType w:val="hybridMultilevel"/>
    <w:lvl w:ilvl="0">
      <w:lvlJc w:val="left"/>
      <w:lvlText w:val="(%1)"/>
      <w:numFmt w:val="lowerLetter"/>
      <w:start w:val="1"/>
    </w:lvl>
  </w:abstractNum>
  <w:abstractNum w:abstractNumId="162">
    <w:nsid w:val="64212B8C"/>
    <w:multiLevelType w:val="hybridMultilevel"/>
    <w:lvl w:ilvl="0">
      <w:lvlJc w:val="left"/>
      <w:lvlText w:val="%1."/>
      <w:numFmt w:val="decimal"/>
      <w:start w:val="5"/>
    </w:lvl>
  </w:abstractNum>
  <w:abstractNum w:abstractNumId="163">
    <w:nsid w:val="5C17530C"/>
    <w:multiLevelType w:val="hybridMultilevel"/>
    <w:lvl w:ilvl="0">
      <w:lvlJc w:val="left"/>
      <w:lvlText w:val="%1."/>
      <w:numFmt w:val="decimal"/>
      <w:start w:val="6"/>
    </w:lvl>
  </w:abstractNum>
  <w:abstractNum w:abstractNumId="164">
    <w:nsid w:val="19A52566"/>
    <w:multiLevelType w:val="hybridMultilevel"/>
    <w:lvl w:ilvl="0">
      <w:lvlJc w:val="left"/>
      <w:lvlText w:val="%1."/>
      <w:numFmt w:val="upperLetter"/>
      <w:start w:val="1"/>
    </w:lvl>
  </w:abstractNum>
  <w:abstractNum w:abstractNumId="165">
    <w:nsid w:val="335A1DF1"/>
    <w:multiLevelType w:val="hybridMultilevel"/>
    <w:lvl w:ilvl="0">
      <w:lvlJc w:val="left"/>
      <w:lvlText w:val="%1."/>
      <w:numFmt w:val="decimal"/>
      <w:start w:val="1"/>
    </w:lvl>
  </w:abstractNum>
  <w:abstractNum w:abstractNumId="166">
    <w:nsid w:val="28677B7C"/>
    <w:multiLevelType w:val="hybridMultilevel"/>
    <w:lvl w:ilvl="0">
      <w:lvlJc w:val="left"/>
      <w:lvlText w:val="\ldblquote"/>
      <w:numFmt w:val="bullet"/>
      <w:start w:val="1"/>
    </w:lvl>
  </w:abstractNum>
  <w:abstractNum w:abstractNumId="167">
    <w:nsid w:val="378D97C0"/>
    <w:multiLevelType w:val="hybridMultilevel"/>
    <w:lvl w:ilvl="0">
      <w:lvlJc w:val="left"/>
      <w:lvlText w:val="%1."/>
      <w:numFmt w:val="decimal"/>
      <w:start w:val="3"/>
    </w:lvl>
    <w:lvl w:ilvl="1">
      <w:lvlJc w:val="left"/>
      <w:lvlText w:val="\ldblquote"/>
      <w:numFmt w:val="bullet"/>
      <w:start w:val="1"/>
    </w:lvl>
  </w:abstractNum>
  <w:abstractNum w:abstractNumId="168">
    <w:nsid w:val="1D91467C"/>
    <w:multiLevelType w:val="hybridMultilevel"/>
    <w:lvl w:ilvl="0">
      <w:lvlJc w:val="left"/>
      <w:lvlText w:val="%1."/>
      <w:numFmt w:val="decimal"/>
      <w:start w:val="4"/>
    </w:lvl>
  </w:abstractNum>
  <w:abstractNum w:abstractNumId="169">
    <w:nsid w:val="316032BB"/>
    <w:multiLevelType w:val="hybridMultilevel"/>
    <w:lvl w:ilvl="0">
      <w:lvlJc w:val="left"/>
      <w:lvlText w:val="%1."/>
      <w:numFmt w:val="decimal"/>
      <w:start w:val="5"/>
    </w:lvl>
  </w:abstractNum>
  <w:abstractNum w:abstractNumId="170">
    <w:nsid w:val="44344C22"/>
    <w:multiLevelType w:val="hybridMultilevel"/>
    <w:lvl w:ilvl="0">
      <w:lvlJc w:val="left"/>
      <w:lvlText w:val="(%1)"/>
      <w:numFmt w:val="lowerLetter"/>
      <w:start w:val="1"/>
    </w:lvl>
  </w:abstractNum>
  <w:abstractNum w:abstractNumId="171">
    <w:nsid w:val="13CDFCFC"/>
    <w:multiLevelType w:val="hybridMultilevel"/>
    <w:lvl w:ilvl="0">
      <w:lvlJc w:val="left"/>
      <w:lvlText w:val="%1."/>
      <w:numFmt w:val="decimal"/>
      <w:start w:val="6"/>
    </w:lvl>
  </w:abstractNum>
  <w:abstractNum w:abstractNumId="172">
    <w:nsid w:val="471745E4"/>
    <w:multiLevelType w:val="hybridMultilevel"/>
    <w:lvl w:ilvl="0">
      <w:lvlJc w:val="left"/>
      <w:lvlText w:val="%1."/>
      <w:numFmt w:val="decimal"/>
      <w:start w:val="9"/>
    </w:lvl>
  </w:abstractNum>
  <w:abstractNum w:abstractNumId="173">
    <w:nsid w:val="1DDBC66"/>
    <w:multiLevelType w:val="hybridMultilevel"/>
    <w:lvl w:ilvl="0">
      <w:lvlJc w:val="left"/>
      <w:lvlText w:val="%1."/>
      <w:numFmt w:val="decimal"/>
      <w:start w:val="1"/>
    </w:lvl>
  </w:abstractNum>
  <w:abstractNum w:abstractNumId="174">
    <w:nsid w:val="30AADFDA"/>
    <w:multiLevelType w:val="hybridMultilevel"/>
    <w:lvl w:ilvl="0">
      <w:lvlJc w:val="left"/>
      <w:lvlText w:val="%1."/>
      <w:numFmt w:val="decimal"/>
      <w:start w:val="2"/>
    </w:lvl>
  </w:abstractNum>
  <w:abstractNum w:abstractNumId="175">
    <w:nsid w:val="30EADA61"/>
    <w:multiLevelType w:val="hybridMultilevel"/>
    <w:lvl w:ilvl="0">
      <w:lvlJc w:val="left"/>
      <w:lvlText w:val="%1."/>
      <w:numFmt w:val="decimal"/>
      <w:start w:val="3"/>
    </w:lvl>
  </w:abstractNum>
  <w:abstractNum w:abstractNumId="176">
    <w:nsid w:val="27179C0B"/>
    <w:multiLevelType w:val="hybridMultilevel"/>
    <w:lvl w:ilvl="0">
      <w:lvlJc w:val="left"/>
      <w:lvlText w:val="%1."/>
      <w:numFmt w:val="decimal"/>
      <w:start w:val="4"/>
    </w:lvl>
    <w:lvl w:ilvl="1">
      <w:lvlJc w:val="left"/>
      <w:lvlText w:val="(%2)"/>
      <w:numFmt w:val="lowerLetter"/>
      <w:start w:val="1"/>
    </w:lvl>
  </w:abstractNum>
  <w:abstractNum w:abstractNumId="177">
    <w:nsid w:val="5E636063"/>
    <w:multiLevelType w:val="hybridMultilevel"/>
    <w:lvl w:ilvl="0">
      <w:lvlJc w:val="left"/>
      <w:lvlText w:val="(%1)"/>
      <w:numFmt w:val="lowerLetter"/>
      <w:start w:val="2"/>
    </w:lvl>
  </w:abstractNum>
  <w:abstractNum w:abstractNumId="178">
    <w:nsid w:val="215641AF"/>
    <w:multiLevelType w:val="hybridMultilevel"/>
    <w:lvl w:ilvl="0">
      <w:lvlJc w:val="left"/>
      <w:lvlText w:val="%1."/>
      <w:numFmt w:val="decimal"/>
      <w:start w:val="5"/>
    </w:lvl>
    <w:lvl w:ilvl="1">
      <w:lvlJc w:val="left"/>
      <w:lvlText w:val="(%2)"/>
      <w:numFmt w:val="lowerLetter"/>
      <w:start w:val="1"/>
    </w:lvl>
  </w:abstractNum>
  <w:abstractNum w:abstractNumId="179">
    <w:nsid w:val="53280662"/>
    <w:multiLevelType w:val="hybridMultilevel"/>
    <w:lvl w:ilvl="0">
      <w:lvlJc w:val="left"/>
      <w:lvlText w:val="(%1)"/>
      <w:numFmt w:val="lowerLetter"/>
      <w:start w:val="1"/>
    </w:lvl>
    <w:lvl w:ilvl="1">
      <w:lvlJc w:val="left"/>
      <w:lvlText w:val="(%2)"/>
      <w:numFmt w:val="lowerRoman"/>
      <w:start w:val="1"/>
    </w:lvl>
  </w:abstractNum>
  <w:abstractNum w:abstractNumId="180">
    <w:nsid w:val="46B24DBC"/>
    <w:multiLevelType w:val="hybridMultilevel"/>
    <w:lvl w:ilvl="0">
      <w:lvlJc w:val="left"/>
      <w:lvlText w:val="(%1)"/>
      <w:numFmt w:val="lowerRoman"/>
      <w:start w:val="5"/>
    </w:lvl>
  </w:abstractNum>
  <w:abstractNum w:abstractNumId="181">
    <w:nsid w:val="75B52783"/>
    <w:multiLevelType w:val="hybridMultilevel"/>
    <w:lvl w:ilvl="0">
      <w:lvlJc w:val="left"/>
      <w:lvlText w:val="%1"/>
      <w:numFmt w:val="lowerLetter"/>
      <w:start w:val="1"/>
    </w:lvl>
    <w:lvl w:ilvl="1">
      <w:lvlJc w:val="left"/>
      <w:lvlText w:val="(%2)"/>
      <w:numFmt w:val="lowerLetter"/>
      <w:start w:val="3"/>
    </w:lvl>
  </w:abstractNum>
  <w:abstractNum w:abstractNumId="182">
    <w:nsid w:val="57CE66B4"/>
    <w:multiLevelType w:val="hybridMultilevel"/>
    <w:lvl w:ilvl="0">
      <w:lvlJc w:val="left"/>
      <w:lvlText w:val="(%1)"/>
      <w:numFmt w:val="lowerLetter"/>
      <w:start w:val="35"/>
    </w:lvl>
    <w:lvl w:ilvl="1">
      <w:lvlJc w:val="left"/>
      <w:lvlText w:val="(%2)"/>
      <w:numFmt w:val="lowerLetter"/>
      <w:start w:val="4"/>
    </w:lvl>
  </w:abstractNum>
  <w:abstractNum w:abstractNumId="183">
    <w:nsid w:val="67A70B69"/>
    <w:multiLevelType w:val="hybridMultilevel"/>
    <w:lvl w:ilvl="0">
      <w:lvlJc w:val="left"/>
      <w:lvlText w:val="(%1)"/>
      <w:numFmt w:val="lowerLetter"/>
      <w:start w:val="1"/>
    </w:lvl>
  </w:abstractNum>
  <w:abstractNum w:abstractNumId="184">
    <w:nsid w:val="5953172F"/>
    <w:multiLevelType w:val="hybridMultilevel"/>
    <w:lvl w:ilvl="0">
      <w:lvlJc w:val="left"/>
      <w:lvlText w:val="%1"/>
      <w:numFmt w:val="upperLetter"/>
      <w:start w:val="1"/>
    </w:lvl>
    <w:lvl w:ilvl="1">
      <w:lvlJc w:val="left"/>
      <w:lvlText w:val="(%2)"/>
      <w:numFmt w:val="lowerLetter"/>
      <w:start w:val="4"/>
    </w:lvl>
  </w:abstractNum>
  <w:abstractNum w:abstractNumId="185">
    <w:nsid w:val="27EDFE3A"/>
    <w:multiLevelType w:val="hybridMultilevel"/>
    <w:lvl w:ilvl="0">
      <w:lvlJc w:val="left"/>
      <w:lvlText w:val="(%1)"/>
      <w:numFmt w:val="upperLetter"/>
      <w:start w:val="2"/>
    </w:lvl>
    <w:lvl w:ilvl="1">
      <w:lvlJc w:val="left"/>
      <w:lvlText w:val="%2"/>
      <w:numFmt w:val="lowerLetter"/>
      <w:start w:val="1"/>
    </w:lvl>
  </w:abstractNum>
  <w:abstractNum w:abstractNumId="186">
    <w:nsid w:val="52AC7DFF"/>
    <w:multiLevelType w:val="hybridMultilevel"/>
    <w:lvl w:ilvl="0">
      <w:lvlJc w:val="left"/>
      <w:lvlText w:val="(%1)"/>
      <w:numFmt w:val="lowerLetter"/>
      <w:start w:val="1"/>
    </w:lvl>
  </w:abstractNum>
  <w:abstractNum w:abstractNumId="187">
    <w:nsid w:val="C4C3AF"/>
    <w:multiLevelType w:val="hybridMultilevel"/>
    <w:lvl w:ilvl="0">
      <w:lvlJc w:val="left"/>
      <w:lvlText w:val="(%1)"/>
      <w:numFmt w:val="lowerRoman"/>
      <w:start w:val="1"/>
    </w:lvl>
  </w:abstractNum>
  <w:abstractNum w:abstractNumId="188">
    <w:nsid w:val="44380727"/>
    <w:multiLevelType w:val="hybridMultilevel"/>
    <w:lvl w:ilvl="0">
      <w:lvlJc w:val="left"/>
      <w:lvlText w:val="(%1)"/>
      <w:numFmt w:val="lowerLetter"/>
      <w:start w:val="5"/>
    </w:lvl>
  </w:abstractNum>
  <w:abstractNum w:abstractNumId="189">
    <w:nsid w:val="6C053B16"/>
    <w:multiLevelType w:val="hybridMultilevel"/>
    <w:lvl w:ilvl="0">
      <w:lvlJc w:val="left"/>
      <w:lvlText w:val="(%1)"/>
      <w:numFmt w:val="lowerLetter"/>
      <w:start w:val="1"/>
    </w:lvl>
  </w:abstractNum>
  <w:abstractNum w:abstractNumId="190">
    <w:nsid w:val="4F294393"/>
    <w:multiLevelType w:val="hybridMultilevel"/>
    <w:lvl w:ilvl="0">
      <w:lvlJc w:val="left"/>
      <w:lvlText w:val="(%1)"/>
      <w:numFmt w:val="lowerLetter"/>
      <w:start w:val="1"/>
    </w:lvl>
  </w:abstractNum>
  <w:abstractNum w:abstractNumId="191">
    <w:nsid w:val="5243BFAC"/>
    <w:multiLevelType w:val="hybridMultilevel"/>
    <w:lvl w:ilvl="0">
      <w:lvlJc w:val="left"/>
      <w:lvlText w:val="(%1)"/>
      <w:numFmt w:val="lowerLetter"/>
      <w:start w:val="4"/>
    </w:lvl>
  </w:abstractNum>
  <w:abstractNum w:abstractNumId="192">
    <w:nsid w:val="425EB207"/>
    <w:multiLevelType w:val="hybridMultilevel"/>
    <w:lvl w:ilvl="0">
      <w:lvlJc w:val="left"/>
      <w:lvlText w:val="(%1)"/>
      <w:numFmt w:val="lowerLetter"/>
      <w:start w:val="1"/>
    </w:lvl>
  </w:abstractNum>
  <w:abstractNum w:abstractNumId="193">
    <w:nsid w:val="334A6F1F"/>
    <w:multiLevelType w:val="hybridMultilevel"/>
    <w:lvl w:ilvl="0">
      <w:lvlJc w:val="left"/>
      <w:lvlText w:val="(%1)"/>
      <w:numFmt w:val="lowerLetter"/>
      <w:start w:val="4"/>
    </w:lvl>
  </w:abstractNum>
  <w:abstractNum w:abstractNumId="194">
    <w:nsid w:val="2E5B12B8"/>
    <w:multiLevelType w:val="hybridMultilevel"/>
    <w:lvl w:ilvl="0">
      <w:lvlJc w:val="left"/>
      <w:lvlText w:val="(%1)"/>
      <w:numFmt w:val="lowerLetter"/>
      <w:start w:val="1"/>
    </w:lvl>
  </w:abstractNum>
  <w:abstractNum w:abstractNumId="195">
    <w:nsid w:val="5C03D76D"/>
    <w:multiLevelType w:val="hybridMultilevel"/>
    <w:lvl w:ilvl="0">
      <w:lvlJc w:val="left"/>
      <w:lvlText w:val="(%1)"/>
      <w:numFmt w:val="lowerLetter"/>
      <w:start w:val="1"/>
    </w:lvl>
  </w:abstractNum>
  <w:abstractNum w:abstractNumId="196">
    <w:nsid w:val="66A48D11"/>
    <w:multiLevelType w:val="hybridMultilevel"/>
    <w:lvl w:ilvl="0">
      <w:lvlJc w:val="left"/>
      <w:lvlText w:val="(%1)"/>
      <w:numFmt w:val="lowerLetter"/>
      <w:start w:val="1"/>
    </w:lvl>
  </w:abstractNum>
  <w:abstractNum w:abstractNumId="197">
    <w:nsid w:val="56C28E34"/>
    <w:multiLevelType w:val="hybridMultilevel"/>
    <w:lvl w:ilvl="0">
      <w:lvlJc w:val="left"/>
      <w:lvlText w:val="(%1)"/>
      <w:numFmt w:val="lowerLetter"/>
      <w:start w:val="1"/>
    </w:lvl>
  </w:abstractNum>
  <w:abstractNum w:abstractNumId="198">
    <w:nsid w:val="13916F2D"/>
    <w:multiLevelType w:val="hybridMultilevel"/>
    <w:lvl w:ilvl="0">
      <w:lvlJc w:val="left"/>
      <w:lvlText w:val="(%1)"/>
      <w:numFmt w:val="lowerLetter"/>
      <w:start w:val="3"/>
    </w:lvl>
  </w:abstractNum>
  <w:abstractNum w:abstractNumId="199">
    <w:nsid w:val="435D38D"/>
    <w:multiLevelType w:val="hybridMultilevel"/>
    <w:lvl w:ilvl="0">
      <w:lvlJc w:val="left"/>
      <w:lvlText w:val="(%1)"/>
      <w:numFmt w:val="lowerLetter"/>
      <w:start w:val="1"/>
    </w:lvl>
  </w:abstractNum>
  <w:abstractNum w:abstractNumId="200">
    <w:nsid w:val="822C0EF"/>
    <w:multiLevelType w:val="hybridMultilevel"/>
    <w:lvl w:ilvl="0">
      <w:lvlJc w:val="left"/>
      <w:lvlText w:val="(%1)"/>
      <w:numFmt w:val="lowerLetter"/>
      <w:start w:val="1"/>
    </w:lvl>
  </w:abstractNum>
  <w:abstractNum w:abstractNumId="201">
    <w:nsid w:val="57C5BB4F"/>
    <w:multiLevelType w:val="hybridMultilevel"/>
    <w:lvl w:ilvl="0">
      <w:lvlJc w:val="left"/>
      <w:lvlText w:val="(%1)"/>
      <w:numFmt w:val="lowerLetter"/>
      <w:start w:val="1"/>
    </w:lvl>
  </w:abstractNum>
  <w:abstractNum w:abstractNumId="202">
    <w:nsid w:val="1803D089"/>
    <w:multiLevelType w:val="hybridMultilevel"/>
    <w:lvl w:ilvl="0">
      <w:lvlJc w:val="left"/>
      <w:lvlText w:val="(%1)"/>
      <w:numFmt w:val="lowerLetter"/>
      <w:start w:val="5"/>
    </w:lvl>
  </w:abstractNum>
  <w:abstractNum w:abstractNumId="203">
    <w:nsid w:val="4F3A06D4"/>
    <w:multiLevelType w:val="hybridMultilevel"/>
    <w:lvl w:ilvl="0">
      <w:lvlJc w:val="left"/>
      <w:lvlText w:val="%1."/>
      <w:numFmt w:val="decimal"/>
      <w:start w:val="1"/>
    </w:lvl>
  </w:abstractNum>
  <w:abstractNum w:abstractNumId="204">
    <w:nsid w:val="59A377B6"/>
    <w:multiLevelType w:val="hybridMultilevel"/>
    <w:lvl w:ilvl="0">
      <w:lvlJc w:val="left"/>
      <w:lvlText w:val="("/>
      <w:numFmt w:val="bullet"/>
      <w:start w:val="1"/>
    </w:lvl>
  </w:abstractNum>
  <w:abstractNum w:abstractNumId="205">
    <w:nsid w:val="48AEB063"/>
    <w:multiLevelType w:val="hybridMultilevel"/>
    <w:lvl w:ilvl="0">
      <w:lvlJc w:val="left"/>
      <w:lvlText w:val="("/>
      <w:numFmt w:val="bullet"/>
      <w:start w:val="1"/>
    </w:lvl>
  </w:abstractNum>
  <w:abstractNum w:abstractNumId="206">
    <w:nsid w:val="24E135"/>
    <w:multiLevelType w:val="hybridMultilevel"/>
    <w:lvl w:ilvl="0">
      <w:lvlJc w:val="left"/>
      <w:lvlText w:val="("/>
      <w:numFmt w:val="bullet"/>
      <w:start w:val="1"/>
    </w:lvl>
  </w:abstractNum>
  <w:abstractNum w:abstractNumId="207">
    <w:nsid w:val="BB13C1"/>
    <w:multiLevelType w:val="hybridMultilevel"/>
    <w:lvl w:ilvl="0">
      <w:lvlJc w:val="left"/>
      <w:lvlText w:val="("/>
      <w:numFmt w:val="bullet"/>
      <w:start w:val="1"/>
    </w:lvl>
  </w:abstractNum>
  <w:abstractNum w:abstractNumId="208">
    <w:nsid w:val="271210C7"/>
    <w:multiLevelType w:val="hybridMultilevel"/>
    <w:lvl w:ilvl="0">
      <w:lvlJc w:val="left"/>
      <w:lvlText w:val="%1."/>
      <w:numFmt w:val="decimal"/>
      <w:start w:val="2"/>
    </w:lvl>
    <w:lvl w:ilvl="1">
      <w:lvlJc w:val="left"/>
      <w:lvlText w:val="(%2)"/>
      <w:numFmt w:val="lowerLetter"/>
      <w:start w:val="1"/>
    </w:lvl>
  </w:abstractNum>
  <w:abstractNum w:abstractNumId="209">
    <w:nsid w:val="217B22E4"/>
    <w:multiLevelType w:val="hybridMultilevel"/>
    <w:lvl w:ilvl="0">
      <w:lvlJc w:val="left"/>
      <w:lvlText w:val="(%1)"/>
      <w:numFmt w:val="lowerLetter"/>
      <w:start w:val="61"/>
    </w:lvl>
    <w:lvl w:ilvl="1">
      <w:lvlJc w:val="left"/>
      <w:lvlText w:val="(%2)"/>
      <w:numFmt w:val="lowerLetter"/>
      <w:start w:val="2"/>
    </w:lvl>
  </w:abstractNum>
  <w:abstractNum w:abstractNumId="210">
    <w:nsid w:val="53E31A24"/>
    <w:multiLevelType w:val="hybridMultilevel"/>
    <w:lvl w:ilvl="0">
      <w:lvlJc w:val="left"/>
      <w:lvlText w:val="%1"/>
      <w:numFmt w:val="decimal"/>
      <w:start w:val="1"/>
    </w:lvl>
    <w:lvl w:ilvl="1">
      <w:lvlJc w:val="left"/>
      <w:lvlText w:val="(%2)"/>
      <w:numFmt w:val="lowerLetter"/>
      <w:start w:val="3"/>
    </w:lvl>
  </w:abstractNum>
  <w:abstractNum w:abstractNumId="211">
    <w:nsid w:val="6DC45E83"/>
    <w:multiLevelType w:val="hybridMultilevel"/>
    <w:lvl w:ilvl="0">
      <w:lvlJc w:val="left"/>
      <w:lvlText w:val="%1."/>
      <w:numFmt w:val="decimal"/>
      <w:start w:val="3"/>
    </w:lvl>
    <w:lvl w:ilvl="1">
      <w:lvlJc w:val="left"/>
      <w:lvlText w:val="(%2)"/>
      <w:numFmt w:val="lowerLetter"/>
      <w:start w:val="1"/>
    </w:lvl>
  </w:abstractNum>
  <w:abstractNum w:abstractNumId="212">
    <w:nsid w:val="17304A67"/>
    <w:multiLevelType w:val="hybridMultilevel"/>
    <w:lvl w:ilvl="0">
      <w:lvlJc w:val="left"/>
      <w:lvlText w:val="%1."/>
      <w:numFmt w:val="decimal"/>
      <w:start w:val="4"/>
    </w:lvl>
  </w:abstractNum>
  <w:abstractNum w:abstractNumId="213">
    <w:nsid w:val="2BB180D8"/>
    <w:multiLevelType w:val="hybridMultilevel"/>
    <w:lvl w:ilvl="0">
      <w:lvlJc w:val="left"/>
      <w:lvlText w:val="%1."/>
      <w:numFmt w:val="decimal"/>
      <w:start w:val="9"/>
    </w:lvl>
  </w:abstractNum>
  <w:abstractNum w:abstractNumId="214">
    <w:nsid w:val="556B69ED"/>
    <w:multiLevelType w:val="hybridMultilevel"/>
    <w:lvl w:ilvl="0">
      <w:lvlJc w:val="left"/>
      <w:lvlText w:val="%1."/>
      <w:numFmt w:val="decimal"/>
      <w:start w:val="1"/>
    </w:lvl>
  </w:abstractNum>
  <w:abstractNum w:abstractNumId="215">
    <w:nsid w:val="70836196"/>
    <w:multiLevelType w:val="hybridMultilevel"/>
    <w:lvl w:ilvl="0">
      <w:lvlJc w:val="left"/>
      <w:lvlText w:val="("/>
      <w:numFmt w:val="bullet"/>
      <w:start w:val="1"/>
    </w:lvl>
  </w:abstractNum>
  <w:abstractNum w:abstractNumId="216">
    <w:nsid w:val="539F7F12"/>
    <w:multiLevelType w:val="hybridMultilevel"/>
    <w:lvl w:ilvl="0">
      <w:lvlJc w:val="left"/>
      <w:lvlText w:val="("/>
      <w:numFmt w:val="bullet"/>
      <w:start w:val="1"/>
    </w:lvl>
  </w:abstractNum>
  <w:abstractNum w:abstractNumId="217">
    <w:nsid w:val="2817E7EC"/>
    <w:multiLevelType w:val="hybridMultilevel"/>
    <w:lvl w:ilvl="0">
      <w:lvlJc w:val="left"/>
      <w:lvlText w:val="("/>
      <w:numFmt w:val="bullet"/>
      <w:start w:val="1"/>
    </w:lvl>
  </w:abstractNum>
  <w:abstractNum w:abstractNumId="218">
    <w:nsid w:val="71482545"/>
    <w:multiLevelType w:val="hybridMultilevel"/>
    <w:lvl w:ilvl="0">
      <w:lvlJc w:val="left"/>
      <w:lvlText w:val="("/>
      <w:numFmt w:val="bullet"/>
      <w:start w:val="1"/>
    </w:lvl>
  </w:abstractNum>
  <w:abstractNum w:abstractNumId="219">
    <w:nsid w:val="17D78639"/>
    <w:multiLevelType w:val="hybridMultilevel"/>
    <w:lvl w:ilvl="0">
      <w:lvlJc w:val="left"/>
      <w:lvlText w:val="%1."/>
      <w:numFmt w:val="decimal"/>
      <w:start w:val="2"/>
    </w:lvl>
    <w:lvl w:ilvl="1">
      <w:lvlJc w:val="left"/>
      <w:lvlText w:val="(%2)"/>
      <w:numFmt w:val="lowerLetter"/>
      <w:start w:val="1"/>
    </w:lvl>
  </w:abstractNum>
  <w:abstractNum w:abstractNumId="220">
    <w:nsid w:val="141D2302"/>
    <w:multiLevelType w:val="hybridMultilevel"/>
    <w:lvl w:ilvl="0">
      <w:lvlJc w:val="left"/>
      <w:lvlText w:val="(%1)"/>
      <w:numFmt w:val="lowerLetter"/>
      <w:start w:val="61"/>
    </w:lvl>
    <w:lvl w:ilvl="1">
      <w:lvlJc w:val="left"/>
      <w:lvlText w:val="(%2)"/>
      <w:numFmt w:val="lowerLetter"/>
      <w:start w:val="2"/>
    </w:lvl>
  </w:abstractNum>
  <w:abstractNum w:abstractNumId="221">
    <w:nsid w:val="407168D8"/>
    <w:multiLevelType w:val="hybridMultilevel"/>
    <w:lvl w:ilvl="0">
      <w:lvlJc w:val="left"/>
      <w:lvlText w:val="%1"/>
      <w:numFmt w:val="decimal"/>
      <w:start w:val="1"/>
    </w:lvl>
    <w:lvl w:ilvl="1">
      <w:lvlJc w:val="left"/>
      <w:lvlText w:val="(%2)"/>
      <w:numFmt w:val="lowerLetter"/>
      <w:start w:val="3"/>
    </w:lvl>
  </w:abstractNum>
  <w:abstractNum w:abstractNumId="222">
    <w:nsid w:val="6A1B45E5"/>
    <w:multiLevelType w:val="hybridMultilevel"/>
    <w:lvl w:ilvl="0">
      <w:lvlJc w:val="left"/>
      <w:lvlText w:val="%1."/>
      <w:numFmt w:val="decimal"/>
      <w:start w:val="3"/>
    </w:lvl>
    <w:lvl w:ilvl="1">
      <w:lvlJc w:val="left"/>
      <w:lvlText w:val="(%2)"/>
      <w:numFmt w:val="lowerLetter"/>
      <w:start w:val="1"/>
    </w:lvl>
  </w:abstractNum>
  <w:abstractNum w:abstractNumId="223">
    <w:nsid w:val="567BD50A"/>
    <w:multiLevelType w:val="hybridMultilevel"/>
    <w:lvl w:ilvl="0">
      <w:lvlJc w:val="left"/>
      <w:lvlText w:val="(%1)"/>
      <w:numFmt w:val="lowerLetter"/>
      <w:start w:val="4"/>
    </w:lvl>
  </w:abstractNum>
  <w:abstractNum w:abstractNumId="224">
    <w:nsid w:val="73BBD7F8"/>
    <w:multiLevelType w:val="hybridMultilevel"/>
    <w:lvl w:ilvl="0">
      <w:lvlJc w:val="left"/>
      <w:lvlText w:val="%1."/>
      <w:numFmt w:val="decimal"/>
      <w:start w:val="4"/>
    </w:lvl>
  </w:abstractNum>
  <w:abstractNum w:abstractNumId="225">
    <w:nsid w:val="1876589D"/>
    <w:multiLevelType w:val="hybridMultilevel"/>
    <w:lvl w:ilvl="0">
      <w:lvlJc w:val="left"/>
      <w:lvlText w:val="%1."/>
      <w:numFmt w:val="decimal"/>
      <w:start w:val="10"/>
    </w:lvl>
  </w:abstractNum>
  <w:abstractNum w:abstractNumId="226">
    <w:nsid w:val="327FAC77"/>
    <w:multiLevelType w:val="hybridMultilevel"/>
    <w:lvl w:ilvl="0">
      <w:lvlJc w:val="left"/>
      <w:lvlText w:val="%1."/>
      <w:numFmt w:val="decimal"/>
      <w:start w:val="1"/>
    </w:lvl>
  </w:abstractNum>
  <w:abstractNum w:abstractNumId="227">
    <w:nsid w:val="5A606509"/>
    <w:multiLevelType w:val="hybridMultilevel"/>
    <w:lvl w:ilvl="0">
      <w:lvlJc w:val="left"/>
      <w:lvlText w:val="("/>
      <w:numFmt w:val="bullet"/>
      <w:start w:val="1"/>
    </w:lvl>
  </w:abstractNum>
  <w:abstractNum w:abstractNumId="228">
    <w:nsid w:val="6F38E6D1"/>
    <w:multiLevelType w:val="hybridMultilevel"/>
    <w:lvl w:ilvl="0">
      <w:lvlJc w:val="left"/>
      <w:lvlText w:val="("/>
      <w:numFmt w:val="bullet"/>
      <w:start w:val="1"/>
    </w:lvl>
  </w:abstractNum>
  <w:abstractNum w:abstractNumId="229">
    <w:nsid w:val="46111BA5"/>
    <w:multiLevelType w:val="hybridMultilevel"/>
    <w:lvl w:ilvl="0">
      <w:lvlJc w:val="left"/>
      <w:lvlText w:val="("/>
      <w:numFmt w:val="bullet"/>
      <w:start w:val="1"/>
    </w:lvl>
  </w:abstractNum>
  <w:abstractNum w:abstractNumId="230">
    <w:nsid w:val="5E963896"/>
    <w:multiLevelType w:val="hybridMultilevel"/>
    <w:lvl w:ilvl="0">
      <w:lvlJc w:val="left"/>
      <w:lvlText w:val="("/>
      <w:numFmt w:val="bullet"/>
      <w:start w:val="1"/>
    </w:lvl>
  </w:abstractNum>
  <w:abstractNum w:abstractNumId="231">
    <w:nsid w:val="775BA7C1"/>
    <w:multiLevelType w:val="hybridMultilevel"/>
    <w:lvl w:ilvl="0">
      <w:lvlJc w:val="left"/>
      <w:lvlText w:val="%1."/>
      <w:numFmt w:val="decimal"/>
      <w:start w:val="2"/>
    </w:lvl>
    <w:lvl w:ilvl="1">
      <w:lvlJc w:val="left"/>
      <w:lvlText w:val="(%2)"/>
      <w:numFmt w:val="lowerLetter"/>
      <w:start w:val="1"/>
    </w:lvl>
  </w:abstractNum>
  <w:abstractNum w:abstractNumId="232">
    <w:nsid w:val="1DD6D6F4"/>
    <w:multiLevelType w:val="hybridMultilevel"/>
    <w:lvl w:ilvl="0">
      <w:lvlJc w:val="left"/>
      <w:lvlText w:val="(%1)"/>
      <w:numFmt w:val="lowerLetter"/>
      <w:start w:val="61"/>
    </w:lvl>
    <w:lvl w:ilvl="1">
      <w:lvlJc w:val="left"/>
      <w:lvlText w:val="(%2)"/>
      <w:numFmt w:val="lowerLetter"/>
      <w:start w:val="2"/>
    </w:lvl>
  </w:abstractNum>
  <w:abstractNum w:abstractNumId="233">
    <w:nsid w:val="769A091F"/>
    <w:multiLevelType w:val="hybridMultilevel"/>
    <w:lvl w:ilvl="0">
      <w:lvlJc w:val="left"/>
      <w:lvlText w:val="%1"/>
      <w:numFmt w:val="decimal"/>
      <w:start w:val="1"/>
    </w:lvl>
    <w:lvl w:ilvl="1">
      <w:lvlJc w:val="left"/>
      <w:lvlText w:val="(%2)"/>
      <w:numFmt w:val="lowerLetter"/>
      <w:start w:val="3"/>
    </w:lvl>
  </w:abstractNum>
  <w:abstractNum w:abstractNumId="234">
    <w:nsid w:val="4695AE95"/>
    <w:multiLevelType w:val="hybridMultilevel"/>
    <w:lvl w:ilvl="0">
      <w:lvlJc w:val="left"/>
      <w:lvlText w:val="%1."/>
      <w:numFmt w:val="decimal"/>
      <w:start w:val="3"/>
    </w:lvl>
    <w:lvl w:ilvl="1">
      <w:lvlJc w:val="left"/>
      <w:lvlText w:val="(%2)"/>
      <w:numFmt w:val="lowerLetter"/>
      <w:start w:val="1"/>
    </w:lvl>
  </w:abstractNum>
  <w:abstractNum w:abstractNumId="235">
    <w:nsid w:val="777A4EAA"/>
    <w:multiLevelType w:val="hybridMultilevel"/>
    <w:lvl w:ilvl="0">
      <w:lvlJc w:val="left"/>
      <w:lvlText w:val="%1."/>
      <w:numFmt w:val="decimal"/>
      <w:start w:val="7"/>
    </w:lvl>
  </w:abstractNum>
  <w:abstractNum w:abstractNumId="236">
    <w:nsid w:val="3F48B982"/>
    <w:multiLevelType w:val="hybridMultilevel"/>
    <w:lvl w:ilvl="0">
      <w:lvlJc w:val="left"/>
      <w:lvlText w:val="%1."/>
      <w:numFmt w:val="decimal"/>
      <w:start w:val="1"/>
    </w:lvl>
    <w:lvl w:ilvl="1">
      <w:lvlJc w:val="left"/>
      <w:lvlText w:val="(%2)"/>
      <w:numFmt w:val="lowerLetter"/>
      <w:start w:val="1"/>
    </w:lvl>
  </w:abstractNum>
  <w:abstractNum w:abstractNumId="237">
    <w:nsid w:val="46BA8FCA"/>
    <w:multiLevelType w:val="hybridMultilevel"/>
    <w:lvl w:ilvl="0">
      <w:lvlJc w:val="left"/>
      <w:lvlText w:val="("/>
      <w:numFmt w:val="bullet"/>
      <w:start w:val="1"/>
    </w:lvl>
  </w:abstractNum>
  <w:abstractNum w:abstractNumId="238">
    <w:nsid w:val="7835626C"/>
    <w:multiLevelType w:val="hybridMultilevel"/>
    <w:lvl w:ilvl="0">
      <w:lvlJc w:val="left"/>
      <w:lvlText w:val="("/>
      <w:numFmt w:val="bullet"/>
      <w:start w:val="1"/>
    </w:lvl>
  </w:abstractNum>
  <w:abstractNum w:abstractNumId="239">
    <w:nsid w:val="665ACA49"/>
    <w:multiLevelType w:val="hybridMultilevel"/>
    <w:lvl w:ilvl="0">
      <w:lvlJc w:val="left"/>
      <w:lvlText w:val="("/>
      <w:numFmt w:val="bullet"/>
      <w:start w:val="1"/>
    </w:lvl>
  </w:abstractNum>
  <w:abstractNum w:abstractNumId="240">
    <w:nsid w:val="6835B2AE"/>
    <w:multiLevelType w:val="hybridMultilevel"/>
    <w:lvl w:ilvl="0">
      <w:lvlJc w:val="left"/>
      <w:lvlText w:val="("/>
      <w:numFmt w:val="bullet"/>
      <w:start w:val="1"/>
    </w:lvl>
  </w:abstractNum>
  <w:abstractNum w:abstractNumId="241">
    <w:nsid w:val="4C187C90"/>
    <w:multiLevelType w:val="hybridMultilevel"/>
    <w:lvl w:ilvl="0">
      <w:lvlJc w:val="left"/>
      <w:lvlText w:val="%1."/>
      <w:numFmt w:val="decimal"/>
      <w:start w:val="4"/>
    </w:lvl>
  </w:abstractNum>
  <w:abstractNum w:abstractNumId="242">
    <w:nsid w:val="541F28CD"/>
    <w:multiLevelType w:val="hybridMultilevel"/>
    <w:lvl w:ilvl="0">
      <w:lvlJc w:val="left"/>
      <w:lvlText w:val="%1."/>
      <w:numFmt w:val="decimal"/>
      <w:start w:val="9"/>
    </w:lvl>
  </w:abstractNum>
  <w:abstractNum w:abstractNumId="243">
    <w:nsid w:val="7F65FD16"/>
    <w:multiLevelType w:val="hybridMultilevel"/>
    <w:lvl w:ilvl="0">
      <w:lvlJc w:val="left"/>
      <w:lvlText w:val="%1."/>
      <w:numFmt w:val="decimal"/>
      <w:start w:val="1"/>
    </w:lvl>
  </w:abstractNum>
  <w:abstractNum w:abstractNumId="244">
    <w:nsid w:val="77C9FD68"/>
    <w:multiLevelType w:val="hybridMultilevel"/>
    <w:lvl w:ilvl="0">
      <w:lvlJc w:val="left"/>
      <w:lvlText w:val="("/>
      <w:numFmt w:val="bullet"/>
      <w:start w:val="1"/>
    </w:lvl>
  </w:abstractNum>
  <w:abstractNum w:abstractNumId="245">
    <w:nsid w:val="298A92BA"/>
    <w:multiLevelType w:val="hybridMultilevel"/>
    <w:lvl w:ilvl="0">
      <w:lvlJc w:val="left"/>
      <w:lvlText w:val="("/>
      <w:numFmt w:val="bullet"/>
      <w:start w:val="1"/>
    </w:lvl>
  </w:abstractNum>
  <w:abstractNum w:abstractNumId="246">
    <w:nsid w:val="6FE95EAC"/>
    <w:multiLevelType w:val="hybridMultilevel"/>
    <w:lvl w:ilvl="0">
      <w:lvlJc w:val="left"/>
      <w:lvlText w:val="("/>
      <w:numFmt w:val="bullet"/>
      <w:start w:val="1"/>
    </w:lvl>
  </w:abstractNum>
  <w:abstractNum w:abstractNumId="247">
    <w:nsid w:val="4B697C7A"/>
    <w:multiLevelType w:val="hybridMultilevel"/>
    <w:lvl w:ilvl="0">
      <w:lvlJc w:val="left"/>
      <w:lvlText w:val="("/>
      <w:numFmt w:val="bullet"/>
      <w:start w:val="1"/>
    </w:lvl>
  </w:abstractNum>
  <w:abstractNum w:abstractNumId="248">
    <w:nsid w:val="51A27AA6"/>
    <w:multiLevelType w:val="hybridMultilevel"/>
    <w:lvl w:ilvl="0">
      <w:lvlJc w:val="left"/>
      <w:lvlText w:val="%1."/>
      <w:numFmt w:val="decimal"/>
      <w:start w:val="3"/>
    </w:lvl>
  </w:abstractNum>
  <w:abstractNum w:abstractNumId="249">
    <w:nsid w:val="613183F2"/>
    <w:multiLevelType w:val="hybridMultilevel"/>
    <w:lvl w:ilvl="0">
      <w:lvlJc w:val="left"/>
      <w:lvlText w:val="%1."/>
      <w:numFmt w:val="decimal"/>
      <w:start w:val="4"/>
    </w:lvl>
  </w:abstractNum>
  <w:abstractNum w:abstractNumId="250">
    <w:nsid w:val="634102B4"/>
    <w:multiLevelType w:val="hybridMultilevel"/>
    <w:lvl w:ilvl="0">
      <w:lvlJc w:val="left"/>
      <w:lvlText w:val="%1."/>
      <w:numFmt w:val="decimal"/>
      <w:start w:val="11"/>
    </w:lvl>
  </w:abstractNum>
  <w:abstractNum w:abstractNumId="251">
    <w:nsid w:val="65BF9DA8"/>
    <w:multiLevelType w:val="hybridMultilevel"/>
    <w:lvl w:ilvl="0">
      <w:lvlJc w:val="left"/>
      <w:lvlText w:val="%1."/>
      <w:numFmt w:val="decimal"/>
      <w:start w:val="1"/>
    </w:lvl>
  </w:abstractNum>
  <w:abstractNum w:abstractNumId="252">
    <w:nsid w:val="21A2ECCA"/>
    <w:multiLevelType w:val="hybridMultilevel"/>
    <w:lvl w:ilvl="0">
      <w:lvlJc w:val="left"/>
      <w:lvlText w:val="("/>
      <w:numFmt w:val="bullet"/>
      <w:start w:val="1"/>
    </w:lvl>
  </w:abstractNum>
  <w:abstractNum w:abstractNumId="253">
    <w:nsid w:val="4D5C4899"/>
    <w:multiLevelType w:val="hybridMultilevel"/>
    <w:lvl w:ilvl="0">
      <w:lvlJc w:val="left"/>
      <w:lvlText w:val="("/>
      <w:numFmt w:val="bullet"/>
      <w:start w:val="1"/>
    </w:lvl>
  </w:abstractNum>
  <w:abstractNum w:abstractNumId="254">
    <w:nsid w:val="3C3B72B2"/>
    <w:multiLevelType w:val="hybridMultilevel"/>
    <w:lvl w:ilvl="0">
      <w:lvlJc w:val="left"/>
      <w:lvlText w:val="("/>
      <w:numFmt w:val="bullet"/>
      <w:start w:val="1"/>
    </w:lvl>
  </w:abstractNum>
  <w:abstractNum w:abstractNumId="255">
    <w:nsid w:val="155EC4C2"/>
    <w:multiLevelType w:val="hybridMultilevel"/>
    <w:lvl w:ilvl="0">
      <w:lvlJc w:val="left"/>
      <w:lvlText w:val="("/>
      <w:numFmt w:val="bullet"/>
      <w:start w:val="1"/>
    </w:lvl>
  </w:abstractNum>
  <w:abstractNum w:abstractNumId="256">
    <w:nsid w:val="65D2A137"/>
    <w:multiLevelType w:val="hybridMultilevel"/>
    <w:lvl w:ilvl="0">
      <w:lvlJc w:val="left"/>
      <w:lvlText w:val="%1."/>
      <w:numFmt w:val="decimal"/>
      <w:start w:val="3"/>
    </w:lvl>
  </w:abstractNum>
  <w:abstractNum w:abstractNumId="257">
    <w:nsid w:val="6EBB1F2A"/>
    <w:multiLevelType w:val="hybridMultilevel"/>
    <w:lvl w:ilvl="0">
      <w:lvlJc w:val="left"/>
      <w:lvlText w:val="%1."/>
      <w:numFmt w:val="decimal"/>
      <w:start w:val="4"/>
    </w:lvl>
  </w:abstractNum>
  <w:abstractNum w:abstractNumId="258">
    <w:nsid w:val="6FBF29CB"/>
    <w:multiLevelType w:val="hybridMultilevel"/>
    <w:lvl w:ilvl="0">
      <w:lvlJc w:val="left"/>
      <w:lvlText w:val="%1."/>
      <w:numFmt w:val="decimal"/>
      <w:start w:val="1"/>
    </w:lvl>
    <w:lvl w:ilvl="1">
      <w:lvlJc w:val="left"/>
      <w:lvlText w:val="(%2)"/>
      <w:numFmt w:val="lowerLetter"/>
      <w:start w:val="1"/>
    </w:lvl>
  </w:abstractNum>
  <w:abstractNum w:abstractNumId="259">
    <w:nsid w:val="550B8808"/>
    <w:multiLevelType w:val="hybridMultilevel"/>
    <w:lvl w:ilvl="0">
      <w:lvlJc w:val="left"/>
      <w:lvlText w:val="(%1)"/>
      <w:numFmt w:val="lowerLetter"/>
      <w:start w:val="2"/>
    </w:lvl>
  </w:abstractNum>
  <w:abstractNum w:abstractNumId="260">
    <w:nsid w:val="34CC3ACF"/>
    <w:multiLevelType w:val="hybridMultilevel"/>
    <w:lvl w:ilvl="0">
      <w:lvlJc w:val="left"/>
      <w:lvlText w:val="%1"/>
      <w:numFmt w:val="decimal"/>
      <w:start w:val="1"/>
    </w:lvl>
    <w:lvl w:ilvl="1">
      <w:lvlJc w:val="left"/>
      <w:lvlText w:val="(%2)"/>
      <w:numFmt w:val="lowerLetter"/>
      <w:start w:val="3"/>
    </w:lvl>
  </w:abstractNum>
  <w:abstractNum w:abstractNumId="261">
    <w:nsid w:val="4E556261"/>
    <w:multiLevelType w:val="hybridMultilevel"/>
    <w:lvl w:ilvl="0">
      <w:lvlJc w:val="left"/>
      <w:lvlText w:val="%1."/>
      <w:numFmt w:val="decimal"/>
      <w:start w:val="3"/>
    </w:lvl>
    <w:lvl w:ilvl="1">
      <w:lvlJc w:val="left"/>
      <w:lvlText w:val="(%2)"/>
      <w:numFmt w:val="lowerLetter"/>
      <w:start w:val="1"/>
    </w:lvl>
  </w:abstractNum>
  <w:abstractNum w:abstractNumId="262">
    <w:nsid w:val="4C672FC9"/>
    <w:multiLevelType w:val="hybridMultilevel"/>
    <w:lvl w:ilvl="0">
      <w:lvlJc w:val="left"/>
      <w:lvlText w:val="(%1)"/>
      <w:numFmt w:val="lowerLetter"/>
      <w:start w:val="4"/>
    </w:lvl>
  </w:abstractNum>
  <w:abstractNum w:abstractNumId="263">
    <w:nsid w:val="52A311C3"/>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64">
    <w:nsid w:val="44EF6B8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5">
    <w:nsid w:val="12FCDE5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66">
    <w:nsid w:val="4A1D606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67">
    <w:nsid w:val="4382503"/>
    <w:multiLevelType w:val="hybridMultilevel"/>
    <w:lvl w:ilvl="0">
      <w:lvlJc w:val="left"/>
      <w:lvlText w:val="(%1)"/>
      <w:numFmt w:val="lowerRoman"/>
      <w:start w:val="3"/>
    </w:lvl>
  </w:abstractNum>
  <w:abstractNum w:abstractNumId="268">
    <w:nsid w:val="59B76E28"/>
    <w:multiLevelType w:val="hybridMultilevel"/>
    <w:lvl w:ilvl="0">
      <w:lvlJc w:val="left"/>
      <w:lvlText w:val="(%1)"/>
      <w:numFmt w:val="lowerLetter"/>
      <w:start w:val="2"/>
    </w:lvl>
    <w:lvl w:ilvl="1">
      <w:lvlJc w:val="left"/>
      <w:lvlText w:val="(%2)"/>
      <w:numFmt w:val="lowerRoman"/>
      <w:start w:val="1"/>
    </w:lvl>
  </w:abstractNum>
  <w:abstractNum w:abstractNumId="269">
    <w:nsid w:val="4252C2DA"/>
    <w:multiLevelType w:val="hybridMultilevel"/>
    <w:lvl w:ilvl="0">
      <w:lvlJc w:val="left"/>
      <w:lvlText w:val="%1"/>
      <w:numFmt w:val="lowerLetter"/>
      <w:start w:val="1"/>
    </w:lvl>
    <w:lvl w:ilvl="1">
      <w:lvlJc w:val="left"/>
      <w:lvlText w:val="(%2)"/>
      <w:numFmt w:val="lowerLetter"/>
      <w:start w:val="61"/>
    </w:lvl>
  </w:abstractNum>
  <w:abstractNum w:abstractNumId="270">
    <w:nsid w:val="6A92EF4C"/>
    <w:multiLevelType w:val="hybridMultilevel"/>
    <w:lvl w:ilvl="0">
      <w:lvlJc w:val="left"/>
      <w:lvlText w:val="(%1)"/>
      <w:numFmt w:val="lowerLetter"/>
      <w:start w:val="3"/>
    </w:lvl>
    <w:lvl w:ilvl="1">
      <w:lvlJc w:val="left"/>
      <w:lvlText w:val="%2"/>
      <w:numFmt w:val="lowerLetter"/>
      <w:start w:val="1"/>
    </w:lvl>
  </w:abstractNum>
  <w:abstractNum w:abstractNumId="271">
    <w:nsid w:val="41ED20D7"/>
    <w:multiLevelType w:val="hybridMultilevel"/>
    <w:lvl w:ilvl="0">
      <w:lvlJc w:val="left"/>
      <w:lvlText w:val="%1."/>
      <w:numFmt w:val="decimal"/>
      <w:start w:val="6"/>
    </w:lvl>
    <w:lvl w:ilvl="1">
      <w:lvlJc w:val="left"/>
      <w:lvlText w:val="(%2)"/>
      <w:numFmt w:val="lowerLetter"/>
      <w:start w:val="1"/>
    </w:lvl>
  </w:abstractNum>
  <w:abstractNum w:abstractNumId="272">
    <w:nsid w:val="E6B3F6A"/>
    <w:multiLevelType w:val="hybridMultilevel"/>
    <w:lvl w:ilvl="0">
      <w:lvlJc w:val="left"/>
      <w:lvlText w:val="(%1)"/>
      <w:numFmt w:val="lowerLetter"/>
      <w:start w:val="2"/>
    </w:lvl>
  </w:abstractNum>
  <w:abstractNum w:abstractNumId="273">
    <w:nsid w:val="3EB21819"/>
    <w:multiLevelType w:val="hybridMultilevel"/>
    <w:lvl w:ilvl="0">
      <w:lvlJc w:val="left"/>
      <w:lvlText w:val="%1."/>
      <w:numFmt w:val="decimal"/>
      <w:start w:val="7"/>
    </w:lvl>
  </w:abstractNum>
  <w:abstractNum w:abstractNumId="274">
    <w:nsid w:val="41531DED"/>
    <w:multiLevelType w:val="hybridMultilevel"/>
    <w:lvl w:ilvl="0">
      <w:lvlJc w:val="left"/>
      <w:lvlText w:val="%1."/>
      <w:numFmt w:val="decimal"/>
      <w:start w:val="13"/>
    </w:lvl>
  </w:abstractNum>
  <w:abstractNum w:abstractNumId="275">
    <w:nsid w:val="6353CD2"/>
    <w:multiLevelType w:val="hybridMultilevel"/>
    <w:lvl w:ilvl="0">
      <w:lvlJc w:val="left"/>
      <w:lvlText w:val="%1."/>
      <w:numFmt w:val="decimal"/>
      <w:start w:val="1"/>
    </w:lvl>
    <w:lvl w:ilvl="1">
      <w:lvlJc w:val="left"/>
      <w:lvlText w:val="(%2)"/>
      <w:numFmt w:val="lowerLetter"/>
      <w:start w:val="1"/>
    </w:lvl>
  </w:abstractNum>
  <w:abstractNum w:abstractNumId="276">
    <w:nsid w:val="683CAAD3"/>
    <w:multiLevelType w:val="hybridMultilevel"/>
    <w:lvl w:ilvl="0">
      <w:lvlJc w:val="left"/>
      <w:lvlText w:val="%1."/>
      <w:numFmt w:val="decimal"/>
      <w:start w:val="1"/>
    </w:lvl>
    <w:lvl w:ilvl="1">
      <w:lvlJc w:val="left"/>
      <w:lvlText w:val="(%2)"/>
      <w:numFmt w:val="lowerLetter"/>
      <w:start w:val="1"/>
    </w:lvl>
  </w:abstractNum>
  <w:abstractNum w:abstractNumId="277">
    <w:nsid w:val="313C7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2019-12-29T13:33:16Z</dcterms:created>
  <dcterms:modified xsi:type="dcterms:W3CDTF">2019-12-29T13:33:16Z</dcterms:modified>
</cp:coreProperties>
</file>