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 PROSPECTUS SUPPLEMENT</w:t>
        </w:r>
      </w:hyperlink>
    </w:p>
    <w:p>
      <w:pPr>
        <w:spacing w:after="0" w:line="213"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0" w:lineRule="exact"/>
        <w:rPr>
          <w:sz w:val="24"/>
          <w:szCs w:val="24"/>
          <w:color w:val="auto"/>
        </w:rPr>
      </w:pPr>
    </w:p>
    <w:p>
      <w:pPr>
        <w:spacing w:after="0" w:line="254"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3240" w:type="dxa"/>
            <w:vAlign w:val="bottom"/>
            <w:tcBorders>
              <w:top w:val="single" w:sz="8" w:color="auto"/>
              <w:bottom w:val="single" w:sz="8" w:color="auto"/>
            </w:tcBorders>
          </w:tcPr>
          <w:p>
            <w:pPr>
              <w:spacing w:after="0"/>
              <w:rPr>
                <w:sz w:val="3"/>
                <w:szCs w:val="3"/>
                <w:color w:val="auto"/>
              </w:rPr>
            </w:pPr>
          </w:p>
        </w:tc>
        <w:tc>
          <w:tcPr>
            <w:tcW w:w="1940" w:type="dxa"/>
            <w:vAlign w:val="bottom"/>
            <w:tcBorders>
              <w:top w:val="single" w:sz="8" w:color="auto"/>
              <w:bottom w:val="single" w:sz="8" w:color="auto"/>
            </w:tcBorders>
          </w:tcPr>
          <w:p>
            <w:pPr>
              <w:spacing w:after="0"/>
              <w:rPr>
                <w:sz w:val="3"/>
                <w:szCs w:val="3"/>
                <w:color w:val="auto"/>
              </w:rPr>
            </w:pPr>
          </w:p>
        </w:tc>
        <w:tc>
          <w:tcPr>
            <w:tcW w:w="2120" w:type="dxa"/>
            <w:vAlign w:val="bottom"/>
            <w:tcBorders>
              <w:top w:val="single" w:sz="8" w:color="auto"/>
              <w:bottom w:val="single" w:sz="8" w:color="auto"/>
            </w:tcBorders>
          </w:tcPr>
          <w:p>
            <w:pPr>
              <w:spacing w:after="0"/>
              <w:rPr>
                <w:sz w:val="3"/>
                <w:szCs w:val="3"/>
                <w:color w:val="auto"/>
              </w:rPr>
            </w:pPr>
          </w:p>
        </w:tc>
        <w:tc>
          <w:tcPr>
            <w:tcW w:w="214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3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120" w:type="dxa"/>
            <w:vAlign w:val="bottom"/>
          </w:tcPr>
          <w:p>
            <w:pPr>
              <w:jc w:val="center"/>
              <w:spacing w:after="0" w:line="164" w:lineRule="exact"/>
              <w:rPr>
                <w:sz w:val="20"/>
                <w:szCs w:val="20"/>
                <w:color w:val="auto"/>
              </w:rPr>
            </w:pPr>
            <w:r>
              <w:rPr>
                <w:rFonts w:ascii="Arial" w:cs="Arial" w:eastAsia="Arial" w:hAnsi="Arial"/>
                <w:sz w:val="18"/>
                <w:szCs w:val="18"/>
                <w:b w:val="1"/>
                <w:bCs w:val="1"/>
                <w:color w:val="auto"/>
                <w:w w:val="96"/>
              </w:rPr>
              <w:t>Proposed</w:t>
            </w:r>
          </w:p>
        </w:tc>
        <w:tc>
          <w:tcPr>
            <w:tcW w:w="2140" w:type="dxa"/>
            <w:vAlign w:val="bottom"/>
          </w:tcPr>
          <w:p>
            <w:pPr>
              <w:jc w:val="center"/>
              <w:spacing w:after="0" w:line="164" w:lineRule="exact"/>
              <w:rPr>
                <w:sz w:val="20"/>
                <w:szCs w:val="20"/>
                <w:color w:val="auto"/>
              </w:rPr>
            </w:pPr>
            <w:r>
              <w:rPr>
                <w:rFonts w:ascii="Arial" w:cs="Arial" w:eastAsia="Arial" w:hAnsi="Arial"/>
                <w:sz w:val="18"/>
                <w:szCs w:val="18"/>
                <w:b w:val="1"/>
                <w:bCs w:val="1"/>
                <w:color w:val="auto"/>
                <w:w w:val="98"/>
              </w:rPr>
              <w:t>Proposed</w:t>
            </w:r>
          </w:p>
        </w:tc>
        <w:tc>
          <w:tcPr>
            <w:tcW w:w="1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Amount of</w:t>
            </w:r>
          </w:p>
        </w:tc>
        <w:tc>
          <w:tcPr>
            <w:tcW w:w="0" w:type="dxa"/>
            <w:vAlign w:val="bottom"/>
          </w:tcPr>
          <w:p>
            <w:pPr>
              <w:spacing w:after="0"/>
              <w:rPr>
                <w:sz w:val="1"/>
                <w:szCs w:val="1"/>
                <w:color w:val="auto"/>
              </w:rPr>
            </w:pPr>
          </w:p>
        </w:tc>
      </w:tr>
      <w:tr>
        <w:trPr>
          <w:trHeight w:val="181"/>
        </w:trPr>
        <w:tc>
          <w:tcPr>
            <w:tcW w:w="3240" w:type="dxa"/>
            <w:vAlign w:val="bottom"/>
          </w:tcPr>
          <w:p>
            <w:pPr>
              <w:jc w:val="center"/>
              <w:ind w:right="172"/>
              <w:spacing w:after="0" w:line="181" w:lineRule="exact"/>
              <w:rPr>
                <w:sz w:val="20"/>
                <w:szCs w:val="20"/>
                <w:color w:val="auto"/>
              </w:rPr>
            </w:pPr>
            <w:r>
              <w:rPr>
                <w:rFonts w:ascii="Arial" w:cs="Arial" w:eastAsia="Arial" w:hAnsi="Arial"/>
                <w:sz w:val="18"/>
                <w:szCs w:val="18"/>
                <w:b w:val="1"/>
                <w:bCs w:val="1"/>
                <w:color w:val="auto"/>
                <w:w w:val="97"/>
              </w:rPr>
              <w:t>Title of Each Class of</w:t>
            </w:r>
          </w:p>
        </w:tc>
        <w:tc>
          <w:tcPr>
            <w:tcW w:w="1940" w:type="dxa"/>
            <w:vAlign w:val="bottom"/>
          </w:tcPr>
          <w:p>
            <w:pPr>
              <w:spacing w:after="0"/>
              <w:rPr>
                <w:sz w:val="15"/>
                <w:szCs w:val="15"/>
                <w:color w:val="auto"/>
              </w:rPr>
            </w:pPr>
          </w:p>
        </w:tc>
        <w:tc>
          <w:tcPr>
            <w:tcW w:w="21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6"/>
              </w:rPr>
              <w:t>Maximum</w:t>
            </w:r>
          </w:p>
        </w:tc>
        <w:tc>
          <w:tcPr>
            <w:tcW w:w="21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8"/>
              </w:rPr>
              <w:t>Maximum</w:t>
            </w:r>
          </w:p>
        </w:tc>
        <w:tc>
          <w:tcPr>
            <w:tcW w:w="1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40" w:type="dxa"/>
            <w:vAlign w:val="bottom"/>
          </w:tcPr>
          <w:p>
            <w:pPr>
              <w:jc w:val="center"/>
              <w:ind w:right="192"/>
              <w:spacing w:after="0" w:line="202" w:lineRule="exact"/>
              <w:rPr>
                <w:sz w:val="20"/>
                <w:szCs w:val="20"/>
                <w:color w:val="auto"/>
              </w:rPr>
            </w:pPr>
            <w:r>
              <w:rPr>
                <w:rFonts w:ascii="Arial" w:cs="Arial" w:eastAsia="Arial" w:hAnsi="Arial"/>
                <w:sz w:val="18"/>
                <w:szCs w:val="18"/>
                <w:b w:val="1"/>
                <w:bCs w:val="1"/>
                <w:color w:val="auto"/>
                <w:w w:val="97"/>
              </w:rPr>
              <w:t>Securities</w:t>
            </w:r>
          </w:p>
        </w:tc>
        <w:tc>
          <w:tcPr>
            <w:tcW w:w="1940" w:type="dxa"/>
            <w:vAlign w:val="bottom"/>
          </w:tcPr>
          <w:p>
            <w:pPr>
              <w:jc w:val="center"/>
              <w:ind w:right="72"/>
              <w:spacing w:after="0" w:line="202" w:lineRule="exact"/>
              <w:rPr>
                <w:sz w:val="20"/>
                <w:szCs w:val="20"/>
                <w:color w:val="auto"/>
              </w:rPr>
            </w:pPr>
            <w:r>
              <w:rPr>
                <w:rFonts w:ascii="Arial" w:cs="Arial" w:eastAsia="Arial" w:hAnsi="Arial"/>
                <w:sz w:val="18"/>
                <w:szCs w:val="18"/>
                <w:b w:val="1"/>
                <w:bCs w:val="1"/>
                <w:color w:val="auto"/>
                <w:w w:val="98"/>
              </w:rPr>
              <w:t>Amount to be</w:t>
            </w:r>
          </w:p>
        </w:tc>
        <w:tc>
          <w:tcPr>
            <w:tcW w:w="21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Offering Price</w:t>
            </w:r>
          </w:p>
        </w:tc>
        <w:tc>
          <w:tcPr>
            <w:tcW w:w="2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Aggregate</w:t>
            </w:r>
          </w:p>
        </w:tc>
        <w:tc>
          <w:tcPr>
            <w:tcW w:w="19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Registration</w:t>
            </w:r>
          </w:p>
        </w:tc>
        <w:tc>
          <w:tcPr>
            <w:tcW w:w="0" w:type="dxa"/>
            <w:vAlign w:val="bottom"/>
          </w:tcPr>
          <w:p>
            <w:pPr>
              <w:spacing w:after="0"/>
              <w:rPr>
                <w:sz w:val="1"/>
                <w:szCs w:val="1"/>
                <w:color w:val="auto"/>
              </w:rPr>
            </w:pPr>
          </w:p>
        </w:tc>
      </w:tr>
      <w:tr>
        <w:trPr>
          <w:trHeight w:val="277"/>
        </w:trPr>
        <w:tc>
          <w:tcPr>
            <w:tcW w:w="324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b w:val="1"/>
                <w:bCs w:val="1"/>
                <w:color w:val="auto"/>
                <w:w w:val="97"/>
              </w:rPr>
              <w:t>to be Registered</w:t>
            </w:r>
          </w:p>
        </w:tc>
        <w:tc>
          <w:tcPr>
            <w:tcW w:w="1940" w:type="dxa"/>
            <w:vAlign w:val="bottom"/>
            <w:tcBorders>
              <w:bottom w:val="single" w:sz="8" w:color="auto"/>
            </w:tcBorders>
          </w:tcPr>
          <w:p>
            <w:pPr>
              <w:jc w:val="center"/>
              <w:ind w:right="52"/>
              <w:spacing w:after="0" w:line="270" w:lineRule="exact"/>
              <w:rPr>
                <w:sz w:val="20"/>
                <w:szCs w:val="20"/>
                <w:color w:val="auto"/>
              </w:rPr>
            </w:pPr>
            <w:r>
              <w:rPr>
                <w:rFonts w:ascii="Arial" w:cs="Arial" w:eastAsia="Arial" w:hAnsi="Arial"/>
                <w:sz w:val="18"/>
                <w:szCs w:val="18"/>
                <w:b w:val="1"/>
                <w:bCs w:val="1"/>
                <w:color w:val="auto"/>
                <w:w w:val="92"/>
              </w:rPr>
              <w:t>Registered</w:t>
            </w:r>
            <w:r>
              <w:rPr>
                <w:rFonts w:ascii="Arial" w:cs="Arial" w:eastAsia="Arial" w:hAnsi="Arial"/>
                <w:sz w:val="29"/>
                <w:szCs w:val="29"/>
                <w:b w:val="1"/>
                <w:bCs w:val="1"/>
                <w:color w:val="auto"/>
                <w:w w:val="92"/>
                <w:vertAlign w:val="superscript"/>
              </w:rPr>
              <w:t>(1)</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Per Unit</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Offering Price</w:t>
            </w:r>
          </w:p>
        </w:tc>
        <w:tc>
          <w:tcPr>
            <w:tcW w:w="198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7"/>
              </w:rPr>
              <w:t>Fee</w:t>
            </w:r>
            <w:r>
              <w:rPr>
                <w:rFonts w:ascii="Arial" w:cs="Arial" w:eastAsia="Arial" w:hAnsi="Arial"/>
                <w:sz w:val="29"/>
                <w:szCs w:val="29"/>
                <w:b w:val="1"/>
                <w:bCs w:val="1"/>
                <w:color w:val="auto"/>
                <w:w w:val="87"/>
                <w:vertAlign w:val="superscript"/>
              </w:rPr>
              <w:t>(2)</w:t>
            </w:r>
          </w:p>
        </w:tc>
        <w:tc>
          <w:tcPr>
            <w:tcW w:w="0" w:type="dxa"/>
            <w:vAlign w:val="bottom"/>
          </w:tcPr>
          <w:p>
            <w:pPr>
              <w:spacing w:after="0"/>
              <w:rPr>
                <w:sz w:val="1"/>
                <w:szCs w:val="1"/>
                <w:color w:val="auto"/>
              </w:rPr>
            </w:pPr>
          </w:p>
        </w:tc>
      </w:tr>
      <w:tr>
        <w:trPr>
          <w:trHeight w:val="206"/>
        </w:trPr>
        <w:tc>
          <w:tcPr>
            <w:tcW w:w="3240" w:type="dxa"/>
            <w:vAlign w:val="bottom"/>
          </w:tcPr>
          <w:p>
            <w:pPr>
              <w:jc w:val="center"/>
              <w:ind w:right="232"/>
              <w:spacing w:after="0" w:line="206" w:lineRule="exact"/>
              <w:rPr>
                <w:sz w:val="20"/>
                <w:szCs w:val="20"/>
                <w:color w:val="auto"/>
              </w:rPr>
            </w:pPr>
            <w:r>
              <w:rPr>
                <w:rFonts w:ascii="Arial" w:cs="Arial" w:eastAsia="Arial" w:hAnsi="Arial"/>
                <w:sz w:val="18"/>
                <w:szCs w:val="18"/>
                <w:color w:val="auto"/>
                <w:w w:val="97"/>
              </w:rPr>
              <w:t>Common Stock, par value $0.001 per</w:t>
            </w:r>
          </w:p>
        </w:tc>
        <w:tc>
          <w:tcPr>
            <w:tcW w:w="19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share</w:t>
            </w:r>
          </w:p>
        </w:tc>
        <w:tc>
          <w:tcPr>
            <w:tcW w:w="194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7"/>
              </w:rPr>
              <w:t>5,750,000</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$40.00</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$230,000,000</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$26,657</w:t>
            </w:r>
          </w:p>
        </w:tc>
        <w:tc>
          <w:tcPr>
            <w:tcW w:w="0" w:type="dxa"/>
            <w:vAlign w:val="bottom"/>
          </w:tcPr>
          <w:p>
            <w:pPr>
              <w:spacing w:after="0"/>
              <w:rPr>
                <w:sz w:val="1"/>
                <w:szCs w:val="1"/>
                <w:color w:val="auto"/>
              </w:rPr>
            </w:pPr>
          </w:p>
        </w:tc>
      </w:tr>
      <w:tr>
        <w:trPr>
          <w:trHeight w:val="20"/>
        </w:trPr>
        <w:tc>
          <w:tcPr>
            <w:tcW w:w="3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4"/>
          <w:szCs w:val="24"/>
          <w:color w:val="auto"/>
        </w:rPr>
      </w:pPr>
    </w:p>
    <w:p>
      <w:pPr>
        <w:ind w:left="540" w:right="20" w:hanging="532"/>
        <w:spacing w:after="0" w:line="193" w:lineRule="auto"/>
        <w:tabs>
          <w:tab w:leader="none" w:pos="540" w:val="left"/>
        </w:tabs>
        <w:numPr>
          <w:ilvl w:val="0"/>
          <w:numId w:val="1"/>
        </w:numPr>
        <w:rPr>
          <w:rFonts w:ascii="Arial" w:cs="Arial" w:eastAsia="Arial" w:hAnsi="Arial"/>
          <w:sz w:val="22"/>
          <w:szCs w:val="22"/>
          <w:color w:val="auto"/>
          <w:vertAlign w:val="superscript"/>
        </w:rPr>
      </w:pPr>
      <w:r>
        <w:rPr>
          <w:rFonts w:ascii="Arial" w:cs="Arial" w:eastAsia="Arial" w:hAnsi="Arial"/>
          <w:sz w:val="14"/>
          <w:szCs w:val="14"/>
          <w:color w:val="auto"/>
        </w:rPr>
        <w:t>Includes 750,000 shares of common stock, par value $0.001 per share, which may be purchased by the underwriters upon exercise of the underwriters' option to purchase additional shares.</w:t>
      </w:r>
    </w:p>
    <w:p>
      <w:pPr>
        <w:spacing w:after="0" w:line="72"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1"/>
        </w:numPr>
        <w:rPr>
          <w:rFonts w:ascii="Arial" w:cs="Arial" w:eastAsia="Arial" w:hAnsi="Arial"/>
          <w:sz w:val="22"/>
          <w:szCs w:val="22"/>
          <w:color w:val="auto"/>
          <w:vertAlign w:val="superscript"/>
        </w:rPr>
      </w:pPr>
      <w:r>
        <w:rPr>
          <w:rFonts w:ascii="Arial" w:cs="Arial" w:eastAsia="Arial" w:hAnsi="Arial"/>
          <w:sz w:val="14"/>
          <w:szCs w:val="14"/>
          <w:color w:val="auto"/>
        </w:rPr>
        <w:t>Calculated in accordance with Rule 456(b) and 457(r) of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333-216573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 to Prospectus dated March 9, 2017.</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144780</wp:posOffset>
            </wp:positionV>
            <wp:extent cx="3498850" cy="1183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98850" cy="118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Blueprint Medicines Corporation</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Common Stock</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selling 5,000,000 shares of our common stock.</w:t>
      </w:r>
    </w:p>
    <w:p>
      <w:pPr>
        <w:spacing w:after="0" w:line="212" w:lineRule="exact"/>
        <w:rPr>
          <w:sz w:val="20"/>
          <w:szCs w:val="20"/>
          <w:color w:val="auto"/>
        </w:rPr>
      </w:pPr>
    </w:p>
    <w:p>
      <w:pPr>
        <w:ind w:right="240" w:firstLine="488"/>
        <w:spacing w:after="0" w:line="239" w:lineRule="auto"/>
        <w:rPr>
          <w:sz w:val="20"/>
          <w:szCs w:val="20"/>
          <w:color w:val="auto"/>
        </w:rPr>
      </w:pPr>
      <w:r>
        <w:rPr>
          <w:rFonts w:ascii="Arial" w:cs="Arial" w:eastAsia="Arial" w:hAnsi="Arial"/>
          <w:sz w:val="18"/>
          <w:szCs w:val="18"/>
          <w:color w:val="auto"/>
        </w:rPr>
        <w:t>Our common stock is listed on The NASDAQ Global Select Market under the symbol "BPMC". The last reported sale price of our common stock on The NASDAQ Global Select Market on March 29, 2017 was $41.24 per share.</w:t>
      </w:r>
    </w:p>
    <w:p>
      <w:pPr>
        <w:spacing w:after="0" w:line="209" w:lineRule="exact"/>
        <w:rPr>
          <w:sz w:val="20"/>
          <w:szCs w:val="20"/>
          <w:color w:val="auto"/>
        </w:rPr>
      </w:pPr>
    </w:p>
    <w:p>
      <w:pPr>
        <w:ind w:right="40" w:firstLine="488"/>
        <w:spacing w:after="0" w:line="239"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have elected to comply with certain reduced public company reporting requirements for this prospectus supplement and future filings.</w:t>
      </w:r>
    </w:p>
    <w:p>
      <w:pPr>
        <w:spacing w:after="0" w:line="191" w:lineRule="exact"/>
        <w:rPr>
          <w:sz w:val="20"/>
          <w:szCs w:val="20"/>
          <w:color w:val="auto"/>
        </w:rPr>
      </w:pPr>
    </w:p>
    <w:p>
      <w:pPr>
        <w:ind w:right="100" w:firstLine="488"/>
        <w:spacing w:after="0" w:line="247" w:lineRule="auto"/>
        <w:rPr>
          <w:sz w:val="20"/>
          <w:szCs w:val="20"/>
          <w:color w:val="auto"/>
        </w:rPr>
      </w:pPr>
      <w:r>
        <w:rPr>
          <w:rFonts w:ascii="Arial" w:cs="Arial" w:eastAsia="Arial" w:hAnsi="Arial"/>
          <w:sz w:val="18"/>
          <w:szCs w:val="18"/>
          <w:i w:val="1"/>
          <w:iCs w:val="1"/>
          <w:color w:val="auto"/>
        </w:rPr>
        <w:t>Investing in our common stock involves a high degree of risk. See "Risk Factors" beginning on page S-12 of this prospectus supplement, as well as in the documents incorporated or deemed to be incorporated by reference into this prospectus supplement and the accompanying prospectus, for a discussion of the factors you should carefully consider before deciding to purchase our common stock.</w:t>
      </w:r>
    </w:p>
    <w:p>
      <w:pPr>
        <w:spacing w:after="0" w:line="181" w:lineRule="exact"/>
        <w:rPr>
          <w:sz w:val="20"/>
          <w:szCs w:val="20"/>
          <w:color w:val="auto"/>
        </w:rPr>
      </w:pPr>
    </w:p>
    <w:p>
      <w:pPr>
        <w:ind w:right="140" w:firstLine="488"/>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adequacy or accuracy of this prospectus supplement or the accompanying prospectus. Any representation to the contrary is a criminal offense.</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9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Per share</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Total</w:t>
            </w:r>
          </w:p>
        </w:tc>
      </w:tr>
      <w:tr>
        <w:trPr>
          <w:trHeight w:val="206"/>
        </w:trPr>
        <w:tc>
          <w:tcPr>
            <w:tcW w:w="5780" w:type="dxa"/>
            <w:vAlign w:val="bottom"/>
            <w:gridSpan w:val="2"/>
          </w:tcPr>
          <w:p>
            <w:pPr>
              <w:spacing w:after="0" w:line="206" w:lineRule="exact"/>
              <w:rPr>
                <w:sz w:val="20"/>
                <w:szCs w:val="20"/>
                <w:color w:val="auto"/>
              </w:rPr>
            </w:pPr>
            <w:r>
              <w:rPr>
                <w:rFonts w:ascii="Arial" w:cs="Arial" w:eastAsia="Arial" w:hAnsi="Arial"/>
                <w:sz w:val="18"/>
                <w:szCs w:val="18"/>
                <w:color w:val="auto"/>
              </w:rPr>
              <w:t>Public offering price</w:t>
            </w:r>
          </w:p>
        </w:tc>
        <w:tc>
          <w:tcPr>
            <w:tcW w:w="980" w:type="dxa"/>
            <w:vAlign w:val="bottom"/>
            <w:gridSpan w:val="2"/>
          </w:tcPr>
          <w:p>
            <w:pPr>
              <w:jc w:val="right"/>
              <w:ind w:right="40"/>
              <w:spacing w:after="0" w:line="20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6" w:lineRule="exact"/>
              <w:rPr>
                <w:sz w:val="20"/>
                <w:szCs w:val="20"/>
                <w:color w:val="auto"/>
              </w:rPr>
            </w:pPr>
            <w:r>
              <w:rPr>
                <w:rFonts w:ascii="Arial" w:cs="Arial" w:eastAsia="Arial" w:hAnsi="Arial"/>
                <w:sz w:val="18"/>
                <w:szCs w:val="18"/>
                <w:color w:val="auto"/>
              </w:rPr>
              <w:t>40.00</w:t>
            </w:r>
          </w:p>
        </w:tc>
        <w:tc>
          <w:tcPr>
            <w:tcW w:w="340" w:type="dxa"/>
            <w:vAlign w:val="bottom"/>
            <w:gridSpan w:val="2"/>
          </w:tcPr>
          <w:p>
            <w:pPr>
              <w:jc w:val="right"/>
              <w:ind w:right="80"/>
              <w:spacing w:after="0" w:line="20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6" w:lineRule="exact"/>
              <w:rPr>
                <w:sz w:val="20"/>
                <w:szCs w:val="20"/>
                <w:color w:val="auto"/>
              </w:rPr>
            </w:pPr>
            <w:r>
              <w:rPr>
                <w:rFonts w:ascii="Arial" w:cs="Arial" w:eastAsia="Arial" w:hAnsi="Arial"/>
                <w:sz w:val="18"/>
                <w:szCs w:val="18"/>
                <w:color w:val="auto"/>
              </w:rPr>
              <w:t>200,000,000</w:t>
            </w:r>
          </w:p>
        </w:tc>
      </w:tr>
      <w:tr>
        <w:trPr>
          <w:trHeight w:val="203"/>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Underwriting discount(1)</w:t>
            </w: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2.40</w:t>
            </w:r>
          </w:p>
        </w:tc>
        <w:tc>
          <w:tcPr>
            <w:tcW w:w="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12,000,000</w:t>
            </w:r>
          </w:p>
        </w:tc>
      </w:tr>
      <w:tr>
        <w:trPr>
          <w:trHeight w:val="211"/>
        </w:trPr>
        <w:tc>
          <w:tcPr>
            <w:tcW w:w="5780" w:type="dxa"/>
            <w:vAlign w:val="bottom"/>
            <w:gridSpan w:val="2"/>
          </w:tcPr>
          <w:p>
            <w:pPr>
              <w:spacing w:after="0"/>
              <w:rPr>
                <w:sz w:val="20"/>
                <w:szCs w:val="20"/>
                <w:color w:val="auto"/>
              </w:rPr>
            </w:pPr>
            <w:r>
              <w:rPr>
                <w:rFonts w:ascii="Arial" w:cs="Arial" w:eastAsia="Arial" w:hAnsi="Arial"/>
                <w:sz w:val="18"/>
                <w:szCs w:val="18"/>
                <w:color w:val="auto"/>
              </w:rPr>
              <w:t>Proceeds, before expenses, to Blueprint Medicines Corporation</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37.60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188,000,000</w:t>
            </w:r>
          </w:p>
        </w:tc>
      </w:tr>
      <w:tr>
        <w:trPr>
          <w:trHeight w:val="97"/>
        </w:trPr>
        <w:tc>
          <w:tcPr>
            <w:tcW w:w="940" w:type="dxa"/>
            <w:vAlign w:val="bottom"/>
            <w:tcBorders>
              <w:bottom w:val="single" w:sz="8" w:color="auto"/>
            </w:tcBorders>
          </w:tcPr>
          <w:p>
            <w:pPr>
              <w:spacing w:after="0"/>
              <w:rPr>
                <w:sz w:val="8"/>
                <w:szCs w:val="8"/>
                <w:color w:val="auto"/>
              </w:rPr>
            </w:pPr>
          </w:p>
        </w:tc>
        <w:tc>
          <w:tcPr>
            <w:tcW w:w="48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r>
    </w:tbl>
    <w:p>
      <w:pPr>
        <w:spacing w:after="0" w:line="219" w:lineRule="exact"/>
        <w:rPr>
          <w:sz w:val="20"/>
          <w:szCs w:val="20"/>
          <w:color w:val="auto"/>
        </w:rPr>
      </w:pPr>
    </w:p>
    <w:p>
      <w:pPr>
        <w:ind w:left="1680" w:right="320" w:hanging="531"/>
        <w:spacing w:after="0" w:line="239" w:lineRule="auto"/>
        <w:tabs>
          <w:tab w:leader="none" w:pos="1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refer you to "Underwriting" beginning on page S-21 of this prospectus supplement for additional information regarding underwriter compensation.</w:t>
      </w:r>
    </w:p>
    <w:p>
      <w:pPr>
        <w:spacing w:after="0" w:line="209" w:lineRule="exact"/>
        <w:rPr>
          <w:sz w:val="20"/>
          <w:szCs w:val="20"/>
          <w:color w:val="auto"/>
        </w:rPr>
      </w:pPr>
    </w:p>
    <w:p>
      <w:pPr>
        <w:ind w:right="600" w:firstLine="488"/>
        <w:spacing w:after="0" w:line="239"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supplement to purchase up to an additional 750,000 shares of our common stock at the public offering price less the underwriting discounts and commissions.</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underwriters expect to deliver the shares against payment in New York, New York on or about April 4, 2017.</w:t>
      </w:r>
    </w:p>
    <w:p>
      <w:pPr>
        <w:spacing w:after="0" w:line="175" w:lineRule="exact"/>
        <w:rPr>
          <w:sz w:val="20"/>
          <w:szCs w:val="20"/>
          <w:color w:val="auto"/>
        </w:rPr>
      </w:pPr>
    </w:p>
    <w:p>
      <w:pPr>
        <w:ind w:left="1140"/>
        <w:spacing w:after="0"/>
        <w:tabs>
          <w:tab w:leader="none" w:pos="4920" w:val="left"/>
          <w:tab w:leader="none" w:pos="7900" w:val="left"/>
        </w:tabs>
        <w:rPr>
          <w:sz w:val="20"/>
          <w:szCs w:val="20"/>
          <w:color w:val="auto"/>
        </w:rPr>
      </w:pPr>
      <w:r>
        <w:rPr>
          <w:rFonts w:ascii="Arial" w:cs="Arial" w:eastAsia="Arial" w:hAnsi="Arial"/>
          <w:sz w:val="24"/>
          <w:szCs w:val="24"/>
          <w:b w:val="1"/>
          <w:bCs w:val="1"/>
          <w:color w:val="auto"/>
        </w:rPr>
        <w:t>Goldman, Sachs &amp; Co.</w:t>
      </w:r>
      <w:r>
        <w:rPr>
          <w:sz w:val="20"/>
          <w:szCs w:val="20"/>
          <w:color w:val="auto"/>
        </w:rPr>
        <w:tab/>
      </w:r>
      <w:r>
        <w:rPr>
          <w:rFonts w:ascii="Arial" w:cs="Arial" w:eastAsia="Arial" w:hAnsi="Arial"/>
          <w:sz w:val="24"/>
          <w:szCs w:val="24"/>
          <w:b w:val="1"/>
          <w:bCs w:val="1"/>
          <w:color w:val="auto"/>
        </w:rPr>
        <w:t>Morgan Stanley</w:t>
      </w:r>
      <w:r>
        <w:rPr>
          <w:sz w:val="20"/>
          <w:szCs w:val="20"/>
          <w:color w:val="auto"/>
        </w:rPr>
        <w:tab/>
      </w:r>
      <w:r>
        <w:rPr>
          <w:rFonts w:ascii="Arial" w:cs="Arial" w:eastAsia="Arial" w:hAnsi="Arial"/>
          <w:sz w:val="24"/>
          <w:szCs w:val="24"/>
          <w:b w:val="1"/>
          <w:bCs w:val="1"/>
          <w:color w:val="auto"/>
        </w:rPr>
        <w:t>Cowen and Company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Raymond James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Prospectus Supplement dated March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60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09"/>
        </w:trPr>
        <w:tc>
          <w:tcPr>
            <w:tcW w:w="1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gridSpan w:val="6"/>
          </w:tcPr>
          <w:p>
            <w:pPr>
              <w:jc w:val="center"/>
              <w:ind w:right="2860"/>
              <w:spacing w:after="0"/>
              <w:rPr>
                <w:sz w:val="20"/>
                <w:szCs w:val="20"/>
                <w:color w:val="auto"/>
              </w:rPr>
            </w:pPr>
            <w:r>
              <w:rPr>
                <w:rFonts w:ascii="Arial" w:cs="Arial" w:eastAsia="Arial" w:hAnsi="Arial"/>
                <w:sz w:val="18"/>
                <w:szCs w:val="18"/>
                <w:b w:val="1"/>
                <w:bCs w:val="1"/>
                <w:color w:val="auto"/>
                <w:w w:val="96"/>
              </w:rPr>
              <w:t>TABLE OF CONTENTS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3"/>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40" w:type="dxa"/>
            <w:vAlign w:val="bottom"/>
            <w:gridSpan w:val="9"/>
          </w:tcPr>
          <w:p>
            <w:pPr>
              <w:jc w:val="center"/>
              <w:ind w:right="2480"/>
              <w:spacing w:after="0"/>
              <w:rPr>
                <w:sz w:val="20"/>
                <w:szCs w:val="20"/>
                <w:color w:val="auto"/>
              </w:rPr>
            </w:pPr>
            <w:r>
              <w:rPr>
                <w:rFonts w:ascii="Arial" w:cs="Arial" w:eastAsia="Arial" w:hAnsi="Arial"/>
                <w:sz w:val="18"/>
                <w:szCs w:val="18"/>
                <w:b w:val="1"/>
                <w:bCs w:val="1"/>
                <w:color w:val="auto"/>
                <w:w w:val="97"/>
              </w:rPr>
              <w:t>PROSPECTUS SUPPLEMENT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8"/>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Page</w:t>
            </w:r>
          </w:p>
        </w:tc>
      </w:tr>
      <w:tr>
        <w:trPr>
          <w:trHeight w:val="176"/>
        </w:trPr>
        <w:tc>
          <w:tcPr>
            <w:tcW w:w="1140" w:type="dxa"/>
            <w:vAlign w:val="bottom"/>
          </w:tcPr>
          <w:p>
            <w:pPr>
              <w:spacing w:after="0"/>
              <w:rPr>
                <w:sz w:val="15"/>
                <w:szCs w:val="15"/>
                <w:color w:val="auto"/>
              </w:rPr>
            </w:pPr>
          </w:p>
        </w:tc>
        <w:tc>
          <w:tcPr>
            <w:tcW w:w="8460" w:type="dxa"/>
            <w:vAlign w:val="bottom"/>
            <w:gridSpan w:val="24"/>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ABOUT THIS PROSPECTUS SUPPLEMENT</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S-1</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WHERE YOU CAN FIND MORE INFORMATION</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S-2</w:t>
              </w:r>
            </w:hyperlink>
          </w:p>
        </w:tc>
      </w:tr>
      <w:tr>
        <w:trPr>
          <w:trHeight w:val="183"/>
        </w:trPr>
        <w:tc>
          <w:tcPr>
            <w:tcW w:w="1140" w:type="dxa"/>
            <w:vAlign w:val="bottom"/>
          </w:tcPr>
          <w:p>
            <w:pPr>
              <w:spacing w:after="0"/>
              <w:rPr>
                <w:sz w:val="15"/>
                <w:szCs w:val="15"/>
                <w:color w:val="auto"/>
              </w:rPr>
            </w:pPr>
          </w:p>
        </w:tc>
        <w:tc>
          <w:tcPr>
            <w:tcW w:w="290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INCORPORATION BY REFERENCE</w:t>
              </w:r>
            </w:hyperlink>
          </w:p>
        </w:tc>
        <w:tc>
          <w:tcPr>
            <w:tcW w:w="900" w:type="dxa"/>
            <w:vAlign w:val="bottom"/>
            <w:tcBorders>
              <w:top w:val="single" w:sz="8" w:color="0000EE"/>
            </w:tcBorders>
            <w:gridSpan w:val="7"/>
          </w:tcPr>
          <w:p>
            <w:pPr>
              <w:spacing w:after="0"/>
              <w:rPr>
                <w:sz w:val="15"/>
                <w:szCs w:val="15"/>
                <w:color w:val="auto"/>
              </w:rPr>
            </w:pPr>
          </w:p>
        </w:tc>
        <w:tc>
          <w:tcPr>
            <w:tcW w:w="4660" w:type="dxa"/>
            <w:vAlign w:val="bottom"/>
            <w:gridSpan w:val="5"/>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0000EE"/>
              <w:bottom w:val="single" w:sz="8" w:color="0000EE"/>
            </w:tcBorders>
            <w:gridSpan w:val="3"/>
          </w:tcPr>
          <w:p>
            <w:pPr>
              <w:jc w:val="right"/>
              <w:spacing w:after="0" w:line="182"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S-2</w:t>
              </w:r>
            </w:hyperlink>
          </w:p>
        </w:tc>
      </w:tr>
      <w:tr>
        <w:trPr>
          <w:trHeight w:val="183"/>
        </w:trPr>
        <w:tc>
          <w:tcPr>
            <w:tcW w:w="1140" w:type="dxa"/>
            <w:vAlign w:val="bottom"/>
          </w:tcPr>
          <w:p>
            <w:pPr>
              <w:spacing w:after="0"/>
              <w:rPr>
                <w:sz w:val="15"/>
                <w:szCs w:val="15"/>
                <w:color w:val="auto"/>
              </w:rPr>
            </w:pPr>
          </w:p>
        </w:tc>
        <w:tc>
          <w:tcPr>
            <w:tcW w:w="5820" w:type="dxa"/>
            <w:vAlign w:val="bottom"/>
            <w:tcBorders>
              <w:bottom w:val="single" w:sz="8" w:color="0000EE"/>
            </w:tcBorders>
            <w:gridSpan w:val="22"/>
          </w:tcPr>
          <w:p>
            <w:pPr>
              <w:spacing w:after="0" w:line="182" w:lineRule="exact"/>
              <w:rPr>
                <w:rFonts w:ascii="Arial" w:cs="Arial" w:eastAsia="Arial" w:hAnsi="Arial"/>
                <w:sz w:val="18"/>
                <w:szCs w:val="18"/>
                <w:color w:val="0000EE"/>
                <w:w w:val="96"/>
              </w:rPr>
            </w:pPr>
            <w:hyperlink w:anchor="page7">
              <w:r>
                <w:rPr>
                  <w:rFonts w:ascii="Arial" w:cs="Arial" w:eastAsia="Arial" w:hAnsi="Arial"/>
                  <w:sz w:val="18"/>
                  <w:szCs w:val="18"/>
                  <w:color w:val="0000EE"/>
                  <w:w w:val="96"/>
                </w:rPr>
                <w:t>CAUTIONARY NOTE REGARDING FORWARD-LOOKING STATEMENTS</w:t>
              </w:r>
            </w:hyperlink>
          </w:p>
        </w:tc>
        <w:tc>
          <w:tcPr>
            <w:tcW w:w="26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0000EE"/>
            </w:tcBorders>
            <w:gridSpan w:val="3"/>
          </w:tcPr>
          <w:p>
            <w:pPr>
              <w:jc w:val="right"/>
              <w:spacing w:after="0" w:line="182"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S-4</w:t>
              </w:r>
            </w:hyperlink>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PROSPECTUS SUPPLEMENT SUMMARY</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S-6</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32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13">
              <w:r>
                <w:rPr>
                  <w:rFonts w:ascii="Arial" w:cs="Arial" w:eastAsia="Arial" w:hAnsi="Arial"/>
                  <w:sz w:val="18"/>
                  <w:szCs w:val="18"/>
                  <w:color w:val="0000EE"/>
                  <w:w w:val="96"/>
                </w:rPr>
                <w:t>THE OFFERING</w:t>
              </w:r>
            </w:hyperlink>
          </w:p>
        </w:tc>
        <w:tc>
          <w:tcPr>
            <w:tcW w:w="2040" w:type="dxa"/>
            <w:vAlign w:val="bottom"/>
            <w:gridSpan w:val="12"/>
          </w:tcPr>
          <w:p>
            <w:pPr>
              <w:spacing w:after="0"/>
              <w:rPr>
                <w:sz w:val="15"/>
                <w:szCs w:val="15"/>
                <w:color w:val="auto"/>
              </w:rPr>
            </w:pPr>
          </w:p>
        </w:tc>
        <w:tc>
          <w:tcPr>
            <w:tcW w:w="5100" w:type="dxa"/>
            <w:vAlign w:val="bottom"/>
            <w:gridSpan w:val="8"/>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13">
              <w:r>
                <w:rPr>
                  <w:rFonts w:ascii="Arial" w:cs="Arial" w:eastAsia="Arial" w:hAnsi="Arial"/>
                  <w:sz w:val="18"/>
                  <w:szCs w:val="18"/>
                  <w:color w:val="0000EE"/>
                  <w:w w:val="94"/>
                </w:rPr>
                <w:t>S-10</w:t>
              </w:r>
            </w:hyperlink>
          </w:p>
        </w:tc>
      </w:tr>
      <w:tr>
        <w:trPr>
          <w:trHeight w:val="183"/>
        </w:trPr>
        <w:tc>
          <w:tcPr>
            <w:tcW w:w="1140" w:type="dxa"/>
            <w:vAlign w:val="bottom"/>
          </w:tcPr>
          <w:p>
            <w:pPr>
              <w:spacing w:after="0"/>
              <w:rPr>
                <w:sz w:val="15"/>
                <w:szCs w:val="15"/>
                <w:color w:val="auto"/>
              </w:rPr>
            </w:pPr>
          </w:p>
        </w:tc>
        <w:tc>
          <w:tcPr>
            <w:tcW w:w="1300" w:type="dxa"/>
            <w:vAlign w:val="bottom"/>
            <w:tcBorders>
              <w:bottom w:val="single" w:sz="8" w:color="0000EE"/>
            </w:tcBorders>
            <w:gridSpan w:val="3"/>
          </w:tcPr>
          <w:p>
            <w:pPr>
              <w:spacing w:after="0" w:line="182" w:lineRule="exact"/>
              <w:rPr>
                <w:rFonts w:ascii="Arial" w:cs="Arial" w:eastAsia="Arial" w:hAnsi="Arial"/>
                <w:sz w:val="18"/>
                <w:szCs w:val="18"/>
                <w:color w:val="0000EE"/>
                <w:w w:val="96"/>
              </w:rPr>
            </w:pPr>
            <w:hyperlink w:anchor="page15">
              <w:r>
                <w:rPr>
                  <w:rFonts w:ascii="Arial" w:cs="Arial" w:eastAsia="Arial" w:hAnsi="Arial"/>
                  <w:sz w:val="18"/>
                  <w:szCs w:val="18"/>
                  <w:color w:val="0000EE"/>
                  <w:w w:val="96"/>
                </w:rPr>
                <w:t>RISK FACTORS</w:t>
              </w:r>
            </w:hyperlink>
          </w:p>
        </w:tc>
        <w:tc>
          <w:tcPr>
            <w:tcW w:w="7160" w:type="dxa"/>
            <w:vAlign w:val="bottom"/>
            <w:gridSpan w:val="21"/>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S-12</w:t>
              </w:r>
            </w:hyperlink>
          </w:p>
        </w:tc>
      </w:tr>
      <w:tr>
        <w:trPr>
          <w:trHeight w:val="183"/>
        </w:trPr>
        <w:tc>
          <w:tcPr>
            <w:tcW w:w="1140" w:type="dxa"/>
            <w:vAlign w:val="bottom"/>
          </w:tcPr>
          <w:p>
            <w:pPr>
              <w:spacing w:after="0"/>
              <w:rPr>
                <w:sz w:val="15"/>
                <w:szCs w:val="15"/>
                <w:color w:val="auto"/>
              </w:rPr>
            </w:pPr>
          </w:p>
        </w:tc>
        <w:tc>
          <w:tcPr>
            <w:tcW w:w="1700" w:type="dxa"/>
            <w:vAlign w:val="bottom"/>
            <w:tcBorders>
              <w:bottom w:val="single" w:sz="8" w:color="0000EE"/>
            </w:tcBorders>
            <w:gridSpan w:val="8"/>
          </w:tcPr>
          <w:p>
            <w:pPr>
              <w:spacing w:after="0" w:line="182" w:lineRule="exact"/>
              <w:rPr>
                <w:rFonts w:ascii="Arial" w:cs="Arial" w:eastAsia="Arial" w:hAnsi="Arial"/>
                <w:sz w:val="18"/>
                <w:szCs w:val="18"/>
                <w:color w:val="0000EE"/>
                <w:w w:val="97"/>
              </w:rPr>
            </w:pPr>
            <w:hyperlink w:anchor="page19">
              <w:r>
                <w:rPr>
                  <w:rFonts w:ascii="Arial" w:cs="Arial" w:eastAsia="Arial" w:hAnsi="Arial"/>
                  <w:sz w:val="18"/>
                  <w:szCs w:val="18"/>
                  <w:color w:val="0000EE"/>
                  <w:w w:val="97"/>
                </w:rPr>
                <w:t>USE OF PROCEEDS</w:t>
              </w:r>
            </w:hyperlink>
          </w:p>
        </w:tc>
        <w:tc>
          <w:tcPr>
            <w:tcW w:w="6760" w:type="dxa"/>
            <w:vAlign w:val="bottom"/>
            <w:gridSpan w:val="16"/>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S-16</w:t>
              </w:r>
            </w:hyperlink>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DILUTION</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82"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S-17</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PRICE RANGE OF COMMON STOCK</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82" w:lineRule="exact"/>
              <w:rPr>
                <w:rFonts w:ascii="Arial" w:cs="Arial" w:eastAsia="Arial" w:hAnsi="Arial"/>
                <w:sz w:val="18"/>
                <w:szCs w:val="18"/>
                <w:color w:val="0000EE"/>
                <w:w w:val="94"/>
              </w:rPr>
            </w:pPr>
            <w:hyperlink w:anchor="page22">
              <w:r>
                <w:rPr>
                  <w:rFonts w:ascii="Arial" w:cs="Arial" w:eastAsia="Arial" w:hAnsi="Arial"/>
                  <w:sz w:val="18"/>
                  <w:szCs w:val="18"/>
                  <w:color w:val="0000EE"/>
                  <w:w w:val="94"/>
                </w:rPr>
                <w:t>S-19</w:t>
              </w:r>
            </w:hyperlink>
          </w:p>
        </w:tc>
      </w:tr>
      <w:tr>
        <w:trPr>
          <w:trHeight w:val="183"/>
        </w:trPr>
        <w:tc>
          <w:tcPr>
            <w:tcW w:w="1140" w:type="dxa"/>
            <w:vAlign w:val="bottom"/>
          </w:tcPr>
          <w:p>
            <w:pPr>
              <w:spacing w:after="0"/>
              <w:rPr>
                <w:sz w:val="15"/>
                <w:szCs w:val="15"/>
                <w:color w:val="auto"/>
              </w:rPr>
            </w:pPr>
          </w:p>
        </w:tc>
        <w:tc>
          <w:tcPr>
            <w:tcW w:w="302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DIVIDEND POLICY</w:t>
              </w:r>
            </w:hyperlink>
          </w:p>
        </w:tc>
        <w:tc>
          <w:tcPr>
            <w:tcW w:w="5440" w:type="dxa"/>
            <w:vAlign w:val="bottom"/>
            <w:gridSpan w:val="10"/>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94"/>
              </w:rPr>
            </w:pPr>
            <w:hyperlink w:anchor="page23">
              <w:r>
                <w:rPr>
                  <w:rFonts w:ascii="Arial" w:cs="Arial" w:eastAsia="Arial" w:hAnsi="Arial"/>
                  <w:sz w:val="18"/>
                  <w:szCs w:val="18"/>
                  <w:color w:val="0000EE"/>
                  <w:w w:val="94"/>
                </w:rPr>
                <w:t>S-20</w:t>
              </w:r>
            </w:hyperlink>
          </w:p>
        </w:tc>
      </w:tr>
      <w:tr>
        <w:trPr>
          <w:trHeight w:val="183"/>
        </w:trPr>
        <w:tc>
          <w:tcPr>
            <w:tcW w:w="1140" w:type="dxa"/>
            <w:vAlign w:val="bottom"/>
          </w:tcPr>
          <w:p>
            <w:pPr>
              <w:spacing w:after="0"/>
              <w:rPr>
                <w:sz w:val="15"/>
                <w:szCs w:val="15"/>
                <w:color w:val="auto"/>
              </w:rPr>
            </w:pPr>
          </w:p>
        </w:tc>
        <w:tc>
          <w:tcPr>
            <w:tcW w:w="14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7"/>
              </w:rPr>
            </w:pPr>
            <w:hyperlink w:anchor="page24">
              <w:r>
                <w:rPr>
                  <w:rFonts w:ascii="Arial" w:cs="Arial" w:eastAsia="Arial" w:hAnsi="Arial"/>
                  <w:sz w:val="18"/>
                  <w:szCs w:val="18"/>
                  <w:color w:val="0000EE"/>
                  <w:w w:val="97"/>
                </w:rPr>
                <w:t>UNDERWRITING</w:t>
              </w:r>
            </w:hyperlink>
          </w:p>
        </w:tc>
        <w:tc>
          <w:tcPr>
            <w:tcW w:w="140" w:type="dxa"/>
            <w:vAlign w:val="bottom"/>
            <w:tcBorders>
              <w:top w:val="single" w:sz="8" w:color="0000EE"/>
            </w:tcBorders>
            <w:gridSpan w:val="2"/>
          </w:tcPr>
          <w:p>
            <w:pPr>
              <w:spacing w:after="0"/>
              <w:rPr>
                <w:sz w:val="15"/>
                <w:szCs w:val="15"/>
                <w:color w:val="auto"/>
              </w:rPr>
            </w:pPr>
          </w:p>
        </w:tc>
        <w:tc>
          <w:tcPr>
            <w:tcW w:w="6920" w:type="dxa"/>
            <w:vAlign w:val="bottom"/>
            <w:gridSpan w:val="17"/>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bottom w:val="single" w:sz="8" w:color="0000EE"/>
            </w:tcBorders>
            <w:gridSpan w:val="4"/>
          </w:tcPr>
          <w:p>
            <w:pPr>
              <w:jc w:val="right"/>
              <w:spacing w:after="0" w:line="182"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S-21</w:t>
              </w:r>
            </w:hyperlink>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MATERIAL U.S. FEDERAL INCOME TAX CONSIDERATIONS FOR NON-U.S. HOLDERS</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82"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S-28</w:t>
              </w:r>
            </w:hyperlink>
          </w:p>
        </w:tc>
      </w:tr>
      <w:tr>
        <w:trPr>
          <w:trHeight w:val="183"/>
        </w:trPr>
        <w:tc>
          <w:tcPr>
            <w:tcW w:w="1140" w:type="dxa"/>
            <w:vAlign w:val="bottom"/>
          </w:tcPr>
          <w:p>
            <w:pPr>
              <w:spacing w:after="0"/>
              <w:rPr>
                <w:sz w:val="15"/>
                <w:szCs w:val="15"/>
                <w:color w:val="auto"/>
              </w:rPr>
            </w:pPr>
          </w:p>
        </w:tc>
        <w:tc>
          <w:tcPr>
            <w:tcW w:w="702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LEGAL MATTERS</w:t>
              </w:r>
            </w:hyperlink>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S-32</w:t>
              </w:r>
            </w:hyperlink>
          </w:p>
        </w:tc>
      </w:tr>
      <w:tr>
        <w:trPr>
          <w:trHeight w:val="183"/>
        </w:trPr>
        <w:tc>
          <w:tcPr>
            <w:tcW w:w="1140" w:type="dxa"/>
            <w:vAlign w:val="bottom"/>
          </w:tcPr>
          <w:p>
            <w:pPr>
              <w:spacing w:after="0"/>
              <w:rPr>
                <w:sz w:val="15"/>
                <w:szCs w:val="15"/>
                <w:color w:val="auto"/>
              </w:rPr>
            </w:pPr>
          </w:p>
        </w:tc>
        <w:tc>
          <w:tcPr>
            <w:tcW w:w="14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EXPERTS</w:t>
              </w:r>
            </w:hyperlink>
          </w:p>
        </w:tc>
        <w:tc>
          <w:tcPr>
            <w:tcW w:w="7020" w:type="dxa"/>
            <w:vAlign w:val="bottom"/>
            <w:gridSpan w:val="18"/>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S-32</w:t>
              </w:r>
            </w:hyperlink>
          </w:p>
        </w:tc>
      </w:tr>
      <w:tr>
        <w:trPr>
          <w:trHeight w:val="640"/>
        </w:trPr>
        <w:tc>
          <w:tcPr>
            <w:tcW w:w="11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5"/>
          </w:tcPr>
          <w:p>
            <w:pPr>
              <w:jc w:val="center"/>
              <w:ind w:right="3160"/>
              <w:spacing w:after="0"/>
              <w:rPr>
                <w:sz w:val="20"/>
                <w:szCs w:val="20"/>
                <w:color w:val="auto"/>
              </w:rPr>
            </w:pPr>
            <w:r>
              <w:rPr>
                <w:rFonts w:ascii="Arial" w:cs="Arial" w:eastAsia="Arial" w:hAnsi="Arial"/>
                <w:sz w:val="18"/>
                <w:szCs w:val="18"/>
                <w:b w:val="1"/>
                <w:bCs w:val="1"/>
                <w:color w:val="auto"/>
                <w:w w:val="98"/>
              </w:rPr>
              <w:t>PROSPECTUS</w:t>
            </w:r>
          </w:p>
        </w:tc>
        <w:tc>
          <w:tcPr>
            <w:tcW w:w="1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428"/>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Page</w:t>
            </w:r>
          </w:p>
        </w:tc>
      </w:tr>
      <w:tr>
        <w:trPr>
          <w:trHeight w:val="176"/>
        </w:trPr>
        <w:tc>
          <w:tcPr>
            <w:tcW w:w="1140" w:type="dxa"/>
            <w:vAlign w:val="bottom"/>
          </w:tcPr>
          <w:p>
            <w:pPr>
              <w:spacing w:after="0"/>
              <w:rPr>
                <w:sz w:val="15"/>
                <w:szCs w:val="15"/>
                <w:color w:val="auto"/>
              </w:rPr>
            </w:pPr>
          </w:p>
        </w:tc>
        <w:tc>
          <w:tcPr>
            <w:tcW w:w="8460" w:type="dxa"/>
            <w:vAlign w:val="bottom"/>
            <w:gridSpan w:val="24"/>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ABOUT THIS PROSPECTUS</w:t>
              </w:r>
            </w:hyperlink>
          </w:p>
        </w:tc>
        <w:tc>
          <w:tcPr>
            <w:tcW w:w="520" w:type="dxa"/>
            <w:vAlign w:val="bottom"/>
            <w:gridSpan w:val="5"/>
          </w:tcPr>
          <w:p>
            <w:pPr>
              <w:jc w:val="right"/>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300" w:type="dxa"/>
            <w:vAlign w:val="bottom"/>
            <w:gridSpan w:val="3"/>
          </w:tcPr>
          <w:p>
            <w:pPr>
              <w:spacing w:after="0" w:line="182" w:lineRule="exact"/>
              <w:rPr>
                <w:rFonts w:ascii="Arial" w:cs="Arial" w:eastAsia="Arial" w:hAnsi="Arial"/>
                <w:sz w:val="18"/>
                <w:szCs w:val="18"/>
                <w:color w:val="0000EE"/>
                <w:w w:val="96"/>
              </w:rPr>
            </w:pPr>
            <w:hyperlink w:anchor="page39">
              <w:r>
                <w:rPr>
                  <w:rFonts w:ascii="Arial" w:cs="Arial" w:eastAsia="Arial" w:hAnsi="Arial"/>
                  <w:sz w:val="18"/>
                  <w:szCs w:val="18"/>
                  <w:color w:val="0000EE"/>
                  <w:w w:val="96"/>
                </w:rPr>
                <w:t>RISK FACTORS</w:t>
              </w:r>
            </w:hyperlink>
          </w:p>
        </w:tc>
        <w:tc>
          <w:tcPr>
            <w:tcW w:w="1020" w:type="dxa"/>
            <w:vAlign w:val="bottom"/>
            <w:gridSpan w:val="7"/>
          </w:tcPr>
          <w:p>
            <w:pPr>
              <w:spacing w:after="0"/>
              <w:rPr>
                <w:sz w:val="15"/>
                <w:szCs w:val="15"/>
                <w:color w:val="auto"/>
              </w:rPr>
            </w:pPr>
          </w:p>
        </w:tc>
        <w:tc>
          <w:tcPr>
            <w:tcW w:w="6140" w:type="dxa"/>
            <w:vAlign w:val="bottom"/>
            <w:gridSpan w:val="14"/>
          </w:tcPr>
          <w:p>
            <w:pPr>
              <w:spacing w:after="0"/>
              <w:rPr>
                <w:sz w:val="15"/>
                <w:szCs w:val="15"/>
                <w:color w:val="auto"/>
              </w:rPr>
            </w:pPr>
          </w:p>
        </w:tc>
        <w:tc>
          <w:tcPr>
            <w:tcW w:w="520" w:type="dxa"/>
            <w:vAlign w:val="bottom"/>
            <w:gridSpan w:val="5"/>
          </w:tcPr>
          <w:p>
            <w:pPr>
              <w:jc w:val="right"/>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WHERE YOU CAN FIND MORE INFORMATION</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900" w:type="dxa"/>
            <w:vAlign w:val="bottom"/>
            <w:gridSpan w:val="12"/>
          </w:tcPr>
          <w:p>
            <w:pPr>
              <w:spacing w:after="0" w:line="182" w:lineRule="exact"/>
              <w:rPr>
                <w:rFonts w:ascii="Arial" w:cs="Arial" w:eastAsia="Arial" w:hAnsi="Arial"/>
                <w:sz w:val="18"/>
                <w:szCs w:val="18"/>
                <w:color w:val="0000EE"/>
                <w:w w:val="96"/>
              </w:rPr>
            </w:pPr>
            <w:hyperlink w:anchor="page40">
              <w:r>
                <w:rPr>
                  <w:rFonts w:ascii="Arial" w:cs="Arial" w:eastAsia="Arial" w:hAnsi="Arial"/>
                  <w:sz w:val="18"/>
                  <w:szCs w:val="18"/>
                  <w:color w:val="0000EE"/>
                  <w:w w:val="96"/>
                </w:rPr>
                <w:t>INCORPORATION BY REFERENCE</w:t>
              </w:r>
            </w:hyperlink>
          </w:p>
        </w:tc>
        <w:tc>
          <w:tcPr>
            <w:tcW w:w="900" w:type="dxa"/>
            <w:vAlign w:val="bottom"/>
            <w:gridSpan w:val="7"/>
          </w:tcPr>
          <w:p>
            <w:pPr>
              <w:spacing w:after="0"/>
              <w:rPr>
                <w:sz w:val="15"/>
                <w:szCs w:val="15"/>
                <w:color w:val="auto"/>
              </w:rPr>
            </w:pPr>
          </w:p>
        </w:tc>
        <w:tc>
          <w:tcPr>
            <w:tcW w:w="4660" w:type="dxa"/>
            <w:vAlign w:val="bottom"/>
            <w:gridSpan w:val="5"/>
          </w:tcPr>
          <w:p>
            <w:pPr>
              <w:spacing w:after="0"/>
              <w:rPr>
                <w:sz w:val="15"/>
                <w:szCs w:val="15"/>
                <w:color w:val="auto"/>
              </w:rPr>
            </w:pPr>
          </w:p>
        </w:tc>
        <w:tc>
          <w:tcPr>
            <w:tcW w:w="520" w:type="dxa"/>
            <w:vAlign w:val="bottom"/>
            <w:gridSpan w:val="5"/>
          </w:tcPr>
          <w:p>
            <w:pPr>
              <w:jc w:val="right"/>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FORWARD-LOOKING STATEMENTS</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BLUEPRINT MEDICINES CORPORATION</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CONSOLIDATED RATIOS OF EARNINGS TO FIXED CHARGES</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700" w:type="dxa"/>
            <w:vAlign w:val="bottom"/>
            <w:gridSpan w:val="8"/>
          </w:tcPr>
          <w:p>
            <w:pPr>
              <w:spacing w:after="0" w:line="182" w:lineRule="exact"/>
              <w:rPr>
                <w:rFonts w:ascii="Arial" w:cs="Arial" w:eastAsia="Arial" w:hAnsi="Arial"/>
                <w:sz w:val="18"/>
                <w:szCs w:val="18"/>
                <w:color w:val="0000EE"/>
                <w:w w:val="97"/>
              </w:rPr>
            </w:pPr>
            <w:hyperlink w:anchor="page44">
              <w:r>
                <w:rPr>
                  <w:rFonts w:ascii="Arial" w:cs="Arial" w:eastAsia="Arial" w:hAnsi="Arial"/>
                  <w:sz w:val="18"/>
                  <w:szCs w:val="18"/>
                  <w:color w:val="0000EE"/>
                  <w:w w:val="97"/>
                </w:rPr>
                <w:t>USE OF PROCEEDS</w:t>
              </w:r>
            </w:hyperlink>
          </w:p>
        </w:tc>
        <w:tc>
          <w:tcPr>
            <w:tcW w:w="3400" w:type="dxa"/>
            <w:vAlign w:val="bottom"/>
            <w:gridSpan w:val="12"/>
          </w:tcPr>
          <w:p>
            <w:pPr>
              <w:spacing w:after="0"/>
              <w:rPr>
                <w:sz w:val="15"/>
                <w:szCs w:val="15"/>
                <w:color w:val="auto"/>
              </w:rPr>
            </w:pPr>
          </w:p>
        </w:tc>
        <w:tc>
          <w:tcPr>
            <w:tcW w:w="3360" w:type="dxa"/>
            <w:vAlign w:val="bottom"/>
            <w:gridSpan w:val="4"/>
          </w:tcPr>
          <w:p>
            <w:pPr>
              <w:spacing w:after="0"/>
              <w:rPr>
                <w:sz w:val="15"/>
                <w:szCs w:val="15"/>
                <w:color w:val="auto"/>
              </w:rPr>
            </w:pPr>
          </w:p>
        </w:tc>
        <w:tc>
          <w:tcPr>
            <w:tcW w:w="520" w:type="dxa"/>
            <w:vAlign w:val="bottom"/>
            <w:gridSpan w:val="5"/>
          </w:tcPr>
          <w:p>
            <w:pPr>
              <w:jc w:val="right"/>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700" w:type="dxa"/>
            <w:vAlign w:val="bottom"/>
            <w:gridSpan w:val="8"/>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DILUTION</w:t>
              </w:r>
            </w:hyperlink>
          </w:p>
        </w:tc>
        <w:tc>
          <w:tcPr>
            <w:tcW w:w="6760" w:type="dxa"/>
            <w:vAlign w:val="bottom"/>
            <w:gridSpan w:val="16"/>
          </w:tcPr>
          <w:p>
            <w:pPr>
              <w:spacing w:after="0"/>
              <w:rPr>
                <w:sz w:val="15"/>
                <w:szCs w:val="15"/>
                <w:color w:val="auto"/>
              </w:rPr>
            </w:pPr>
          </w:p>
        </w:tc>
        <w:tc>
          <w:tcPr>
            <w:tcW w:w="520" w:type="dxa"/>
            <w:vAlign w:val="bottom"/>
            <w:gridSpan w:val="5"/>
          </w:tcPr>
          <w:p>
            <w:pPr>
              <w:jc w:val="right"/>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920" w:type="dxa"/>
            <w:vAlign w:val="bottom"/>
            <w:gridSpan w:val="13"/>
          </w:tcPr>
          <w:p>
            <w:pPr>
              <w:spacing w:after="0" w:line="182" w:lineRule="exact"/>
              <w:rPr>
                <w:rFonts w:ascii="Arial" w:cs="Arial" w:eastAsia="Arial" w:hAnsi="Arial"/>
                <w:sz w:val="18"/>
                <w:szCs w:val="18"/>
                <w:color w:val="0000EE"/>
                <w:w w:val="95"/>
              </w:rPr>
            </w:pPr>
            <w:hyperlink w:anchor="page46">
              <w:r>
                <w:rPr>
                  <w:rFonts w:ascii="Arial" w:cs="Arial" w:eastAsia="Arial" w:hAnsi="Arial"/>
                  <w:sz w:val="18"/>
                  <w:szCs w:val="18"/>
                  <w:color w:val="0000EE"/>
                  <w:w w:val="95"/>
                </w:rPr>
                <w:t>DESCRIPTION OF CAPITAL STOCK</w:t>
              </w:r>
            </w:hyperlink>
          </w:p>
        </w:tc>
        <w:tc>
          <w:tcPr>
            <w:tcW w:w="5540" w:type="dxa"/>
            <w:vAlign w:val="bottom"/>
            <w:gridSpan w:val="11"/>
          </w:tcPr>
          <w:p>
            <w:pPr>
              <w:spacing w:after="0"/>
              <w:rPr>
                <w:sz w:val="15"/>
                <w:szCs w:val="15"/>
                <w:color w:val="auto"/>
              </w:rPr>
            </w:pPr>
          </w:p>
        </w:tc>
        <w:tc>
          <w:tcPr>
            <w:tcW w:w="520" w:type="dxa"/>
            <w:vAlign w:val="bottom"/>
            <w:gridSpan w:val="5"/>
          </w:tcPr>
          <w:p>
            <w:pPr>
              <w:jc w:val="right"/>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DESCRIPTION OF DEBT SECURITIES</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17</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3440" w:type="dxa"/>
            <w:vAlign w:val="bottom"/>
            <w:tcBorders>
              <w:bottom w:val="single" w:sz="8" w:color="0000EE"/>
            </w:tcBorders>
            <w:gridSpan w:val="17"/>
          </w:tcPr>
          <w:p>
            <w:pPr>
              <w:spacing w:after="0" w:line="182" w:lineRule="exact"/>
              <w:rPr>
                <w:rFonts w:ascii="Arial" w:cs="Arial" w:eastAsia="Arial" w:hAnsi="Arial"/>
                <w:sz w:val="18"/>
                <w:szCs w:val="18"/>
                <w:color w:val="0000EE"/>
                <w:w w:val="96"/>
              </w:rPr>
            </w:pPr>
            <w:hyperlink w:anchor="page68">
              <w:r>
                <w:rPr>
                  <w:rFonts w:ascii="Arial" w:cs="Arial" w:eastAsia="Arial" w:hAnsi="Arial"/>
                  <w:sz w:val="18"/>
                  <w:szCs w:val="18"/>
                  <w:color w:val="0000EE"/>
                  <w:w w:val="96"/>
                </w:rPr>
                <w:t>DESCRIPTION OF DEPOSITARY SHARES</w:t>
              </w:r>
            </w:hyperlink>
          </w:p>
        </w:tc>
        <w:tc>
          <w:tcPr>
            <w:tcW w:w="5020" w:type="dxa"/>
            <w:vAlign w:val="bottom"/>
            <w:gridSpan w:val="7"/>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31</w:t>
              </w:r>
            </w:hyperlink>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71">
              <w:r>
                <w:rPr>
                  <w:rFonts w:ascii="Arial" w:cs="Arial" w:eastAsia="Arial" w:hAnsi="Arial"/>
                  <w:sz w:val="18"/>
                  <w:szCs w:val="18"/>
                  <w:color w:val="0000EE"/>
                </w:rPr>
                <w:t>DESCRIPTION OF PURCHASE CONTRACTS AND PURCHASE UNITS</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71">
              <w:r>
                <w:rPr>
                  <w:rFonts w:ascii="Arial" w:cs="Arial" w:eastAsia="Arial" w:hAnsi="Arial"/>
                  <w:sz w:val="18"/>
                  <w:szCs w:val="18"/>
                  <w:color w:val="0000EE"/>
                </w:rPr>
                <w:t>34</w:t>
              </w:r>
            </w:hyperlink>
          </w:p>
        </w:tc>
      </w:tr>
      <w:tr>
        <w:trPr>
          <w:trHeight w:val="183"/>
        </w:trPr>
        <w:tc>
          <w:tcPr>
            <w:tcW w:w="1140" w:type="dxa"/>
            <w:vAlign w:val="bottom"/>
          </w:tcPr>
          <w:p>
            <w:pPr>
              <w:spacing w:after="0"/>
              <w:rPr>
                <w:sz w:val="15"/>
                <w:szCs w:val="15"/>
                <w:color w:val="auto"/>
              </w:rPr>
            </w:pPr>
          </w:p>
        </w:tc>
        <w:tc>
          <w:tcPr>
            <w:tcW w:w="568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72">
              <w:r>
                <w:rPr>
                  <w:rFonts w:ascii="Arial" w:cs="Arial" w:eastAsia="Arial" w:hAnsi="Arial"/>
                  <w:sz w:val="18"/>
                  <w:szCs w:val="18"/>
                  <w:color w:val="0000EE"/>
                </w:rPr>
                <w:t>DESCRIPTION OF WARRANTS</w:t>
              </w:r>
            </w:hyperlink>
          </w:p>
        </w:tc>
        <w:tc>
          <w:tcPr>
            <w:tcW w:w="2780" w:type="dxa"/>
            <w:vAlign w:val="bottom"/>
            <w:gridSpan w:val="3"/>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35</w:t>
              </w:r>
            </w:hyperlink>
          </w:p>
        </w:tc>
      </w:tr>
      <w:tr>
        <w:trPr>
          <w:trHeight w:val="183"/>
        </w:trPr>
        <w:tc>
          <w:tcPr>
            <w:tcW w:w="1140" w:type="dxa"/>
            <w:vAlign w:val="bottom"/>
          </w:tcPr>
          <w:p>
            <w:pPr>
              <w:spacing w:after="0"/>
              <w:rPr>
                <w:sz w:val="15"/>
                <w:szCs w:val="15"/>
                <w:color w:val="auto"/>
              </w:rPr>
            </w:pPr>
          </w:p>
        </w:tc>
        <w:tc>
          <w:tcPr>
            <w:tcW w:w="204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7"/>
              </w:rPr>
            </w:pPr>
            <w:hyperlink w:anchor="page73">
              <w:r>
                <w:rPr>
                  <w:rFonts w:ascii="Arial" w:cs="Arial" w:eastAsia="Arial" w:hAnsi="Arial"/>
                  <w:sz w:val="18"/>
                  <w:szCs w:val="18"/>
                  <w:color w:val="0000EE"/>
                  <w:w w:val="97"/>
                </w:rPr>
                <w:t>FORMS OF SECURITIES</w:t>
              </w:r>
            </w:hyperlink>
          </w:p>
        </w:tc>
        <w:tc>
          <w:tcPr>
            <w:tcW w:w="500" w:type="dxa"/>
            <w:vAlign w:val="bottom"/>
            <w:tcBorders>
              <w:top w:val="single" w:sz="8" w:color="0000EE"/>
            </w:tcBorders>
            <w:gridSpan w:val="2"/>
          </w:tcPr>
          <w:p>
            <w:pPr>
              <w:spacing w:after="0"/>
              <w:rPr>
                <w:sz w:val="15"/>
                <w:szCs w:val="15"/>
                <w:color w:val="auto"/>
              </w:rPr>
            </w:pPr>
          </w:p>
        </w:tc>
        <w:tc>
          <w:tcPr>
            <w:tcW w:w="5920" w:type="dxa"/>
            <w:vAlign w:val="bottom"/>
            <w:gridSpan w:val="13"/>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bottom w:val="single" w:sz="8" w:color="0000EE"/>
            </w:tcBorders>
            <w:gridSpan w:val="2"/>
          </w:tcPr>
          <w:p>
            <w:pPr>
              <w:jc w:val="right"/>
              <w:spacing w:after="0" w:line="182"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36</w:t>
              </w:r>
            </w:hyperlink>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75">
              <w:r>
                <w:rPr>
                  <w:rFonts w:ascii="Arial" w:cs="Arial" w:eastAsia="Arial" w:hAnsi="Arial"/>
                  <w:sz w:val="18"/>
                  <w:szCs w:val="18"/>
                  <w:color w:val="0000EE"/>
                </w:rPr>
                <w:t>PLAN OF DISTRIBUTION</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75">
              <w:r>
                <w:rPr>
                  <w:rFonts w:ascii="Arial" w:cs="Arial" w:eastAsia="Arial" w:hAnsi="Arial"/>
                  <w:sz w:val="18"/>
                  <w:szCs w:val="18"/>
                  <w:color w:val="0000EE"/>
                </w:rPr>
                <w:t>38</w:t>
              </w:r>
            </w:hyperlink>
          </w:p>
        </w:tc>
      </w:tr>
      <w:tr>
        <w:trPr>
          <w:trHeight w:val="183"/>
        </w:trPr>
        <w:tc>
          <w:tcPr>
            <w:tcW w:w="1140" w:type="dxa"/>
            <w:vAlign w:val="bottom"/>
          </w:tcPr>
          <w:p>
            <w:pPr>
              <w:spacing w:after="0"/>
              <w:rPr>
                <w:sz w:val="15"/>
                <w:szCs w:val="15"/>
                <w:color w:val="auto"/>
              </w:rPr>
            </w:pPr>
          </w:p>
        </w:tc>
        <w:tc>
          <w:tcPr>
            <w:tcW w:w="204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LEGAL MATTERS</w:t>
              </w:r>
            </w:hyperlink>
          </w:p>
        </w:tc>
        <w:tc>
          <w:tcPr>
            <w:tcW w:w="6420" w:type="dxa"/>
            <w:vAlign w:val="bottom"/>
            <w:gridSpan w:val="15"/>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41</w:t>
              </w:r>
            </w:hyperlink>
          </w:p>
        </w:tc>
      </w:tr>
      <w:tr>
        <w:trPr>
          <w:trHeight w:val="183"/>
        </w:trPr>
        <w:tc>
          <w:tcPr>
            <w:tcW w:w="1140" w:type="dxa"/>
            <w:vAlign w:val="bottom"/>
          </w:tcPr>
          <w:p>
            <w:pPr>
              <w:spacing w:after="0"/>
              <w:rPr>
                <w:sz w:val="15"/>
                <w:szCs w:val="15"/>
                <w:color w:val="auto"/>
              </w:rPr>
            </w:pPr>
          </w:p>
        </w:tc>
        <w:tc>
          <w:tcPr>
            <w:tcW w:w="14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EXPERTS</w:t>
              </w:r>
            </w:hyperlink>
          </w:p>
        </w:tc>
        <w:tc>
          <w:tcPr>
            <w:tcW w:w="7020" w:type="dxa"/>
            <w:vAlign w:val="bottom"/>
            <w:gridSpan w:val="18"/>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41</w:t>
              </w:r>
            </w:hyperlink>
          </w:p>
        </w:tc>
      </w:tr>
      <w:tr>
        <w:trPr>
          <w:trHeight w:val="20"/>
        </w:trPr>
        <w:tc>
          <w:tcPr>
            <w:tcW w:w="1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3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8"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 SUPPLEMENT</w:t>
      </w:r>
    </w:p>
    <w:p>
      <w:pPr>
        <w:spacing w:after="0" w:line="234" w:lineRule="exact"/>
        <w:rPr>
          <w:sz w:val="20"/>
          <w:szCs w:val="20"/>
          <w:color w:val="auto"/>
        </w:rPr>
      </w:pPr>
    </w:p>
    <w:p>
      <w:pPr>
        <w:ind w:right="120" w:firstLine="485"/>
        <w:spacing w:after="0" w:line="236" w:lineRule="auto"/>
        <w:rPr>
          <w:sz w:val="20"/>
          <w:szCs w:val="20"/>
          <w:color w:val="auto"/>
        </w:rPr>
      </w:pPr>
      <w:r>
        <w:rPr>
          <w:rFonts w:ascii="Arial" w:cs="Arial" w:eastAsia="Arial" w:hAnsi="Arial"/>
          <w:sz w:val="18"/>
          <w:szCs w:val="18"/>
          <w:color w:val="auto"/>
        </w:rPr>
        <w:t>This document is part of the registration statement that we filed with the Securities and Exchange Commission, or the SEC, using a "shelf" registration process and consists of two parts. The first part is this prospectus supplement, including the documents incorporated by reference, which describes the specific terms of this offering. The second part, the accompanying prospectus, including the documents incorporated by reference, gives more general information, some of which may not apply to this offering. Generally, when we refer to the "prospectus", we are referring to both parts combined. This prospectus supplement may add to, update or change information in the accompanying prospectus and the documents incorporated by reference into this prospectus supplement or the accompanying prospectus.</w:t>
      </w:r>
    </w:p>
    <w:p>
      <w:pPr>
        <w:spacing w:after="0" w:line="210"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If information in this prospectus supplement is inconsistent with the accompanying prospectus or with any document incorporated by reference that was filed with the SEC before the date of this prospectus supplement, you should rely on this prospectus supplement. This prospectus supplement, the accompanying prospectus and the documents incorporated by reference into each include important information about us, the securities being offered and other information you should know before investing in our securities. You should also read and consider information in the documents we have referred you to in the sections of this prospectus supplement entitled "Where You Can Find More Information" and "Incorporation by Reference" and the accompanying prospectus entitled "Where You Can Find More Information" and "Incorporation by Reference".</w:t>
      </w:r>
    </w:p>
    <w:p>
      <w:pPr>
        <w:spacing w:after="0" w:line="209" w:lineRule="exact"/>
        <w:rPr>
          <w:sz w:val="20"/>
          <w:szCs w:val="20"/>
          <w:color w:val="auto"/>
        </w:rPr>
      </w:pPr>
    </w:p>
    <w:p>
      <w:pPr>
        <w:ind w:right="80" w:firstLine="488"/>
        <w:spacing w:after="0" w:line="236"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211"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We take no responsibility for, and can provide no assurances as to the reliability of, any information that is in addition to or different from that contained or incorporated by reference in this prospectus supplement and the accompanying prospectus. We are not offering to sell these securities in any jurisdiction where the offer or sale is not permitted. You should not assume that the information contained or incorporated by reference in this prospectus supplement or the accompanying prospectus is accurate as of any date other than as of the date of this prospectus supplement or the accompanying prospectus, as the case may be, or in the case of the documents incorporated by reference, the date of such documents regardless of the time of delivery of this prospectus supplement and the accompanying prospectus or any sale of our securities. Our business, financial condition, liquidity, results of operations and prospects may have changed since those dates.</w:t>
      </w:r>
    </w:p>
    <w:p>
      <w:pPr>
        <w:spacing w:after="0" w:line="191" w:lineRule="exact"/>
        <w:rPr>
          <w:sz w:val="20"/>
          <w:szCs w:val="20"/>
          <w:color w:val="auto"/>
        </w:rPr>
      </w:pPr>
    </w:p>
    <w:p>
      <w:pPr>
        <w:ind w:right="140" w:firstLine="488"/>
        <w:spacing w:after="0" w:line="247" w:lineRule="auto"/>
        <w:rPr>
          <w:sz w:val="20"/>
          <w:szCs w:val="20"/>
          <w:color w:val="auto"/>
        </w:rPr>
      </w:pPr>
      <w:r>
        <w:rPr>
          <w:rFonts w:ascii="Arial" w:cs="Arial" w:eastAsia="Arial" w:hAnsi="Arial"/>
          <w:sz w:val="18"/>
          <w:szCs w:val="18"/>
          <w:i w:val="1"/>
          <w:iCs w:val="1"/>
          <w:color w:val="auto"/>
        </w:rPr>
        <w:t>Unless otherwise stated, all references in this prospectus supplement or the accompanying prospectus to "us", "our", "Blueprint", "Blueprint Medicines", "we", the "Company" and similar designations refer, collectively, to Blueprint Medicines Corporation, a Delaware corporation, and its consolidated subsidiary, Blueprint Medicines Security Corporation.</w:t>
      </w:r>
    </w:p>
    <w:p>
      <w:pPr>
        <w:spacing w:after="0" w:line="181" w:lineRule="exact"/>
        <w:rPr>
          <w:sz w:val="20"/>
          <w:szCs w:val="20"/>
          <w:color w:val="auto"/>
        </w:rPr>
      </w:pPr>
    </w:p>
    <w:p>
      <w:pPr>
        <w:ind w:right="100" w:firstLine="488"/>
        <w:spacing w:after="0" w:line="244" w:lineRule="auto"/>
        <w:rPr>
          <w:sz w:val="20"/>
          <w:szCs w:val="20"/>
          <w:color w:val="auto"/>
        </w:rPr>
      </w:pPr>
      <w:r>
        <w:rPr>
          <w:rFonts w:ascii="Arial" w:cs="Arial" w:eastAsia="Arial" w:hAnsi="Arial"/>
          <w:sz w:val="18"/>
          <w:szCs w:val="18"/>
          <w:b w:val="1"/>
          <w:bCs w:val="1"/>
          <w:color w:val="auto"/>
        </w:rPr>
        <w:t>No action is being taken in any jurisdiction outside the United States to permit a public offering of the securities or possession or distribution of this prospectus supplement or the accompanying prospectus in that jurisdiction. Persons who come into possession of this prospectus supplement or the accompanying prospectus in jurisdictions outside the United States are required to inform themselves about and to observe any restrictions as to this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and the distribution of this prospectus supplement or the accompanying prospectus applicable to that jurisdiction.</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www.blueprintmedicines.com. Our website is not a part of this prospectus supplement or the accompanying prospectus and is not incorporated by reference in this prospectus supplement or the accompanying prospectus. You may also read and copy any document we file at the SEC's Public Reference Room, 100 F Street, N.E., Washington, D.C. 20549. Please call the SEC at 1-800-SEC-0330 for further information on the operation of the Public Reference Room.</w:t>
      </w:r>
    </w:p>
    <w:p>
      <w:pPr>
        <w:spacing w:after="0" w:line="210" w:lineRule="exact"/>
        <w:rPr>
          <w:sz w:val="20"/>
          <w:szCs w:val="20"/>
          <w:color w:val="auto"/>
        </w:rPr>
      </w:pPr>
    </w:p>
    <w:p>
      <w:pPr>
        <w:ind w:right="80" w:firstLine="485"/>
        <w:spacing w:after="0" w:line="236" w:lineRule="auto"/>
        <w:rPr>
          <w:sz w:val="20"/>
          <w:szCs w:val="20"/>
          <w:color w:val="auto"/>
        </w:rPr>
      </w:pPr>
      <w:r>
        <w:rPr>
          <w:rFonts w:ascii="Arial" w:cs="Arial" w:eastAsia="Arial" w:hAnsi="Arial"/>
          <w:sz w:val="18"/>
          <w:szCs w:val="18"/>
          <w:color w:val="auto"/>
        </w:rPr>
        <w:t>This prospectus supplement is part of a registration statement we filed with the SEC. This prospectus supplement, filed as part of the registration statement, omits some information contained in the registration statement in accordance with SEC rules and regulations. You should review the information and exhibits in the registration statement for further information on us and our consolidated subsidiary and the securities we are offering.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 at the address listed above or from the SEC's website.</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BY REFERENCE</w:t>
      </w:r>
    </w:p>
    <w:p>
      <w:pPr>
        <w:spacing w:after="0" w:line="234" w:lineRule="exact"/>
        <w:rPr>
          <w:sz w:val="20"/>
          <w:szCs w:val="20"/>
          <w:color w:val="auto"/>
        </w:rPr>
      </w:pPr>
    </w:p>
    <w:p>
      <w:pPr>
        <w:ind w:firstLine="485"/>
        <w:spacing w:after="0" w:line="235" w:lineRule="auto"/>
        <w:rPr>
          <w:sz w:val="20"/>
          <w:szCs w:val="20"/>
          <w:color w:val="auto"/>
        </w:rPr>
      </w:pPr>
      <w:r>
        <w:rPr>
          <w:rFonts w:ascii="Arial" w:cs="Arial" w:eastAsia="Arial" w:hAnsi="Arial"/>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supplement and the accompanying prospectus is considered to be part of this prospectus.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the accompanying prospectus or in any document previously incorporated by reference have been modified or superseded. This prospectus supplement incorporates by reference the documents listed below (File No. 001-37359) and any future filings we make with the SEC under Sections 13(a), 13(c), 14 or 15(d) of the Securities Exchange Act of 1934, as amended, or the Exchange Act (in each case, other than those documents or the portions of those documents not deemed to be filed) between the date of this prospectus supplement and the termination of this offering:</w:t>
      </w:r>
    </w:p>
    <w:p>
      <w:pPr>
        <w:spacing w:after="0" w:line="215"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2016;</w:t>
      </w:r>
    </w:p>
    <w:p>
      <w:pPr>
        <w:spacing w:after="0" w:line="211" w:lineRule="exact"/>
        <w:rPr>
          <w:rFonts w:ascii="Arial" w:cs="Arial" w:eastAsia="Arial" w:hAnsi="Arial"/>
          <w:sz w:val="18"/>
          <w:szCs w:val="18"/>
          <w:color w:val="auto"/>
        </w:rPr>
      </w:pPr>
    </w:p>
    <w:p>
      <w:pPr>
        <w:ind w:left="1080" w:right="60" w:hanging="532"/>
        <w:spacing w:after="0" w:line="23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portions of our Definitive Proxy Statement on Schedule 14A, filed with the SEC on April 28, 2016, incorporated by reference into our Annual Report on Form 10-K for the fiscal year ended December 31, 2015; and</w:t>
      </w:r>
    </w:p>
    <w:p>
      <w:pPr>
        <w:spacing w:after="0" w:line="195" w:lineRule="exact"/>
        <w:rPr>
          <w:rFonts w:ascii="Arial" w:cs="Arial" w:eastAsia="Arial" w:hAnsi="Arial"/>
          <w:sz w:val="18"/>
          <w:szCs w:val="18"/>
          <w:color w:val="auto"/>
        </w:rPr>
      </w:pPr>
    </w:p>
    <w:p>
      <w:pPr>
        <w:ind w:left="1080" w:right="420" w:hanging="532"/>
        <w:spacing w:after="0" w:line="23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April 27, 2015, including any amendments or reports filed for the purpose of updating such description.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You may request a copy of these filings, at no cost, by contacting us, either orally or in writing, at the following:</w:t>
      </w:r>
    </w:p>
    <w:p>
      <w:pPr>
        <w:spacing w:after="0" w:line="230"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Blueprint Medicines Corporation</w:t>
      </w:r>
    </w:p>
    <w:p>
      <w:pPr>
        <w:jc w:val="center"/>
        <w:ind w:right="-1220"/>
        <w:spacing w:after="0" w:line="234" w:lineRule="auto"/>
        <w:rPr>
          <w:sz w:val="20"/>
          <w:szCs w:val="20"/>
          <w:color w:val="auto"/>
        </w:rPr>
      </w:pPr>
      <w:r>
        <w:rPr>
          <w:rFonts w:ascii="Arial" w:cs="Arial" w:eastAsia="Arial" w:hAnsi="Arial"/>
          <w:sz w:val="18"/>
          <w:szCs w:val="18"/>
          <w:color w:val="auto"/>
        </w:rPr>
        <w:t>38 Sidney Street, Suite 200</w:t>
      </w:r>
    </w:p>
    <w:p>
      <w:pPr>
        <w:jc w:val="center"/>
        <w:ind w:right="-1220"/>
        <w:spacing w:after="0" w:line="235" w:lineRule="auto"/>
        <w:rPr>
          <w:sz w:val="20"/>
          <w:szCs w:val="20"/>
          <w:color w:val="auto"/>
        </w:rPr>
      </w:pPr>
      <w:r>
        <w:rPr>
          <w:rFonts w:ascii="Arial" w:cs="Arial" w:eastAsia="Arial" w:hAnsi="Arial"/>
          <w:sz w:val="18"/>
          <w:szCs w:val="18"/>
          <w:color w:val="auto"/>
        </w:rPr>
        <w:t>Cambridge, Massachusetts 02139</w:t>
      </w:r>
    </w:p>
    <w:p>
      <w:pPr>
        <w:jc w:val="center"/>
        <w:ind w:right="-1220"/>
        <w:spacing w:after="0" w:line="235" w:lineRule="auto"/>
        <w:rPr>
          <w:sz w:val="20"/>
          <w:szCs w:val="20"/>
          <w:color w:val="auto"/>
        </w:rPr>
      </w:pPr>
      <w:r>
        <w:rPr>
          <w:rFonts w:ascii="Arial" w:cs="Arial" w:eastAsia="Arial" w:hAnsi="Arial"/>
          <w:sz w:val="18"/>
          <w:szCs w:val="18"/>
          <w:color w:val="auto"/>
        </w:rPr>
        <w:t>Attn: Investor Relations</w:t>
      </w:r>
    </w:p>
    <w:p>
      <w:pPr>
        <w:jc w:val="center"/>
        <w:ind w:right="-1220"/>
        <w:spacing w:after="0" w:line="235" w:lineRule="auto"/>
        <w:rPr>
          <w:sz w:val="20"/>
          <w:szCs w:val="20"/>
          <w:color w:val="auto"/>
        </w:rPr>
      </w:pPr>
      <w:r>
        <w:rPr>
          <w:rFonts w:ascii="Arial" w:cs="Arial" w:eastAsia="Arial" w:hAnsi="Arial"/>
          <w:sz w:val="18"/>
          <w:szCs w:val="18"/>
          <w:color w:val="auto"/>
        </w:rPr>
        <w:t>Phone: (617) 714-6674</w:t>
      </w:r>
    </w:p>
    <w:p>
      <w:pPr>
        <w:jc w:val="center"/>
        <w:ind w:right="-1220"/>
        <w:spacing w:after="0"/>
        <w:rPr>
          <w:sz w:val="20"/>
          <w:szCs w:val="20"/>
          <w:color w:val="auto"/>
        </w:rPr>
      </w:pPr>
      <w:r>
        <w:rPr>
          <w:rFonts w:ascii="Arial" w:cs="Arial" w:eastAsia="Arial" w:hAnsi="Arial"/>
          <w:sz w:val="18"/>
          <w:szCs w:val="18"/>
          <w:color w:val="auto"/>
        </w:rPr>
        <w:t>E-mail: ir@blueprintmedicines.com</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4"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This prospectus supplement, the accompanying prospectus and the information incorporated by reference herein and therein contain statements that are not historical facts and are considered forward-looking within the meaning of Section 27A of the Securities Act and Section 21E of the Exchange Act. All statements, other than statements of historical facts, contained or incorporated by reference in this prospectus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Forward-looking statements include, but are not limited to, statements about:</w:t>
      </w:r>
    </w:p>
    <w:p>
      <w:pPr>
        <w:spacing w:after="0" w:line="20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use of the net proceeds from this offering;</w:t>
      </w:r>
    </w:p>
    <w:p>
      <w:pPr>
        <w:spacing w:after="0" w:line="211" w:lineRule="exact"/>
        <w:rPr>
          <w:rFonts w:ascii="Arial" w:cs="Arial" w:eastAsia="Arial" w:hAnsi="Arial"/>
          <w:sz w:val="18"/>
          <w:szCs w:val="18"/>
          <w:color w:val="auto"/>
        </w:rPr>
      </w:pPr>
    </w:p>
    <w:p>
      <w:pPr>
        <w:ind w:left="1080" w:right="340" w:hanging="532"/>
        <w:spacing w:after="0" w:line="23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including our Phase 1 clinical trials for BLU-285, BLU-554 and BLU-667, and our research and development programs;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commercialization of our drug candidates, if approved;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and reimbursement of our drug candidates, if approved;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for our business, drug candidates and technology;</w:t>
      </w:r>
    </w:p>
    <w:p>
      <w:pPr>
        <w:spacing w:after="0" w:line="211" w:lineRule="exact"/>
        <w:rPr>
          <w:rFonts w:ascii="Arial" w:cs="Arial" w:eastAsia="Arial" w:hAnsi="Arial"/>
          <w:sz w:val="18"/>
          <w:szCs w:val="18"/>
          <w:color w:val="auto"/>
        </w:rPr>
      </w:pPr>
    </w:p>
    <w:p>
      <w:pPr>
        <w:ind w:left="1080" w:right="660" w:hanging="532"/>
        <w:spacing w:after="0" w:line="23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drug candidates and technology;</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our expenses, future revenues, capital requirements and our needs for additional financing;</w:t>
      </w:r>
    </w:p>
    <w:p>
      <w:pPr>
        <w:spacing w:after="0" w:line="198" w:lineRule="exact"/>
        <w:rPr>
          <w:rFonts w:ascii="Arial" w:cs="Arial" w:eastAsia="Arial" w:hAnsi="Arial"/>
          <w:sz w:val="18"/>
          <w:szCs w:val="18"/>
          <w:color w:val="auto"/>
        </w:rPr>
      </w:pPr>
    </w:p>
    <w:p>
      <w:pPr>
        <w:ind w:left="1080" w:right="240" w:hanging="532"/>
        <w:spacing w:after="0" w:line="23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benefits of our existing rare genetic disease collaboration with Alexion Pharma Holding and our existing cancer immunotherapy collaboration with F. Hoffmann-La Roche Ltd and Hoffmann-La Roche Inc., as well as our ability to enter into other strategic arrangements;</w:t>
      </w:r>
    </w:p>
    <w:p>
      <w:pPr>
        <w:spacing w:after="0" w:line="208" w:lineRule="exact"/>
        <w:rPr>
          <w:rFonts w:ascii="Arial" w:cs="Arial" w:eastAsia="Arial" w:hAnsi="Arial"/>
          <w:sz w:val="18"/>
          <w:szCs w:val="18"/>
          <w:color w:val="auto"/>
        </w:rPr>
      </w:pPr>
    </w:p>
    <w:p>
      <w:pPr>
        <w:ind w:left="1080" w:right="600" w:hanging="532"/>
        <w:spacing w:after="0" w:line="299"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development of companion diagnostic tests for our drug candidates, including our companion diagnostic test with Ventana Medical Systems, Inc. for BLU-554 and our companion diagnostic test with QIAGEN Manchester Limited for BLU-285;</w:t>
      </w:r>
    </w:p>
    <w:p>
      <w:pPr>
        <w:spacing w:after="0" w:line="149"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12" w:lineRule="exact"/>
        <w:rPr>
          <w:sz w:val="20"/>
          <w:szCs w:val="20"/>
          <w:color w:val="auto"/>
        </w:rPr>
      </w:pPr>
    </w:p>
    <w:p>
      <w:pPr>
        <w:ind w:right="80" w:firstLine="488"/>
        <w:spacing w:after="0" w:line="236"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supplement, the accompanying prospectus and the documents incorporated by reference herein and therein, particularly in the "Risk factors" section, that could cause actual results or events to differ materially from the forward-looking statements that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we make. Our forward-looking statements do not reflect the potential impact of any future acquisitions, mergers, dispositions, joint ventures or investments we may make or enter into.</w:t>
      </w:r>
    </w:p>
    <w:p>
      <w:pPr>
        <w:spacing w:after="0" w:line="209"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You should read this prospectus supplement, the accompanying prospectus and the documents incorporated by reference herein and therein, as well as the document that we have filed as exhibits to the registration statement of which this prospectus forms a part,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211"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herein and therein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43" w:right="4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60331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6033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SUPPLEMENT SUMMARY</w:t>
      </w:r>
    </w:p>
    <w:p>
      <w:pPr>
        <w:spacing w:after="0" w:line="216" w:lineRule="exact"/>
        <w:rPr>
          <w:sz w:val="20"/>
          <w:szCs w:val="20"/>
          <w:color w:val="auto"/>
        </w:rPr>
      </w:pPr>
    </w:p>
    <w:p>
      <w:pPr>
        <w:ind w:left="240" w:right="40" w:firstLine="488"/>
        <w:spacing w:after="0" w:line="239"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supplement and the accompanying prospectus and in the documents incorporated by reference herein or therein. This summary does not contain all the information that you should consider before investing in our common stock. You should read this entire prospectus supplement and the accompanying prospectus carefully, especially the risks of investing in our common stock discussed under "Risk Factors" beginning on page S-12 of this prospectus supplement, along with our consolidated financial statements and notes to those consolidated financial statements and the other information incorporated by reference in this prospectus supplement and the accompanying prospectus, before making an investment decision. This prospectus supplement may add to, update or change information in the accompanying prospectus.</w:t>
      </w: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left="240" w:right="20" w:firstLine="488"/>
        <w:spacing w:after="0" w:line="270" w:lineRule="auto"/>
        <w:rPr>
          <w:sz w:val="20"/>
          <w:szCs w:val="20"/>
          <w:color w:val="auto"/>
        </w:rPr>
      </w:pPr>
      <w:r>
        <w:rPr>
          <w:rFonts w:ascii="Arial" w:cs="Arial" w:eastAsia="Arial" w:hAnsi="Arial"/>
          <w:sz w:val="16"/>
          <w:szCs w:val="16"/>
          <w:color w:val="auto"/>
        </w:rPr>
        <w:t>We are a biopharmaceutical company focused on improving the lives of patients with genomically defined diseases driven by abnormal kinase activation. Our approach is to systematically and reproducibly identify kinases that are drivers of diseases in genomically defined patient populations and to craft drug candidates that may provide significant and durable clinical responses for patients without adequate treatment options. This integrated biology and chemistry approach enables us to identify, characterize and design drug candidates to inhibit novel kinase targets that have been difficult to selectively inhibit. By focusing on diseases in genomically defined patient populations, we believe that we will have a more efficient development path with a greater likelihood of success. Leveraging our novel target discovery engine, we have developed a robust small molecule drug pipeline in cancer and a rare genetic disease.</w:t>
      </w:r>
    </w:p>
    <w:p>
      <w:pPr>
        <w:spacing w:after="0" w:line="185" w:lineRule="exact"/>
        <w:rPr>
          <w:sz w:val="20"/>
          <w:szCs w:val="20"/>
          <w:color w:val="auto"/>
        </w:rPr>
      </w:pPr>
    </w:p>
    <w:p>
      <w:pPr>
        <w:ind w:left="240" w:firstLine="488"/>
        <w:spacing w:after="0" w:line="236" w:lineRule="auto"/>
        <w:rPr>
          <w:sz w:val="20"/>
          <w:szCs w:val="20"/>
          <w:color w:val="auto"/>
        </w:rPr>
      </w:pPr>
      <w:r>
        <w:rPr>
          <w:rFonts w:ascii="Arial" w:cs="Arial" w:eastAsia="Arial" w:hAnsi="Arial"/>
          <w:sz w:val="18"/>
          <w:szCs w:val="18"/>
          <w:color w:val="auto"/>
        </w:rPr>
        <w:t>Our most advanced drug candidates are BLU-285, BLU-554 and BLU-667. BLU-285 is an orally available, potent and highly selective inhibitor that targets KIT, including Exon 17 mutations, and targets PDGFRa, including the D842V mutation. These mutations abnormally activate receptor tyrosine kinases that are drivers of cancer and proliferative disorders, including gastrointestinal stromal tumors, or GIST, and systemic mastocytosis, or SM. We are currently evaluating BLU-285 in an ongoing Phase 1 clinical trial for defined subsets of patients with GIST and an ongoing Phase 1 clinical trial for advanced SM. GIST is a rare disease that is a sarcoma, or tumor of bone or connective tissue, of the gastrointestinal tract, or GI tract, and SM is a rare disorder that causes an overproduction of mast cells and the accumulation of mast cells in the bone marrow and other organs, which can lead to a wide range of debilitating symptoms and organ dysfunction and failure. BLU-554 is an orally available, potent and highly selective inhibitor that targets FGFR4, a kinase that is aberrantly activated in a defined subset of patients with hepatocellular carcinoma, or HCC, the most common type of liver cancer. We are currently evaluating BLU-554 in an ongoing Phase 1 clinical trial in patients with advanced HCC. BLU-667 targets RET, a receptor tyrosine kinase that is abnormally activated by mutations or translocations, and RET resistant mutants that we predict will arise from treatment with first generation therapies. RET is a driver of disease in non-small cell lung cancer, or NSCLC, and cancers of the thyroid, including medullary thyroid carcinoma, or MTC, and our research suggests that RET may be a driver of disease in subsets of colon cancer, breast cancer and other cancers. In March 2017, we dosed the first patient in our Phase 1 clinical trial for BLU-667 in patients with NSCLC, MTC and other advanced solid tumors that harbor a RET alteration.</w:t>
      </w:r>
    </w:p>
    <w:p>
      <w:pPr>
        <w:spacing w:after="0" w:line="215" w:lineRule="exact"/>
        <w:rPr>
          <w:sz w:val="20"/>
          <w:szCs w:val="20"/>
          <w:color w:val="auto"/>
        </w:rPr>
      </w:pPr>
    </w:p>
    <w:p>
      <w:pPr>
        <w:ind w:left="240" w:right="140" w:firstLine="488"/>
        <w:spacing w:after="0" w:line="237" w:lineRule="auto"/>
        <w:rPr>
          <w:sz w:val="20"/>
          <w:szCs w:val="20"/>
          <w:color w:val="auto"/>
        </w:rPr>
      </w:pPr>
      <w:r>
        <w:rPr>
          <w:rFonts w:ascii="Arial" w:cs="Arial" w:eastAsia="Arial" w:hAnsi="Arial"/>
          <w:sz w:val="18"/>
          <w:szCs w:val="18"/>
          <w:color w:val="auto"/>
        </w:rPr>
        <w:t>In September 2015, the FDA granted orphan drug designation to BLU-554 for the treatment of HCC, and in January 2016, the FDA granted orphan drug designation to BLU-285 for the treatment of GIST and SM. In addition, in October 2016, the FDA granted fast track designation to BLU-285 for the treatment of patients with unresectable or metastatic GIST that progressed following treatment with imatinib and a second tyrosine kinase inhibitor and for the treatment of patients with</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3" w:right="5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58273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5827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40" w:right="300"/>
        <w:spacing w:after="0" w:line="259" w:lineRule="auto"/>
        <w:rPr>
          <w:sz w:val="20"/>
          <w:szCs w:val="20"/>
          <w:color w:val="auto"/>
        </w:rPr>
      </w:pPr>
      <w:r>
        <w:rPr>
          <w:rFonts w:ascii="Arial" w:cs="Arial" w:eastAsia="Arial" w:hAnsi="Arial"/>
          <w:sz w:val="18"/>
          <w:szCs w:val="18"/>
          <w:color w:val="auto"/>
        </w:rPr>
        <w:t>unresectable or metastatic GIST with the PDGFRa D842V mutation regardless of prior therapy. We plan to seek regulatory guidance on potential pathways for expedited clinical development of BLU-285 for the treatment of PDGFRa-driven GIST and patients with relapsed or refractory KIT-driven GIST, which we collectively refer to as advanced GIST.</w:t>
      </w:r>
    </w:p>
    <w:p>
      <w:pPr>
        <w:spacing w:after="0" w:line="19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We have worldwide development and commercialization rights to BLU-285, BLU-554 and BLU-667.</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Phase 1 Clinical Programs</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BLU-285 for the Treatment of Advanced SM</w:t>
      </w:r>
    </w:p>
    <w:p>
      <w:pPr>
        <w:spacing w:after="0" w:line="230" w:lineRule="exact"/>
        <w:rPr>
          <w:sz w:val="20"/>
          <w:szCs w:val="20"/>
          <w:color w:val="auto"/>
        </w:rPr>
      </w:pPr>
    </w:p>
    <w:p>
      <w:pPr>
        <w:ind w:left="240" w:firstLine="488"/>
        <w:spacing w:after="0" w:line="235" w:lineRule="auto"/>
        <w:rPr>
          <w:sz w:val="20"/>
          <w:szCs w:val="20"/>
          <w:color w:val="auto"/>
        </w:rPr>
      </w:pPr>
      <w:r>
        <w:rPr>
          <w:rFonts w:ascii="Arial" w:cs="Arial" w:eastAsia="Arial" w:hAnsi="Arial"/>
          <w:sz w:val="18"/>
          <w:szCs w:val="18"/>
          <w:color w:val="auto"/>
        </w:rPr>
        <w:t>BLU-285 is currently being evaluated in the dose escalation stage of a Phase 1 clinical trial in patients with advanced SM, and enrollment is ongoing. In December 2016, we presented preliminary data from our ongoing Phase 1 clinical trial at the 2016 American Society of Hematology Annual Meeting. The data showed that BLU-285 was observed to be well-tolerated and achieved proof-of-concept in advanced SM. Based on the preliminary safety profile and clinical activity observed in this clinical trial, we plan to continue to enroll patients in the dose escalation stage of this Phase 1 clinical trial until a maximum tolerated dose, or MTD, is reached or a recommended dose is established. We plan to open enrollment in expansion cohorts to evaluate BLU-285 as a single agent in advanced SM once a recommended dose for further clinical evaluation has been determined or an MTD has been reached. We expect to initiate the expansion stage of this clinical trial in 2017. In addition, based on the preliminary safety and clinical activity data, we plan to evaluate options to expand the clinical development of BLU-285 in other KIT-driven diseases, including possible opportunities for the treatment of indolent SM and KIT-mutant acute myeloid leukemia, groups of patients in need of more effective treatments.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BLU-285 for the Treatment of Advanced GIST</w:t>
      </w:r>
    </w:p>
    <w:p>
      <w:pPr>
        <w:spacing w:after="0" w:line="230" w:lineRule="exact"/>
        <w:rPr>
          <w:sz w:val="20"/>
          <w:szCs w:val="20"/>
          <w:color w:val="auto"/>
        </w:rPr>
      </w:pPr>
    </w:p>
    <w:p>
      <w:pPr>
        <w:ind w:left="240" w:right="200" w:firstLine="488"/>
        <w:spacing w:after="0" w:line="275" w:lineRule="auto"/>
        <w:rPr>
          <w:sz w:val="20"/>
          <w:szCs w:val="20"/>
          <w:color w:val="auto"/>
        </w:rPr>
      </w:pPr>
      <w:r>
        <w:rPr>
          <w:rFonts w:ascii="Arial" w:cs="Arial" w:eastAsia="Arial" w:hAnsi="Arial"/>
          <w:sz w:val="16"/>
          <w:szCs w:val="16"/>
          <w:color w:val="auto"/>
        </w:rPr>
        <w:t>BLU-285 is currently being evaluated in the dose expansion stage of a Phase 1 clinical trial in patients with advanced GIST, and enrollment is ongoing. In December 2016, we presented preliminary data from the dose escalation stage of this clinical trial in December 2016 at the 28th EORTC-NCI-AACR Symposium on Molecular Targets and Cancer Therapeutics. The data showed that BLU-285 was observed to be well-tolerated and had achieved proof-of-concept in PDGFRa-driven GIST and KIT-driven GIST. Based on the preliminary safety profile and clinical activity observed in this clinical trial, we have increased the cohort size in the expansion stage to evaluate the potential of BLU-285 as a single agent therapy in PDGFRa-driven GIST and KIT-driven GIST and to accelerate our evaluation of expanded development options for BLU-285 in GIST, including opportunities to move to earlier lines of therapy and possible combinations.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BLU-554 for the Treatment of Advanced HCC</w:t>
      </w:r>
    </w:p>
    <w:p>
      <w:pPr>
        <w:spacing w:after="0" w:line="230" w:lineRule="exact"/>
        <w:rPr>
          <w:sz w:val="20"/>
          <w:szCs w:val="20"/>
          <w:color w:val="auto"/>
        </w:rPr>
      </w:pPr>
    </w:p>
    <w:p>
      <w:pPr>
        <w:ind w:left="240" w:right="60" w:firstLine="488"/>
        <w:spacing w:after="0" w:line="264" w:lineRule="auto"/>
        <w:rPr>
          <w:sz w:val="20"/>
          <w:szCs w:val="20"/>
          <w:color w:val="auto"/>
        </w:rPr>
      </w:pPr>
      <w:r>
        <w:rPr>
          <w:rFonts w:ascii="Arial" w:cs="Arial" w:eastAsia="Arial" w:hAnsi="Arial"/>
          <w:sz w:val="16"/>
          <w:szCs w:val="16"/>
          <w:color w:val="auto"/>
        </w:rPr>
        <w:t>BLU-554 is currently being evaluated in the dose expansion stage of a Phase 1 clinical trial in patients with advanced HCC, and enrollment is ongoing. In November 2016, we presented preliminary data from the dose escalation stage of this ongoing clinical trial at the 28th EORTC-NCI-AACR Symposium on Molecular Targets and Cancer Therapeutics. The data showed that BLU-554 had achieved proof-of concept in this indication and an MTD had been established for BLU-554. Based on the observed mean half-life of approximately 10 hours for BLU-554 on a QD dosing schedule, we recently amended the protocol for this clinical trial to also explore a BID dosing schedule for BLU-</w:t>
      </w:r>
    </w:p>
    <w:p>
      <w:pPr>
        <w:spacing w:after="0" w:line="1" w:lineRule="exact"/>
        <w:rPr>
          <w:sz w:val="20"/>
          <w:szCs w:val="20"/>
          <w:color w:val="auto"/>
        </w:rPr>
      </w:pPr>
    </w:p>
    <w:p>
      <w:pPr>
        <w:ind w:left="240" w:right="600" w:firstLine="2"/>
        <w:spacing w:after="0" w:line="239" w:lineRule="auto"/>
        <w:tabs>
          <w:tab w:leader="none" w:pos="631"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the preliminary data, we also plan to accelerate our evaluation of expanded development options for BLU-554 in HCC, including opportunities to move to earlier lines of therapy and possible combinations.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6187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6187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BLU-667 for the Treatment of NSCLC, MTC and Other Advanced Solid Tumors</w:t>
      </w:r>
    </w:p>
    <w:p>
      <w:pPr>
        <w:spacing w:after="0" w:line="230" w:lineRule="exact"/>
        <w:rPr>
          <w:sz w:val="20"/>
          <w:szCs w:val="20"/>
          <w:color w:val="auto"/>
        </w:rPr>
      </w:pPr>
    </w:p>
    <w:p>
      <w:pPr>
        <w:ind w:left="240" w:right="20" w:firstLine="488"/>
        <w:spacing w:after="0" w:line="235" w:lineRule="auto"/>
        <w:rPr>
          <w:sz w:val="20"/>
          <w:szCs w:val="20"/>
          <w:color w:val="auto"/>
        </w:rPr>
      </w:pPr>
      <w:r>
        <w:rPr>
          <w:rFonts w:ascii="Arial" w:cs="Arial" w:eastAsia="Arial" w:hAnsi="Arial"/>
          <w:sz w:val="18"/>
          <w:szCs w:val="18"/>
          <w:color w:val="auto"/>
        </w:rPr>
        <w:t>In March 2017, we dosed the first patient in our Phase 1 clinical trial for BLU-667 in patients with NSCLC, MTC and other advanced solid tumors that harbor a RET alteration. Our Phase 1 clinical trial of BLU-667 in RET is designed to evaluate the safety and tolerability of BLU-667 in multiple ascending doses in patients with NSCLC, MTC and other advanced solid tumors with the goal of establishing an MTD or a recommended dose if the MTD is not achieved. Once the MTD is reached, or a recommended dose is established, we plan to open expansion cohorts for the following four patient groups: (1) NSCLC patients with a RET rearrangement who have undergone prior treatment with a tyrosine kinase inhibitor, or TKI, that inhibits RET; (2) NSCLC patients with a RET rearrangement who have never undergone treatment with a TKI that inhibits RET; (3) patients with MTC; and (4) patients with RET-altered solid tumors, other than NSCLC and MTC. Secondary objectives for this Phase 1 clinical trial include assessing the PK profile of BLU-667, assessing RET gene status in plasma and tumor tissue, characterizing the PD of BLU-667 and assessing response rate by RECIST.</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Preclinical Development Programs</w:t>
      </w:r>
    </w:p>
    <w:p>
      <w:pPr>
        <w:spacing w:after="0" w:line="234" w:lineRule="exact"/>
        <w:rPr>
          <w:sz w:val="20"/>
          <w:szCs w:val="20"/>
          <w:color w:val="auto"/>
        </w:rPr>
      </w:pPr>
    </w:p>
    <w:p>
      <w:pPr>
        <w:ind w:left="240" w:right="60" w:firstLine="488"/>
        <w:spacing w:after="0" w:line="236" w:lineRule="auto"/>
        <w:rPr>
          <w:sz w:val="20"/>
          <w:szCs w:val="20"/>
          <w:color w:val="auto"/>
        </w:rPr>
      </w:pPr>
      <w:r>
        <w:rPr>
          <w:rFonts w:ascii="Arial" w:cs="Arial" w:eastAsia="Arial" w:hAnsi="Arial"/>
          <w:sz w:val="18"/>
          <w:szCs w:val="18"/>
          <w:color w:val="auto"/>
        </w:rPr>
        <w:t>We also have initiated a discovery program targeting protein kinase cAMP-activated catalytic subunit alpha, or PRKACA, fusions for the treatment of fibrolamellar carcinoma, or FLC, a rare and distinct subtype of liver cancer that typically arises in young adults. PRKACA fusions are the only known recurrent genomic events in FLC and are considered to be the driver gene of the disease. Currently, there are no approved therapies for FLC, and surgery is the only available treatment option for some patients, but most patients inevitably progress. We plan to continue to leverage our discovery platform to systematically and reproducibly identify kinases that are drivers of diseases in genomically defined patient populations and craft drug candidates that potently and selectively target these kinases. We anticipate nominating at least one additional discovery program in 2017.</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Collaboration Programs</w:t>
      </w:r>
    </w:p>
    <w:p>
      <w:pPr>
        <w:spacing w:after="0" w:line="234" w:lineRule="exact"/>
        <w:rPr>
          <w:sz w:val="20"/>
          <w:szCs w:val="20"/>
          <w:color w:val="auto"/>
        </w:rPr>
      </w:pPr>
    </w:p>
    <w:p>
      <w:pPr>
        <w:ind w:left="240" w:firstLine="488"/>
        <w:spacing w:after="0" w:line="236" w:lineRule="auto"/>
        <w:rPr>
          <w:sz w:val="20"/>
          <w:szCs w:val="20"/>
          <w:color w:val="auto"/>
        </w:rPr>
      </w:pPr>
      <w:r>
        <w:rPr>
          <w:rFonts w:ascii="Arial" w:cs="Arial" w:eastAsia="Arial" w:hAnsi="Arial"/>
          <w:sz w:val="18"/>
          <w:szCs w:val="18"/>
          <w:color w:val="auto"/>
        </w:rPr>
        <w:t>In addition to our wholly-owned clinical and pre-clinical programs, we have leveraged our discovery platform to enter into collaboration programs with Alexion Pharma Holding, or Alexion, and F. Hoffmann-La Roche Ltd and Hoffmann-La Roche Inc., which we refer to collectively as Roche. In March 2015, we entered into an agreement with Alexion to discover, develop and commercialize one or more drug candidates targeting an undisclosed rare genetic disease. In March 2016, we entered into an agreement with Roche to discover, develop and commercialize up to five small molecule therapeutics targeting kinases believed to be important in cancer immunotherapy, as single products or possibly in combination with other therapeutics. We will continue to evaluate additional collaborations that could maximize the value for our programs and allow us to leverage the expertise of strategic collaborators. We are also focused on engaging in collaborations to capitalize on our discovery platform outside of our primary strategic focus area of cancer.</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Strategy</w:t>
      </w:r>
    </w:p>
    <w:p>
      <w:pPr>
        <w:spacing w:after="0" w:line="234" w:lineRule="exact"/>
        <w:rPr>
          <w:sz w:val="20"/>
          <w:szCs w:val="20"/>
          <w:color w:val="auto"/>
        </w:rPr>
      </w:pPr>
    </w:p>
    <w:p>
      <w:pPr>
        <w:ind w:left="240" w:right="260" w:firstLine="488"/>
        <w:spacing w:after="0" w:line="239" w:lineRule="auto"/>
        <w:rPr>
          <w:sz w:val="20"/>
          <w:szCs w:val="20"/>
          <w:color w:val="auto"/>
        </w:rPr>
      </w:pPr>
      <w:r>
        <w:rPr>
          <w:rFonts w:ascii="Arial" w:cs="Arial" w:eastAsia="Arial" w:hAnsi="Arial"/>
          <w:sz w:val="18"/>
          <w:szCs w:val="18"/>
          <w:color w:val="auto"/>
        </w:rPr>
        <w:t>Our goal is to become a fully-integrated biopharmaceutical company capable of delivering transformative drugs to patients. The key tenets of our strategy include the following:</w:t>
      </w:r>
    </w:p>
    <w:p>
      <w:pPr>
        <w:spacing w:after="0" w:line="223" w:lineRule="exact"/>
        <w:rPr>
          <w:sz w:val="20"/>
          <w:szCs w:val="20"/>
          <w:color w:val="auto"/>
        </w:rPr>
      </w:pPr>
    </w:p>
    <w:p>
      <w:pPr>
        <w:ind w:left="1320" w:hanging="53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Rapidly advance our lead drug candidates, BLU-285, BLU-554 and BLU-667, through clinical development.</w:t>
      </w:r>
    </w:p>
    <w:p>
      <w:pPr>
        <w:spacing w:after="0" w:line="198" w:lineRule="exact"/>
        <w:rPr>
          <w:rFonts w:ascii="Arial" w:cs="Arial" w:eastAsia="Arial" w:hAnsi="Arial"/>
          <w:sz w:val="18"/>
          <w:szCs w:val="18"/>
          <w:color w:val="auto"/>
        </w:rPr>
      </w:pPr>
    </w:p>
    <w:p>
      <w:pPr>
        <w:ind w:left="1320" w:hanging="53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Build a pipeline of kinase drugs for patients with genomically defined drivers of disease.</w:t>
      </w:r>
    </w:p>
    <w:p>
      <w:pPr>
        <w:spacing w:after="0" w:line="198" w:lineRule="exact"/>
        <w:rPr>
          <w:rFonts w:ascii="Arial" w:cs="Arial" w:eastAsia="Arial" w:hAnsi="Arial"/>
          <w:sz w:val="18"/>
          <w:szCs w:val="18"/>
          <w:color w:val="auto"/>
        </w:rPr>
      </w:pPr>
    </w:p>
    <w:p>
      <w:pPr>
        <w:ind w:left="1320" w:hanging="53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Continuously invest in our proprietary discovery platform to ensure future growth.</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4223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4223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hanging="538"/>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Evaluate strategic collaborations to maximize the value of our programs and platform.</w:t>
      </w:r>
    </w:p>
    <w:p>
      <w:pPr>
        <w:spacing w:after="0" w:line="198" w:lineRule="exact"/>
        <w:rPr>
          <w:rFonts w:ascii="Arial" w:cs="Arial" w:eastAsia="Arial" w:hAnsi="Arial"/>
          <w:sz w:val="18"/>
          <w:szCs w:val="18"/>
          <w:color w:val="auto"/>
        </w:rPr>
      </w:pPr>
    </w:p>
    <w:p>
      <w:pPr>
        <w:ind w:left="1320" w:hanging="538"/>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Blueprint Medicines' patient-focused and science-driven culture as we grow our business.</w:t>
      </w:r>
    </w:p>
    <w:p>
      <w:pPr>
        <w:spacing w:after="0" w:line="39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4" w:lineRule="exact"/>
        <w:rPr>
          <w:sz w:val="20"/>
          <w:szCs w:val="20"/>
          <w:color w:val="auto"/>
        </w:rPr>
      </w:pPr>
    </w:p>
    <w:p>
      <w:pPr>
        <w:ind w:left="240" w:right="40" w:firstLine="488"/>
        <w:spacing w:after="0" w:line="236"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We will remain an emerging growth company until the earlier of (i) December 31, 2020; (ii) the last day of the fiscal year in which we have total annual gross revenues of $1 billion or more; (iii) the date on which we have issued more than $1 billion in nonconvertible debt during the previous three years; or (iv) the date on which we are deemed to be a large accelerated filer under the rules of the Securities and Exchange Commission, which means the market value of our common stock that is held by non-affiliates exceeds $700 million as of June 30th of the previous year. For so long as we remain an emerging growth company, we are permitted and intend to rely on exemptions from certain disclosure requirements that are applicable to other public companies that are not emerging growth companies.</w:t>
      </w:r>
    </w:p>
    <w:p>
      <w:pPr>
        <w:spacing w:after="0" w:line="39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Company Information</w:t>
      </w:r>
    </w:p>
    <w:p>
      <w:pPr>
        <w:spacing w:after="0" w:line="234" w:lineRule="exact"/>
        <w:rPr>
          <w:sz w:val="20"/>
          <w:szCs w:val="20"/>
          <w:color w:val="auto"/>
        </w:rPr>
      </w:pPr>
    </w:p>
    <w:p>
      <w:pPr>
        <w:ind w:left="240" w:right="120" w:firstLine="488"/>
        <w:spacing w:after="0" w:line="273" w:lineRule="auto"/>
        <w:rPr>
          <w:sz w:val="20"/>
          <w:szCs w:val="20"/>
          <w:color w:val="auto"/>
        </w:rPr>
      </w:pPr>
      <w:r>
        <w:rPr>
          <w:rFonts w:ascii="Arial" w:cs="Arial" w:eastAsia="Arial" w:hAnsi="Arial"/>
          <w:sz w:val="16"/>
          <w:szCs w:val="16"/>
          <w:color w:val="auto"/>
        </w:rPr>
        <w:t>We were incorporated in Delaware in October 2008. Our mailing address and executive offices are located at 38 Sidney Street, Suite 200, Cambridge, Massachusetts, 02139, and our telephone number is (617) 374-7580. We maintain an Internet website at the following address: www.blueprintmedicines.com. The information on, or that can be accessed through, our website does not constitute part of this prospectus supplement or the accompanying prospectus, and you should not rely on any such information in making the decision whether to purchase our common stock. Our common stock trades on The NASDAQ Global Select Market under the symbol "BPMC".</w:t>
      </w:r>
    </w:p>
    <w:p>
      <w:pPr>
        <w:spacing w:after="0" w:line="183" w:lineRule="exact"/>
        <w:rPr>
          <w:sz w:val="20"/>
          <w:szCs w:val="20"/>
          <w:color w:val="auto"/>
        </w:rPr>
      </w:pPr>
    </w:p>
    <w:p>
      <w:pPr>
        <w:ind w:left="240" w:firstLine="485"/>
        <w:spacing w:after="0" w:line="237" w:lineRule="auto"/>
        <w:rPr>
          <w:sz w:val="20"/>
          <w:szCs w:val="20"/>
          <w:color w:val="auto"/>
        </w:rPr>
      </w:pPr>
      <w:r>
        <w:rPr>
          <w:rFonts w:ascii="Arial" w:cs="Arial" w:eastAsia="Arial" w:hAnsi="Arial"/>
          <w:sz w:val="18"/>
          <w:szCs w:val="18"/>
          <w:color w:val="auto"/>
        </w:rPr>
        <w:t>The trademarks, trade names and services marks appearing in this prospectus supplement and the accompanying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43" w:right="5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6050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6050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160"/>
          </w:cols>
          <w:pgMar w:left="240" w:top="143" w:right="499" w:bottom="1440" w:gutter="0" w:footer="0" w:header="0"/>
        </w:sectPr>
      </w:pPr>
    </w:p>
    <w:p>
      <w:pPr>
        <w:spacing w:after="0" w:line="25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5,000,000 shares</w:t>
      </w:r>
    </w:p>
    <w:p>
      <w:pPr>
        <w:spacing w:after="0" w:line="200" w:lineRule="exact"/>
        <w:rPr>
          <w:sz w:val="20"/>
          <w:szCs w:val="20"/>
          <w:color w:val="auto"/>
        </w:rPr>
      </w:pPr>
    </w:p>
    <w:p>
      <w:pPr>
        <w:sectPr>
          <w:pgSz w:w="11900" w:h="16838" w:orient="portrait"/>
          <w:cols w:equalWidth="0" w:num="2">
            <w:col w:w="3900" w:space="720"/>
            <w:col w:w="6540"/>
          </w:cols>
          <w:pgMar w:left="240" w:top="143" w:right="499" w:bottom="1440" w:gutter="0" w:footer="0" w:header="0"/>
          <w:type w:val="continuous"/>
        </w:sectPr>
      </w:pPr>
    </w:p>
    <w:p>
      <w:pPr>
        <w:spacing w:after="0" w:line="3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Common stock outstanding following the offering</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38,125,479 shares (or 38,875,479 shares if the underwriters exercise their option to purchase additional shares in full)</w:t>
      </w:r>
    </w:p>
    <w:p>
      <w:pPr>
        <w:spacing w:after="0" w:line="200" w:lineRule="exact"/>
        <w:rPr>
          <w:sz w:val="20"/>
          <w:szCs w:val="20"/>
          <w:color w:val="auto"/>
        </w:rPr>
      </w:pPr>
    </w:p>
    <w:p>
      <w:pPr>
        <w:sectPr>
          <w:pgSz w:w="11900" w:h="16838" w:orient="portrait"/>
          <w:cols w:equalWidth="0" w:num="2">
            <w:col w:w="4020" w:space="600"/>
            <w:col w:w="6540"/>
          </w:cols>
          <w:pgMar w:left="240" w:top="143" w:right="499" w:bottom="1440" w:gutter="0" w:footer="0" w:header="0"/>
          <w:type w:val="continuous"/>
        </w:sectPr>
      </w:pPr>
    </w:p>
    <w:p>
      <w:pPr>
        <w:spacing w:after="0" w:line="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Underwriters' option to purchase additional shares</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Arial" w:cs="Arial" w:eastAsia="Arial" w:hAnsi="Arial"/>
          <w:sz w:val="18"/>
          <w:szCs w:val="18"/>
          <w:color w:val="auto"/>
        </w:rPr>
        <w:t>We have granted the underwriters an option to purchase up to an additional 750,000 shares of common stock. The underwriters can exercise this option at any time within 30 days from the date of this prospectus supplement.</w:t>
      </w:r>
    </w:p>
    <w:p>
      <w:pPr>
        <w:spacing w:after="0" w:line="200" w:lineRule="exact"/>
        <w:rPr>
          <w:sz w:val="20"/>
          <w:szCs w:val="20"/>
          <w:color w:val="auto"/>
        </w:rPr>
      </w:pPr>
    </w:p>
    <w:p>
      <w:pPr>
        <w:sectPr>
          <w:pgSz w:w="11900" w:h="16838" w:orient="portrait"/>
          <w:cols w:equalWidth="0" w:num="2">
            <w:col w:w="4140" w:space="480"/>
            <w:col w:w="6540"/>
          </w:cols>
          <w:pgMar w:left="240" w:top="143" w:right="499" w:bottom="1440" w:gutter="0" w:footer="0" w:header="0"/>
          <w:type w:val="continuous"/>
        </w:sectPr>
      </w:pPr>
    </w:p>
    <w:p>
      <w:pPr>
        <w:spacing w:after="0" w:line="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Use of proceeds</w:t>
      </w:r>
    </w:p>
    <w:p>
      <w:pPr>
        <w:spacing w:after="0" w:line="20" w:lineRule="exact"/>
        <w:rPr>
          <w:sz w:val="20"/>
          <w:szCs w:val="20"/>
          <w:color w:val="auto"/>
        </w:rPr>
      </w:pPr>
      <w:r>
        <w:rPr>
          <w:sz w:val="20"/>
          <w:szCs w:val="20"/>
          <w:color w:val="auto"/>
        </w:rPr>
        <w:br w:type="column"/>
      </w:r>
    </w:p>
    <w:p>
      <w:pPr>
        <w:ind w:right="20"/>
        <w:spacing w:after="0" w:line="235" w:lineRule="auto"/>
        <w:rPr>
          <w:sz w:val="20"/>
          <w:szCs w:val="20"/>
          <w:color w:val="auto"/>
        </w:rPr>
      </w:pPr>
      <w:r>
        <w:rPr>
          <w:rFonts w:ascii="Arial" w:cs="Arial" w:eastAsia="Arial" w:hAnsi="Arial"/>
          <w:sz w:val="18"/>
          <w:szCs w:val="18"/>
          <w:color w:val="auto"/>
        </w:rPr>
        <w:t>We expect to receive net proceeds from this offering of approximately $187.4 million (or approximately $215.6 million if the underwriters exercise their option to purchase additional shares in full), after deducting underwriting discounts and commissions and estimated offering expenses payable by us. We intend to use the net proceeds from this offering to fund clinical trials for BLU-285 in GIST and SM, which may include the expansion of our current Phase 1 clinical trials for these indications, registration clinical trials or indication expansion clinical trials; to fund clinical trials for BLU-554 in HCC, which may include the expansion of our current Phase 1 clinical trial for this indication, registration clinical trials or indication expansion clinical trials; to fund the completion of our current Phase 1 clinical trial for BLU-667 in non-small cell lung cancer, medullary thyroid cancer and other advanced solid tumors and the initiation of additional clinical trials for BLU-667 in RET-driven cancers; and the balance, if any, to fund working capital and other general corporate purposes, including ongoing research and pre-commercial planning activities. See "Use of Proceeds" for additional information.</w:t>
      </w:r>
    </w:p>
    <w:p>
      <w:pPr>
        <w:spacing w:after="0" w:line="200" w:lineRule="exact"/>
        <w:rPr>
          <w:sz w:val="20"/>
          <w:szCs w:val="20"/>
          <w:color w:val="auto"/>
        </w:rPr>
      </w:pPr>
    </w:p>
    <w:p>
      <w:pPr>
        <w:sectPr>
          <w:pgSz w:w="11900" w:h="16838" w:orient="portrait"/>
          <w:cols w:equalWidth="0" w:num="2">
            <w:col w:w="3900" w:space="720"/>
            <w:col w:w="6540"/>
          </w:cols>
          <w:pgMar w:left="240" w:top="143" w:right="499" w:bottom="1440" w:gutter="0" w:footer="0" w:header="0"/>
          <w:type w:val="continuous"/>
        </w:sectPr>
      </w:pPr>
    </w:p>
    <w:p>
      <w:pPr>
        <w:spacing w:after="0" w:line="1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200"/>
        <w:spacing w:after="0" w:line="236" w:lineRule="auto"/>
        <w:rPr>
          <w:sz w:val="20"/>
          <w:szCs w:val="20"/>
          <w:color w:val="auto"/>
        </w:rPr>
      </w:pPr>
      <w:r>
        <w:rPr>
          <w:rFonts w:ascii="Arial" w:cs="Arial" w:eastAsia="Arial" w:hAnsi="Arial"/>
          <w:sz w:val="18"/>
          <w:szCs w:val="18"/>
          <w:color w:val="auto"/>
        </w:rPr>
        <w:t>Investing in our common stock involves risks. See "Risk Factors" beginning on page S-12 of this prospectus supplement and other information included or incorporated by reference into this prospectus supplement and the accompanying prospectus for a discussion of the factors you should carefully consider before deciding to invest in our securities.</w:t>
      </w:r>
    </w:p>
    <w:p>
      <w:pPr>
        <w:spacing w:after="0" w:line="200" w:lineRule="exact"/>
        <w:rPr>
          <w:sz w:val="20"/>
          <w:szCs w:val="20"/>
          <w:color w:val="auto"/>
        </w:rPr>
      </w:pPr>
    </w:p>
    <w:p>
      <w:pPr>
        <w:sectPr>
          <w:pgSz w:w="11900" w:h="16838" w:orient="portrait"/>
          <w:cols w:equalWidth="0" w:num="2">
            <w:col w:w="3900" w:space="720"/>
            <w:col w:w="6540"/>
          </w:cols>
          <w:pgMar w:left="240" w:top="143" w:right="499" w:bottom="1440" w:gutter="0" w:footer="0" w:header="0"/>
          <w:type w:val="continuous"/>
        </w:sectPr>
      </w:pPr>
    </w:p>
    <w:p>
      <w:pPr>
        <w:spacing w:after="0" w:line="1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"BPMC"</w:t>
      </w:r>
    </w:p>
    <w:p>
      <w:pPr>
        <w:spacing w:after="0" w:line="200" w:lineRule="exact"/>
        <w:rPr>
          <w:sz w:val="20"/>
          <w:szCs w:val="20"/>
          <w:color w:val="auto"/>
        </w:rPr>
      </w:pPr>
    </w:p>
    <w:p>
      <w:pPr>
        <w:sectPr>
          <w:pgSz w:w="11900" w:h="16838" w:orient="portrait"/>
          <w:cols w:equalWidth="0" w:num="2">
            <w:col w:w="3900" w:space="720"/>
            <w:col w:w="6540"/>
          </w:cols>
          <w:pgMar w:left="240" w:top="143" w:right="499" w:bottom="1440" w:gutter="0" w:footer="0" w:header="0"/>
          <w:type w:val="continuous"/>
        </w:sectPr>
      </w:pPr>
    </w:p>
    <w:p>
      <w:pPr>
        <w:spacing w:after="0" w:line="35" w:lineRule="exact"/>
        <w:rPr>
          <w:sz w:val="20"/>
          <w:szCs w:val="20"/>
          <w:color w:val="auto"/>
        </w:rPr>
      </w:pPr>
    </w:p>
    <w:p>
      <w:pPr>
        <w:ind w:left="240" w:right="240" w:firstLine="485"/>
        <w:spacing w:after="0" w:line="238" w:lineRule="auto"/>
        <w:rPr>
          <w:sz w:val="20"/>
          <w:szCs w:val="20"/>
          <w:color w:val="auto"/>
        </w:rPr>
      </w:pPr>
      <w:r>
        <w:rPr>
          <w:rFonts w:ascii="Arial" w:cs="Arial" w:eastAsia="Arial" w:hAnsi="Arial"/>
          <w:sz w:val="18"/>
          <w:szCs w:val="18"/>
          <w:color w:val="auto"/>
        </w:rPr>
        <w:t>The number of shares of our common stock to be outstanding after the offering is based on 33,125,479 shares of common stock outstanding as of December 31, 2016, including 2,125 shares that are subject to repurchase by us and are not considered outstanding for accounting purposes until vested, and excludes:</w:t>
      </w:r>
    </w:p>
    <w:p>
      <w:pPr>
        <w:spacing w:after="0" w:line="222" w:lineRule="exact"/>
        <w:rPr>
          <w:sz w:val="20"/>
          <w:szCs w:val="20"/>
          <w:color w:val="auto"/>
        </w:rPr>
      </w:pPr>
    </w:p>
    <w:p>
      <w:pPr>
        <w:ind w:left="1320" w:right="340" w:hanging="538"/>
        <w:spacing w:after="0" w:line="239"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2,622,741 shares of common stock issuable upon the exercise of stock options outstanding as of December 31, 2016, at a weighted average exercise price of $11.67 per share;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43" w:right="49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2764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276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80" w:hanging="538"/>
        <w:spacing w:after="0" w:line="238"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1,551,519 shares of common stock reserved for future issuance under our 2015 Stock Option and Incentive Plan, or the 2015 Plan, as of December 31, 2016, plus any future increases in the number of shares of common stock reserved for issuance under the 2015 Plan pursuant to the evergreen provision of the 2015 Plan; and</w:t>
      </w:r>
    </w:p>
    <w:p>
      <w:pPr>
        <w:spacing w:after="0" w:line="194" w:lineRule="exact"/>
        <w:rPr>
          <w:rFonts w:ascii="Arial" w:cs="Arial" w:eastAsia="Arial" w:hAnsi="Arial"/>
          <w:sz w:val="18"/>
          <w:szCs w:val="18"/>
          <w:color w:val="auto"/>
        </w:rPr>
      </w:pPr>
    </w:p>
    <w:p>
      <w:pPr>
        <w:ind w:left="1320" w:right="820" w:hanging="538"/>
        <w:spacing w:after="0" w:line="239"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491,982 shares of common stock reserved for future issuance under our 2015 Employee Stock Purchase Plan as of December 31, 2016.</w:t>
      </w:r>
    </w:p>
    <w:p>
      <w:pPr>
        <w:spacing w:after="0" w:line="20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Except as otherwise indicated, all information in this prospectus supplement assumes:</w:t>
      </w:r>
    </w:p>
    <w:p>
      <w:pPr>
        <w:spacing w:after="0" w:line="212" w:lineRule="exact"/>
        <w:rPr>
          <w:sz w:val="20"/>
          <w:szCs w:val="20"/>
          <w:color w:val="auto"/>
        </w:rPr>
      </w:pPr>
    </w:p>
    <w:p>
      <w:pPr>
        <w:ind w:left="1320" w:hanging="538"/>
        <w:spacing w:after="0" w:line="239"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an additional 750,000 shares of common stock in this offering; and</w:t>
      </w:r>
    </w:p>
    <w:p>
      <w:pPr>
        <w:spacing w:after="0" w:line="208" w:lineRule="exact"/>
        <w:rPr>
          <w:rFonts w:ascii="Arial" w:cs="Arial" w:eastAsia="Arial" w:hAnsi="Arial"/>
          <w:sz w:val="18"/>
          <w:szCs w:val="18"/>
          <w:color w:val="auto"/>
        </w:rPr>
      </w:pPr>
    </w:p>
    <w:p>
      <w:pPr>
        <w:ind w:left="1320" w:hanging="538"/>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of stock options after December 31, 2016.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3" w:right="5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right="20" w:firstLine="488"/>
        <w:spacing w:after="0" w:line="274" w:lineRule="auto"/>
        <w:rPr>
          <w:sz w:val="20"/>
          <w:szCs w:val="20"/>
          <w:color w:val="auto"/>
        </w:rPr>
      </w:pPr>
      <w:r>
        <w:rPr>
          <w:rFonts w:ascii="Arial" w:cs="Arial" w:eastAsia="Arial" w:hAnsi="Arial"/>
          <w:sz w:val="16"/>
          <w:szCs w:val="16"/>
          <w:i w:val="1"/>
          <w:iCs w:val="1"/>
          <w:color w:val="auto"/>
        </w:rPr>
        <w:t>Investing in our common stock involves significant risks. In addition to the other information contained in this prospectus supplement, the accompanying prospectus and in the documents that we have incorporated by reference, you should carefully consider the risks discussed below and under the heading "Risk Factors" in our Annual Report on Form 10-K for the fiscal year ended December 31, 2016, filed with the SEC on March 9, 2017, as updated by our subsequent filings under the Exchange Act, before making a decision about investing in our common stock. Such risks and uncertainties and those discussed below are not the only ones facing us.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w:t>
      </w: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21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The price of our common stock historically has been and may in the future be volatile and fluctuate substantially, which may affect the price at which you could sell the common stock.</w:t>
      </w:r>
    </w:p>
    <w:p>
      <w:pPr>
        <w:spacing w:after="0" w:line="189" w:lineRule="exact"/>
        <w:rPr>
          <w:sz w:val="20"/>
          <w:szCs w:val="20"/>
          <w:color w:val="auto"/>
        </w:rPr>
      </w:pPr>
    </w:p>
    <w:p>
      <w:pPr>
        <w:ind w:right="100" w:firstLine="488"/>
        <w:spacing w:after="0" w:line="236" w:lineRule="auto"/>
        <w:rPr>
          <w:sz w:val="20"/>
          <w:szCs w:val="20"/>
          <w:color w:val="auto"/>
        </w:rPr>
      </w:pPr>
      <w:r>
        <w:rPr>
          <w:rFonts w:ascii="Arial" w:cs="Arial" w:eastAsia="Arial" w:hAnsi="Arial"/>
          <w:sz w:val="18"/>
          <w:szCs w:val="18"/>
          <w:color w:val="auto"/>
        </w:rPr>
        <w:t>Our stock price has been and in the future may be subject to substantial volatility. In addition, the stock market in general, and NASDAQ listed and biopharmaceutical companies in particular, have experienced extreme price and volume fluctuations that have often been unrelated or disproportionate to the operating performance of these companies. For example, our stock traded within a range of a high price of $44.54 and a low price of $13.04 per share for the period beginning on April 30, 2015, our first day of trading on The NASDAQ Global Select Market, through March 29, 2017. As a result of this volatility, our stockholders could incur substantial losses. In addition, the market price for our common stock may be influenced by many factors, including:</w:t>
      </w:r>
    </w:p>
    <w:p>
      <w:pPr>
        <w:spacing w:after="0" w:line="210"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 of competitive drugs or technologies;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results of clinical trials of our drug candidates or those of our competitors;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expenses related to any of our drug candidates or clinical development programs;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drug candidates or drugs;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221"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16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We have broad discretion in how we use the proceeds of this offering, as well as our existing cash, cash equivalents and investments, and may not use them effectively, which could affect our results of operations and cause our stock price to decline.</w:t>
      </w:r>
    </w:p>
    <w:p>
      <w:pPr>
        <w:spacing w:after="0" w:line="189" w:lineRule="exact"/>
        <w:rPr>
          <w:sz w:val="20"/>
          <w:szCs w:val="20"/>
          <w:color w:val="auto"/>
        </w:rPr>
      </w:pPr>
    </w:p>
    <w:p>
      <w:pPr>
        <w:ind w:right="60" w:firstLine="488"/>
        <w:spacing w:after="0" w:line="236" w:lineRule="auto"/>
        <w:rPr>
          <w:sz w:val="20"/>
          <w:szCs w:val="20"/>
          <w:color w:val="auto"/>
        </w:rPr>
      </w:pPr>
      <w:r>
        <w:rPr>
          <w:rFonts w:ascii="Arial" w:cs="Arial" w:eastAsia="Arial" w:hAnsi="Arial"/>
          <w:sz w:val="18"/>
          <w:szCs w:val="18"/>
          <w:color w:val="auto"/>
        </w:rPr>
        <w:t>We will have considerable discretion in the application of the net proceeds of this offering, including for any of the purposes described in the section entitled "Use of Proceeds", as well as our existing cash, cash equivalents and investments, and you will be relying on the judgment of our management regarding such application. You will not have the opportunity, as part of your investment decision, to assess whether the proceeds are being used appropriately.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18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89" w:lineRule="exact"/>
        <w:rPr>
          <w:sz w:val="20"/>
          <w:szCs w:val="20"/>
          <w:color w:val="auto"/>
        </w:rPr>
      </w:pPr>
    </w:p>
    <w:p>
      <w:pPr>
        <w:ind w:firstLine="485"/>
        <w:spacing w:after="0" w:line="235" w:lineRule="auto"/>
        <w:rPr>
          <w:sz w:val="20"/>
          <w:szCs w:val="20"/>
          <w:color w:val="auto"/>
        </w:rPr>
      </w:pPr>
      <w:r>
        <w:rPr>
          <w:rFonts w:ascii="Arial" w:cs="Arial" w:eastAsia="Arial" w:hAnsi="Arial"/>
          <w:sz w:val="18"/>
          <w:szCs w:val="18"/>
          <w:color w:val="auto"/>
        </w:rPr>
        <w:t>The holdings of our executive officers, directors and stockholders who own more than 5% of our outstanding common stock, together with their affiliates and related persons, represent beneficial ownership, in the aggregate, of approximately 44% of our common stock, based on the number of shares of our common stock outstanding as December 31, 2016. Upon the closing of this offering, the holdings of our executive officers, directors and stockholders who owned more than 5% of our outstanding common stock before this offering, together with their affiliates and related persons, will represent beneficial ownership, in the aggregate, of approximately 38% of our common stock (approximately 38% if the underwriters exercise in full their option to purchase additional shares), based on the number of shares of our common stock outstanding as December 31, 2016. As a result, these stockholders, if they choose to act together, will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this concentration of ownership might adversely affect the market price of our common stock by:</w:t>
      </w:r>
    </w:p>
    <w:p>
      <w:pPr>
        <w:spacing w:after="0" w:line="212"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98" w:lineRule="exact"/>
        <w:rPr>
          <w:rFonts w:ascii="Arial" w:cs="Arial" w:eastAsia="Arial" w:hAnsi="Arial"/>
          <w:sz w:val="18"/>
          <w:szCs w:val="18"/>
          <w:color w:val="auto"/>
        </w:rPr>
      </w:pPr>
    </w:p>
    <w:p>
      <w:pPr>
        <w:ind w:left="5520" w:right="2000" w:hanging="4972"/>
        <w:spacing w:after="0" w:line="48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 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our common stock in this offering, you will incur immediate and substantial dilution in the book value of your shares.</w:t>
      </w:r>
    </w:p>
    <w:p>
      <w:pPr>
        <w:spacing w:after="0" w:line="232" w:lineRule="exact"/>
        <w:rPr>
          <w:sz w:val="20"/>
          <w:szCs w:val="20"/>
          <w:color w:val="auto"/>
        </w:rPr>
      </w:pPr>
    </w:p>
    <w:p>
      <w:pPr>
        <w:jc w:val="both"/>
        <w:ind w:right="20" w:firstLine="488"/>
        <w:spacing w:after="0" w:line="237" w:lineRule="auto"/>
        <w:rPr>
          <w:sz w:val="20"/>
          <w:szCs w:val="20"/>
          <w:color w:val="auto"/>
        </w:rPr>
      </w:pPr>
      <w:r>
        <w:rPr>
          <w:rFonts w:ascii="Arial" w:cs="Arial" w:eastAsia="Arial" w:hAnsi="Arial"/>
          <w:sz w:val="18"/>
          <w:szCs w:val="18"/>
          <w:color w:val="auto"/>
        </w:rPr>
        <w:t>Investors purchasing shares of common stock in this offering will pay a price per share that substantially exceeds the as adjusted book value per share of our tangible assets as of December 31, 2016 after subtracting our liabilities. As a result, investors purchasing shares of common stock in this offering will incur immediate dilution of $29.50 per share, based on the difference between the public offering price of $40.00 per share, and the as adjusted net tangible book value per share of our outstanding common stock as of December 31, 2016.</w:t>
      </w:r>
    </w:p>
    <w:p>
      <w:pPr>
        <w:spacing w:after="0" w:line="209" w:lineRule="exact"/>
        <w:rPr>
          <w:sz w:val="20"/>
          <w:szCs w:val="20"/>
          <w:color w:val="auto"/>
        </w:rPr>
      </w:pPr>
    </w:p>
    <w:p>
      <w:pPr>
        <w:ind w:right="60" w:firstLine="485"/>
        <w:spacing w:after="0" w:line="236" w:lineRule="auto"/>
        <w:rPr>
          <w:sz w:val="20"/>
          <w:szCs w:val="20"/>
          <w:color w:val="auto"/>
        </w:rPr>
      </w:pPr>
      <w:r>
        <w:rPr>
          <w:rFonts w:ascii="Arial" w:cs="Arial" w:eastAsia="Arial" w:hAnsi="Arial"/>
          <w:sz w:val="18"/>
          <w:szCs w:val="18"/>
          <w:color w:val="auto"/>
        </w:rPr>
        <w:t>This dilution is due to the substantially lower price paid by some of our investors who purchased shares prior to this offering as compared to the price offered to the public in this offering, and the exercise of stock options granted to our employees. In addition, as of December 31, 2016, options to purchase 2,622,741 shares of our common stock at a weighted average exercise price of $11.67 per share were outstanding. The exercise of any of these options would result in additional dilution. As a result of the dilution to investors purchasing shares in this offering, investors may receive significantly less than the purchase price paid in this offering, if anything, in the event of our liquidation. Further, because we will need to raise additional capital to fund our future activities, we may in the future sell substantial amounts of common stock or securities convertible into or exchangeable for common stock.</w:t>
      </w:r>
    </w:p>
    <w:p>
      <w:pPr>
        <w:spacing w:after="0" w:line="209" w:lineRule="exact"/>
        <w:rPr>
          <w:sz w:val="20"/>
          <w:szCs w:val="20"/>
          <w:color w:val="auto"/>
        </w:rPr>
      </w:pPr>
    </w:p>
    <w:p>
      <w:pPr>
        <w:jc w:val="both"/>
        <w:ind w:right="340" w:firstLine="485"/>
        <w:spacing w:after="0" w:line="238" w:lineRule="auto"/>
        <w:rPr>
          <w:sz w:val="20"/>
          <w:szCs w:val="20"/>
          <w:color w:val="auto"/>
        </w:rPr>
      </w:pPr>
      <w:r>
        <w:rPr>
          <w:rFonts w:ascii="Arial" w:cs="Arial" w:eastAsia="Arial" w:hAnsi="Arial"/>
          <w:sz w:val="18"/>
          <w:szCs w:val="18"/>
          <w:color w:val="auto"/>
        </w:rPr>
        <w:t>These future issuances of common stock or common stock-related securities, together with the exercise of outstanding options and any additional shares issued in connection with acquisitions, if any, may result in further dilution. For a further description of the dilution that you will experience immediately after this offering, see "Dilution".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32" w:lineRule="exact"/>
        <w:rPr>
          <w:sz w:val="20"/>
          <w:szCs w:val="20"/>
          <w:color w:val="auto"/>
        </w:rPr>
      </w:pPr>
    </w:p>
    <w:p>
      <w:pPr>
        <w:ind w:right="220" w:firstLine="488"/>
        <w:spacing w:after="0" w:line="238"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208"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In addition, the sale of substantial amounts of our common stock could adversely impact its price. As of December 31, 2016, 33,125,479 shares of our common stock were outstanding, including 2,125 shares of unvested restricted stock that are subject to repurchase by us and are not considered outstanding for accounting purposes until vested but excluding options to purchase 2,622,741 shares of our common stock, of which 883,660 were exercisable as of that date. The sale or the availability for sale of a large number of shares of our common stock in the public market could cause the price of our common stock to decline.</w:t>
      </w:r>
    </w:p>
    <w:p>
      <w:pPr>
        <w:spacing w:after="0" w:line="211" w:lineRule="exact"/>
        <w:rPr>
          <w:sz w:val="20"/>
          <w:szCs w:val="20"/>
          <w:color w:val="auto"/>
        </w:rPr>
      </w:pPr>
    </w:p>
    <w:p>
      <w:pPr>
        <w:ind w:right="140" w:firstLine="488"/>
        <w:spacing w:after="0" w:line="271" w:lineRule="auto"/>
        <w:rPr>
          <w:sz w:val="20"/>
          <w:szCs w:val="20"/>
          <w:color w:val="auto"/>
        </w:rPr>
      </w:pPr>
      <w:r>
        <w:rPr>
          <w:rFonts w:ascii="Arial" w:cs="Arial" w:eastAsia="Arial" w:hAnsi="Arial"/>
          <w:sz w:val="16"/>
          <w:szCs w:val="16"/>
          <w:color w:val="auto"/>
        </w:rPr>
        <w:t>We, along with our directors and executive officers, have agreed that for a period of 90 days after the date of this prospectus supplement, subject to specified exceptions, we or they will not offer, sell, contract to sell, pledge, grant any option to purchase, make any short sale or otherwise dispose of any shares of our common stock or securities convertible into or exchangeable or exercisable for any shares of our common stock. Holders of 3,453,753 shares of our common stock have agreed to such restrictions for a period of 60 days after the date of this prospectus supplement. These lock-up periods affect approximately 4,027,656 shares of our common stock Sales of stock by any of our directors, executive officers or principal stockholders could have a material adverse effect on the trading price of our common stock.</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firstLine="488"/>
        <w:spacing w:after="0" w:line="237" w:lineRule="auto"/>
        <w:rPr>
          <w:sz w:val="20"/>
          <w:szCs w:val="20"/>
          <w:color w:val="auto"/>
        </w:rPr>
      </w:pPr>
      <w:r>
        <w:rPr>
          <w:rFonts w:ascii="Arial" w:cs="Arial" w:eastAsia="Arial" w:hAnsi="Arial"/>
          <w:sz w:val="18"/>
          <w:szCs w:val="18"/>
          <w:color w:val="auto"/>
        </w:rPr>
        <w:t>Certain holders of shares of our common stock are entitled to rights with respect to the registration of their shares under the Securities Act. See "Description of Capital Stock — Registration Rights".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18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The market price of our common stock may be adversely affected by market conditions affecting the stock markets in general, including price and trading fluctuations on The NASDAQ Global Select Market.</w:t>
      </w:r>
    </w:p>
    <w:p>
      <w:pPr>
        <w:spacing w:after="0" w:line="189" w:lineRule="exact"/>
        <w:rPr>
          <w:sz w:val="20"/>
          <w:szCs w:val="20"/>
          <w:color w:val="auto"/>
        </w:rPr>
      </w:pPr>
    </w:p>
    <w:p>
      <w:pPr>
        <w:ind w:right="20" w:firstLine="488"/>
        <w:spacing w:after="0" w:line="237" w:lineRule="auto"/>
        <w:rPr>
          <w:sz w:val="20"/>
          <w:szCs w:val="20"/>
          <w:color w:val="auto"/>
        </w:rPr>
      </w:pPr>
      <w:r>
        <w:rPr>
          <w:rFonts w:ascii="Arial" w:cs="Arial" w:eastAsia="Arial" w:hAnsi="Arial"/>
          <w:sz w:val="18"/>
          <w:szCs w:val="18"/>
          <w:color w:val="auto"/>
        </w:rPr>
        <w:t>Market conditions may result in volatility in the level of, and fluctuations in, market prices of stocks generally and, in turn, our common stock and sales of substantial amounts of our common stock in the market, in each case being unrelated or disproportionate to changes in our operating performance. The overall weakness in the economy has recently contributed to the extreme volatility of the markets which may have an effect on the market price of our common stock.</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right="420" w:firstLine="488"/>
        <w:spacing w:after="0" w:line="238" w:lineRule="auto"/>
        <w:rPr>
          <w:sz w:val="20"/>
          <w:szCs w:val="20"/>
          <w:color w:val="auto"/>
        </w:rPr>
      </w:pPr>
      <w:r>
        <w:rPr>
          <w:rFonts w:ascii="Arial" w:cs="Arial" w:eastAsia="Arial" w:hAnsi="Arial"/>
          <w:sz w:val="18"/>
          <w:szCs w:val="18"/>
          <w:color w:val="auto"/>
        </w:rPr>
        <w:t>We expect to receive net proceeds of approximately $187.4 million from this offering, after deducting underwriting discounts and commissions and estimated offering expenses payable by us, or approximately $215.6 million if the underwriters exercise in full their option to purchase up to an additional 750,000 shares of common stock.</w:t>
      </w:r>
    </w:p>
    <w:p>
      <w:pPr>
        <w:spacing w:after="0" w:line="20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December 31, 2016, we had cash, cash equivalents and investments of $268.2 million.</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intend to use the net proceeds from this offering, plus, if needed, existing cash, cash equivalents and investments, as follows:</w:t>
      </w:r>
    </w:p>
    <w:p>
      <w:pPr>
        <w:spacing w:after="0" w:line="212" w:lineRule="exact"/>
        <w:rPr>
          <w:sz w:val="20"/>
          <w:szCs w:val="20"/>
          <w:color w:val="auto"/>
        </w:rPr>
      </w:pPr>
    </w:p>
    <w:p>
      <w:pPr>
        <w:ind w:left="1080" w:right="220" w:hanging="532"/>
        <w:spacing w:after="0" w:line="23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$50.0 million to $60.0 million to fund clinical trials for BLU-285 in GIST and SM, which may include the expansion of our current Phase 1 clinical trials for these indications, registration clinical trials or indication expansion clinical trials (which may include expansion into earlier lines of therapy or additional diseases);</w:t>
      </w:r>
    </w:p>
    <w:p>
      <w:pPr>
        <w:spacing w:after="0" w:line="208" w:lineRule="exact"/>
        <w:rPr>
          <w:rFonts w:ascii="Arial" w:cs="Arial" w:eastAsia="Arial" w:hAnsi="Arial"/>
          <w:sz w:val="18"/>
          <w:szCs w:val="18"/>
          <w:color w:val="auto"/>
        </w:rPr>
      </w:pPr>
    </w:p>
    <w:p>
      <w:pPr>
        <w:ind w:left="1080" w:hanging="532"/>
        <w:spacing w:after="0" w:line="23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$25.0 million to $35.0 million to fund clinical trials for BLU-554 in HCC, which may include the expansion of our current Phase 1 clinical trial for this indication, registration clinical trials or indication expansion clinical trials (which may include expansion into earlier lines of therapy or additional diseases);</w:t>
      </w:r>
    </w:p>
    <w:p>
      <w:pPr>
        <w:spacing w:after="0" w:line="194" w:lineRule="exact"/>
        <w:rPr>
          <w:rFonts w:ascii="Arial" w:cs="Arial" w:eastAsia="Arial" w:hAnsi="Arial"/>
          <w:sz w:val="18"/>
          <w:szCs w:val="18"/>
          <w:color w:val="auto"/>
        </w:rPr>
      </w:pPr>
    </w:p>
    <w:p>
      <w:pPr>
        <w:ind w:left="1080" w:right="180" w:hanging="532"/>
        <w:spacing w:after="0" w:line="23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$25.0 million to $35.0 million to fund the completion of our current Phase 1 clinical trial for BLU-667 in non-small cell lung cancer, medullary thyroid cancer and other advanced solid tumors and the initiation of additional clinical trials for BLU-667 in RET-driven cancers; and</w:t>
      </w:r>
    </w:p>
    <w:p>
      <w:pPr>
        <w:spacing w:after="0" w:line="194" w:lineRule="exact"/>
        <w:rPr>
          <w:rFonts w:ascii="Arial" w:cs="Arial" w:eastAsia="Arial" w:hAnsi="Arial"/>
          <w:sz w:val="18"/>
          <w:szCs w:val="18"/>
          <w:color w:val="auto"/>
        </w:rPr>
      </w:pPr>
    </w:p>
    <w:p>
      <w:pPr>
        <w:ind w:left="1080" w:right="280" w:hanging="532"/>
        <w:spacing w:after="0" w:line="23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balance, if any, to fund working capital and other general corporate purposes, including ongoing research and pre-commercial planning activities.</w:t>
      </w:r>
    </w:p>
    <w:p>
      <w:pPr>
        <w:spacing w:after="0" w:line="209" w:lineRule="exact"/>
        <w:rPr>
          <w:sz w:val="20"/>
          <w:szCs w:val="20"/>
          <w:color w:val="auto"/>
        </w:rPr>
      </w:pPr>
    </w:p>
    <w:p>
      <w:pPr>
        <w:ind w:right="120" w:firstLine="488"/>
        <w:spacing w:after="0" w:line="238" w:lineRule="auto"/>
        <w:rPr>
          <w:sz w:val="20"/>
          <w:szCs w:val="20"/>
          <w:color w:val="auto"/>
        </w:rPr>
      </w:pPr>
      <w:r>
        <w:rPr>
          <w:rFonts w:ascii="Arial" w:cs="Arial" w:eastAsia="Arial" w:hAnsi="Arial"/>
          <w:sz w:val="18"/>
          <w:szCs w:val="18"/>
          <w:color w:val="auto"/>
        </w:rPr>
        <w:t>Based on our current plans, we believe our cash, cash equivalents and investments, together with the net proceeds to us from this offering, but excluding any potential option fees and milestone payments under our existing collaborations, will be sufficient to enable us to fund our operating expenses and capital expenditure requirements into the middle of 2019.</w:t>
      </w:r>
    </w:p>
    <w:p>
      <w:pPr>
        <w:spacing w:after="0" w:line="208" w:lineRule="exact"/>
        <w:rPr>
          <w:sz w:val="20"/>
          <w:szCs w:val="20"/>
          <w:color w:val="auto"/>
        </w:rPr>
      </w:pPr>
    </w:p>
    <w:p>
      <w:pPr>
        <w:ind w:right="40" w:firstLine="485"/>
        <w:spacing w:after="0" w:line="236" w:lineRule="auto"/>
        <w:rPr>
          <w:sz w:val="20"/>
          <w:szCs w:val="20"/>
          <w:color w:val="auto"/>
        </w:rPr>
      </w:pPr>
      <w:r>
        <w:rPr>
          <w:rFonts w:ascii="Arial" w:cs="Arial" w:eastAsia="Arial" w:hAnsi="Arial"/>
          <w:sz w:val="18"/>
          <w:szCs w:val="18"/>
          <w:color w:val="auto"/>
        </w:rPr>
        <w:t>This expected use of the net proceeds from this offering represents our intentions based upon our current plans and business conditions. As of the date of this prospectus supplement, we cannot predict with certainty all of the particular uses for the net proceeds to be received upon the completion of this offering, the amounts that we will actually spend on the uses set forth above or the timing of such expenditures. The amounts and timing of our actual expenditures may vary significantly depending on numerous factors, including the progress of our development efforts, the status of and results from non-clinical studies and ongoing clinical trials or any clinical trials we may commence in the future, the scope and results of our regulatory activities, and the nature and scope of our launch preparation activities, as well as any collaborations that we may enter into with third parties for our drug candidates and any unforeseen cash needs. As a result, our management will retain broad discretion over the allocation of the net proceeds from this offering.</w:t>
      </w:r>
    </w:p>
    <w:p>
      <w:pPr>
        <w:spacing w:after="0" w:line="208" w:lineRule="exact"/>
        <w:rPr>
          <w:sz w:val="20"/>
          <w:szCs w:val="20"/>
          <w:color w:val="auto"/>
        </w:rPr>
      </w:pPr>
    </w:p>
    <w:p>
      <w:pPr>
        <w:ind w:right="120" w:firstLine="488"/>
        <w:spacing w:after="0" w:line="239"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ind w:right="60" w:firstLine="488"/>
        <w:spacing w:after="0" w:line="238" w:lineRule="auto"/>
        <w:rPr>
          <w:sz w:val="20"/>
          <w:szCs w:val="20"/>
          <w:color w:val="auto"/>
        </w:rPr>
      </w:pPr>
      <w:r>
        <w:rPr>
          <w:rFonts w:ascii="Arial" w:cs="Arial" w:eastAsia="Arial" w:hAnsi="Arial"/>
          <w:sz w:val="18"/>
          <w:szCs w:val="18"/>
          <w:color w:val="auto"/>
        </w:rPr>
        <w:t>If you invest in our common stock in this offering, your ownership interest will be diluted to the extent of the difference between the price per share of our common stock in this offering and the as adjusted net tangible book value per share of our common stock immediately after this offering.</w:t>
      </w:r>
    </w:p>
    <w:p>
      <w:pPr>
        <w:spacing w:after="0" w:line="208" w:lineRule="exact"/>
        <w:rPr>
          <w:sz w:val="20"/>
          <w:szCs w:val="20"/>
          <w:color w:val="auto"/>
        </w:rPr>
      </w:pPr>
    </w:p>
    <w:p>
      <w:pPr>
        <w:ind w:firstLine="478"/>
        <w:spacing w:after="0" w:line="236" w:lineRule="auto"/>
        <w:rPr>
          <w:sz w:val="20"/>
          <w:szCs w:val="20"/>
          <w:color w:val="auto"/>
        </w:rPr>
      </w:pPr>
      <w:r>
        <w:rPr>
          <w:rFonts w:ascii="Arial" w:cs="Arial" w:eastAsia="Arial" w:hAnsi="Arial"/>
          <w:sz w:val="18"/>
          <w:szCs w:val="18"/>
          <w:color w:val="auto"/>
        </w:rPr>
        <w:t>As of December 31, 2016, we had net tangible book value of approximately $213.1 million, or $6.43 per share of our common stock, based upon 33,125,479 shares of our common stock outstanding as of that date (which includes 2,125 shares of unvested restricted stock subject to repurchase by us and are not considered outstanding for accounting purposes until vested). Historical net tangible book value per share is equal to our total tangible assets, less total liabilities, divided by the number of outstanding shares of our common stock. Dilution in net tangible book value per share represents the difference between the amount per share paid by purchasers of shares of common stock in this offering and the net tangible book value per share of our common stock immediately after this offering.</w:t>
      </w:r>
    </w:p>
    <w:p>
      <w:pPr>
        <w:spacing w:after="0" w:line="210" w:lineRule="exact"/>
        <w:rPr>
          <w:sz w:val="20"/>
          <w:szCs w:val="20"/>
          <w:color w:val="auto"/>
        </w:rPr>
      </w:pPr>
    </w:p>
    <w:p>
      <w:pPr>
        <w:ind w:right="80" w:firstLine="478"/>
        <w:spacing w:after="0" w:line="236" w:lineRule="auto"/>
        <w:rPr>
          <w:sz w:val="20"/>
          <w:szCs w:val="20"/>
          <w:color w:val="auto"/>
        </w:rPr>
      </w:pPr>
      <w:r>
        <w:rPr>
          <w:rFonts w:ascii="Arial" w:cs="Arial" w:eastAsia="Arial" w:hAnsi="Arial"/>
          <w:sz w:val="18"/>
          <w:szCs w:val="18"/>
          <w:color w:val="auto"/>
        </w:rPr>
        <w:t>After giving effect to the sale of 5,000,000 shares of common stock in this offering at the public offering price of $40.00 per share and after deducting underwriting discounts and commissions and estimated offering expenses payable by us, our as adjusted net tangible book value as of December 31, 2016 would have been approximately $400.4 million, or approximately $10.50 per share of common stock. This represents an immediate increase in as adjusted net tangible book value of $4.07 per share to our existing stockholders and an immediate dilution of $29.50 per share to investors participating in this offering at the public offering price of $40.00 per share.</w:t>
      </w:r>
    </w:p>
    <w:p>
      <w:pPr>
        <w:spacing w:after="0" w:line="211" w:lineRule="exact"/>
        <w:rPr>
          <w:sz w:val="20"/>
          <w:szCs w:val="20"/>
          <w:color w:val="auto"/>
        </w:rPr>
      </w:pPr>
    </w:p>
    <w:p>
      <w:pPr>
        <w:jc w:val="both"/>
        <w:ind w:right="120" w:firstLine="488"/>
        <w:spacing w:after="0" w:line="238" w:lineRule="auto"/>
        <w:rPr>
          <w:sz w:val="20"/>
          <w:szCs w:val="20"/>
          <w:color w:val="auto"/>
        </w:rPr>
      </w:pPr>
      <w:r>
        <w:rPr>
          <w:rFonts w:ascii="Arial" w:cs="Arial" w:eastAsia="Arial" w:hAnsi="Arial"/>
          <w:sz w:val="18"/>
          <w:szCs w:val="18"/>
          <w:color w:val="auto"/>
        </w:rPr>
        <w:t>Dilution per share to new investors is determined by subtracting net tangible book value per share after this offering from the public offering price per share paid by new investors. The following table illustrates this per share dilution (assuming the underwriters do not exercise in full their option to purchase additional shares):</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tcPr>
          <w:p>
            <w:pPr>
              <w:ind w:left="160"/>
              <w:spacing w:after="0" w:line="202" w:lineRule="exact"/>
              <w:rPr>
                <w:sz w:val="20"/>
                <w:szCs w:val="20"/>
                <w:color w:val="auto"/>
              </w:rPr>
            </w:pPr>
            <w:r>
              <w:rPr>
                <w:rFonts w:ascii="Arial" w:cs="Arial" w:eastAsia="Arial" w:hAnsi="Arial"/>
                <w:sz w:val="18"/>
                <w:szCs w:val="18"/>
                <w:color w:val="auto"/>
              </w:rPr>
              <w:t>Historical net tangible book value per share as of December 31, 2016</w:t>
            </w: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6.43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Increase in net tangible book value per share attributable to new investors</w:t>
            </w: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6"/>
        </w:trPr>
        <w:tc>
          <w:tcPr>
            <w:tcW w:w="6720" w:type="dxa"/>
            <w:vAlign w:val="bottom"/>
            <w:gridSpan w:val="2"/>
          </w:tcPr>
          <w:p>
            <w:pPr>
              <w:spacing w:after="0" w:line="196" w:lineRule="exact"/>
              <w:rPr>
                <w:sz w:val="20"/>
                <w:szCs w:val="20"/>
                <w:color w:val="auto"/>
              </w:rPr>
            </w:pPr>
            <w:r>
              <w:rPr>
                <w:rFonts w:ascii="Arial" w:cs="Arial" w:eastAsia="Arial" w:hAnsi="Arial"/>
                <w:sz w:val="18"/>
                <w:szCs w:val="18"/>
                <w:color w:val="auto"/>
              </w:rPr>
              <w:t>As adjusted net tangible book value per share after this offering</w:t>
            </w:r>
          </w:p>
        </w:tc>
        <w:tc>
          <w:tcPr>
            <w:tcW w:w="8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10.50</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Dilution per share to new investors</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29.50</w:t>
            </w:r>
          </w:p>
        </w:tc>
        <w:tc>
          <w:tcPr>
            <w:tcW w:w="1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80" w:firstLine="485"/>
        <w:spacing w:after="0" w:line="239" w:lineRule="auto"/>
        <w:rPr>
          <w:sz w:val="20"/>
          <w:szCs w:val="20"/>
          <w:color w:val="auto"/>
        </w:rPr>
      </w:pPr>
      <w:r>
        <w:rPr>
          <w:rFonts w:ascii="Arial" w:cs="Arial" w:eastAsia="Arial" w:hAnsi="Arial"/>
          <w:sz w:val="18"/>
          <w:szCs w:val="18"/>
          <w:color w:val="auto"/>
        </w:rPr>
        <w:t>The foregoing table and discussion is based on 33,125,479 shares of common stock outstanding as of December 31, 2016, including 2,125 shares that are subject to repurchase by us and are not considered outstanding for accounting purposes until vested and excludes:</w:t>
      </w:r>
    </w:p>
    <w:p>
      <w:pPr>
        <w:spacing w:after="0" w:line="209" w:lineRule="exact"/>
        <w:rPr>
          <w:sz w:val="20"/>
          <w:szCs w:val="20"/>
          <w:color w:val="auto"/>
        </w:rPr>
      </w:pPr>
    </w:p>
    <w:p>
      <w:pPr>
        <w:ind w:left="1080" w:right="40" w:hanging="532"/>
        <w:spacing w:after="0" w:line="23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2,622,741 shares of common stock issuable upon the exercise of stock options outstanding as of December 31, 2016, at a weighted average exercise price of $11.67 per share;</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1,551,519 shares of common stock reserved for future issuance under the 2015 Plan as of December 31, 2016; and</w:t>
      </w:r>
    </w:p>
    <w:p>
      <w:pPr>
        <w:spacing w:after="0" w:line="198" w:lineRule="exact"/>
        <w:rPr>
          <w:rFonts w:ascii="Arial" w:cs="Arial" w:eastAsia="Arial" w:hAnsi="Arial"/>
          <w:sz w:val="18"/>
          <w:szCs w:val="18"/>
          <w:color w:val="auto"/>
        </w:rPr>
      </w:pPr>
    </w:p>
    <w:p>
      <w:pPr>
        <w:ind w:left="1080" w:right="160" w:hanging="532"/>
        <w:spacing w:after="0" w:line="23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491,982 shares of common stock reserved for future issuance under our 2015 Employee Stock Purchase Plan as of December 31, 2016.</w:t>
      </w:r>
    </w:p>
    <w:p>
      <w:pPr>
        <w:spacing w:after="0" w:line="209" w:lineRule="exact"/>
        <w:rPr>
          <w:sz w:val="20"/>
          <w:szCs w:val="20"/>
          <w:color w:val="auto"/>
        </w:rPr>
      </w:pPr>
    </w:p>
    <w:p>
      <w:pPr>
        <w:ind w:right="280" w:firstLine="488"/>
        <w:spacing w:after="0" w:line="238" w:lineRule="auto"/>
        <w:rPr>
          <w:sz w:val="20"/>
          <w:szCs w:val="20"/>
          <w:color w:val="auto"/>
        </w:rPr>
      </w:pPr>
      <w:r>
        <w:rPr>
          <w:rFonts w:ascii="Arial" w:cs="Arial" w:eastAsia="Arial" w:hAnsi="Arial"/>
          <w:sz w:val="18"/>
          <w:szCs w:val="18"/>
          <w:color w:val="auto"/>
        </w:rPr>
        <w:t>If the underwriters exercise in full their option to purchase up to an additional 750,000 shares of our common stock at the public offering price of $40.00 per share, the as adjusted net tangible book value after this offering would be $11.03 per share, representing an increase in net tangible book value of $4.60 per share to existing stockholders and immediate dilution in net tangible book</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value of $28.97 per share to investors purchasing our common stock in this offering at the public offering price of $40.00.</w:t>
      </w:r>
    </w:p>
    <w:p>
      <w:pPr>
        <w:spacing w:after="0" w:line="212" w:lineRule="exact"/>
        <w:rPr>
          <w:sz w:val="20"/>
          <w:szCs w:val="20"/>
          <w:color w:val="auto"/>
        </w:rPr>
      </w:pPr>
    </w:p>
    <w:p>
      <w:pPr>
        <w:jc w:val="both"/>
        <w:ind w:right="400" w:firstLine="485"/>
        <w:spacing w:after="0" w:line="299" w:lineRule="auto"/>
        <w:rPr>
          <w:sz w:val="20"/>
          <w:szCs w:val="20"/>
          <w:color w:val="auto"/>
        </w:rPr>
      </w:pPr>
      <w:r>
        <w:rPr>
          <w:rFonts w:ascii="Arial" w:cs="Arial" w:eastAsia="Arial" w:hAnsi="Arial"/>
          <w:sz w:val="16"/>
          <w:szCs w:val="16"/>
          <w:color w:val="auto"/>
        </w:rPr>
        <w:t>To the extent that any options are exercised, new options are issued under our equity incentive plans, or we otherwise issue additional shares of common stock in the future (including shares issued in connection with acquisitions), there will be further dilution to new investors.</w:t>
      </w:r>
    </w:p>
    <w:p>
      <w:pPr>
        <w:spacing w:after="0" w:line="163" w:lineRule="exact"/>
        <w:rPr>
          <w:sz w:val="20"/>
          <w:szCs w:val="20"/>
          <w:color w:val="auto"/>
        </w:rPr>
      </w:pPr>
    </w:p>
    <w:p>
      <w:pPr>
        <w:ind w:firstLine="488"/>
        <w:spacing w:after="0" w:line="238"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PRICE RANGE OF COMMON STOCK</w:t>
      </w:r>
    </w:p>
    <w:p>
      <w:pPr>
        <w:spacing w:after="0" w:line="234" w:lineRule="exact"/>
        <w:rPr>
          <w:sz w:val="20"/>
          <w:szCs w:val="20"/>
          <w:color w:val="auto"/>
        </w:rPr>
      </w:pPr>
    </w:p>
    <w:p>
      <w:pPr>
        <w:ind w:right="160" w:firstLine="488"/>
        <w:spacing w:after="0" w:line="238" w:lineRule="auto"/>
        <w:rPr>
          <w:sz w:val="20"/>
          <w:szCs w:val="20"/>
          <w:color w:val="auto"/>
        </w:rPr>
      </w:pPr>
      <w:r>
        <w:rPr>
          <w:rFonts w:ascii="Arial" w:cs="Arial" w:eastAsia="Arial" w:hAnsi="Arial"/>
          <w:sz w:val="18"/>
          <w:szCs w:val="18"/>
          <w:color w:val="auto"/>
        </w:rPr>
        <w:t>Our common stock began trading on The NASDAQ Global Select Market under the symbol "BPMC" on April 30, 2015. Prior to that time, there was no public market for our common stock. The following table sets forth the high and low sale prices per share of our common stock, as reported on The NASDAQ Global Select Market, for the periods indicated: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7"/>
              </w:rPr>
              <w:t>Sales prices</w:t>
            </w: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High</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Low</w:t>
            </w: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 ended December 31, 2015</w:t>
            </w:r>
          </w:p>
        </w:tc>
        <w:tc>
          <w:tcPr>
            <w:tcW w:w="2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Second quarter (from April 30, 2015)</w:t>
            </w:r>
          </w:p>
        </w:tc>
        <w:tc>
          <w:tcPr>
            <w:tcW w:w="2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ind w:left="160"/>
              <w:spacing w:after="0" w:line="202" w:lineRule="exact"/>
              <w:rPr>
                <w:sz w:val="20"/>
                <w:szCs w:val="20"/>
                <w:color w:val="auto"/>
              </w:rPr>
            </w:pPr>
            <w:r>
              <w:rPr>
                <w:rFonts w:ascii="Arial" w:cs="Arial" w:eastAsia="Arial" w:hAnsi="Arial"/>
                <w:sz w:val="18"/>
                <w:szCs w:val="18"/>
                <w:color w:val="auto"/>
                <w:w w:val="93"/>
              </w:rPr>
              <w:t>37.17</w:t>
            </w:r>
          </w:p>
        </w:tc>
        <w:tc>
          <w:tcPr>
            <w:tcW w:w="4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18.00</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2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w w:val="93"/>
              </w:rPr>
              <w:t>33.10</w:t>
            </w:r>
          </w:p>
        </w:tc>
        <w:tc>
          <w:tcPr>
            <w:tcW w:w="4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19.39</w:t>
            </w:r>
          </w:p>
        </w:tc>
        <w:tc>
          <w:tcPr>
            <w:tcW w:w="160" w:type="dxa"/>
            <w:vAlign w:val="bottom"/>
            <w:shd w:val="clear" w:color="auto" w:fill="CCEEFF"/>
          </w:tcPr>
          <w:p>
            <w:pPr>
              <w:spacing w:after="0"/>
              <w:rPr>
                <w:sz w:val="17"/>
                <w:szCs w:val="17"/>
                <w:color w:val="auto"/>
              </w:rPr>
            </w:pPr>
          </w:p>
        </w:tc>
      </w:tr>
      <w:tr>
        <w:trPr>
          <w:trHeight w:val="203"/>
        </w:trPr>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Fourth quarter</w:t>
            </w:r>
          </w:p>
        </w:tc>
        <w:tc>
          <w:tcPr>
            <w:tcW w:w="2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ind w:left="160"/>
              <w:spacing w:after="0" w:line="202" w:lineRule="exact"/>
              <w:rPr>
                <w:sz w:val="20"/>
                <w:szCs w:val="20"/>
                <w:color w:val="auto"/>
              </w:rPr>
            </w:pPr>
            <w:r>
              <w:rPr>
                <w:rFonts w:ascii="Arial" w:cs="Arial" w:eastAsia="Arial" w:hAnsi="Arial"/>
                <w:sz w:val="18"/>
                <w:szCs w:val="18"/>
                <w:color w:val="auto"/>
                <w:w w:val="93"/>
              </w:rPr>
              <w:t>27.00</w:t>
            </w:r>
          </w:p>
        </w:tc>
        <w:tc>
          <w:tcPr>
            <w:tcW w:w="4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19.08</w:t>
            </w:r>
          </w:p>
        </w:tc>
        <w:tc>
          <w:tcPr>
            <w:tcW w:w="160" w:type="dxa"/>
            <w:vAlign w:val="bottom"/>
          </w:tcPr>
          <w:p>
            <w:pPr>
              <w:spacing w:after="0"/>
              <w:rPr>
                <w:sz w:val="17"/>
                <w:szCs w:val="17"/>
                <w:color w:val="auto"/>
              </w:rPr>
            </w:pPr>
          </w:p>
        </w:tc>
      </w:tr>
      <w:tr>
        <w:trPr>
          <w:trHeight w:val="419"/>
        </w:trPr>
        <w:tc>
          <w:tcPr>
            <w:tcW w:w="20" w:type="dxa"/>
            <w:vAlign w:val="bottom"/>
          </w:tcPr>
          <w:p>
            <w:pPr>
              <w:spacing w:after="0"/>
              <w:rPr>
                <w:sz w:val="24"/>
                <w:szCs w:val="24"/>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 2016</w:t>
            </w:r>
          </w:p>
        </w:tc>
        <w:tc>
          <w:tcPr>
            <w:tcW w:w="2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3"/>
        </w:trPr>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First quarter</w:t>
            </w:r>
          </w:p>
        </w:tc>
        <w:tc>
          <w:tcPr>
            <w:tcW w:w="2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ind w:left="160"/>
              <w:spacing w:after="0" w:line="202" w:lineRule="exact"/>
              <w:rPr>
                <w:sz w:val="20"/>
                <w:szCs w:val="20"/>
                <w:color w:val="auto"/>
              </w:rPr>
            </w:pPr>
            <w:r>
              <w:rPr>
                <w:rFonts w:ascii="Arial" w:cs="Arial" w:eastAsia="Arial" w:hAnsi="Arial"/>
                <w:sz w:val="18"/>
                <w:szCs w:val="18"/>
                <w:color w:val="auto"/>
                <w:w w:val="93"/>
              </w:rPr>
              <w:t>25.99</w:t>
            </w:r>
          </w:p>
        </w:tc>
        <w:tc>
          <w:tcPr>
            <w:tcW w:w="4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13.04</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Second quarter</w:t>
            </w:r>
          </w:p>
        </w:tc>
        <w:tc>
          <w:tcPr>
            <w:tcW w:w="2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w w:val="93"/>
              </w:rPr>
              <w:t>22.48</w:t>
            </w:r>
          </w:p>
        </w:tc>
        <w:tc>
          <w:tcPr>
            <w:tcW w:w="4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13.27</w:t>
            </w:r>
          </w:p>
        </w:tc>
        <w:tc>
          <w:tcPr>
            <w:tcW w:w="160" w:type="dxa"/>
            <w:vAlign w:val="bottom"/>
            <w:shd w:val="clear" w:color="auto" w:fill="CCEEFF"/>
          </w:tcPr>
          <w:p>
            <w:pPr>
              <w:spacing w:after="0"/>
              <w:rPr>
                <w:sz w:val="17"/>
                <w:szCs w:val="17"/>
                <w:color w:val="auto"/>
              </w:rPr>
            </w:pPr>
          </w:p>
        </w:tc>
      </w:tr>
      <w:tr>
        <w:trPr>
          <w:trHeight w:val="203"/>
        </w:trPr>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Third quarter</w:t>
            </w:r>
          </w:p>
        </w:tc>
        <w:tc>
          <w:tcPr>
            <w:tcW w:w="2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ind w:left="160"/>
              <w:spacing w:after="0" w:line="202" w:lineRule="exact"/>
              <w:rPr>
                <w:sz w:val="20"/>
                <w:szCs w:val="20"/>
                <w:color w:val="auto"/>
              </w:rPr>
            </w:pPr>
            <w:r>
              <w:rPr>
                <w:rFonts w:ascii="Arial" w:cs="Arial" w:eastAsia="Arial" w:hAnsi="Arial"/>
                <w:sz w:val="18"/>
                <w:szCs w:val="18"/>
                <w:color w:val="auto"/>
                <w:w w:val="93"/>
              </w:rPr>
              <w:t>29.90</w:t>
            </w:r>
          </w:p>
        </w:tc>
        <w:tc>
          <w:tcPr>
            <w:tcW w:w="4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19.51</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Fourth quarter</w:t>
            </w:r>
          </w:p>
        </w:tc>
        <w:tc>
          <w:tcPr>
            <w:tcW w:w="2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w w:val="93"/>
              </w:rPr>
              <w:t>38.33</w:t>
            </w:r>
          </w:p>
        </w:tc>
        <w:tc>
          <w:tcPr>
            <w:tcW w:w="4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25.08</w:t>
            </w:r>
          </w:p>
        </w:tc>
        <w:tc>
          <w:tcPr>
            <w:tcW w:w="160" w:type="dxa"/>
            <w:vAlign w:val="bottom"/>
            <w:shd w:val="clear" w:color="auto" w:fill="CCEEFF"/>
          </w:tcPr>
          <w:p>
            <w:pPr>
              <w:spacing w:after="0"/>
              <w:rPr>
                <w:sz w:val="17"/>
                <w:szCs w:val="17"/>
                <w:color w:val="auto"/>
              </w:rPr>
            </w:pPr>
          </w:p>
        </w:tc>
      </w:tr>
      <w:tr>
        <w:trPr>
          <w:trHeight w:val="419"/>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 2017</w:t>
            </w:r>
          </w:p>
        </w:tc>
        <w:tc>
          <w:tcPr>
            <w:tcW w:w="2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 (through March 29, 2017)</w:t>
            </w:r>
          </w:p>
        </w:tc>
        <w:tc>
          <w:tcPr>
            <w:tcW w:w="2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w w:val="93"/>
              </w:rPr>
              <w:t>44.54</w:t>
            </w:r>
          </w:p>
        </w:tc>
        <w:tc>
          <w:tcPr>
            <w:tcW w:w="4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27.83</w:t>
            </w:r>
          </w:p>
        </w:tc>
        <w:tc>
          <w:tcPr>
            <w:tcW w:w="160" w:type="dxa"/>
            <w:vAlign w:val="bottom"/>
            <w:shd w:val="clear" w:color="auto" w:fill="CCEEFF"/>
          </w:tcPr>
          <w:p>
            <w:pPr>
              <w:spacing w:after="0"/>
              <w:rPr>
                <w:sz w:val="17"/>
                <w:szCs w:val="17"/>
                <w:color w:val="auto"/>
              </w:rPr>
            </w:pPr>
          </w:p>
        </w:tc>
      </w:tr>
    </w:tbl>
    <w:p>
      <w:pPr>
        <w:spacing w:after="0" w:line="219" w:lineRule="exact"/>
        <w:rPr>
          <w:sz w:val="20"/>
          <w:szCs w:val="20"/>
          <w:color w:val="auto"/>
        </w:rPr>
      </w:pPr>
    </w:p>
    <w:p>
      <w:pPr>
        <w:ind w:firstLine="478"/>
        <w:spacing w:after="0" w:line="299" w:lineRule="auto"/>
        <w:rPr>
          <w:sz w:val="20"/>
          <w:szCs w:val="20"/>
          <w:color w:val="auto"/>
        </w:rPr>
      </w:pPr>
      <w:r>
        <w:rPr>
          <w:rFonts w:ascii="Arial" w:cs="Arial" w:eastAsia="Arial" w:hAnsi="Arial"/>
          <w:sz w:val="16"/>
          <w:szCs w:val="16"/>
          <w:color w:val="auto"/>
        </w:rPr>
        <w:t>As of March 29, 2017, there were 45 record holders of our common stock. The actual number of stockholders is greater than this number of record holders and includes stockholders who are beneficial owners but whose shares are held in street name by brokers and other nominees.</w:t>
      </w:r>
    </w:p>
    <w:p>
      <w:pPr>
        <w:spacing w:after="0" w:line="1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We have never declared or paid dividends on our capital stock. We do not anticipate paying any dividends on our capital stock in the foreseeable future. We currently intend to retain all available funds and any future earnings to fund the development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Investors should not purchase our common stock with the expectation of receiving cash dividends.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UNDERWRITING</w:t>
      </w:r>
    </w:p>
    <w:p>
      <w:pPr>
        <w:spacing w:after="0" w:line="234" w:lineRule="exact"/>
        <w:rPr>
          <w:sz w:val="20"/>
          <w:szCs w:val="20"/>
          <w:color w:val="auto"/>
        </w:rPr>
      </w:pPr>
    </w:p>
    <w:p>
      <w:pPr>
        <w:ind w:right="20" w:firstLine="488"/>
        <w:spacing w:after="0" w:line="238" w:lineRule="auto"/>
        <w:rPr>
          <w:sz w:val="20"/>
          <w:szCs w:val="20"/>
          <w:color w:val="auto"/>
        </w:rPr>
      </w:pPr>
      <w:r>
        <w:rPr>
          <w:rFonts w:ascii="Arial" w:cs="Arial" w:eastAsia="Arial" w:hAnsi="Arial"/>
          <w:sz w:val="18"/>
          <w:szCs w:val="18"/>
          <w:color w:val="auto"/>
        </w:rPr>
        <w:t>We have entered into an underwriting agreement with the underwriters named below with respect to the shares being offered. Subject to certain conditions, each underwriter has severally agreed to purchase the number of shares indicated in the following table. Goldman, Sachs &amp; Co. and Morgan Stanley &amp; Co. LLC are acting as representatives of the underwriters.</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color w:val="auto"/>
                <w:w w:val="97"/>
              </w:rPr>
              <w:t>Number of</w:t>
            </w:r>
          </w:p>
        </w:tc>
      </w:tr>
      <w:tr>
        <w:trPr>
          <w:trHeight w:val="172"/>
        </w:trPr>
        <w:tc>
          <w:tcPr>
            <w:tcW w:w="6860" w:type="dxa"/>
            <w:vAlign w:val="bottom"/>
            <w:gridSpan w:val="2"/>
          </w:tcPr>
          <w:p>
            <w:pPr>
              <w:spacing w:after="0" w:line="172" w:lineRule="exact"/>
              <w:rPr>
                <w:sz w:val="20"/>
                <w:szCs w:val="20"/>
                <w:color w:val="auto"/>
              </w:rPr>
            </w:pPr>
            <w:r>
              <w:rPr>
                <w:rFonts w:ascii="Arial" w:cs="Arial" w:eastAsia="Arial" w:hAnsi="Arial"/>
                <w:sz w:val="18"/>
                <w:szCs w:val="18"/>
                <w:color w:val="auto"/>
              </w:rPr>
              <w:t>Underwriters</w:t>
            </w:r>
          </w:p>
        </w:tc>
        <w:tc>
          <w:tcPr>
            <w:tcW w:w="1120" w:type="dxa"/>
            <w:vAlign w:val="bottom"/>
            <w:gridSpan w:val="2"/>
          </w:tcPr>
          <w:p>
            <w:pPr>
              <w:jc w:val="center"/>
              <w:ind w:right="80"/>
              <w:spacing w:after="0" w:line="172" w:lineRule="exact"/>
              <w:rPr>
                <w:sz w:val="20"/>
                <w:szCs w:val="20"/>
                <w:color w:val="auto"/>
              </w:rPr>
            </w:pPr>
            <w:r>
              <w:rPr>
                <w:rFonts w:ascii="Arial" w:cs="Arial" w:eastAsia="Arial" w:hAnsi="Arial"/>
                <w:sz w:val="18"/>
                <w:szCs w:val="18"/>
                <w:color w:val="auto"/>
                <w:w w:val="98"/>
              </w:rPr>
              <w:t>Shares</w:t>
            </w:r>
          </w:p>
        </w:tc>
      </w:tr>
      <w:tr>
        <w:trPr>
          <w:trHeight w:val="20"/>
        </w:trPr>
        <w:tc>
          <w:tcPr>
            <w:tcW w:w="1000" w:type="dxa"/>
            <w:vAlign w:val="bottom"/>
            <w:tcBorders>
              <w:top w:val="single" w:sz="8" w:color="auto"/>
            </w:tcBorders>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8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Goldman, Sachs &amp; Co.</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2,000,000</w:t>
            </w:r>
          </w:p>
        </w:tc>
        <w:tc>
          <w:tcPr>
            <w:tcW w:w="160" w:type="dxa"/>
            <w:vAlign w:val="bottom"/>
            <w:shd w:val="clear" w:color="auto" w:fill="CCEEFF"/>
          </w:tcPr>
          <w:p>
            <w:pPr>
              <w:spacing w:after="0"/>
              <w:rPr>
                <w:sz w:val="17"/>
                <w:szCs w:val="17"/>
                <w:color w:val="auto"/>
              </w:rPr>
            </w:pPr>
          </w:p>
        </w:tc>
      </w:tr>
      <w:tr>
        <w:trPr>
          <w:trHeight w:val="203"/>
        </w:trPr>
        <w:tc>
          <w:tcPr>
            <w:tcW w:w="6860" w:type="dxa"/>
            <w:vAlign w:val="bottom"/>
            <w:gridSpan w:val="2"/>
          </w:tcPr>
          <w:p>
            <w:pPr>
              <w:spacing w:after="0" w:line="202" w:lineRule="exact"/>
              <w:rPr>
                <w:sz w:val="20"/>
                <w:szCs w:val="20"/>
                <w:color w:val="auto"/>
              </w:rPr>
            </w:pPr>
            <w:r>
              <w:rPr>
                <w:rFonts w:ascii="Arial" w:cs="Arial" w:eastAsia="Arial" w:hAnsi="Arial"/>
                <w:sz w:val="18"/>
                <w:szCs w:val="18"/>
                <w:color w:val="auto"/>
              </w:rPr>
              <w:t>Morgan Stanley &amp; Co. LLC</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1,750,000</w:t>
            </w:r>
          </w:p>
        </w:tc>
        <w:tc>
          <w:tcPr>
            <w:tcW w:w="160" w:type="dxa"/>
            <w:vAlign w:val="bottom"/>
          </w:tcPr>
          <w:p>
            <w:pPr>
              <w:spacing w:after="0"/>
              <w:rPr>
                <w:sz w:val="17"/>
                <w:szCs w:val="17"/>
                <w:color w:val="auto"/>
              </w:rPr>
            </w:pPr>
          </w:p>
        </w:tc>
      </w:tr>
      <w:tr>
        <w:trPr>
          <w:trHeight w:val="203"/>
        </w:trPr>
        <w:tc>
          <w:tcPr>
            <w:tcW w:w="6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Cowen and Company, LLC</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1,000,000</w:t>
            </w:r>
          </w:p>
        </w:tc>
        <w:tc>
          <w:tcPr>
            <w:tcW w:w="160" w:type="dxa"/>
            <w:vAlign w:val="bottom"/>
            <w:shd w:val="clear" w:color="auto" w:fill="CCEEFF"/>
          </w:tcPr>
          <w:p>
            <w:pPr>
              <w:spacing w:after="0"/>
              <w:rPr>
                <w:sz w:val="17"/>
                <w:szCs w:val="17"/>
                <w:color w:val="auto"/>
              </w:rPr>
            </w:pPr>
          </w:p>
        </w:tc>
      </w:tr>
      <w:tr>
        <w:trPr>
          <w:trHeight w:val="203"/>
        </w:trPr>
        <w:tc>
          <w:tcPr>
            <w:tcW w:w="6860" w:type="dxa"/>
            <w:vAlign w:val="bottom"/>
            <w:gridSpan w:val="2"/>
          </w:tcPr>
          <w:p>
            <w:pPr>
              <w:spacing w:after="0" w:line="202" w:lineRule="exact"/>
              <w:rPr>
                <w:sz w:val="20"/>
                <w:szCs w:val="20"/>
                <w:color w:val="auto"/>
              </w:rPr>
            </w:pPr>
            <w:r>
              <w:rPr>
                <w:rFonts w:ascii="Arial" w:cs="Arial" w:eastAsia="Arial" w:hAnsi="Arial"/>
                <w:sz w:val="18"/>
                <w:szCs w:val="18"/>
                <w:color w:val="auto"/>
              </w:rPr>
              <w:t>Raymond James &amp; Associates, Inc.</w:t>
            </w: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250,000</w:t>
            </w:r>
          </w:p>
        </w:tc>
        <w:tc>
          <w:tcPr>
            <w:tcW w:w="160" w:type="dxa"/>
            <w:vAlign w:val="bottom"/>
          </w:tcPr>
          <w:p>
            <w:pPr>
              <w:spacing w:after="0"/>
              <w:rPr>
                <w:sz w:val="17"/>
                <w:szCs w:val="17"/>
                <w:color w:val="auto"/>
              </w:rPr>
            </w:pPr>
          </w:p>
        </w:tc>
      </w:tr>
      <w:tr>
        <w:trPr>
          <w:trHeight w:val="196"/>
        </w:trPr>
        <w:tc>
          <w:tcPr>
            <w:tcW w:w="686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5,000,000</w:t>
            </w:r>
          </w:p>
        </w:tc>
        <w:tc>
          <w:tcPr>
            <w:tcW w:w="160" w:type="dxa"/>
            <w:vAlign w:val="bottom"/>
            <w:shd w:val="clear" w:color="auto" w:fill="CCEEFF"/>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340" w:firstLine="485"/>
        <w:spacing w:after="0" w:line="239"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209" w:lineRule="exact"/>
        <w:rPr>
          <w:sz w:val="20"/>
          <w:szCs w:val="20"/>
          <w:color w:val="auto"/>
        </w:rPr>
      </w:pPr>
    </w:p>
    <w:p>
      <w:pPr>
        <w:jc w:val="both"/>
        <w:ind w:firstLine="485"/>
        <w:spacing w:after="0" w:line="281" w:lineRule="auto"/>
        <w:rPr>
          <w:sz w:val="20"/>
          <w:szCs w:val="20"/>
          <w:color w:val="auto"/>
        </w:rPr>
      </w:pPr>
      <w:r>
        <w:rPr>
          <w:rFonts w:ascii="Arial" w:cs="Arial" w:eastAsia="Arial" w:hAnsi="Arial"/>
          <w:sz w:val="16"/>
          <w:szCs w:val="16"/>
          <w:color w:val="auto"/>
        </w:rPr>
        <w:t>The underwriters have an option to buy up to 750,000 additional shares of our common stock from us to cover sales by the underwriters of a greater number of shares than the total number set forth in the table above. They may exercise this option for 30 days. If any shares are purchased pursuant to this option, the underwriters will severally purchase shares in approximately the same proportion as set forth in the table above.</w:t>
      </w:r>
    </w:p>
    <w:p>
      <w:pPr>
        <w:spacing w:after="0" w:line="178" w:lineRule="exact"/>
        <w:rPr>
          <w:sz w:val="20"/>
          <w:szCs w:val="20"/>
          <w:color w:val="auto"/>
        </w:rPr>
      </w:pPr>
    </w:p>
    <w:p>
      <w:pPr>
        <w:ind w:right="400" w:firstLine="485"/>
        <w:spacing w:after="0" w:line="238"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 amounts are shown assuming both no exercise and full exercise of the underwriters' option to purchase up to 750,000 additional shares of our common stock.</w:t>
      </w:r>
    </w:p>
    <w:p>
      <w:pPr>
        <w:spacing w:after="0" w:line="389" w:lineRule="exact"/>
        <w:rPr>
          <w:sz w:val="20"/>
          <w:szCs w:val="20"/>
          <w:color w:val="auto"/>
        </w:rPr>
      </w:pPr>
    </w:p>
    <w:tbl>
      <w:tblPr>
        <w:tblLayout w:type="fixed"/>
        <w:tblInd w:w="1720" w:type="dxa"/>
        <w:tblCellMar>
          <w:top w:w="0" w:type="dxa"/>
          <w:left w:w="0" w:type="dxa"/>
          <w:bottom w:w="0" w:type="dxa"/>
          <w:right w:w="0" w:type="dxa"/>
        </w:tblCellMar>
      </w:tblPr>
      <w:tr>
        <w:trPr>
          <w:trHeight w:val="233"/>
        </w:trPr>
        <w:tc>
          <w:tcPr>
            <w:tcW w:w="1940" w:type="dxa"/>
            <w:vAlign w:val="bottom"/>
          </w:tcPr>
          <w:p>
            <w:pPr>
              <w:spacing w:after="0"/>
              <w:rPr>
                <w:sz w:val="20"/>
                <w:szCs w:val="20"/>
                <w:color w:val="auto"/>
              </w:rPr>
            </w:pPr>
          </w:p>
        </w:tc>
        <w:tc>
          <w:tcPr>
            <w:tcW w:w="3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Paid by the Company</w:t>
            </w: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8"/>
        </w:trPr>
        <w:tc>
          <w:tcPr>
            <w:tcW w:w="19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No Exercise</w:t>
            </w:r>
          </w:p>
        </w:tc>
        <w:tc>
          <w:tcPr>
            <w:tcW w:w="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Full Exercise</w:t>
            </w:r>
          </w:p>
        </w:tc>
        <w:tc>
          <w:tcPr>
            <w:tcW w:w="160" w:type="dxa"/>
            <w:vAlign w:val="bottom"/>
          </w:tcPr>
          <w:p>
            <w:pPr>
              <w:spacing w:after="0"/>
              <w:rPr>
                <w:sz w:val="24"/>
                <w:szCs w:val="24"/>
                <w:color w:val="auto"/>
              </w:rPr>
            </w:pP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Share</w:t>
            </w:r>
          </w:p>
        </w:tc>
        <w:tc>
          <w:tcPr>
            <w:tcW w:w="30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2.40</w:t>
            </w:r>
          </w:p>
        </w:tc>
        <w:tc>
          <w:tcPr>
            <w:tcW w:w="3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2.40</w:t>
            </w:r>
          </w:p>
        </w:tc>
      </w:tr>
      <w:tr>
        <w:trPr>
          <w:trHeight w:val="214"/>
        </w:trPr>
        <w:tc>
          <w:tcPr>
            <w:tcW w:w="1940" w:type="dxa"/>
            <w:vAlign w:val="bottom"/>
          </w:tcPr>
          <w:p>
            <w:pPr>
              <w:spacing w:after="0"/>
              <w:rPr>
                <w:sz w:val="20"/>
                <w:szCs w:val="20"/>
                <w:color w:val="auto"/>
              </w:rPr>
            </w:pPr>
            <w:r>
              <w:rPr>
                <w:rFonts w:ascii="Arial" w:cs="Arial" w:eastAsia="Arial" w:hAnsi="Arial"/>
                <w:sz w:val="18"/>
                <w:szCs w:val="18"/>
                <w:color w:val="auto"/>
              </w:rPr>
              <w:t>Total</w:t>
            </w:r>
          </w:p>
        </w:tc>
        <w:tc>
          <w:tcPr>
            <w:tcW w:w="3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12,000,000</w:t>
            </w:r>
          </w:p>
        </w:tc>
        <w:tc>
          <w:tcPr>
            <w:tcW w:w="160" w:type="dxa"/>
            <w:vAlign w:val="bottom"/>
          </w:tcPr>
          <w:p>
            <w:pPr>
              <w:spacing w:after="0"/>
              <w:rPr>
                <w:sz w:val="18"/>
                <w:szCs w:val="18"/>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13,800,000</w:t>
            </w:r>
          </w:p>
        </w:tc>
        <w:tc>
          <w:tcPr>
            <w:tcW w:w="160" w:type="dxa"/>
            <w:vAlign w:val="bottom"/>
          </w:tcPr>
          <w:p>
            <w:pPr>
              <w:spacing w:after="0"/>
              <w:rPr>
                <w:sz w:val="18"/>
                <w:szCs w:val="18"/>
                <w:color w:val="auto"/>
              </w:rPr>
            </w:pPr>
          </w:p>
        </w:tc>
      </w:tr>
    </w:tbl>
    <w:p>
      <w:pPr>
        <w:spacing w:after="0" w:line="208" w:lineRule="exact"/>
        <w:rPr>
          <w:sz w:val="20"/>
          <w:szCs w:val="20"/>
          <w:color w:val="auto"/>
        </w:rPr>
      </w:pPr>
    </w:p>
    <w:p>
      <w:pPr>
        <w:ind w:right="180" w:firstLine="488"/>
        <w:spacing w:after="0" w:line="275" w:lineRule="auto"/>
        <w:rPr>
          <w:sz w:val="20"/>
          <w:szCs w:val="20"/>
          <w:color w:val="auto"/>
        </w:rPr>
      </w:pPr>
      <w:r>
        <w:rPr>
          <w:rFonts w:ascii="Arial" w:cs="Arial" w:eastAsia="Arial" w:hAnsi="Arial"/>
          <w:sz w:val="16"/>
          <w:szCs w:val="16"/>
          <w:color w:val="auto"/>
        </w:rPr>
        <w:t>Shares sold by the underwriters to the public will initially be offered at the public offering price set forth on the cover of this prospectus supplement. Any shares sold by the underwriters to securities dealers may be sold at a discount of up to $1.44 per share from the public offering price. After the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83" w:lineRule="exact"/>
        <w:rPr>
          <w:sz w:val="20"/>
          <w:szCs w:val="20"/>
          <w:color w:val="auto"/>
        </w:rPr>
      </w:pPr>
    </w:p>
    <w:p>
      <w:pPr>
        <w:ind w:right="40" w:firstLine="488"/>
        <w:spacing w:after="0" w:line="271" w:lineRule="auto"/>
        <w:rPr>
          <w:sz w:val="20"/>
          <w:szCs w:val="20"/>
          <w:color w:val="auto"/>
        </w:rPr>
      </w:pPr>
      <w:r>
        <w:rPr>
          <w:rFonts w:ascii="Arial" w:cs="Arial" w:eastAsia="Arial" w:hAnsi="Arial"/>
          <w:sz w:val="16"/>
          <w:szCs w:val="16"/>
          <w:color w:val="auto"/>
        </w:rPr>
        <w:t>We and our officers and directors have agreed with the underwriters, subject to certain exceptions, not to dispose of or hedge any common stock or securities convertible into or exchangeable for shares of common stock during the period from the date of this prospectus supplement continuing through the date 90 days after the date of this prospectus supplement, except with the prior written consent of the representatives. Holders of 3,453,753 shares of our common stock, or the Holders, have agreed to such restrictions for a period of 60 days. The lock-up restrictions are subject to certain exceptions, including transfers of shares of our common stock (i) acquired in this offering, except for shares acquired by our directors or officers; (ii) acquired in the open market following the completion of this offering; (iii) as a bona fide gift, to 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trust for the benefit of the holder or his or her immediate family, by will or intestate succession, or by operation of law; (iv) to an affiliate of the holder or as part of a distribution without consideration to a holder's stockholders, partners, members or other equity holders; (v) in connection with an exercise for cash of options to purchase our common stock, the "net exercise" or "cashless" exercise of such options within 90 days of the expiration of such options, and any transfer for the payment of taxes due as result of such exercise; and (vi) in connection with establishing a trading plan pursuant to Rule 10b5-1, or 10b5-1 plan, under the Securities Exchange Act of 1934, as amended. In addition, the Holders may distribute or sell shares of common stock pursuant to such Holders' 10b5-1 plan. The representatives, in their sole discretion, may release the common stock and other securities subject to the lock-up agreements described above in whole or in part at any time.</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common stock is publicly traded on The NASDAQ Global Select Market under the symbol "BPMC".</w:t>
      </w:r>
    </w:p>
    <w:p>
      <w:pPr>
        <w:spacing w:after="0" w:line="212"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In connection with this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215" w:lineRule="exact"/>
        <w:rPr>
          <w:sz w:val="20"/>
          <w:szCs w:val="20"/>
          <w:color w:val="auto"/>
        </w:rPr>
      </w:pPr>
    </w:p>
    <w:p>
      <w:pPr>
        <w:jc w:val="both"/>
        <w:ind w:right="580" w:firstLine="485"/>
        <w:spacing w:after="0" w:line="238"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08" w:lineRule="exact"/>
        <w:rPr>
          <w:sz w:val="20"/>
          <w:szCs w:val="20"/>
          <w:color w:val="auto"/>
        </w:rPr>
      </w:pPr>
    </w:p>
    <w:p>
      <w:pPr>
        <w:ind w:right="100" w:firstLine="488"/>
        <w:spacing w:after="0" w:line="273"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underwriters do not expect sales to discretionary accounts to exceed five percent of the total number of shares offered.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60" w:firstLine="488"/>
        <w:spacing w:after="0" w:line="239"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$650,000. We have agreed to reimburse the underwriters for certain of their expenses in an amount up to $50,000.</w:t>
      </w:r>
    </w:p>
    <w:p>
      <w:pPr>
        <w:spacing w:after="0" w:line="209" w:lineRule="exact"/>
        <w:rPr>
          <w:sz w:val="20"/>
          <w:szCs w:val="20"/>
          <w:color w:val="auto"/>
        </w:rPr>
      </w:pPr>
    </w:p>
    <w:p>
      <w:pPr>
        <w:ind w:right="480" w:firstLine="488"/>
        <w:spacing w:after="0" w:line="239"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w:t>
      </w:r>
    </w:p>
    <w:p>
      <w:pPr>
        <w:spacing w:after="0" w:line="209"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211"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European Economic Area</w:t>
      </w:r>
    </w:p>
    <w:p>
      <w:pPr>
        <w:spacing w:after="0" w:line="234"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shares to the public in that Relevant Member State prior to the publication of a prospectus in relation to the shares that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20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any legal entity that is a qualified investor as defined in the Prospectus Directive;</w:t>
      </w:r>
    </w:p>
    <w:p>
      <w:pPr>
        <w:spacing w:after="0" w:line="211" w:lineRule="exact"/>
        <w:rPr>
          <w:rFonts w:ascii="Arial" w:cs="Arial" w:eastAsia="Arial" w:hAnsi="Arial"/>
          <w:sz w:val="18"/>
          <w:szCs w:val="18"/>
          <w:color w:val="auto"/>
        </w:rPr>
      </w:pPr>
    </w:p>
    <w:p>
      <w:pPr>
        <w:ind w:left="1080" w:right="80" w:hanging="532"/>
        <w:spacing w:after="0" w:line="23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94" w:lineRule="exact"/>
        <w:rPr>
          <w:rFonts w:ascii="Arial" w:cs="Arial" w:eastAsia="Arial" w:hAnsi="Arial"/>
          <w:sz w:val="18"/>
          <w:szCs w:val="18"/>
          <w:color w:val="auto"/>
        </w:rPr>
      </w:pPr>
    </w:p>
    <w:p>
      <w:pPr>
        <w:jc w:val="both"/>
        <w:ind w:left="1080" w:right="20" w:hanging="532"/>
        <w:spacing w:after="0" w:line="23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208" w:lineRule="exact"/>
        <w:rPr>
          <w:sz w:val="20"/>
          <w:szCs w:val="20"/>
          <w:color w:val="auto"/>
        </w:rPr>
      </w:pPr>
    </w:p>
    <w:p>
      <w:pPr>
        <w:ind w:right="240" w:firstLine="488"/>
        <w:spacing w:after="0" w:line="239"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any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means of sufficient information on the terms of the offer and the shares to be offered so as to enable an investor to decide to purchase or subscribe for the shares, as the same may be varied in that Relevant Member State by any measure implementing the Prospectus Directive in that Relevant Member State and the expression Prospectus Directive means Directive 2003/71/EC (and amendments thereto, including the 2010 PD Amending Directive) and includes any relevant implementing measure in each Relevant Member State, and the expression "2010 PD Amending Directive" means Directive 2010/73/EU.</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United Kingdom</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Each underwriter has represented and agreed that:</w:t>
      </w:r>
    </w:p>
    <w:p>
      <w:pPr>
        <w:spacing w:after="0" w:line="212" w:lineRule="exact"/>
        <w:rPr>
          <w:sz w:val="20"/>
          <w:szCs w:val="20"/>
          <w:color w:val="auto"/>
        </w:rPr>
      </w:pPr>
    </w:p>
    <w:p>
      <w:pPr>
        <w:ind w:left="1080" w:right="260" w:hanging="532"/>
        <w:spacing w:after="0" w:line="281"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in circumstances in which Section 21(1) of the FSMA does not apply to the issuer; and</w:t>
      </w:r>
    </w:p>
    <w:p>
      <w:pPr>
        <w:spacing w:after="0" w:line="177" w:lineRule="exact"/>
        <w:rPr>
          <w:rFonts w:ascii="Arial" w:cs="Arial" w:eastAsia="Arial" w:hAnsi="Arial"/>
          <w:sz w:val="16"/>
          <w:szCs w:val="16"/>
          <w:color w:val="auto"/>
        </w:rPr>
      </w:pPr>
    </w:p>
    <w:p>
      <w:pPr>
        <w:ind w:left="1080" w:right="60" w:hanging="532"/>
        <w:spacing w:after="0" w:line="23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France</w:t>
      </w:r>
    </w:p>
    <w:p>
      <w:pPr>
        <w:spacing w:after="0" w:line="234" w:lineRule="exact"/>
        <w:rPr>
          <w:sz w:val="20"/>
          <w:szCs w:val="20"/>
          <w:color w:val="auto"/>
        </w:rPr>
      </w:pPr>
    </w:p>
    <w:p>
      <w:pPr>
        <w:ind w:right="300" w:firstLine="488"/>
        <w:spacing w:after="0" w:line="275" w:lineRule="auto"/>
        <w:rPr>
          <w:sz w:val="20"/>
          <w:szCs w:val="20"/>
          <w:color w:val="auto"/>
        </w:rPr>
      </w:pPr>
      <w:r>
        <w:rPr>
          <w:rFonts w:ascii="Arial" w:cs="Arial" w:eastAsia="Arial" w:hAnsi="Arial"/>
          <w:sz w:val="16"/>
          <w:szCs w:val="16"/>
          <w:color w:val="auto"/>
        </w:rPr>
        <w:t>Neither this prospectus nor any other offering material relating to the shares described in this prospectus has been submitted to the clearance procedures of the Autorité des Marchés Financiers or of the competent authority of another member state of the European Economic Area and notified to the Autorité des Marchés Financiers. The shares have not been offered or sold and will not be offered or sold, directly or indirectly, to the public in France. Neither this prospectus nor any other offering material relating to the shares has been or will be:</w:t>
      </w:r>
    </w:p>
    <w:p>
      <w:pPr>
        <w:spacing w:after="0" w:line="183"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to the public in France.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225" w:lineRule="exact"/>
        <w:rPr>
          <w:sz w:val="20"/>
          <w:szCs w:val="20"/>
          <w:color w:val="auto"/>
        </w:rPr>
      </w:pPr>
    </w:p>
    <w:p>
      <w:pPr>
        <w:ind w:left="1080" w:right="200" w:hanging="532"/>
        <w:spacing w:after="0" w:line="23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194"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98" w:lineRule="exact"/>
        <w:rPr>
          <w:rFonts w:ascii="Arial" w:cs="Arial" w:eastAsia="Arial" w:hAnsi="Arial"/>
          <w:sz w:val="18"/>
          <w:szCs w:val="18"/>
          <w:color w:val="auto"/>
        </w:rPr>
      </w:pPr>
    </w:p>
    <w:p>
      <w:pPr>
        <w:ind w:left="1080" w:right="180" w:hanging="532"/>
        <w:spacing w:after="0" w:line="23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208" w:lineRule="exact"/>
        <w:rPr>
          <w:sz w:val="20"/>
          <w:szCs w:val="20"/>
          <w:color w:val="auto"/>
        </w:rPr>
      </w:pPr>
    </w:p>
    <w:p>
      <w:pPr>
        <w:ind w:right="200" w:firstLine="485"/>
        <w:spacing w:after="0" w:line="239" w:lineRule="auto"/>
        <w:rPr>
          <w:sz w:val="20"/>
          <w:szCs w:val="20"/>
          <w:color w:val="auto"/>
        </w:rPr>
      </w:pPr>
      <w:r>
        <w:rPr>
          <w:rFonts w:ascii="Arial" w:cs="Arial" w:eastAsia="Arial" w:hAnsi="Arial"/>
          <w:sz w:val="18"/>
          <w:szCs w:val="18"/>
          <w:color w:val="auto"/>
        </w:rPr>
        <w:t>The shares may be resold directly or indirectly, only in compliance with articles L.411-1, L.411-2, L.412-1 and L.621-8 through L.621-8-3 of the French Code monétaire et financier.</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Australia</w:t>
      </w:r>
    </w:p>
    <w:p>
      <w:pPr>
        <w:spacing w:after="0" w:line="234" w:lineRule="exact"/>
        <w:rPr>
          <w:sz w:val="20"/>
          <w:szCs w:val="20"/>
          <w:color w:val="auto"/>
        </w:rPr>
      </w:pPr>
    </w:p>
    <w:p>
      <w:pPr>
        <w:ind w:right="260" w:firstLine="488"/>
        <w:spacing w:after="0" w:line="281" w:lineRule="auto"/>
        <w:rPr>
          <w:sz w:val="20"/>
          <w:szCs w:val="20"/>
          <w:color w:val="auto"/>
        </w:rPr>
      </w:pPr>
      <w:r>
        <w:rPr>
          <w:rFonts w:ascii="Arial" w:cs="Arial" w:eastAsia="Arial" w:hAnsi="Arial"/>
          <w:sz w:val="16"/>
          <w:szCs w:val="16"/>
          <w:color w:val="auto"/>
        </w:rPr>
        <w:t>No prospectus or other disclosure document (as defined in the Corporations Act 2001 (Cth) of Australia ("Corporations Act")) in relation to the common stock has been or will be lodged with the Australian Securities &amp; Investments Commission ("ASIC"). This document has not been lodged with ASIC and is only directed to certain categories of exempt persons. Accordingly, if you receive this document in Australia:</w:t>
      </w:r>
    </w:p>
    <w:p>
      <w:pPr>
        <w:spacing w:after="0" w:line="178"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 confirm and warrant that you are either:</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620" w:hanging="532"/>
        <w:spacing w:after="0"/>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198" w:lineRule="exact"/>
        <w:rPr>
          <w:rFonts w:ascii="Arial" w:cs="Arial" w:eastAsia="Arial" w:hAnsi="Arial"/>
          <w:sz w:val="18"/>
          <w:szCs w:val="18"/>
          <w:color w:val="auto"/>
        </w:rPr>
      </w:pPr>
    </w:p>
    <w:p>
      <w:pPr>
        <w:ind w:left="1620" w:right="220" w:hanging="532"/>
        <w:spacing w:after="0" w:line="238"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194" w:lineRule="exact"/>
        <w:rPr>
          <w:rFonts w:ascii="Arial" w:cs="Arial" w:eastAsia="Arial" w:hAnsi="Arial"/>
          <w:sz w:val="18"/>
          <w:szCs w:val="18"/>
          <w:color w:val="auto"/>
        </w:rPr>
      </w:pPr>
    </w:p>
    <w:p>
      <w:pPr>
        <w:ind w:left="1620" w:hanging="532"/>
        <w:spacing w:after="0"/>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211" w:lineRule="exact"/>
        <w:rPr>
          <w:rFonts w:ascii="Arial" w:cs="Arial" w:eastAsia="Arial" w:hAnsi="Arial"/>
          <w:sz w:val="18"/>
          <w:szCs w:val="18"/>
          <w:color w:val="auto"/>
        </w:rPr>
      </w:pPr>
    </w:p>
    <w:p>
      <w:pPr>
        <w:ind w:left="1620" w:right="40" w:hanging="532"/>
        <w:spacing w:after="0" w:line="238"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1080" w:right="140" w:hanging="532"/>
        <w:spacing w:after="0" w:line="23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 warrant and agree that you will not offer any of the common stock for resale in Australia within 12 months of that common stock being issued unless any such resale offer is exempt from the requirement to issue a disclosure document under section 708 of the Corporations Act.</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Hong Kong</w:t>
      </w:r>
    </w:p>
    <w:p>
      <w:pPr>
        <w:spacing w:after="0" w:line="234" w:lineRule="exact"/>
        <w:rPr>
          <w:sz w:val="20"/>
          <w:szCs w:val="20"/>
          <w:color w:val="auto"/>
        </w:rPr>
      </w:pPr>
    </w:p>
    <w:p>
      <w:pPr>
        <w:ind w:right="80" w:firstLine="485"/>
        <w:spacing w:after="0" w:line="235" w:lineRule="auto"/>
        <w:rPr>
          <w:sz w:val="20"/>
          <w:szCs w:val="20"/>
          <w:color w:val="auto"/>
        </w:rPr>
      </w:pPr>
      <w:r>
        <w:rPr>
          <w:rFonts w:ascii="Arial" w:cs="Arial" w:eastAsia="Arial" w:hAnsi="Arial"/>
          <w:sz w:val="18"/>
          <w:szCs w:val="18"/>
          <w:color w:val="auto"/>
        </w:rPr>
        <w:t>The shares may not be offered or sold by means of any document other than (i) in circumstances that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that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that are or are intended to be disposed of only to persons outside Hong Kong or only to "professional investors" within the meaning of the Securities and Futures Ordinance (Cap. 571, Laws of Hong Kong) and any rules made thereunder.</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Singapore</w:t>
      </w:r>
    </w:p>
    <w:p>
      <w:pPr>
        <w:spacing w:after="0" w:line="234" w:lineRule="exact"/>
        <w:rPr>
          <w:sz w:val="20"/>
          <w:szCs w:val="20"/>
          <w:color w:val="auto"/>
        </w:rPr>
      </w:pPr>
    </w:p>
    <w:p>
      <w:pPr>
        <w:ind w:firstLine="485"/>
        <w:spacing w:after="0" w:line="275"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209" w:lineRule="exact"/>
        <w:rPr>
          <w:sz w:val="20"/>
          <w:szCs w:val="20"/>
          <w:color w:val="auto"/>
        </w:rPr>
      </w:pPr>
    </w:p>
    <w:p>
      <w:pPr>
        <w:ind w:firstLine="488"/>
        <w:spacing w:after="0" w:line="264" w:lineRule="auto"/>
        <w:rPr>
          <w:sz w:val="20"/>
          <w:szCs w:val="20"/>
          <w:color w:val="auto"/>
        </w:rPr>
      </w:pPr>
      <w:r>
        <w:rPr>
          <w:rFonts w:ascii="Arial" w:cs="Arial" w:eastAsia="Arial" w:hAnsi="Arial"/>
          <w:sz w:val="16"/>
          <w:szCs w:val="16"/>
          <w:color w:val="auto"/>
        </w:rPr>
        <w:t>Where the shares are subscribed or purchased under Section 275 by a relevant person that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w:t>
      </w:r>
    </w:p>
    <w:p>
      <w:pPr>
        <w:spacing w:after="0" w:line="1" w:lineRule="exact"/>
        <w:rPr>
          <w:sz w:val="20"/>
          <w:szCs w:val="20"/>
          <w:color w:val="auto"/>
        </w:rPr>
      </w:pPr>
    </w:p>
    <w:p>
      <w:pPr>
        <w:ind w:right="60" w:firstLine="8"/>
        <w:spacing w:after="0" w:line="299" w:lineRule="auto"/>
        <w:tabs>
          <w:tab w:leader="none" w:pos="263"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Japan</w:t>
      </w:r>
    </w:p>
    <w:p>
      <w:pPr>
        <w:spacing w:after="0" w:line="234"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Law of Japan (the Financial Instruments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Israel</w:t>
      </w:r>
    </w:p>
    <w:p>
      <w:pPr>
        <w:spacing w:after="0" w:line="234" w:lineRule="exact"/>
        <w:rPr>
          <w:sz w:val="20"/>
          <w:szCs w:val="20"/>
          <w:color w:val="auto"/>
        </w:rPr>
      </w:pPr>
    </w:p>
    <w:p>
      <w:pPr>
        <w:ind w:right="40" w:firstLine="488"/>
        <w:spacing w:after="0" w:line="268" w:lineRule="auto"/>
        <w:rPr>
          <w:sz w:val="20"/>
          <w:szCs w:val="20"/>
          <w:color w:val="auto"/>
        </w:rPr>
      </w:pPr>
      <w:r>
        <w:rPr>
          <w:rFonts w:ascii="Arial" w:cs="Arial" w:eastAsia="Arial" w:hAnsi="Arial"/>
          <w:sz w:val="16"/>
          <w:szCs w:val="16"/>
          <w:color w:val="auto"/>
        </w:rPr>
        <w:t>In the State of Israel this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or make, distribute or direct an offer to subscribe for our common stock to any person within the State of Israel, other than to Qualified Investors and up to 35 Addressed Investors.</w:t>
      </w:r>
    </w:p>
    <w:p>
      <w:pPr>
        <w:spacing w:after="0" w:line="190" w:lineRule="exact"/>
        <w:rPr>
          <w:sz w:val="20"/>
          <w:szCs w:val="20"/>
          <w:color w:val="auto"/>
        </w:rPr>
      </w:pPr>
    </w:p>
    <w:p>
      <w:pPr>
        <w:ind w:right="100" w:firstLine="488"/>
        <w:spacing w:after="0" w:line="236" w:lineRule="auto"/>
        <w:rPr>
          <w:sz w:val="20"/>
          <w:szCs w:val="20"/>
          <w:color w:val="auto"/>
        </w:rPr>
      </w:pPr>
      <w:r>
        <w:rPr>
          <w:rFonts w:ascii="Arial" w:cs="Arial" w:eastAsia="Arial" w:hAnsi="Arial"/>
          <w:sz w:val="18"/>
          <w:szCs w:val="18"/>
          <w:color w:val="auto"/>
        </w:rPr>
        <w:t>Qualified Investors may have to submit written evidence that they meet the definitions set out in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issued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Canada</w:t>
      </w:r>
    </w:p>
    <w:p>
      <w:pPr>
        <w:spacing w:after="0" w:line="234" w:lineRule="exact"/>
        <w:rPr>
          <w:sz w:val="20"/>
          <w:szCs w:val="20"/>
          <w:color w:val="auto"/>
        </w:rPr>
      </w:pPr>
    </w:p>
    <w:p>
      <w:pPr>
        <w:ind w:right="100" w:firstLine="485"/>
        <w:spacing w:after="0" w:line="236" w:lineRule="auto"/>
        <w:rPr>
          <w:sz w:val="20"/>
          <w:szCs w:val="20"/>
          <w:color w:val="auto"/>
        </w:rPr>
      </w:pPr>
      <w:r>
        <w:rPr>
          <w:rFonts w:ascii="Arial" w:cs="Arial" w:eastAsia="Arial" w:hAnsi="Arial"/>
          <w:sz w:val="18"/>
          <w:szCs w:val="18"/>
          <w:color w:val="auto"/>
        </w:rPr>
        <w:t>The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common stock must be made in accordance with an exemption from, or in a transaction not subject to, the prospectus requirements of applicable securities laws.</w:t>
      </w:r>
    </w:p>
    <w:p>
      <w:pPr>
        <w:spacing w:after="0" w:line="211" w:lineRule="exact"/>
        <w:rPr>
          <w:sz w:val="20"/>
          <w:szCs w:val="20"/>
          <w:color w:val="auto"/>
        </w:rPr>
      </w:pPr>
    </w:p>
    <w:p>
      <w:pPr>
        <w:ind w:right="160" w:firstLine="488"/>
        <w:spacing w:after="0" w:line="23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11" w:lineRule="exact"/>
        <w:rPr>
          <w:sz w:val="20"/>
          <w:szCs w:val="20"/>
          <w:color w:val="auto"/>
        </w:rPr>
      </w:pPr>
    </w:p>
    <w:p>
      <w:pPr>
        <w:jc w:val="both"/>
        <w:ind w:right="140" w:firstLine="488"/>
        <w:spacing w:after="0" w:line="238"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34"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The following is a summary of the material U.S. federal income tax consequences of the ownership and disposition of our common stock to non-U.S. holders, but does not purport to be a complete analysis of all the potential tax considerations relating thereto. This summary is based upon the provisions of the Internal Revenue Code of 1986, as amended, or the Code, Treasury regulations promulgated thereunder, administrative rulings and judicial decisions, all as of the date hereof and does not address changes to United States tax law that may result from tax reforms that may be enacted in 2017 or thereafter. These authorities may be changed or subject to differing interpretations, possibly with retroactive effect, so as to result in U.S. federal income tax consequences different from those set forth below. We have not sought any ruling from the Internal Revenue Service, or the IRS, with respect to the statements made and the conclusions reached in the following summary, and there can be no assurance that the IRS will agree with such statements and conclusions.</w:t>
      </w:r>
    </w:p>
    <w:p>
      <w:pPr>
        <w:spacing w:after="0" w:line="208" w:lineRule="exact"/>
        <w:rPr>
          <w:sz w:val="20"/>
          <w:szCs w:val="20"/>
          <w:color w:val="auto"/>
        </w:rPr>
      </w:pPr>
    </w:p>
    <w:p>
      <w:pPr>
        <w:ind w:right="200" w:firstLine="485"/>
        <w:spacing w:after="0" w:line="237" w:lineRule="auto"/>
        <w:rPr>
          <w:sz w:val="20"/>
          <w:szCs w:val="20"/>
          <w:color w:val="auto"/>
        </w:rPr>
      </w:pPr>
      <w:r>
        <w:rPr>
          <w:rFonts w:ascii="Arial" w:cs="Arial" w:eastAsia="Arial" w:hAnsi="Arial"/>
          <w:sz w:val="18"/>
          <w:szCs w:val="18"/>
          <w:color w:val="auto"/>
        </w:rPr>
        <w:t>This summary also does not address the tax considerations arising under the laws of any U.S. state or local or any non-U.S. jurisdiction, U.S. federal estate or gift tax laws, the Medicare tax on net investment income or any alternative minimum tax consequences. In addition, this discussion does not address tax considerations applicable to an investor's particular circumstances or to investors that may be subject to special tax rules, including, without limitation:</w:t>
      </w:r>
    </w:p>
    <w:p>
      <w:pPr>
        <w:spacing w:after="0" w:line="20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that own, or are deemed to own, more than five percent of our capital stock;</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98" w:lineRule="exact"/>
        <w:rPr>
          <w:rFonts w:ascii="Arial" w:cs="Arial" w:eastAsia="Arial" w:hAnsi="Arial"/>
          <w:sz w:val="18"/>
          <w:szCs w:val="18"/>
          <w:color w:val="auto"/>
        </w:rPr>
      </w:pPr>
    </w:p>
    <w:p>
      <w:pPr>
        <w:ind w:left="1080" w:right="700" w:hanging="532"/>
        <w:spacing w:after="0" w:line="23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208" w:lineRule="exact"/>
        <w:rPr>
          <w:rFonts w:ascii="Arial" w:cs="Arial" w:eastAsia="Arial" w:hAnsi="Arial"/>
          <w:sz w:val="18"/>
          <w:szCs w:val="18"/>
          <w:color w:val="auto"/>
        </w:rPr>
      </w:pPr>
    </w:p>
    <w:p>
      <w:pPr>
        <w:ind w:left="1080" w:right="660" w:hanging="532"/>
        <w:spacing w:after="0" w:line="23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w:t>
      </w:r>
    </w:p>
    <w:p>
      <w:pPr>
        <w:spacing w:after="0" w:line="195" w:lineRule="exact"/>
        <w:rPr>
          <w:rFonts w:ascii="Arial" w:cs="Arial" w:eastAsia="Arial" w:hAnsi="Arial"/>
          <w:sz w:val="18"/>
          <w:szCs w:val="18"/>
          <w:color w:val="auto"/>
        </w:rPr>
      </w:pPr>
    </w:p>
    <w:p>
      <w:pPr>
        <w:ind w:left="1080" w:right="460" w:hanging="532"/>
        <w:spacing w:after="0" w:line="23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treated as partnerships for U.S. federal income tax purposes (or investors in any such entities);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passive foreign investment companies; or</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that acquire our common stock as compensation for services.</w:t>
      </w:r>
    </w:p>
    <w:p>
      <w:pPr>
        <w:spacing w:after="0" w:line="212" w:lineRule="exact"/>
        <w:rPr>
          <w:sz w:val="20"/>
          <w:szCs w:val="20"/>
          <w:color w:val="auto"/>
        </w:rPr>
      </w:pPr>
    </w:p>
    <w:p>
      <w:pPr>
        <w:ind w:right="200" w:firstLine="488"/>
        <w:spacing w:after="0" w:line="299" w:lineRule="auto"/>
        <w:rPr>
          <w:sz w:val="20"/>
          <w:szCs w:val="20"/>
          <w:color w:val="auto"/>
        </w:rPr>
      </w:pPr>
      <w:r>
        <w:rPr>
          <w:rFonts w:ascii="Arial" w:cs="Arial" w:eastAsia="Arial" w:hAnsi="Arial"/>
          <w:sz w:val="16"/>
          <w:szCs w:val="16"/>
          <w:color w:val="auto"/>
        </w:rPr>
        <w:t>In addition, if a partnership, including any entity or arrangement classified as a partnership for U.S. federal income tax purposes, holds our common stock, the tax treatment of a partner in such partnership generally will depend on the status of the partner and upon the activities of the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partnership. Accordingly, partnerships that hold our common stock, and partners in such partnerships, should consult their tax advisors.</w:t>
      </w:r>
    </w:p>
    <w:p>
      <w:pPr>
        <w:spacing w:after="0" w:line="190" w:lineRule="exact"/>
        <w:rPr>
          <w:sz w:val="20"/>
          <w:szCs w:val="20"/>
          <w:color w:val="auto"/>
        </w:rPr>
      </w:pPr>
    </w:p>
    <w:p>
      <w:pPr>
        <w:ind w:right="440" w:firstLine="488"/>
        <w:spacing w:after="0" w:line="244" w:lineRule="auto"/>
        <w:rPr>
          <w:sz w:val="20"/>
          <w:szCs w:val="20"/>
          <w:color w:val="auto"/>
        </w:rPr>
      </w:pPr>
      <w:r>
        <w:rPr>
          <w:rFonts w:ascii="Arial" w:cs="Arial" w:eastAsia="Arial" w:hAnsi="Arial"/>
          <w:sz w:val="18"/>
          <w:szCs w:val="18"/>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estate or gift tax rules or under the laws of any U.S. state or local or any non-U.S. or other taxing jurisdiction or under any applicable tax treaty.</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Non-U.S. Holder Defined</w:t>
      </w:r>
    </w:p>
    <w:p>
      <w:pPr>
        <w:spacing w:after="0" w:line="234"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For purposes of this discussion, you are a non-U.S. holder if you are a beneficial owner of our common stock that is for United States federal income tax purposes (i) a foreign corporation, (ii) a nonresident alien individual, (iii) a foreign estate, the income of which, if from sources without the United States and not effectively connected with the conduct of a trade or business within the United States, is not subject to tax in the United States; or (iv) a trust that has not made an election to be treated as a U.S. holder under applicable Treasury regulations and that either (A) is not subject to the primary jurisdiction of a court within the United States, or (B) is not subject to the substantial control of one or more United States persons.</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Distributions</w:t>
      </w:r>
    </w:p>
    <w:p>
      <w:pPr>
        <w:spacing w:after="0" w:line="234" w:lineRule="exact"/>
        <w:rPr>
          <w:sz w:val="20"/>
          <w:szCs w:val="20"/>
          <w:color w:val="auto"/>
        </w:rPr>
      </w:pPr>
    </w:p>
    <w:p>
      <w:pPr>
        <w:ind w:firstLine="478"/>
        <w:spacing w:after="0" w:line="236" w:lineRule="auto"/>
        <w:rPr>
          <w:sz w:val="20"/>
          <w:szCs w:val="20"/>
          <w:color w:val="auto"/>
        </w:rPr>
      </w:pPr>
      <w:r>
        <w:rPr>
          <w:rFonts w:ascii="Arial" w:cs="Arial" w:eastAsia="Arial" w:hAnsi="Arial"/>
          <w:sz w:val="18"/>
          <w:szCs w:val="18"/>
          <w:color w:val="auto"/>
        </w:rPr>
        <w:t>As discussed under "Dividend Policy", above, we do not anticipate paying any dividends on our capital stock in the foreseeable future. If we were to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common stock, but not below zero, and then will be treated as gain from the sale of stock, subject to the tax treatment described in the discussion below regarding taxable dispositions of our common stock. Any such distributions would also be subject to the discussions below regarding backup withholding and FATCA.</w:t>
      </w:r>
    </w:p>
    <w:p>
      <w:pPr>
        <w:spacing w:after="0" w:line="209"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Subject to the discussion below regarding a dividend received by you that is effectively connected with the conduct of a U.S. trade or business, a dividend paid to you generally will be subject to U.S. withholding tax either at a rate of 30% of the gross amount of the dividend or such lower rate as may be specified by an applicable income tax treaty. In order to receive a reduced treaty rate, you must provide us with a valid IRS Form W-8BEN, IRS Form W-8-BEN-E or another appropriate version of IRS Form W-8 (or a successor form), in each case, certifying qualification for the reduced rate.</w:t>
      </w:r>
    </w:p>
    <w:p>
      <w:pPr>
        <w:spacing w:after="0" w:line="211" w:lineRule="exact"/>
        <w:rPr>
          <w:sz w:val="20"/>
          <w:szCs w:val="20"/>
          <w:color w:val="auto"/>
        </w:rPr>
      </w:pPr>
    </w:p>
    <w:p>
      <w:pPr>
        <w:ind w:right="20" w:firstLine="488"/>
        <w:spacing w:after="0" w:line="270" w:lineRule="auto"/>
        <w:rPr>
          <w:sz w:val="20"/>
          <w:szCs w:val="20"/>
          <w:color w:val="auto"/>
        </w:rPr>
      </w:pPr>
      <w:r>
        <w:rPr>
          <w:rFonts w:ascii="Arial" w:cs="Arial" w:eastAsia="Arial" w:hAnsi="Arial"/>
          <w:sz w:val="16"/>
          <w:szCs w:val="16"/>
          <w:color w:val="auto"/>
        </w:rPr>
        <w:t>Dividends received by you that are effectively connected with the conduct of a U.S. trade or business (and, if required by an applicable income tax treaty, are attributable to a permanent establishment maintained by you in the United States) generally are exempt from such withholding tax. In order to obtain this exemption, you must provide us with a valid IRS Form W-8ECI or successor form or other applicable IRS Form W-8 properly certifying such exemption. Such effectively connected dividends, although not subject to withholding tax, are taxed at the same graduated rates applicable to U.S. persons, net of certain deductions and credits, subject to an applicable income tax treaty providing otherwise. In addition, if you are a corporate non-U.S. holder, you may also be subject to a branch profits tax at a rate of 30% or such lower rate as may be specified by an applicable income tax treaty on your earnings and profits in respect of such effectively connected dividend income.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20" w:firstLine="488"/>
        <w:spacing w:after="0" w:line="239" w:lineRule="auto"/>
        <w:rPr>
          <w:sz w:val="20"/>
          <w:szCs w:val="20"/>
          <w:color w:val="auto"/>
        </w:rPr>
      </w:pPr>
      <w:r>
        <w:rPr>
          <w:rFonts w:ascii="Arial" w:cs="Arial" w:eastAsia="Arial" w:hAnsi="Arial"/>
          <w:sz w:val="18"/>
          <w:szCs w:val="18"/>
          <w:color w:val="auto"/>
        </w:rPr>
        <w:t>If you are eligible for a reduced rate of withholding tax pursuant to a tax treaty, you may be able to obtain a refund of any excess amounts currently withheld if you file an appropriate claim for refund with the IRS.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Gain on Sale or Other Taxable Disposition of Common Stock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Subject to the discussion below regarding backup withholding and FATCA, a non-U.S. Holder generally will not be required to pay U.S.</w:t>
      </w:r>
    </w:p>
    <w:p>
      <w:pPr>
        <w:spacing w:after="0"/>
        <w:rPr>
          <w:sz w:val="20"/>
          <w:szCs w:val="20"/>
          <w:color w:val="auto"/>
        </w:rPr>
      </w:pPr>
      <w:r>
        <w:rPr>
          <w:rFonts w:ascii="Arial" w:cs="Arial" w:eastAsia="Arial" w:hAnsi="Arial"/>
          <w:sz w:val="18"/>
          <w:szCs w:val="18"/>
          <w:color w:val="auto"/>
        </w:rPr>
        <w:t>federal income tax on any gain realized upon the sale or other taxable disposition of our common stock unless:</w:t>
      </w:r>
    </w:p>
    <w:p>
      <w:pPr>
        <w:spacing w:after="0" w:line="212" w:lineRule="exact"/>
        <w:rPr>
          <w:sz w:val="20"/>
          <w:szCs w:val="20"/>
          <w:color w:val="auto"/>
        </w:rPr>
      </w:pPr>
    </w:p>
    <w:p>
      <w:pPr>
        <w:jc w:val="both"/>
        <w:ind w:left="1080" w:hanging="532"/>
        <w:spacing w:after="0" w:line="236"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U.S. trade or business (and, if required by an applicable income tax treaty, the gain is attributable to a permanent establishment maintained by you in the U.S.), in which case you will be required to pay tax on the net gain derived from the sale under regular graduated U.S. federal income tax rates, and for a non-U.S. holder that is a corporation, such non-U.S. holder may be subject to the branch profits tax on any earnings and profits attributable to such gains at a 30% rate or such lower rate as may be specified by an applicable income tax treaty;</w:t>
      </w:r>
    </w:p>
    <w:p>
      <w:pPr>
        <w:spacing w:after="0" w:line="211" w:lineRule="exact"/>
        <w:rPr>
          <w:rFonts w:ascii="Arial" w:cs="Arial" w:eastAsia="Arial" w:hAnsi="Arial"/>
          <w:sz w:val="18"/>
          <w:szCs w:val="18"/>
          <w:color w:val="auto"/>
        </w:rPr>
      </w:pPr>
    </w:p>
    <w:p>
      <w:pPr>
        <w:ind w:left="1080" w:right="20" w:hanging="532"/>
        <w:spacing w:after="0" w:line="275"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you are an individual who is present in the United States for a period or periods aggregating 183 days or more during the taxable year in which the sale or disposition occurs and certain other conditions are met, in which case you will be required to pay a flat 30% tax on the gain derived from the sale, which tax may be offset by certain U.S. source capital losses in the taxable year of disposition (even though you are not considered a resident of the United States) (subject to applicable income tax or other treaties); or</w:t>
      </w:r>
    </w:p>
    <w:p>
      <w:pPr>
        <w:spacing w:after="0" w:line="169" w:lineRule="exact"/>
        <w:rPr>
          <w:rFonts w:ascii="Arial" w:cs="Arial" w:eastAsia="Arial" w:hAnsi="Arial"/>
          <w:sz w:val="16"/>
          <w:szCs w:val="16"/>
          <w:color w:val="auto"/>
        </w:rPr>
      </w:pPr>
    </w:p>
    <w:p>
      <w:pPr>
        <w:ind w:left="1080" w:right="20" w:hanging="532"/>
        <w:spacing w:after="0" w:line="235"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by reason of our status as a "U.S. real property holding corporation" for U.S. federal income tax purposes, or a USRPHC, at any time within the shorter of the five-year period preceding the disposition or your holding period for our common stock. We believe that we are not currently and will not become a USRPHC. However, because the determination of whether we are a USRPHC depends on the fair market value of our U.S. real property relative to the fair market value of our other real property and business assets, there can be no assurance that we will not become a USRPHC in the future. Even if we become a USRPHC, however, as long as our common stock is regularly traded on an established securities market (as determined under the Code), such common stock will be treated as U.S. real property interests only if you actually or constructively hold more than five percent of such regularly traded common stock at any time during the applicable period that is specified in the Code.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4" w:lineRule="exact"/>
        <w:rPr>
          <w:sz w:val="20"/>
          <w:szCs w:val="20"/>
          <w:color w:val="auto"/>
        </w:rPr>
      </w:pPr>
    </w:p>
    <w:p>
      <w:pPr>
        <w:ind w:right="40" w:firstLine="488"/>
        <w:spacing w:after="0" w:line="238"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generally be sent to you. Pursuant to applicable income tax treaties or other agreements, the IRS may make these reports available to tax authorities in your country of residence.</w:t>
      </w:r>
    </w:p>
    <w:p>
      <w:pPr>
        <w:spacing w:after="0" w:line="208"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Payments of dividends or of proceeds on the disposition of stock made to you may be subject to additional information reporting and backup withholding at the then applicable rate unless you establish an exemption, for example by properly certifying your non-U.S. status on an IRS Form W-8BEN, IRS Form W-8BEN-E or another appropriate version of IRS Form W-8 (or a successor form). Notwithstanding the foregoing, backup withholding and information reporting may apply if either we or our paying agent has actual knowledge, or reason to know, that you are a U.S. person.</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160" w:firstLine="488"/>
        <w:spacing w:after="0" w:line="238" w:lineRule="auto"/>
        <w:rPr>
          <w:sz w:val="20"/>
          <w:szCs w:val="20"/>
          <w:color w:val="auto"/>
        </w:rPr>
      </w:pPr>
      <w:r>
        <w:rPr>
          <w:rFonts w:ascii="Arial" w:cs="Arial" w:eastAsia="Arial" w:hAnsi="Arial"/>
          <w:sz w:val="18"/>
          <w:szCs w:val="18"/>
          <w:color w:val="auto"/>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Foreign Account Tax Compliance Act ("FATCA")</w:t>
      </w:r>
    </w:p>
    <w:p>
      <w:pPr>
        <w:spacing w:after="0" w:line="234" w:lineRule="exact"/>
        <w:rPr>
          <w:sz w:val="20"/>
          <w:szCs w:val="20"/>
          <w:color w:val="auto"/>
        </w:rPr>
      </w:pPr>
    </w:p>
    <w:p>
      <w:pPr>
        <w:ind w:firstLine="488"/>
        <w:spacing w:after="0" w:line="267" w:lineRule="auto"/>
        <w:rPr>
          <w:sz w:val="20"/>
          <w:szCs w:val="20"/>
          <w:color w:val="auto"/>
        </w:rPr>
      </w:pPr>
      <w:r>
        <w:rPr>
          <w:rFonts w:ascii="Arial" w:cs="Arial" w:eastAsia="Arial" w:hAnsi="Arial"/>
          <w:sz w:val="16"/>
          <w:szCs w:val="16"/>
          <w:color w:val="auto"/>
        </w:rPr>
        <w:t>Provisions commonly referred to as "FATCA" may impose withholding tax on certain types of payments made to "foreign financial institutions" and certain other non-U.S. entities. The legislation imposes a 30% withholding tax on dividends on, or gross proceeds from the sale or other disposition of, our common stock paid to a foreign financial institution or to certain non-financial foreign entities, unless (i) the foreign financial institution undertakes certain diligence and reporting obligations, (ii) the non-financial foreign entity either certifies it does not have any substantial U.S. owners or furnishes identifying information regarding each substantial U.S. owner and such entity meets certain other specified requirements, or (iii) the foreign financial institution or non-financial foreign entity otherwise qualifies for an exemption from these rules. If the payee is a foreign financial institution and is subject to the requirements in (i) above, it must enter into an agreement with the U.S. Treasury requiring, among other things, that it undertake to identify accounts held by certain U.S. persons or U.S.-owned foreign entities, annually report certain information about such accounts, and withhold 30% on payments to account holders whose actions prevent it from complying with these reporting and other requirements. If the country in which a payee is resident has entered into an "intergovernmental agreement" with the United States regarding FATCA, that agreement may permit the payee to report to that country rather than to the U.S. Treasury. Under final regulations and published guidance, the obligation to withhold from payments made to a foreign financial institution or a foreign non-financial entity under the new legislation with respect to dividends on our common stock are currently in effect, but with respect to the gross proceeds of a sale or other disposition of our common stock will not begin until January 1, 2019. Prospective investors should consult their tax advisors regarding FATCA.</w:t>
      </w:r>
    </w:p>
    <w:p>
      <w:pPr>
        <w:spacing w:after="0" w:line="369" w:lineRule="exact"/>
        <w:rPr>
          <w:sz w:val="20"/>
          <w:szCs w:val="20"/>
          <w:color w:val="auto"/>
        </w:rPr>
      </w:pPr>
    </w:p>
    <w:p>
      <w:pPr>
        <w:ind w:right="100" w:firstLine="488"/>
        <w:spacing w:after="0" w:line="296" w:lineRule="auto"/>
        <w:rPr>
          <w:sz w:val="20"/>
          <w:szCs w:val="20"/>
          <w:color w:val="auto"/>
        </w:rPr>
      </w:pPr>
      <w:r>
        <w:rPr>
          <w:rFonts w:ascii="Arial" w:cs="Arial" w:eastAsia="Arial" w:hAnsi="Arial"/>
          <w:sz w:val="16"/>
          <w:szCs w:val="16"/>
          <w:b w:val="1"/>
          <w:bCs w:val="1"/>
          <w:color w:val="auto"/>
        </w:rPr>
        <w:t>The preceding discussion of U.S. federal income tax considerations is for general information only. It is not tax advice. Each prospective investor should consult its tax advisor regarding the particular U.S. federal, state and local and non-U.S. tax consequences of purchasing, holding and disposing of our common stock, including the consequences of any proposed change in applicable laws.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right="900" w:firstLine="488"/>
        <w:spacing w:after="0" w:line="299" w:lineRule="auto"/>
        <w:rPr>
          <w:sz w:val="20"/>
          <w:szCs w:val="20"/>
          <w:color w:val="auto"/>
        </w:rPr>
      </w:pPr>
      <w:r>
        <w:rPr>
          <w:rFonts w:ascii="Arial" w:cs="Arial" w:eastAsia="Arial" w:hAnsi="Arial"/>
          <w:sz w:val="16"/>
          <w:szCs w:val="16"/>
          <w:color w:val="auto"/>
        </w:rPr>
        <w:t>Certain legal matters with respect to the securities offered by this prospectus supplement will be passed upon for us by Goodwin Procter LLP, Boston, Massachusetts. Certain legal matters will be passed upon for the underwriters by Latham &amp; Watkins LLP.</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jc w:val="both"/>
        <w:ind w:firstLine="485"/>
        <w:spacing w:after="0" w:line="237" w:lineRule="auto"/>
        <w:rPr>
          <w:sz w:val="20"/>
          <w:szCs w:val="20"/>
          <w:color w:val="auto"/>
        </w:rPr>
      </w:pPr>
      <w:r>
        <w:rPr>
          <w:rFonts w:ascii="Arial" w:cs="Arial" w:eastAsia="Arial" w:hAnsi="Arial"/>
          <w:sz w:val="18"/>
          <w:szCs w:val="18"/>
          <w:color w:val="auto"/>
        </w:rPr>
        <w:t>The consolidated financial statements of Blueprint Medicines Corporation appearing in Blueprint Medicines Corporation's Annual Report on Form 10-K for the year ended December 31, 2016 have been audited by Ernst &amp; Young LLP, independent registered public accounting firm, as set forth in their report thereon, included therein and incorporated herein by reference. Such financial statements are incorporated herein by reference in reliance upon such report given on the authority of said firm as experts in auditing and accounting.</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Blueprint Medicines Corporation</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Preferred Stock</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Depositary Shares</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Purchase Contracts</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Purchase Units</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142240</wp:posOffset>
            </wp:positionV>
            <wp:extent cx="18954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may offer and sell securities from time to time in one or more offerings. This prospectus describes the general terms of these securities and the general manner in which these securities will be offered. We will provide the specific terms of these securities in one or more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or amendment carefully before you invest in our securities.</w:t>
      </w:r>
    </w:p>
    <w:p>
      <w:pPr>
        <w:spacing w:after="0" w:line="19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Global Select Market under the symbol "BPMC."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40" w:firstLine="351"/>
        <w:spacing w:after="0" w:line="261" w:lineRule="auto"/>
        <w:rPr>
          <w:sz w:val="20"/>
          <w:szCs w:val="20"/>
          <w:color w:val="auto"/>
        </w:rPr>
      </w:pPr>
      <w:r>
        <w:rPr>
          <w:rFonts w:ascii="Arial" w:cs="Arial" w:eastAsia="Arial" w:hAnsi="Arial"/>
          <w:sz w:val="21"/>
          <w:szCs w:val="21"/>
          <w:b w:val="1"/>
          <w:bCs w:val="1"/>
          <w:color w:val="auto"/>
        </w:rPr>
        <w:t>Investing in these securities involves significant risks. See "Risk Factors" included in any accompanying prospectus supplement and in the documents incorporated by reference in this prospectus for a discussion of the factors you should carefully consider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117475</wp:posOffset>
            </wp:positionV>
            <wp:extent cx="18954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8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119380</wp:posOffset>
            </wp:positionV>
            <wp:extent cx="18954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date of this prospectus is March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28"/>
        </w:trPr>
        <w:tc>
          <w:tcPr>
            <w:tcW w:w="836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3060" w:type="dxa"/>
            <w:vAlign w:val="bottom"/>
          </w:tcPr>
          <w:p>
            <w:pPr>
              <w:spacing w:after="0"/>
              <w:rPr>
                <w:sz w:val="19"/>
                <w:szCs w:val="19"/>
                <w:color w:val="auto"/>
              </w:rPr>
            </w:pP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ABOUT THIS PROSPECTUS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1</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RISK FACTORS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2</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WHERE YOU CAN FIND MORE INFORMATION</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INCORPORATION BY REFERENCE</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FORWARD-LOOKING STATEMENTS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4</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BLUEPRINT MEDICINES CORPORATION</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5</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CONSOLIDATED RATIOS OF EARNINGS TO FIXED CHARGES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6</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USE OF PROCEEDS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7</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DILUTION</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8</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DESCRIPTION OF CAPITAL STOCK</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9</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DESCRIPTION OF DEBT SECURITIES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17</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DESCRIPTION OF DEPOSITARY SHARES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31</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DESCRIPTION OF PURCHASE CONTRACTS AND PURCHASE UNITS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34</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DESCRIPTION OF WARRANTS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35</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FORMS OF SECURITIES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36</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PLAN OF DISTRIBUTION</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38</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LEGAL MATTERS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41</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EXPERTS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41</w:t>
            </w:r>
          </w:p>
        </w:tc>
      </w:tr>
      <w:tr>
        <w:trPr>
          <w:trHeight w:val="120"/>
        </w:trPr>
        <w:tc>
          <w:tcPr>
            <w:tcW w:w="8360" w:type="dxa"/>
            <w:vAlign w:val="bottom"/>
            <w:tcBorders>
              <w:bottom w:val="single" w:sz="8" w:color="808080"/>
            </w:tcBorders>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jc w:val="center"/>
        <w:ind w:right="4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180" w:firstLine="348"/>
        <w:spacing w:after="0" w:line="335" w:lineRule="auto"/>
        <w:rPr>
          <w:sz w:val="20"/>
          <w:szCs w:val="20"/>
          <w:color w:val="auto"/>
        </w:rPr>
      </w:pPr>
      <w:r>
        <w:rPr>
          <w:rFonts w:ascii="Arial" w:cs="Arial" w:eastAsia="Arial" w:hAnsi="Arial"/>
          <w:sz w:val="15"/>
          <w:szCs w:val="15"/>
          <w:color w:val="auto"/>
        </w:rPr>
        <w:t>This prospectus is part of an automatic registration statement that we filed with the Securities and Exchange Commission, which we refer to as the SEC, utilizing a "shelf" registration process as a "well-known seasoned issuer" as defined in Rule 405 under the Securities Act of 1933, as amended, or the Securities Act. Under this shelf registration process, we may from time to time sell any combination of the securities described in this prospectus in one or more offerings.</w:t>
      </w:r>
    </w:p>
    <w:p>
      <w:pPr>
        <w:spacing w:after="0" w:line="142"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3 of this prospectus.</w:t>
      </w:r>
    </w:p>
    <w:p>
      <w:pPr>
        <w:spacing w:after="0" w:line="167" w:lineRule="exact"/>
        <w:rPr>
          <w:sz w:val="20"/>
          <w:szCs w:val="20"/>
          <w:color w:val="auto"/>
        </w:rPr>
      </w:pPr>
    </w:p>
    <w:p>
      <w:pPr>
        <w:ind w:firstLine="345"/>
        <w:spacing w:after="0" w:line="290"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72"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i w:val="1"/>
          <w:iCs w:val="1"/>
          <w:color w:val="auto"/>
        </w:rPr>
        <w:t>Unless otherwise stated, all references in this prospectus to "us," "our," "Blueprint," "Blueprint Medicines," "we," the "Company" and similar designations refer, collectively, to Blueprint Medicines Corporation, a Delaware corporation, and its consolidated subsidiary, Blueprint Medicines Security Corporation.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jc w:val="center"/>
        <w:ind w:right="-9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Investing in our securities involves significant risks. You should carefully consider the risks and uncertainties described in this prospectus and any accompanying prospectus supplement, including the risk factors set forth in our filings with the SEC that are incorporated by reference herein, including the risk factors in our Annual Report on Form 10-K for the fiscal year ended December 31, 2016 and any of our subsequent filings with the SEC, before making an investment decision pursuant to this prospectus and any accompanying prospectus supplement relating to a specific offering.</w:t>
      </w:r>
    </w:p>
    <w:p>
      <w:pPr>
        <w:spacing w:after="0" w:line="16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220" w:firstLine="348"/>
        <w:spacing w:after="0" w:line="255"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www.blueprintmedicines.com. Our website is not a part of this prospectus and is not incorporated by reference in this prospectus. You may also read and copy any document we file at the SEC's Public Reference Room, 100 F Street, N.E., Washington, D.C. 20549. Please call the SEC at 1-800-SEC-0330 for further information on the operation of the Public Reference Room.</w:t>
      </w:r>
    </w:p>
    <w:p>
      <w:pPr>
        <w:spacing w:after="0" w:line="197"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 at the address listed above or from the SEC's website.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001-37359)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w:t>
      </w:r>
    </w:p>
    <w:p>
      <w:pPr>
        <w:spacing w:after="0" w:line="186"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2016;</w:t>
      </w:r>
    </w:p>
    <w:p>
      <w:pPr>
        <w:spacing w:after="0" w:line="252" w:lineRule="exact"/>
        <w:rPr>
          <w:rFonts w:ascii="Arial" w:cs="Arial" w:eastAsia="Arial" w:hAnsi="Arial"/>
          <w:sz w:val="18"/>
          <w:szCs w:val="18"/>
          <w:color w:val="auto"/>
        </w:rPr>
      </w:pPr>
    </w:p>
    <w:p>
      <w:pPr>
        <w:jc w:val="both"/>
        <w:ind w:left="1080" w:right="80" w:hanging="532"/>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our Annual Report on Form 10-K for the fiscal year ended December 31, 2015 from our definitive proxy statement (other than information furnished rather than filed) for the 2016 Annual Meeting of Stockholders, which was filed with the SEC on April 28, 2016; and</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April 27, 2015, including any amendments or reports filed for the purpose of updating such description.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may request a copy of these filings, at no cost, by contacting us, either orally or in writing, at the following:</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Blueprint Medicines Corporation</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 Sidney Street, Suite 200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Cambridge, Massachusetts 02139</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Phone: (617) 714-6674</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E-mail: ir@blueprintmedicines.com</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40" w:name="page41"/>
    <w:bookmarkEnd w:id="40"/>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This prospectus and the information incorporated by reference in this prospectus include "forward-looking statements" within the meaning of Section 27A of the Securities Act and Section 21E of the Exchange Act. All statements, other than statements of historical facts, contained or incorporated by reference in this prospectus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Forward-looking statements include, but are not limited to, statements about the initiation, timing, progress and results of our pre-clinical studies and clinical trials, including our Phase 1 clinical trials for BLU-285, BLU-554 and BLU-667, and our research and development programs; our ability to advance drug candidates into, and successfully complete, clinical trials; the timing or likelihood of regulatory filings and approvals; the commercialization of our drug candidates, if approved; the pricing and reimbursement of our drug candidates, if approved; the implementation of our business model, strategic plans for our business, drug candidates and technology; the scope of protection we are able to establish and maintain for intellectual property rights covering our drug candidates and technology; estimates of our expenses, future revenues, capital requirements and our needs for additional financing; the potential benefits of our existing rare genetic disease collaboration with Alexion Pharma Holding and our existing cancer immunotherapy collaboration with F. Hoffmann-La Roche Ltd and Hoffmann-La Roche Inc., as well as our ability to enter into other strategic arrangements; the development of companion diagnostic tests for our drug candidates, including our companion diagnostic test with Ventana Medical Systems, Inc. for BLU-554 and our companion diagnostic test with QIAGEN Manchester Limited for BLU-285; our ability to maintain and establish collaborations; our financial performance; and developments relating to our competitors and our industry.</w:t>
      </w:r>
    </w:p>
    <w:p>
      <w:pPr>
        <w:spacing w:after="0" w:line="180" w:lineRule="exact"/>
        <w:rPr>
          <w:sz w:val="20"/>
          <w:szCs w:val="20"/>
          <w:color w:val="auto"/>
        </w:rPr>
      </w:pPr>
    </w:p>
    <w:p>
      <w:pPr>
        <w:ind w:right="20" w:firstLine="341"/>
        <w:spacing w:after="0" w:line="253" w:lineRule="auto"/>
        <w:rPr>
          <w:sz w:val="20"/>
          <w:szCs w:val="20"/>
          <w:color w:val="auto"/>
        </w:rPr>
      </w:pPr>
      <w:r>
        <w:rPr>
          <w:rFonts w:ascii="Arial" w:cs="Arial" w:eastAsia="Arial" w:hAnsi="Arial"/>
          <w:sz w:val="18"/>
          <w:szCs w:val="18"/>
          <w:color w:val="auto"/>
        </w:rPr>
        <w:t>Any forward-looking statements contained or incorporated by reference in this prospectus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See "Risk Factors" for more information. Given these uncertainties, you should not place undue reliance on these forward-looking statements. Our forward-looking statements do not reflect the potential impact of any future acquisitions, mergers, dispositions, joint ventures or investments we may make or enter into. Except as required by law, we assume no obligation to update or revise these forward-looking statements for any reason, whether as a result of new information, future events or otherwise.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1" w:name="page42"/>
    <w:bookmarkEnd w:id="41"/>
    <w:p>
      <w:pPr>
        <w:jc w:val="center"/>
        <w:ind w:right="-99"/>
        <w:spacing w:after="0"/>
        <w:rPr>
          <w:sz w:val="20"/>
          <w:szCs w:val="20"/>
          <w:color w:val="auto"/>
        </w:rPr>
      </w:pPr>
      <w:r>
        <w:rPr>
          <w:rFonts w:ascii="Arial" w:cs="Arial" w:eastAsia="Arial" w:hAnsi="Arial"/>
          <w:sz w:val="18"/>
          <w:szCs w:val="18"/>
          <w:b w:val="1"/>
          <w:bCs w:val="1"/>
          <w:color w:val="auto"/>
        </w:rPr>
        <w:t>BLUEPRINT MEDICINES CORPORATION</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a biopharmaceutical company focused on improving the lives of patients with genomically defined diseases driven by abnormal kinase activation. Our approach is to systematically and reproducibly identify kinases that are drivers of diseases in genomically defined patient populations and to craft drug candidates with therapeutic windows that may provide significant and durable clinical responses for patients without adequate treatment options. This integrated biology and chemistry approach enables us to identify, characterize and drug novel kinase targets that have been difficult to selectively inhibit. By focusing on diseases in genomically defined patient populations, we believe that we will have a more efficient development path with a greater likelihood of success. Leveraging our novel target discovery engine, we have developed a robust small molecule drug pipeline in cancer and a rare genetic disease.</w:t>
      </w:r>
    </w:p>
    <w:p>
      <w:pPr>
        <w:spacing w:after="0" w:line="174"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Our principal executive offices are located at 38 Sidney Street, Suite 200, Cambridge, Massachusetts 02139, and our telephone number is (617) 714-6674.</w:t>
      </w: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42" w:name="page43"/>
    <w:bookmarkEnd w:id="42"/>
    <w:p>
      <w:pPr>
        <w:jc w:val="center"/>
        <w:ind w:right="40"/>
        <w:spacing w:after="0"/>
        <w:rPr>
          <w:sz w:val="20"/>
          <w:szCs w:val="20"/>
          <w:color w:val="auto"/>
        </w:rPr>
      </w:pPr>
      <w:r>
        <w:rPr>
          <w:rFonts w:ascii="Arial" w:cs="Arial" w:eastAsia="Arial" w:hAnsi="Arial"/>
          <w:sz w:val="18"/>
          <w:szCs w:val="18"/>
          <w:b w:val="1"/>
          <w:bCs w:val="1"/>
          <w:color w:val="auto"/>
        </w:rPr>
        <w:t>CONSOLIDATED RATIOS OF EARNINGS TO FIXED CHARGES</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following table sets forth our ratio of earnings to fixed charges for each of the periods indicated. You should read this table in conjunction with the consolidated financial statements and notes incorporated by reference in this prospectus.</w:t>
      </w:r>
    </w:p>
    <w:p>
      <w:pPr>
        <w:spacing w:after="0" w:line="236"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0</wp:posOffset>
            </wp:positionV>
            <wp:extent cx="12350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jc w:val="center"/>
        <w:ind w:left="6040"/>
        <w:spacing w:after="0"/>
        <w:tabs>
          <w:tab w:leader="none" w:pos="240" w:val="left"/>
          <w:tab w:leader="none" w:pos="240" w:val="left"/>
          <w:tab w:leader="none" w:pos="22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2"/>
          <w:szCs w:val="12"/>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-6985</wp:posOffset>
            </wp:positionV>
            <wp:extent cx="12350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1720"/>
        <w:spacing w:after="0"/>
        <w:tabs>
          <w:tab w:leader="none" w:pos="7800" w:val="left"/>
          <w:tab w:leader="none" w:pos="8320" w:val="left"/>
          <w:tab w:leader="none" w:pos="8860" w:val="left"/>
          <w:tab w:leader="none" w:pos="9380" w:val="left"/>
        </w:tabs>
        <w:rPr>
          <w:sz w:val="20"/>
          <w:szCs w:val="20"/>
          <w:color w:val="auto"/>
        </w:rPr>
      </w:pPr>
      <w:r>
        <w:rPr>
          <w:rFonts w:ascii="Arial" w:cs="Arial" w:eastAsia="Arial" w:hAnsi="Arial"/>
          <w:sz w:val="18"/>
          <w:szCs w:val="18"/>
          <w:color w:val="auto"/>
        </w:rPr>
        <w:t>Consolidated ratios of earnings to fixed charges</w:t>
      </w:r>
      <w:r>
        <w:rPr>
          <w:sz w:val="20"/>
          <w:szCs w:val="20"/>
          <w:color w:val="auto"/>
        </w:rPr>
        <w:tab/>
      </w:r>
      <w:r>
        <w:rPr>
          <w:rFonts w:ascii="Arial" w:cs="Arial" w:eastAsia="Arial" w:hAnsi="Arial"/>
          <w:sz w:val="18"/>
          <w:szCs w:val="18"/>
          <w:color w:val="auto"/>
        </w:rPr>
        <w:t>N/A</w:t>
        <w:tab/>
        <w:t>N/A</w:t>
        <w:tab/>
        <w:t>N/A</w:t>
      </w:r>
      <w:r>
        <w:rPr>
          <w:sz w:val="20"/>
          <w:szCs w:val="20"/>
          <w:color w:val="auto"/>
        </w:rPr>
        <w:tab/>
      </w:r>
      <w:r>
        <w:rPr>
          <w:rFonts w:ascii="Arial" w:cs="Arial" w:eastAsia="Arial" w:hAnsi="Arial"/>
          <w:sz w:val="16"/>
          <w:szCs w:val="16"/>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-130175</wp:posOffset>
            </wp:positionV>
            <wp:extent cx="506857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197" w:lineRule="exact"/>
        <w:rPr>
          <w:sz w:val="20"/>
          <w:szCs w:val="20"/>
          <w:color w:val="auto"/>
        </w:rPr>
      </w:pPr>
    </w:p>
    <w:p>
      <w:pPr>
        <w:ind w:right="500" w:firstLine="351"/>
        <w:spacing w:after="0" w:line="370" w:lineRule="auto"/>
        <w:rPr>
          <w:sz w:val="20"/>
          <w:szCs w:val="20"/>
          <w:color w:val="auto"/>
        </w:rPr>
      </w:pPr>
      <w:r>
        <w:rPr>
          <w:rFonts w:ascii="Arial" w:cs="Arial" w:eastAsia="Arial" w:hAnsi="Arial"/>
          <w:sz w:val="15"/>
          <w:szCs w:val="15"/>
          <w:color w:val="auto"/>
        </w:rPr>
        <w:t>For purposes of calculating the consolidated ratios of earnings to fixed charges, earnings consist of net income (loss) plus fixed charges. Fixed charges include interest expense, non-cash interest expense and the interest portion of rent expense which is deemed to be representative of the interest factor.</w:t>
      </w:r>
    </w:p>
    <w:p>
      <w:pPr>
        <w:spacing w:after="0" w:line="11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earnings were insufficient to cover fixed charges by $72.5 million for the year ended December 31, 2016, $52.8 million for the year ended December 31, 2015, $40.3 million for the year ended December 31, 2014 and $20.9 million for the year ended December 31, 2013.</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ratios of earnings to combined fixed charges and preferred stock dividends for the periods indicated above are the same as our ratios of earnings to fixed charges set forth above.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intend to use the net proceeds from the sale of any securities offered under this prospectus for general corporate purposes unless the applicable prospectus supplement provides otherwise. General corporate purposes may include research and development costs, the acquisition or licensing of other drugs or drug candidates, business or technologies, repayment and refinancing of debt, working capital and capital expenditures. We may temporarily invest the net proceeds in a variety of capital preservation instruments, including short-term,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4" w:name="page45"/>
    <w:bookmarkEnd w:id="44"/>
    <w:p>
      <w:pPr>
        <w:jc w:val="center"/>
        <w:ind w:right="4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there is a material dilution of the purchasers' equity interest from the sale of common equity securities offered under this prospectus, we will set forth in any prospectus supplement the following information regarding any such material dilution of the equity interests of purchasers purchasing securities in an offering under this prospectus:</w:t>
      </w:r>
    </w:p>
    <w:p>
      <w:pPr>
        <w:spacing w:after="0" w:line="208"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net tangible book value per share of our equity securities before and after the offering;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amount of the increase in such net tangible book value per share attributable to the cash payments made by the purchasers in the offering; and</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of the immediate dilution from the public offering price which will be absorbed by such purchasers.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following description of our capital stock is intended as a summary only. This description is based upon, and is qualified by reference to, our amended and restated certificate of incorporation, or certificate of incorporation, our amended and restated bylaws, or bylaws, and applicable provisions of the Delaware General Corporation Law. This summary is not complete. You should read our certificate of incorporation and bylaws, which are filed as exhibits to the registration statement of which this prospectus forms a part, for the provisions that are important to you.</w:t>
      </w:r>
    </w:p>
    <w:p>
      <w:pPr>
        <w:spacing w:after="0" w:line="167"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Our authorized capital stock consists of 120,000,000 shares of common stock, par value $0.001 per share, and 5,000,000 shares of preferred stock, par value $0.001 per share, all of which are undesignated. As of February 28, 2017, 33,203,902 shares of common stock were outstanding, and no shares of preferred stock were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i w:val="1"/>
          <w:iCs w:val="1"/>
          <w:color w:val="auto"/>
        </w:rPr>
        <w:t xml:space="preserve">Annual Meeting. </w:t>
      </w:r>
      <w:r>
        <w:rPr>
          <w:rFonts w:ascii="Arial" w:cs="Arial" w:eastAsia="Arial" w:hAnsi="Arial"/>
          <w:sz w:val="16"/>
          <w:szCs w:val="16"/>
          <w:color w:val="auto"/>
        </w:rPr>
        <w:t>Annual meetings of our stockholders are held on the date designated in accordance with our bylaws. Written notice must be mailed to</w:t>
      </w:r>
      <w:r>
        <w:rPr>
          <w:rFonts w:ascii="Arial" w:cs="Arial" w:eastAsia="Arial" w:hAnsi="Arial"/>
          <w:sz w:val="16"/>
          <w:szCs w:val="16"/>
          <w:i w:val="1"/>
          <w:iCs w:val="1"/>
          <w:color w:val="auto"/>
        </w:rPr>
        <w:t xml:space="preserve"> </w:t>
      </w:r>
      <w:r>
        <w:rPr>
          <w:rFonts w:ascii="Arial" w:cs="Arial" w:eastAsia="Arial" w:hAnsi="Arial"/>
          <w:sz w:val="16"/>
          <w:szCs w:val="16"/>
          <w:color w:val="auto"/>
        </w:rPr>
        <w:t>each stockholder entitled to vote not less than ten nor more than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by the board of directors and shall be called by the chairman of the board or the secretary upon the written request, stating the purpose of such meeting, of the holders of a majority of the outstanding shares of all classes of capital stock entitled to vote at the meeting. Except as may be otherwise provided by applicable law, our certificate of incorporation or our bylaws, all elections shall be decided by a plurality, and all other questions shall be decided by a majority, of the votes cast by stockholders entitled to vote thereon at a duly held meeting of stockholders at which a quorum is present.</w:t>
      </w:r>
    </w:p>
    <w:p>
      <w:pPr>
        <w:spacing w:after="0" w:line="172" w:lineRule="exact"/>
        <w:rPr>
          <w:sz w:val="20"/>
          <w:szCs w:val="20"/>
          <w:color w:val="auto"/>
        </w:rPr>
      </w:pPr>
    </w:p>
    <w:p>
      <w:pPr>
        <w:ind w:left="360"/>
        <w:spacing w:after="0"/>
        <w:tabs>
          <w:tab w:leader="none" w:pos="1500" w:val="left"/>
        </w:tabs>
        <w:rPr>
          <w:sz w:val="20"/>
          <w:szCs w:val="20"/>
          <w:color w:val="auto"/>
        </w:rPr>
      </w:pPr>
      <w:r>
        <w:rPr>
          <w:rFonts w:ascii="Arial" w:cs="Arial" w:eastAsia="Arial" w:hAnsi="Arial"/>
          <w:sz w:val="18"/>
          <w:szCs w:val="18"/>
          <w:i w:val="1"/>
          <w:iCs w:val="1"/>
          <w:color w:val="auto"/>
        </w:rPr>
        <w:t>Voting Rights.</w:t>
      </w:r>
      <w:r>
        <w:rPr>
          <w:sz w:val="20"/>
          <w:szCs w:val="20"/>
          <w:color w:val="auto"/>
        </w:rPr>
        <w:tab/>
      </w:r>
      <w:r>
        <w:rPr>
          <w:rFonts w:ascii="Arial" w:cs="Arial" w:eastAsia="Arial" w:hAnsi="Arial"/>
          <w:sz w:val="15"/>
          <w:szCs w:val="15"/>
          <w:color w:val="auto"/>
        </w:rPr>
        <w:t>Each holder of common stock is entitled to one vote for each share held on all matters to be voted upon by stockholders.</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holders of common stock, after any preferences of holders of any preferred stock, are entitled to receive dividends when and if declared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out of legally available funds.</w:t>
      </w:r>
    </w:p>
    <w:p>
      <w:pPr>
        <w:spacing w:after="0" w:line="186"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i w:val="1"/>
          <w:iCs w:val="1"/>
          <w:color w:val="auto"/>
        </w:rPr>
        <w:t xml:space="preserve">Liquidation and Dissolution. </w:t>
      </w:r>
      <w:r>
        <w:rPr>
          <w:rFonts w:ascii="Arial" w:cs="Arial" w:eastAsia="Arial" w:hAnsi="Arial"/>
          <w:sz w:val="16"/>
          <w:szCs w:val="16"/>
          <w:color w:val="auto"/>
        </w:rPr>
        <w:t>If we are liquidated or dissolved, the holders of the common stock will be entitled to share in our assets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to stockholders in proportion to the amount of common stock they own. The amount available for common stockholders is calculated after payment of liabilities. Holders of any preferred stock will receive a preferential share of our assets before the holders of the common stock receive any assets.</w:t>
      </w:r>
    </w:p>
    <w:p>
      <w:pPr>
        <w:spacing w:after="0" w:line="16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Other Rights. </w:t>
      </w:r>
      <w:r>
        <w:rPr>
          <w:rFonts w:ascii="Arial" w:cs="Arial" w:eastAsia="Arial" w:hAnsi="Arial"/>
          <w:sz w:val="18"/>
          <w:szCs w:val="18"/>
          <w:color w:val="auto"/>
        </w:rPr>
        <w:t>Holders of the common stock have no right to convert the stock into any other security, have the stock redeemed or purchase additional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or to maintain their proportionate ownership interest. The common stock does not have cumulative voting rights. Holders of shares of the common stock are not required to make additional capital contributions.</w:t>
      </w:r>
    </w:p>
    <w:p>
      <w:pPr>
        <w:spacing w:after="0" w:line="194" w:lineRule="exact"/>
        <w:rPr>
          <w:sz w:val="20"/>
          <w:szCs w:val="20"/>
          <w:color w:val="auto"/>
        </w:rPr>
      </w:pPr>
    </w:p>
    <w:p>
      <w:pPr>
        <w:ind w:left="360"/>
        <w:spacing w:after="0"/>
        <w:tabs>
          <w:tab w:leader="none" w:pos="2780" w:val="left"/>
        </w:tabs>
        <w:rPr>
          <w:sz w:val="20"/>
          <w:szCs w:val="20"/>
          <w:color w:val="auto"/>
        </w:rPr>
      </w:pPr>
      <w:r>
        <w:rPr>
          <w:rFonts w:ascii="Arial" w:cs="Arial" w:eastAsia="Arial" w:hAnsi="Arial"/>
          <w:sz w:val="18"/>
          <w:szCs w:val="18"/>
          <w:i w:val="1"/>
          <w:iCs w:val="1"/>
          <w:color w:val="auto"/>
        </w:rPr>
        <w:t>NASDAQ Global Select Market.</w:t>
      </w:r>
      <w:r>
        <w:rPr>
          <w:sz w:val="20"/>
          <w:szCs w:val="20"/>
          <w:color w:val="auto"/>
        </w:rPr>
        <w:tab/>
      </w:r>
      <w:r>
        <w:rPr>
          <w:rFonts w:ascii="Arial" w:cs="Arial" w:eastAsia="Arial" w:hAnsi="Arial"/>
          <w:sz w:val="16"/>
          <w:szCs w:val="16"/>
          <w:color w:val="auto"/>
        </w:rPr>
        <w:t>Our common stock is listed on The NASDAQ Global Select Market under the trading symbol "BPMC."</w:t>
      </w:r>
    </w:p>
    <w:p>
      <w:pPr>
        <w:spacing w:after="0" w:line="225"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Computershare Trust Company, N.A. is the transfer agent and registrar for our common stock.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are authorized to issue "blank check" preferred stock, which may be issued in one or more series upon authorization of our board of directors. Our board of directors is authorized to fix the designation of the series, the number of authorized shares of the series, dividend rights and terms, conversion rights, voting rights, redemption rights and terms, liquidation preferences and any other rights, powers, preferences and limitations applicable to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pacing w:after="0" w:line="172"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series of our preferred stock could, depending on the terms of such series, impede the completion of a merger, tender offer or other takeover attempt. Our board of directors will make any determination to issue shares of preferred stock based upon its judgment as to the best interests of our stockholders. Our board of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preferred stock has the terms described below unless otherwise provided in the prospectus supplement relating to a particular series of preferred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You should read the prospectus supplement relating to the particular series of preferred stock being offered for specific terms, including:</w:t>
      </w:r>
    </w:p>
    <w:p>
      <w:pPr>
        <w:spacing w:after="0" w:line="232"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and stated value per share of the preferred stock and the number of shares offered;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of liquidation preference per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price at which the preferred stock will be issued;</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238" w:lineRule="exact"/>
        <w:rPr>
          <w:rFonts w:ascii="Arial" w:cs="Arial" w:eastAsia="Arial" w:hAnsi="Arial"/>
          <w:sz w:val="18"/>
          <w:szCs w:val="18"/>
          <w:color w:val="auto"/>
        </w:rPr>
      </w:pPr>
    </w:p>
    <w:p>
      <w:pPr>
        <w:ind w:left="1080" w:right="7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other than the currency of the United States, the currency or currencies including composite currencies in which the preferred stock is denominated and/or in which payments will or may be payable;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conversion provisions;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we have elected to offer depositary shares as described under "Description of Depositary Shares;"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rights, preferences, privileges, limitations and restrictions on the preferred stock.</w:t>
      </w:r>
    </w:p>
    <w:p>
      <w:pPr>
        <w:spacing w:after="0" w:line="225"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preferred stock will, when issued, be fully paid and nonassessable. Unless otherwise provided in the applicable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7" w:name="page48"/>
    <w:bookmarkEnd w:id="47"/>
    <w:p>
      <w:pPr>
        <w:jc w:val="both"/>
        <w:ind w:right="60" w:firstLine="341"/>
        <w:spacing w:after="0" w:line="306" w:lineRule="auto"/>
        <w:rPr>
          <w:sz w:val="20"/>
          <w:szCs w:val="20"/>
          <w:color w:val="auto"/>
        </w:rPr>
      </w:pPr>
      <w:r>
        <w:rPr>
          <w:rFonts w:ascii="Arial" w:cs="Arial" w:eastAsia="Arial" w:hAnsi="Arial"/>
          <w:sz w:val="16"/>
          <w:szCs w:val="16"/>
          <w:color w:val="auto"/>
        </w:rPr>
        <w:t>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w:t>
      </w:r>
    </w:p>
    <w:p>
      <w:pPr>
        <w:spacing w:after="0" w:line="16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i w:val="1"/>
          <w:iCs w:val="1"/>
          <w:color w:val="auto"/>
        </w:rPr>
        <w:t xml:space="preserve">Rank. </w:t>
      </w:r>
      <w:r>
        <w:rPr>
          <w:rFonts w:ascii="Arial" w:cs="Arial" w:eastAsia="Arial" w:hAnsi="Arial"/>
          <w:sz w:val="18"/>
          <w:szCs w:val="18"/>
          <w:color w:val="auto"/>
        </w:rPr>
        <w:t>Unless otherwise provided in the applicable prospectus supplement, the preferred stock will, with respect to dividend rights and rights upon our</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dissolution or winding up of our affairs, rank:</w:t>
      </w:r>
    </w:p>
    <w:p>
      <w:pPr>
        <w:spacing w:after="0" w:line="199" w:lineRule="exact"/>
        <w:rPr>
          <w:sz w:val="20"/>
          <w:szCs w:val="20"/>
          <w:color w:val="auto"/>
        </w:rPr>
      </w:pPr>
    </w:p>
    <w:p>
      <w:pPr>
        <w:ind w:left="1080" w:right="30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senior to our common stock and to all equity securities ranking junior to such preferred stock with respect to dividend rights or rights upon our liquidation, dissolution or winding up of our affairs;</w:t>
      </w:r>
    </w:p>
    <w:p>
      <w:pPr>
        <w:spacing w:after="0" w:line="212" w:lineRule="exact"/>
        <w:rPr>
          <w:rFonts w:ascii="Arial" w:cs="Arial" w:eastAsia="Arial" w:hAnsi="Arial"/>
          <w:sz w:val="18"/>
          <w:szCs w:val="18"/>
          <w:color w:val="auto"/>
        </w:rPr>
      </w:pPr>
    </w:p>
    <w:p>
      <w:pPr>
        <w:ind w:left="1080" w:right="460" w:hanging="532"/>
        <w:spacing w:after="0" w:line="33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Holders of the preferred stock of each series will be entitled to receive, when, as and if declared by our board of directors, cash dividends at</w:t>
      </w:r>
      <w:r>
        <w:rPr>
          <w:rFonts w:ascii="Arial" w:cs="Arial" w:eastAsia="Arial" w:hAnsi="Arial"/>
          <w:sz w:val="16"/>
          <w:szCs w:val="16"/>
          <w:i w:val="1"/>
          <w:iCs w:val="1"/>
          <w:color w:val="auto"/>
        </w:rPr>
        <w:t xml:space="preserve"> </w:t>
      </w:r>
      <w:r>
        <w:rPr>
          <w:rFonts w:ascii="Arial" w:cs="Arial" w:eastAsia="Arial" w:hAnsi="Arial"/>
          <w:sz w:val="16"/>
          <w:szCs w:val="16"/>
          <w:color w:val="auto"/>
        </w:rPr>
        <w:t>such rates and on such dates described in the prospectus supplement. 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70"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3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9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Liquidation Preference. </w:t>
      </w:r>
      <w:r>
        <w:rPr>
          <w:rFonts w:ascii="Arial" w:cs="Arial" w:eastAsia="Arial" w:hAnsi="Arial"/>
          <w:sz w:val="16"/>
          <w:szCs w:val="16"/>
          <w:color w:val="auto"/>
        </w:rPr>
        <w:t>Upon any voluntary or involuntary liquidation, dissolution or winding up of our affairs, then, before we make any distribution or</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ind w:right="20"/>
        <w:spacing w:after="0" w:line="253" w:lineRule="auto"/>
        <w:rPr>
          <w:sz w:val="20"/>
          <w:szCs w:val="20"/>
          <w:color w:val="auto"/>
        </w:rPr>
      </w:pPr>
      <w:r>
        <w:rPr>
          <w:rFonts w:ascii="Arial" w:cs="Arial" w:eastAsia="Arial" w:hAnsi="Arial"/>
          <w:sz w:val="18"/>
          <w:szCs w:val="18"/>
          <w:color w:val="auto"/>
        </w:rPr>
        <w:t>the prospectus supplement, plus any accrued and unpaid dividends thereon. Such dividends will not include any accumulation in respect of unpaid noncumulative dividends for prior dividend periods. Unless otherwise provided in the applicable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will share ratably in any such distribution of assets in proportion to the full liquidating distributions to which they would otherwise be entitled.</w:t>
      </w:r>
    </w:p>
    <w:p>
      <w:pPr>
        <w:spacing w:after="0" w:line="199"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97"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i w:val="1"/>
          <w:iCs w:val="1"/>
          <w:color w:val="auto"/>
        </w:rPr>
        <w:t xml:space="preserve">Redemption. </w:t>
      </w:r>
      <w:r>
        <w:rPr>
          <w:rFonts w:ascii="Arial" w:cs="Arial" w:eastAsia="Arial" w:hAnsi="Arial"/>
          <w:sz w:val="16"/>
          <w:szCs w:val="16"/>
          <w:color w:val="auto"/>
        </w:rPr>
        <w:t>If so provided in the applicable prospectus supplement, the preferred stock will be subject to mandatory redemption or redemption at our</w:t>
      </w:r>
      <w:r>
        <w:rPr>
          <w:rFonts w:ascii="Arial" w:cs="Arial" w:eastAsia="Arial" w:hAnsi="Arial"/>
          <w:sz w:val="16"/>
          <w:szCs w:val="16"/>
          <w:i w:val="1"/>
          <w:iCs w:val="1"/>
          <w:color w:val="auto"/>
        </w:rPr>
        <w:t xml:space="preserve"> </w:t>
      </w:r>
      <w:r>
        <w:rPr>
          <w:rFonts w:ascii="Arial" w:cs="Arial" w:eastAsia="Arial" w:hAnsi="Arial"/>
          <w:sz w:val="16"/>
          <w:szCs w:val="16"/>
          <w:color w:val="auto"/>
        </w:rPr>
        <w:t>option, as a whole or in part, in each case upon the terms, at the times and at the redemption prices set forth in such prospectus supplement.</w:t>
      </w:r>
    </w:p>
    <w:p>
      <w:pPr>
        <w:spacing w:after="0" w:line="139"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w:t>
      </w:r>
    </w:p>
    <w:p>
      <w:pPr>
        <w:spacing w:after="0" w:line="187" w:lineRule="exact"/>
        <w:rPr>
          <w:sz w:val="20"/>
          <w:szCs w:val="20"/>
          <w:color w:val="auto"/>
        </w:rPr>
      </w:pPr>
    </w:p>
    <w:p>
      <w:pPr>
        <w:ind w:left="1080" w:right="12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166"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such series of preferred stock does not have a cumulative dividend, we have declared and paid or contemporaneously declare and pay or set aside funds to pay full dividends for the then current dividend period.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we will not acquire any preferred stock of a series unless:</w:t>
      </w:r>
    </w:p>
    <w:p>
      <w:pPr>
        <w:spacing w:after="0" w:line="239" w:lineRule="exact"/>
        <w:rPr>
          <w:sz w:val="20"/>
          <w:szCs w:val="20"/>
          <w:color w:val="auto"/>
        </w:rPr>
      </w:pPr>
    </w:p>
    <w:p>
      <w:pPr>
        <w:ind w:left="1080" w:right="2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ind w:left="10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94"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6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Unless otherwise provided in the applicable prospectus supplement, we will mail notice of redemption at least 30 days but not more than 60 days before the redemption date to each holder of record of preferred stock to be redeemed at the address shown on our stock transfer books. Each notice shall state:</w:t>
      </w:r>
    </w:p>
    <w:p>
      <w:pPr>
        <w:spacing w:after="0" w:line="166"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shares and series of preferred stock to be redeemed;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place or places where certificates for such preferred stock are to be surrendered for payment of the redemption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dividends on the shares to be redeemed will cease to accrue on such redemption 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on which the holder's conversion rights, if any, as to such shares shall terminate;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specific number of shares to be redeemed from each such holder if fewer than all the shares of any series are to be redeemed.</w:t>
      </w:r>
    </w:p>
    <w:p>
      <w:pPr>
        <w:spacing w:after="0" w:line="248"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94" w:lineRule="exact"/>
        <w:rPr>
          <w:sz w:val="20"/>
          <w:szCs w:val="20"/>
          <w:color w:val="auto"/>
        </w:rPr>
      </w:pPr>
    </w:p>
    <w:p>
      <w:pPr>
        <w:ind w:left="360"/>
        <w:spacing w:after="0"/>
        <w:tabs>
          <w:tab w:leader="none" w:pos="1500" w:val="left"/>
        </w:tabs>
        <w:rPr>
          <w:sz w:val="20"/>
          <w:szCs w:val="20"/>
          <w:color w:val="auto"/>
        </w:rPr>
      </w:pPr>
      <w:r>
        <w:rPr>
          <w:rFonts w:ascii="Arial" w:cs="Arial" w:eastAsia="Arial" w:hAnsi="Arial"/>
          <w:sz w:val="18"/>
          <w:szCs w:val="18"/>
          <w:i w:val="1"/>
          <w:iCs w:val="1"/>
          <w:color w:val="auto"/>
        </w:rPr>
        <w:t>Voting Rights.</w:t>
      </w:r>
      <w:r>
        <w:rPr>
          <w:sz w:val="20"/>
          <w:szCs w:val="20"/>
          <w:color w:val="auto"/>
        </w:rPr>
        <w:tab/>
      </w:r>
      <w:r>
        <w:rPr>
          <w:rFonts w:ascii="Arial" w:cs="Arial" w:eastAsia="Arial" w:hAnsi="Arial"/>
          <w:sz w:val="15"/>
          <w:szCs w:val="15"/>
          <w:color w:val="auto"/>
        </w:rPr>
        <w:t>Holders of preferred stock will not have any voting rights, except as required by law or as indicated in the applicable prospectus supplement.</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6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i w:val="1"/>
          <w:iCs w:val="1"/>
          <w:color w:val="auto"/>
        </w:rPr>
        <w:t xml:space="preserve">Conversion Rights. </w:t>
      </w:r>
      <w:r>
        <w:rPr>
          <w:rFonts w:ascii="Arial" w:cs="Arial" w:eastAsia="Arial" w:hAnsi="Arial"/>
          <w:sz w:val="18"/>
          <w:szCs w:val="18"/>
          <w:color w:val="auto"/>
        </w:rPr>
        <w:t>The terms and conditions, if any, upon which any series of preferred stock is convertible into our common stock will be set forth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50" w:name="page51"/>
    <w:bookmarkEnd w:id="50"/>
    <w:p>
      <w:pPr>
        <w:ind w:left="360"/>
        <w:spacing w:after="0"/>
        <w:tabs>
          <w:tab w:leader="none" w:pos="26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the preferred stock will be set forth in the applicable prospectus supplement.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Authorized but Unissued Stock</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shares of common stock and preferred stock available for future issuance without stockholder approval, subject to any limitations imposed by the listing standards of The NASDAQ Global Select Market. We may utilize these additional shares for a variety of corporate purposes, including for future public offerings to raise additional capital or facilitate corporate acquisitions or for payment as a dividend on our capital stock. The existence of unissued and unreserved common stock and preferred stock may enable our board of directors to issue shares to persons friendly to current management or to issue preferred stock with terms that could have the effect of making it more difficult for a third party to acquire, or could discourage a third party from seeking to acquire, a controlling interest in our company by means of a merger, tender offer, proxy contest or otherwise. In addition, if we issue preferred stock, the issuance could adversely affect the voting power of holders of common stock and the likelihood that such holders will receive dividend payments and payments upon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entered into a second amended and restated investors' rights agreement, dated as of November 7, 2014, which we refer to as the Investors' Rights Agreement, with the holders of shares of our common stock. Under the Investors' Rights Agreement, holders of registrable shares can demand that we file a registration statement or request that their shares be included on a registration statement that we are otherwise filing, in either case, registering the resale of their shares of common stock. These registration rights are subject to conditions and limitations, including the right, in certain circumstances, of the underwriters of an offering to limit the number of shares included in such registration and our right, in certain circumstances, not to effect a requested registration on Form S-1 within 60 days before or 180 days following any offering of our securities or a requested registration on Form S-3 within 30 days before or 90 days following any offering of our securities. The registration rights will terminate upon the later of the date on which all registrable shares have been sold and May 5, 2020.</w:t>
      </w:r>
    </w:p>
    <w:p>
      <w:pPr>
        <w:spacing w:after="0" w:line="172"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 xml:space="preserve">Demand Registration Rights. </w:t>
      </w:r>
      <w:r>
        <w:rPr>
          <w:rFonts w:ascii="Arial" w:cs="Arial" w:eastAsia="Arial" w:hAnsi="Arial"/>
          <w:sz w:val="18"/>
          <w:szCs w:val="18"/>
          <w:color w:val="auto"/>
        </w:rPr>
        <w:t>The holders of at least a majority of our registrable shares may require us to file a registration statement under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Act on a Form S-1 or Form S-3, if available, at our expense with respect to the resale of their registrable shares, and we are required to use our best efforts to effect the registration.</w:t>
      </w:r>
    </w:p>
    <w:p>
      <w:pPr>
        <w:spacing w:after="0" w:line="194"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i w:val="1"/>
          <w:iCs w:val="1"/>
          <w:color w:val="auto"/>
        </w:rPr>
        <w:t xml:space="preserve">Piggyback Registration Rights. </w:t>
      </w:r>
      <w:r>
        <w:rPr>
          <w:rFonts w:ascii="Arial" w:cs="Arial" w:eastAsia="Arial" w:hAnsi="Arial"/>
          <w:sz w:val="16"/>
          <w:szCs w:val="16"/>
          <w:color w:val="auto"/>
        </w:rPr>
        <w:t>If we propose to register any of our securities under the Securities Act for our own account or the account of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holder, the holders of registrable shares are entitled to notice of such registration and to request that we include registrable shares for resale on such registration statement, subject to the right of any underwriter to limit the number of shares included in such registration.</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We will pay all registration expenses, other than underwriting discounts and commissions, related to any demand or piggyback registration.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Rights Agreement contains customary cross-indemnification provisions pursuant to which we are obligated to indemnify the selling stockholders in the event of misstatements or omissions in the registration statement attributable to us except in the event of fraud and they are obligated to indemnify us for misstatements or omissions attributable to them.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Provisions of our Certificate of Incorporation and Bylaws and Delaware Law That May Have Anti-takeover Effects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certificate of incorporation and bylaws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94"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i w:val="1"/>
          <w:iCs w:val="1"/>
          <w:color w:val="auto"/>
        </w:rPr>
        <w:t xml:space="preserve">Board Composition and Filling Vacancies. </w:t>
      </w:r>
      <w:r>
        <w:rPr>
          <w:rFonts w:ascii="Arial" w:cs="Arial" w:eastAsia="Arial" w:hAnsi="Arial"/>
          <w:sz w:val="18"/>
          <w:szCs w:val="18"/>
          <w:color w:val="auto"/>
        </w:rPr>
        <w:t>In accordance with our certificate of incorporation, our board is divided into three classes serving three-year</w:t>
      </w:r>
      <w:r>
        <w:rPr>
          <w:rFonts w:ascii="Arial" w:cs="Arial" w:eastAsia="Arial" w:hAnsi="Arial"/>
          <w:sz w:val="18"/>
          <w:szCs w:val="18"/>
          <w:i w:val="1"/>
          <w:iCs w:val="1"/>
          <w:color w:val="auto"/>
        </w:rPr>
        <w:t xml:space="preserve"> </w:t>
      </w:r>
      <w:r>
        <w:rPr>
          <w:rFonts w:ascii="Arial" w:cs="Arial" w:eastAsia="Arial" w:hAnsi="Arial"/>
          <w:sz w:val="18"/>
          <w:szCs w:val="18"/>
          <w:color w:val="auto"/>
        </w:rPr>
        <w:t>terms, with one class being elected each year. Our certificate of incorporation also provides that directors may be removed only for cause and then only by the affirmative vote of the holders of 75%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97"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i w:val="1"/>
          <w:iCs w:val="1"/>
          <w:color w:val="auto"/>
        </w:rPr>
        <w:t xml:space="preserve">No Written Consent of Stockholders. </w:t>
      </w:r>
      <w:r>
        <w:rPr>
          <w:rFonts w:ascii="Arial" w:cs="Arial" w:eastAsia="Arial" w:hAnsi="Arial"/>
          <w:sz w:val="16"/>
          <w:szCs w:val="16"/>
          <w:color w:val="auto"/>
        </w:rPr>
        <w:t>Our certificate of incorporation provides that all stockholder actions are required to be taken by a vote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at an annual or special meeting, and that stockholders may not take any action by written consent in lieu of a meeting.</w:t>
      </w:r>
    </w:p>
    <w:p>
      <w:pPr>
        <w:spacing w:after="0" w:line="139"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i w:val="1"/>
          <w:iCs w:val="1"/>
          <w:color w:val="auto"/>
        </w:rPr>
        <w:t xml:space="preserve">Meetings of Stockholders. </w:t>
      </w:r>
      <w:r>
        <w:rPr>
          <w:rFonts w:ascii="Arial" w:cs="Arial" w:eastAsia="Arial" w:hAnsi="Arial"/>
          <w:sz w:val="16"/>
          <w:szCs w:val="16"/>
          <w:color w:val="auto"/>
        </w:rPr>
        <w:t>Our bylaws provide that only a majority of the members of our board of directors then in office may call special meetings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6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i w:val="1"/>
          <w:iCs w:val="1"/>
          <w:color w:val="auto"/>
        </w:rPr>
        <w:t xml:space="preserve">Advance Notice Requirements. </w:t>
      </w:r>
      <w:r>
        <w:rPr>
          <w:rFonts w:ascii="Arial" w:cs="Arial" w:eastAsia="Arial" w:hAnsi="Arial"/>
          <w:sz w:val="16"/>
          <w:szCs w:val="16"/>
          <w:color w:val="auto"/>
        </w:rPr>
        <w:t>Our bylaws establish advance notice procedures with regard to stockholder proposals relating to the nomination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date of the annual meeting for the preceding year. The notice must contain certain information specified in the bylaws.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72"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i w:val="1"/>
          <w:iCs w:val="1"/>
          <w:color w:val="auto"/>
        </w:rPr>
        <w:t xml:space="preserve">Amendment to Certificate of Incorporation and Bylaws. </w:t>
      </w:r>
      <w:r>
        <w:rPr>
          <w:rFonts w:ascii="Arial" w:cs="Arial" w:eastAsia="Arial" w:hAnsi="Arial"/>
          <w:sz w:val="16"/>
          <w:szCs w:val="16"/>
          <w:color w:val="auto"/>
        </w:rPr>
        <w:t>As required by the Delaware General Corporation Law, any amendment of our certificate of</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incorporation must first be approved by a majority of our board of directors and, if required by law or our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exclusive jurisdiction of Delaware Courts and the amendment of our bylaws and certificate of incorporation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ind w:right="20" w:firstLine="351"/>
        <w:spacing w:after="0" w:line="288" w:lineRule="auto"/>
        <w:rPr>
          <w:sz w:val="20"/>
          <w:szCs w:val="20"/>
          <w:color w:val="auto"/>
        </w:rPr>
      </w:pPr>
      <w:r>
        <w:rPr>
          <w:rFonts w:ascii="Arial" w:cs="Arial" w:eastAsia="Arial" w:hAnsi="Arial"/>
          <w:sz w:val="16"/>
          <w:szCs w:val="16"/>
          <w:i w:val="1"/>
          <w:iCs w:val="1"/>
          <w:color w:val="auto"/>
        </w:rPr>
        <w:t xml:space="preserve">Blank Check Preferred Stock. </w:t>
      </w:r>
      <w:r>
        <w:rPr>
          <w:rFonts w:ascii="Arial" w:cs="Arial" w:eastAsia="Arial" w:hAnsi="Arial"/>
          <w:sz w:val="16"/>
          <w:szCs w:val="16"/>
          <w:color w:val="auto"/>
        </w:rPr>
        <w:t>Our certificate of incorporation provides for 5,000,000 authorized shares of preferred stock. The existence of authorized but</w:t>
      </w:r>
      <w:r>
        <w:rPr>
          <w:rFonts w:ascii="Arial" w:cs="Arial" w:eastAsia="Arial" w:hAnsi="Arial"/>
          <w:sz w:val="16"/>
          <w:szCs w:val="16"/>
          <w:i w:val="1"/>
          <w:iCs w:val="1"/>
          <w:color w:val="auto"/>
        </w:rPr>
        <w:t xml:space="preserve"> </w:t>
      </w:r>
      <w:r>
        <w:rPr>
          <w:rFonts w:ascii="Arial" w:cs="Arial" w:eastAsia="Arial" w:hAnsi="Arial"/>
          <w:sz w:val="16"/>
          <w:szCs w:val="16"/>
          <w:color w:val="auto"/>
        </w:rPr>
        <w:t>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Section 203 of the Delaware General Corporation Law. </w:t>
      </w:r>
      <w:r>
        <w:rPr>
          <w:rFonts w:ascii="Arial" w:cs="Arial" w:eastAsia="Arial" w:hAnsi="Arial"/>
          <w:sz w:val="16"/>
          <w:szCs w:val="16"/>
          <w:color w:val="auto"/>
        </w:rPr>
        <w:t>We are subject to the provisions of Section 203 of the Delaware General Corporation Law. In</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186" w:lineRule="exact"/>
        <w:rPr>
          <w:sz w:val="20"/>
          <w:szCs w:val="20"/>
          <w:color w:val="auto"/>
        </w:rPr>
      </w:pPr>
    </w:p>
    <w:p>
      <w:pPr>
        <w:ind w:left="1080" w:right="1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which resulted in the stockholder becoming an interested stockholder;</w:t>
      </w:r>
    </w:p>
    <w:p>
      <w:pPr>
        <w:spacing w:after="0" w:line="212" w:lineRule="exact"/>
        <w:rPr>
          <w:rFonts w:ascii="Arial" w:cs="Arial" w:eastAsia="Arial" w:hAnsi="Arial"/>
          <w:sz w:val="18"/>
          <w:szCs w:val="18"/>
          <w:color w:val="auto"/>
        </w:rPr>
      </w:pPr>
    </w:p>
    <w:p>
      <w:pPr>
        <w:jc w:val="both"/>
        <w:ind w:left="1080" w:right="320" w:hanging="532"/>
        <w:spacing w:after="0" w:line="306"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74"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that is not owned by the interested stockholder.</w:t>
      </w:r>
    </w:p>
    <w:p>
      <w:pPr>
        <w:spacing w:after="0" w:line="194" w:lineRule="exact"/>
        <w:rPr>
          <w:sz w:val="20"/>
          <w:szCs w:val="20"/>
          <w:color w:val="auto"/>
        </w:rPr>
      </w:pPr>
    </w:p>
    <w:p>
      <w:pPr>
        <w:ind w:right="180" w:firstLine="341"/>
        <w:spacing w:after="0" w:line="306" w:lineRule="auto"/>
        <w:rPr>
          <w:sz w:val="20"/>
          <w:szCs w:val="20"/>
          <w:color w:val="auto"/>
        </w:rPr>
      </w:pPr>
      <w:r>
        <w:rPr>
          <w:rFonts w:ascii="Arial" w:cs="Arial" w:eastAsia="Arial" w:hAnsi="Arial"/>
          <w:sz w:val="16"/>
          <w:szCs w:val="16"/>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6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i w:val="1"/>
          <w:iCs w:val="1"/>
          <w:color w:val="auto"/>
        </w:rPr>
        <w:t xml:space="preserve">Exclusive Jurisdiction of Certain Actions. </w:t>
      </w:r>
      <w:r>
        <w:rPr>
          <w:rFonts w:ascii="Arial" w:cs="Arial" w:eastAsia="Arial" w:hAnsi="Arial"/>
          <w:sz w:val="18"/>
          <w:szCs w:val="18"/>
          <w:color w:val="auto"/>
        </w:rPr>
        <w:t>Our certificate of incorporation requires, to the fullest extent permitted by law, that derivative actions brought in</w:t>
      </w:r>
      <w:r>
        <w:rPr>
          <w:rFonts w:ascii="Arial" w:cs="Arial" w:eastAsia="Arial" w:hAnsi="Arial"/>
          <w:sz w:val="18"/>
          <w:szCs w:val="18"/>
          <w:i w:val="1"/>
          <w:iCs w:val="1"/>
          <w:color w:val="auto"/>
        </w:rPr>
        <w:t xml:space="preserve"> </w:t>
      </w:r>
      <w:r>
        <w:rPr>
          <w:rFonts w:ascii="Arial" w:cs="Arial" w:eastAsia="Arial" w:hAnsi="Arial"/>
          <w:sz w:val="18"/>
          <w:szCs w:val="18"/>
          <w:color w:val="auto"/>
        </w:rPr>
        <w:t>our name, actions against our directors, officers and employees for breach of fiduciary duty and other similar actions may be brought only in the Court of Chancery in the State of Delaware, unless we otherwise consent.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jc w:val="center"/>
        <w:ind w:right="20"/>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may offer debt securities which may be senior or subordinated. We refer to the senior debt securities and the subordinated debt securities collectively as debt securities.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 When we refer to "the Company," "we," "our," and "us" in this section, we mean Blueprint Medicines Corporation excluding, unless the context otherwise requires or as otherwise expressly stated, our subsidiaries.</w:t>
      </w:r>
    </w:p>
    <w:p>
      <w:pPr>
        <w:spacing w:after="0" w:line="170"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indentures:</w:t>
      </w:r>
    </w:p>
    <w:p>
      <w:pPr>
        <w:spacing w:after="0" w:line="23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do not limit the amount of debt securities that we may issue;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allow us to issue debt securities in one or more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do not require us to issue all of the debt securities of a series at the same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allow us to reopen a series to issue additional debt securities without the consent of the holders of the debt securities of such series;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that the debt securities will be unsecured, except as may be set forth in the applicable prospectus supplement.</w:t>
      </w:r>
    </w:p>
    <w:p>
      <w:pPr>
        <w:spacing w:after="0" w:line="225"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4" w:name="page55"/>
    <w:bookmarkEnd w:id="54"/>
    <w:p>
      <w:pPr>
        <w:jc w:val="both"/>
        <w:ind w:right="180"/>
        <w:spacing w:after="0" w:line="370" w:lineRule="auto"/>
        <w:rPr>
          <w:sz w:val="20"/>
          <w:szCs w:val="20"/>
          <w:color w:val="auto"/>
        </w:rPr>
      </w:pPr>
      <w:r>
        <w:rPr>
          <w:rFonts w:ascii="Arial" w:cs="Arial" w:eastAsia="Arial" w:hAnsi="Arial"/>
          <w:sz w:val="15"/>
          <w:szCs w:val="15"/>
          <w:color w:val="auto"/>
        </w:rPr>
        <w:t>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prospectus supplement for each offering will provide the following terms, where applicable:</w:t>
      </w:r>
    </w:p>
    <w:p>
      <w:pPr>
        <w:spacing w:after="0" w:line="23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title of the debt securities and whether they are senior or subordinated;</w:t>
      </w:r>
    </w:p>
    <w:p>
      <w:pPr>
        <w:spacing w:after="0" w:line="252" w:lineRule="exact"/>
        <w:rPr>
          <w:rFonts w:ascii="Arial" w:cs="Arial" w:eastAsia="Arial" w:hAnsi="Arial"/>
          <w:sz w:val="18"/>
          <w:szCs w:val="18"/>
          <w:color w:val="auto"/>
        </w:rPr>
      </w:pPr>
    </w:p>
    <w:p>
      <w:pPr>
        <w:ind w:left="1080" w:hanging="532"/>
        <w:spacing w:after="0" w:line="370" w:lineRule="auto"/>
        <w:tabs>
          <w:tab w:leader="none" w:pos="10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129" w:lineRule="exact"/>
        <w:rPr>
          <w:rFonts w:ascii="Arial" w:cs="Arial" w:eastAsia="Arial" w:hAnsi="Arial"/>
          <w:sz w:val="15"/>
          <w:szCs w:val="15"/>
          <w:color w:val="auto"/>
        </w:rPr>
      </w:pPr>
    </w:p>
    <w:p>
      <w:pPr>
        <w:ind w:left="1080" w:right="60" w:hanging="532"/>
        <w:spacing w:after="0" w:line="256"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ours or the method by which any such portion shall be determined;</w:t>
      </w:r>
    </w:p>
    <w:p>
      <w:pPr>
        <w:spacing w:after="0" w:line="210"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convertible, the terms on which such debt securities are convertible, including the initial conversion price or rate and the conversion period and any applicable limitations on the ownership or transferability of common stock or other securities of ours received on conversion;</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on which the principal of the debt securities will be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fixed or variable interest rate or rates of the debt securities, or the method by which the interest rate or rates is determined;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from which interest will accrue;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dates on which interest will be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record dates for interest payment dates, or the method by which such dates will be determine;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persons to whom interest will be payable;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basis upon which interest will be calculated if other than that of a 360-day year of twelve 30-day months;</w:t>
      </w:r>
    </w:p>
    <w:p>
      <w:pPr>
        <w:spacing w:after="0" w:line="238" w:lineRule="exact"/>
        <w:rPr>
          <w:rFonts w:ascii="Arial" w:cs="Arial" w:eastAsia="Arial" w:hAnsi="Arial"/>
          <w:sz w:val="18"/>
          <w:szCs w:val="18"/>
          <w:color w:val="auto"/>
        </w:rPr>
      </w:pPr>
    </w:p>
    <w:p>
      <w:pPr>
        <w:ind w:left="1080" w:right="220" w:hanging="532"/>
        <w:spacing w:after="0" w:line="33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make-whole amount, which is the amount in addition to principal and interest that is required to be paid to the holder of a debt security as a result of any optional redemption or accelerated payment of such debt security, or the method for determining the make-whole amount;</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place or places where the principal of, and any premium or make-whole amount, and interest on, the debt securities will be payable;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where the debt securities may be surrendered for registration of transfer or conversion or exchange;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where notices or demands to or upon us in respect of the debt securities and the applicable indenture may be served;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times, prices and other terms and conditions upon which we may redeem the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ind w:left="540" w:right="280" w:hanging="532"/>
        <w:spacing w:after="0" w:line="259"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obligation;</w:t>
      </w:r>
    </w:p>
    <w:p>
      <w:pPr>
        <w:spacing w:after="0" w:line="221" w:lineRule="exact"/>
        <w:rPr>
          <w:rFonts w:ascii="Arial" w:cs="Arial" w:eastAsia="Arial" w:hAnsi="Arial"/>
          <w:sz w:val="18"/>
          <w:szCs w:val="18"/>
          <w:color w:val="auto"/>
        </w:rPr>
      </w:pPr>
    </w:p>
    <w:p>
      <w:pPr>
        <w:jc w:val="both"/>
        <w:ind w:left="540" w:right="240" w:hanging="532"/>
        <w:spacing w:after="0" w:line="259"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207" w:lineRule="exact"/>
        <w:rPr>
          <w:rFonts w:ascii="Arial" w:cs="Arial" w:eastAsia="Arial" w:hAnsi="Arial"/>
          <w:sz w:val="18"/>
          <w:szCs w:val="18"/>
          <w:color w:val="auto"/>
        </w:rPr>
      </w:pPr>
    </w:p>
    <w:p>
      <w:pPr>
        <w:ind w:left="540" w:right="40" w:hanging="532"/>
        <w:spacing w:after="0" w:line="259"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207" w:lineRule="exact"/>
        <w:rPr>
          <w:rFonts w:ascii="Arial" w:cs="Arial" w:eastAsia="Arial" w:hAnsi="Arial"/>
          <w:sz w:val="18"/>
          <w:szCs w:val="18"/>
          <w:color w:val="auto"/>
        </w:rPr>
      </w:pPr>
    </w:p>
    <w:p>
      <w:pPr>
        <w:ind w:left="540" w:right="220" w:hanging="532"/>
        <w:spacing w:after="0" w:line="268"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amount of payments of principal of, and any premium or make-whole amount, or interest on, the debt securities may be determined according to an index, formula or other method and how such amounts will be determined;</w:t>
      </w:r>
    </w:p>
    <w:p>
      <w:pPr>
        <w:spacing w:after="0" w:line="212" w:lineRule="exact"/>
        <w:rPr>
          <w:rFonts w:ascii="Arial" w:cs="Arial" w:eastAsia="Arial" w:hAnsi="Arial"/>
          <w:sz w:val="18"/>
          <w:szCs w:val="18"/>
          <w:color w:val="auto"/>
        </w:rPr>
      </w:pPr>
    </w:p>
    <w:p>
      <w:pPr>
        <w:ind w:left="540" w:right="180" w:hanging="532"/>
        <w:spacing w:after="0" w:line="305" w:lineRule="auto"/>
        <w:tabs>
          <w:tab w:leader="none" w:pos="5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w:t>
      </w:r>
    </w:p>
    <w:p>
      <w:pPr>
        <w:ind w:left="540" w:right="20" w:firstLine="8"/>
        <w:spacing w:after="0" w:line="261" w:lineRule="auto"/>
        <w:tabs>
          <w:tab w:leader="none" w:pos="798" w:val="left"/>
        </w:tabs>
        <w:numPr>
          <w:ilvl w:val="1"/>
          <w:numId w:val="34"/>
        </w:numPr>
        <w:rPr>
          <w:rFonts w:ascii="Arial" w:cs="Arial" w:eastAsia="Arial" w:hAnsi="Arial"/>
          <w:sz w:val="18"/>
          <w:szCs w:val="18"/>
          <w:color w:val="auto"/>
        </w:rPr>
      </w:pPr>
      <w:r>
        <w:rPr>
          <w:rFonts w:ascii="Arial" w:cs="Arial" w:eastAsia="Arial" w:hAnsi="Arial"/>
          <w:sz w:val="18"/>
          <w:szCs w:val="18"/>
          <w:color w:val="auto"/>
        </w:rPr>
        <w:t>if in bearer form, the manner in which, or the person to whom, any interest on the security shall be payable if otherwise than upon presentation and surrender upon maturity;</w:t>
      </w:r>
    </w:p>
    <w:p>
      <w:pPr>
        <w:spacing w:after="0" w:line="205" w:lineRule="exact"/>
        <w:rPr>
          <w:rFonts w:ascii="Arial" w:cs="Arial" w:eastAsia="Arial" w:hAnsi="Arial"/>
          <w:sz w:val="18"/>
          <w:szCs w:val="18"/>
          <w:color w:val="auto"/>
        </w:rPr>
      </w:pPr>
    </w:p>
    <w:p>
      <w:pPr>
        <w:ind w:left="540" w:right="40" w:hanging="532"/>
        <w:spacing w:after="0" w:line="332"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152" w:lineRule="exact"/>
        <w:rPr>
          <w:rFonts w:ascii="Arial" w:cs="Arial" w:eastAsia="Arial" w:hAnsi="Arial"/>
          <w:sz w:val="16"/>
          <w:szCs w:val="16"/>
          <w:color w:val="auto"/>
        </w:rPr>
      </w:pPr>
    </w:p>
    <w:p>
      <w:pPr>
        <w:jc w:val="both"/>
        <w:ind w:left="540" w:hanging="532"/>
        <w:spacing w:after="0" w:line="335" w:lineRule="auto"/>
        <w:tabs>
          <w:tab w:leader="none" w:pos="5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169" w:lineRule="exact"/>
        <w:rPr>
          <w:rFonts w:ascii="Arial" w:cs="Arial" w:eastAsia="Arial" w:hAnsi="Arial"/>
          <w:sz w:val="15"/>
          <w:szCs w:val="15"/>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identity of the depositary for securities in registered form, if such series are to be issuable as a global security;</w:t>
      </w:r>
    </w:p>
    <w:p>
      <w:pPr>
        <w:spacing w:after="0" w:line="238"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as of which any debt securities in bearer form or in temporary global form shall be dated if other than the original issuance date of the first security of the series to be issued;</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applicability, if any, of the defeasance and covenant defeasance provisions described in this prospectus or in the applicable indenture;</w:t>
      </w:r>
    </w:p>
    <w:p>
      <w:pPr>
        <w:spacing w:after="0" w:line="275" w:lineRule="exact"/>
        <w:rPr>
          <w:rFonts w:ascii="Arial" w:cs="Arial" w:eastAsia="Arial" w:hAnsi="Arial"/>
          <w:sz w:val="16"/>
          <w:szCs w:val="16"/>
          <w:color w:val="auto"/>
        </w:rPr>
      </w:pPr>
    </w:p>
    <w:p>
      <w:pPr>
        <w:ind w:left="540" w:right="980" w:hanging="532"/>
        <w:spacing w:after="0" w:line="332"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any additional amounts on the debt securities in respect of any tax, assessment or governmental charge and, if so, whether we will have the option to redeem the debt securities in lieu of making such a payment;</w:t>
      </w:r>
    </w:p>
    <w:p>
      <w:pPr>
        <w:spacing w:after="0" w:line="152" w:lineRule="exact"/>
        <w:rPr>
          <w:rFonts w:ascii="Arial" w:cs="Arial" w:eastAsia="Arial" w:hAnsi="Arial"/>
          <w:sz w:val="16"/>
          <w:szCs w:val="16"/>
          <w:color w:val="auto"/>
        </w:rPr>
      </w:pPr>
    </w:p>
    <w:p>
      <w:pPr>
        <w:ind w:left="540" w:right="120" w:hanging="532"/>
        <w:spacing w:after="0" w:line="268"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and under what circumstances the debt securities being offered are convertible into common stock or other securities of ours, as the case may be, including the conversion price or rate and the manner or calculation thereof;</w:t>
      </w:r>
    </w:p>
    <w:p>
      <w:pPr>
        <w:spacing w:after="0" w:line="199" w:lineRule="exact"/>
        <w:rPr>
          <w:rFonts w:ascii="Arial" w:cs="Arial" w:eastAsia="Arial" w:hAnsi="Arial"/>
          <w:sz w:val="18"/>
          <w:szCs w:val="18"/>
          <w:color w:val="auto"/>
        </w:rPr>
      </w:pPr>
    </w:p>
    <w:p>
      <w:pPr>
        <w:ind w:left="540" w:right="60" w:hanging="532"/>
        <w:spacing w:after="0" w:line="259"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circumstances, if any, specified in the applicable prospectus supplement, under which beneficial owners of interests in the global security may obtain definitive debt securities and the manner in which payments on a permanent global debt security will be made if any debt securities are issuable in temporary or permanent global form;</w:t>
      </w:r>
    </w:p>
    <w:p>
      <w:pPr>
        <w:spacing w:after="0" w:line="19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45" w:right="259" w:bottom="1440" w:gutter="0" w:footer="0" w:header="0"/>
        </w:sectPr>
      </w:pPr>
    </w:p>
    <w:bookmarkStart w:id="56" w:name="page57"/>
    <w:bookmarkEnd w:id="56"/>
    <w:p>
      <w:pPr>
        <w:ind w:left="1080" w:right="60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of securities upon the occurrence of such events as specified in the applicable prospectus supplement;</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the debt securities of such series are to be issuable in definitive form only upon receipt of certain certificates or other documents or satisfaction of other conditions, then the form and/or terms of such certificates, documents or conditions;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name of the applicable trustee and the nature of any material relationship with us or any of our affiliates, and the percentage of debt securities of the class necessary to require the trustee to take action;</w:t>
      </w:r>
    </w:p>
    <w:p>
      <w:pPr>
        <w:spacing w:after="0" w:line="199"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deletions from, modifications of or additions to our events of default or covenants with regard to such debt securities and any change in the right of any trustee or any of the holders to declare the principal amount of any of such debt securities due and payable;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applicable CUSIP numbers;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other terms of such debt securities not inconsistent with the provisions of the applicable indenture.</w:t>
      </w:r>
    </w:p>
    <w:p>
      <w:pPr>
        <w:spacing w:after="0" w:line="225"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61"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We also may issue indexed debt securities. Payments of principal of, and premium and interest on, indexed debt securities are determined with reference to the rate of exchange between the currency or currency unit in which the debt security is denominated and any other currency or currency unit specified by us, to the relationship between two or more currencies or currency units or by other similar methods or formulas specified in the prospectus supplement.</w:t>
      </w:r>
    </w:p>
    <w:p>
      <w:pPr>
        <w:spacing w:after="0" w:line="16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Except as described under "—Merger, Consolidation or Sale of Assets" or as may be set forth in any prospectus supplement, the debt securities will not contain any provisions that (i) would limit our ability to incur indebtedness or (ii)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98"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Our governing instruments do not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161"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Unless otherwise provided in the applicable prospectus supplement, the principal of, and any premium or make-whole amount, and interest on, any series of the debt securities will be payable at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5" w:right="319" w:bottom="1440" w:gutter="0" w:footer="0" w:header="0"/>
        </w:sectPr>
      </w:pPr>
    </w:p>
    <w:bookmarkStart w:id="57" w:name="page58"/>
    <w:bookmarkEnd w:id="57"/>
    <w:p>
      <w:pPr>
        <w:jc w:val="both"/>
        <w:spacing w:after="0" w:line="259" w:lineRule="auto"/>
        <w:rPr>
          <w:sz w:val="20"/>
          <w:szCs w:val="20"/>
          <w:color w:val="auto"/>
        </w:rPr>
      </w:pPr>
      <w:r>
        <w:rPr>
          <w:rFonts w:ascii="Arial" w:cs="Arial" w:eastAsia="Arial" w:hAnsi="Arial"/>
          <w:sz w:val="18"/>
          <w:szCs w:val="18"/>
          <w:color w:val="auto"/>
        </w:rPr>
        <w:t>the corporate trust office of the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w:t>
      </w:r>
    </w:p>
    <w:p>
      <w:pPr>
        <w:spacing w:after="0" w:line="194" w:lineRule="exact"/>
        <w:rPr>
          <w:sz w:val="20"/>
          <w:szCs w:val="20"/>
          <w:color w:val="auto"/>
        </w:rPr>
      </w:pPr>
    </w:p>
    <w:p>
      <w:pPr>
        <w:ind w:right="160" w:firstLine="341"/>
        <w:spacing w:after="0" w:line="306" w:lineRule="auto"/>
        <w:rPr>
          <w:sz w:val="20"/>
          <w:szCs w:val="20"/>
          <w:color w:val="auto"/>
        </w:rPr>
      </w:pPr>
      <w:r>
        <w:rPr>
          <w:rFonts w:ascii="Arial" w:cs="Arial" w:eastAsia="Arial" w:hAnsi="Arial"/>
          <w:sz w:val="16"/>
          <w:szCs w:val="16"/>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 Interest, Registration and Transfer</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Unless otherwise provided in the applicable prospectus supplement, the debt securities of any series will be issuable in denominations of $1,000 and integral multiples of $1,000.</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199" w:lineRule="exact"/>
        <w:rPr>
          <w:sz w:val="20"/>
          <w:szCs w:val="20"/>
          <w:color w:val="auto"/>
        </w:rPr>
      </w:pPr>
    </w:p>
    <w:p>
      <w:pPr>
        <w:ind w:left="108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221"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surrender them for registration of transfer or exchange at the corporate trust office of the applicable trustee or at the office of any transfer agent that we designate for such purpose.</w:t>
      </w:r>
    </w:p>
    <w:p>
      <w:pPr>
        <w:spacing w:after="0" w:line="186"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Every debt security surrendered for registration of transfer or exchange must be duly endorsed or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Neither we, nor any trustee, will be required to:</w:t>
      </w:r>
    </w:p>
    <w:p>
      <w:pPr>
        <w:spacing w:after="0" w:line="239" w:lineRule="exact"/>
        <w:rPr>
          <w:sz w:val="20"/>
          <w:szCs w:val="20"/>
          <w:color w:val="auto"/>
        </w:rPr>
      </w:pPr>
    </w:p>
    <w:p>
      <w:pPr>
        <w:ind w:left="1080" w:right="4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207"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199" w:lineRule="exact"/>
        <w:rPr>
          <w:sz w:val="20"/>
          <w:szCs w:val="20"/>
          <w:color w:val="auto"/>
        </w:rPr>
      </w:pPr>
    </w:p>
    <w:p>
      <w:pPr>
        <w:jc w:val="both"/>
        <w:ind w:left="1080" w:right="40" w:hanging="532"/>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each indenture;</w:t>
      </w:r>
    </w:p>
    <w:p>
      <w:pPr>
        <w:sectPr>
          <w:pgSz w:w="11900" w:h="16838" w:orient="portrait"/>
          <w:cols w:equalWidth="0" w:num="1">
            <w:col w:w="11420"/>
          </w:cols>
          <w:pgMar w:left="240" w:top="125" w:right="239" w:bottom="1440" w:gutter="0" w:footer="0" w:header="0"/>
        </w:sectPr>
      </w:pP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Covenants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after giving effect to the transaction, there is no event of default under the indentures and no event which, after notice or the lapse of time, or both, would become such an event of default, occurs and continues; and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an officers' certificate and legal opinion covering such conditions are delivered to each applicable trustee.</w:t>
      </w:r>
    </w:p>
    <w:p>
      <w:pPr>
        <w:spacing w:after="0" w:line="591" w:lineRule="exact"/>
        <w:rPr>
          <w:sz w:val="20"/>
          <w:szCs w:val="20"/>
          <w:color w:val="auto"/>
        </w:rPr>
      </w:pPr>
    </w:p>
    <w:p>
      <w:pPr>
        <w:sectPr>
          <w:pgSz w:w="11900" w:h="16838" w:orient="portrait"/>
          <w:cols w:equalWidth="0" w:num="2">
            <w:col w:w="800" w:space="280"/>
            <w:col w:w="10340"/>
          </w:cols>
          <w:pgMar w:left="240" w:top="125" w:right="239" w:bottom="1440" w:gutter="0" w:footer="0" w:header="0"/>
          <w:type w:val="continuous"/>
        </w:sectPr>
      </w:pPr>
    </w:p>
    <w:p>
      <w:pPr>
        <w:spacing w:after="0" w:line="66"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i w:val="1"/>
          <w:iCs w:val="1"/>
          <w:color w:val="auto"/>
        </w:rPr>
        <w:t xml:space="preserve">Existence. </w:t>
      </w:r>
      <w:r>
        <w:rPr>
          <w:rFonts w:ascii="Arial" w:cs="Arial" w:eastAsia="Arial" w:hAnsi="Arial"/>
          <w:sz w:val="18"/>
          <w:szCs w:val="18"/>
          <w:color w:val="auto"/>
        </w:rPr>
        <w:t>Except as described under "—Merger, Consolidation or Sale of Assets," the indentures require us to do or cause to be done all things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to preserve and keep in full force and effect our existence, rights and franchises. However, the indentures do not require us to preserve any right or franchise if we determine that any right or franchise is no longer desirable in the conduct of our business.</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Payment of taxes and other claims. </w:t>
      </w:r>
      <w:r>
        <w:rPr>
          <w:rFonts w:ascii="Arial" w:cs="Arial" w:eastAsia="Arial" w:hAnsi="Arial"/>
          <w:sz w:val="18"/>
          <w:szCs w:val="18"/>
          <w:color w:val="auto"/>
        </w:rPr>
        <w:t>The indentures require us to pay, discharge or cause to be paid or discharged, before they become delinquent (i) all</w:t>
      </w:r>
      <w:r>
        <w:rPr>
          <w:rFonts w:ascii="Arial" w:cs="Arial" w:eastAsia="Arial" w:hAnsi="Arial"/>
          <w:sz w:val="18"/>
          <w:szCs w:val="18"/>
          <w:i w:val="1"/>
          <w:iCs w:val="1"/>
          <w:color w:val="auto"/>
        </w:rPr>
        <w:t xml:space="preserve"> </w:t>
      </w:r>
      <w:r>
        <w:rPr>
          <w:rFonts w:ascii="Arial" w:cs="Arial" w:eastAsia="Arial" w:hAnsi="Arial"/>
          <w:sz w:val="18"/>
          <w:szCs w:val="18"/>
          <w:color w:val="auto"/>
        </w:rPr>
        <w:t>taxes, assessments and governmental charges levied or imposed on us, our subsidiaries or our subsidiaries' income, profits or property, and (ii) all lawful claims for labor, materials and supplies which, if unpaid, might by law become a lien upon our property or the property of our subsidiaries. However, we will not be required to pay, discharge or cause to be paid or discharged any such tax, assessment, charge or claim whose amount, applicability or validity is being contested in good faith by appropriate proceedings.</w:t>
      </w:r>
    </w:p>
    <w:p>
      <w:pPr>
        <w:spacing w:after="0" w:line="197"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Provision of financial information. </w:t>
      </w:r>
      <w:r>
        <w:rPr>
          <w:rFonts w:ascii="Arial" w:cs="Arial" w:eastAsia="Arial" w:hAnsi="Arial"/>
          <w:sz w:val="16"/>
          <w:szCs w:val="16"/>
          <w:color w:val="auto"/>
        </w:rPr>
        <w:t>The indentures require us to (i) within 15 days of each of the respective dates by which we are required to file our</w:t>
      </w:r>
      <w:r>
        <w:rPr>
          <w:rFonts w:ascii="Arial" w:cs="Arial" w:eastAsia="Arial" w:hAnsi="Arial"/>
          <w:sz w:val="16"/>
          <w:szCs w:val="16"/>
          <w:i w:val="1"/>
          <w:iCs w:val="1"/>
          <w:color w:val="auto"/>
        </w:rPr>
        <w:t xml:space="preserve"> </w:t>
      </w:r>
      <w:r>
        <w:rPr>
          <w:rFonts w:ascii="Arial" w:cs="Arial" w:eastAsia="Arial" w:hAnsi="Arial"/>
          <w:sz w:val="16"/>
          <w:szCs w:val="16"/>
          <w:color w:val="auto"/>
        </w:rPr>
        <w:t>annual reports, quarterly reports and other documents with the SEC, file with the trustee copies of the annual report, quarterly report and other documents that we file with the SEC under Section 13 or 15(d) of the Exchange Act, (ii) file with the trustee and the SEC any additional information, documents and reports regarding compliance by us with the conditions and covenants of the indentures, as required, (iii) within 30 days after the filing with the trustee, mail to all holders of debt securities, as their names and addresses appear in the applicable register for such debt securities, without cost to such holders, summaries of any documents and reports required to be filed by us pursuant to (i) and (ii) above, and (iv) supply, promptly upon written request and payment of the reasonable cost of duplication and delivery, copies of such documents to any prospective holder.</w:t>
      </w:r>
    </w:p>
    <w:p>
      <w:pPr>
        <w:spacing w:after="0" w:line="172" w:lineRule="exact"/>
        <w:rPr>
          <w:sz w:val="20"/>
          <w:szCs w:val="20"/>
          <w:color w:val="auto"/>
        </w:rPr>
      </w:pPr>
    </w:p>
    <w:p>
      <w:pPr>
        <w:ind w:left="360"/>
        <w:spacing w:after="0"/>
        <w:tabs>
          <w:tab w:leader="none" w:pos="2040" w:val="left"/>
        </w:tabs>
        <w:rPr>
          <w:sz w:val="20"/>
          <w:szCs w:val="20"/>
          <w:color w:val="auto"/>
        </w:rPr>
      </w:pPr>
      <w:r>
        <w:rPr>
          <w:rFonts w:ascii="Arial" w:cs="Arial" w:eastAsia="Arial" w:hAnsi="Arial"/>
          <w:sz w:val="18"/>
          <w:szCs w:val="18"/>
          <w:i w:val="1"/>
          <w:iCs w:val="1"/>
          <w:color w:val="auto"/>
        </w:rPr>
        <w:t>Additional covenants.</w:t>
      </w:r>
      <w:r>
        <w:rPr>
          <w:sz w:val="20"/>
          <w:szCs w:val="20"/>
          <w:color w:val="auto"/>
        </w:rPr>
        <w:tab/>
      </w:r>
      <w:r>
        <w:rPr>
          <w:rFonts w:ascii="Arial" w:cs="Arial" w:eastAsia="Arial" w:hAnsi="Arial"/>
          <w:sz w:val="15"/>
          <w:szCs w:val="15"/>
          <w:color w:val="auto"/>
        </w:rPr>
        <w:t>The applicable prospectus supplement will set forth any additional covenants relating to any series of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Events of Default, Notice and Waiver</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Unless the applicable prospectus supplement states otherwise, when we refer to "events of default" as defined in the indentures with respect to any series of debt securities, we mean:</w:t>
      </w:r>
    </w:p>
    <w:p>
      <w:pPr>
        <w:spacing w:after="0" w:line="19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any debt security of such series continuing for 30 days;</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default in the payment of principal of, or any premium or make-whole amount on, any debt security of such series for five business days at its stated maturity;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default in making any sinking fund payment as required for any debt security of such series for five business days;</w:t>
      </w:r>
    </w:p>
    <w:p>
      <w:pPr>
        <w:spacing w:after="0" w:line="238" w:lineRule="exact"/>
        <w:rPr>
          <w:rFonts w:ascii="Arial" w:cs="Arial" w:eastAsia="Arial" w:hAnsi="Arial"/>
          <w:sz w:val="18"/>
          <w:szCs w:val="18"/>
          <w:color w:val="auto"/>
        </w:rPr>
      </w:pPr>
    </w:p>
    <w:p>
      <w:pPr>
        <w:ind w:left="1080" w:right="420" w:hanging="532"/>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in the debt securities or in the indenture by us continuing for 60 days after written notice as provided in the applicable indenture, but not of a covenant added to the indenture solely for the benefit of a series of debt securities issued thereunder other than such series;</w:t>
      </w:r>
    </w:p>
    <w:p>
      <w:pPr>
        <w:spacing w:after="0" w:line="221"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default under any bond, debenture, note, mortgage, indenture or instrument: (i) having an aggregate principal amount of at least $30,000,000; or (ii) under which there may be issued, secured or evidenced any existing or later created indebtedness for money borrowed by us or our subsidiaries, if we are directly responsible or liable as obligor or guarantor,</w:t>
      </w:r>
    </w:p>
    <w:p>
      <w:pPr>
        <w:spacing w:after="0" w:line="19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if the default results in the indebtedness becoming or being declared due and payable prior to the date it otherwise would have, without such indebtedness having been discharged, or such acceleration having been rescinded or annulled, within 30 days after notice to the issuing company specifying such default. Such notice shall be given to us by the trustee, or to us and the trustee by the holders of at least 10% in principal amount of the outstanding debt securities of that series. The written notice shall specify such default and require us to cause such indebtedness to be discharged or cause such acceleration to be rescinded or annulled and shall state that such notice is a "Notice of Default" under such indenture;</w:t>
      </w:r>
    </w:p>
    <w:p>
      <w:pPr>
        <w:spacing w:after="0" w:line="183"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bankruptcy, insolvency or reorganization, or court appointment of a receiver, liquidator or trustee of us or any significant subsidiary of ours;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a particular series of debt securities.</w:t>
      </w:r>
    </w:p>
    <w:p>
      <w:pPr>
        <w:spacing w:after="0" w:line="225"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When we use the term "significant subsidiary," we refer to the meaning ascribed to such term in Rule 1-02 of Regulation S-X promulgated under the Securities Act.</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199" w:lineRule="exact"/>
        <w:rPr>
          <w:sz w:val="20"/>
          <w:szCs w:val="20"/>
          <w:color w:val="auto"/>
        </w:rPr>
      </w:pPr>
    </w:p>
    <w:p>
      <w:pPr>
        <w:ind w:left="1080" w:right="100" w:hanging="532"/>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60" w:name="page61"/>
    <w:bookmarkEnd w:id="60"/>
    <w:p>
      <w:pPr>
        <w:ind w:left="10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accelerated principal, or a specified portion thereof, and any premium or make-whole amount, have been cured or waived.</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indentures also provide that the holders of at least a majority in principal amount of the outstanding debt securities of any series or of all debt securities then outstanding under the applicable indenture may, on behalf of all holders, waive any past default with respect to such series and its consequences, except a default:</w:t>
      </w:r>
    </w:p>
    <w:p>
      <w:pPr>
        <w:spacing w:after="0" w:line="221"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payment of the principal, any premium or make-whole amount, or interest;</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respect of a covenant or provision contained in the applicable indenture that cannot be modified or amended without the consent of the holders of the outstanding debt security that is affected by the default;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respect of a covenant or provision for the benefit or protection of the trustee, without its express written consent.</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indentures require each trustee to give notice to the holders of debt securities within 90 days of a default unless such default has been cured or waived. However, the trustee may withhold notice if specified persons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indentures provide that holders of debt securities of any series may not institute any proceedings, judicial or otherwise, with respect to such indenture or for any remedy under the indenture, unless the trustee fails to act for a period of 60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70"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197"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 in conflict with any law or the applicable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may involve the trustee in personal liability;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may be unduly prejudicial to the holders of debt securities of the series not joining the proceeding.</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5" w:right="29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Modification of the Indentures</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indentures provide that modifications and amendments may be made only with the consent of the affected holders of a majority in principal amount of all outstanding debt securities issued under that indenture. However, no such modification or amendment may, without the consent of the holders of the debt securities affected by the modification or amendment:</w:t>
      </w:r>
    </w:p>
    <w:p>
      <w:pPr>
        <w:spacing w:after="0" w:line="208" w:lineRule="exact"/>
        <w:rPr>
          <w:sz w:val="20"/>
          <w:szCs w:val="20"/>
          <w:color w:val="auto"/>
        </w:rPr>
      </w:pPr>
    </w:p>
    <w:p>
      <w:pPr>
        <w:ind w:left="1080" w:right="36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premium or make-whole amount on, or any installment of principal of or interest on, any such debt security;</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 the principal amount of, the rate or amount of interest on, or any premium or make-whole amount payable on redemption of, any such debt security;</w:t>
      </w:r>
    </w:p>
    <w:p>
      <w:pPr>
        <w:spacing w:after="0" w:line="199" w:lineRule="exact"/>
        <w:rPr>
          <w:rFonts w:ascii="Arial" w:cs="Arial" w:eastAsia="Arial" w:hAnsi="Arial"/>
          <w:sz w:val="18"/>
          <w:szCs w:val="18"/>
          <w:color w:val="auto"/>
        </w:rPr>
      </w:pPr>
    </w:p>
    <w:p>
      <w:pPr>
        <w:ind w:left="1080" w:right="620" w:hanging="532"/>
        <w:spacing w:after="0" w:line="370" w:lineRule="auto"/>
        <w:tabs>
          <w:tab w:leader="none" w:pos="10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reduce the amount of principal of an original issue discount security that would be due and payable upon declaration of acceleration of the maturity thereof or would be provable in bankruptcy, or adversely affect any right of repayment of the holder of any such debt security;</w:t>
      </w:r>
    </w:p>
    <w:p>
      <w:pPr>
        <w:spacing w:after="0" w:line="129" w:lineRule="exact"/>
        <w:rPr>
          <w:rFonts w:ascii="Arial" w:cs="Arial" w:eastAsia="Arial" w:hAnsi="Arial"/>
          <w:sz w:val="15"/>
          <w:szCs w:val="15"/>
          <w:color w:val="auto"/>
        </w:rPr>
      </w:pPr>
    </w:p>
    <w:p>
      <w:pPr>
        <w:ind w:left="1080" w:right="14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 the place of payment or the coin or currency for payment of principal of, or any premium or make-whole amount, or interest on, any such debt security;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any such debt security;</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 the percentage in principal amount of any outstanding debt securities necessary to modify or amend the applicable indenture with respect to such debt securities, to waive compliance with particular provisions thereof or defaults and consequences thereunder or to reduce the quorum or voting requirements set forth in the applicable indenture; and</w:t>
      </w:r>
    </w:p>
    <w:p>
      <w:pPr>
        <w:spacing w:after="0" w:line="207"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modify any of the foregoing provisions or any of the provisions relating to the waiver of particular past defaults or covenants, except to increase the required percentage to effect such action or to provide that some of the other provisions may not be modified or waived without the consent of the holder of such debt security.</w:t>
      </w:r>
    </w:p>
    <w:p>
      <w:pPr>
        <w:spacing w:after="0" w:line="194"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 holders of a majority in aggregate principal amount of the outstanding debt securities of each series may, on behalf of all holders of debt securities of that series, waive, insofar as that series is concerned, our compliance with material restrictive covenants of the applicable indenture.</w:t>
      </w:r>
    </w:p>
    <w:p>
      <w:pPr>
        <w:spacing w:after="0" w:line="139"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and our respective trustee may make modifications and amendments of an indenture without the consent of any holder of debt securities for any of the following purposes:</w:t>
      </w:r>
    </w:p>
    <w:p>
      <w:pPr>
        <w:spacing w:after="0" w:line="213"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as obligor under such indenture;</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all or any series of debt securities or to surrender any right or power conferred upon us in such indenture;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add events of default for the benefit of the holders of all or any series of debt securities;</w:t>
      </w:r>
    </w:p>
    <w:p>
      <w:pPr>
        <w:spacing w:after="0" w:line="252" w:lineRule="exact"/>
        <w:rPr>
          <w:rFonts w:ascii="Arial" w:cs="Arial" w:eastAsia="Arial" w:hAnsi="Arial"/>
          <w:sz w:val="18"/>
          <w:szCs w:val="18"/>
          <w:color w:val="auto"/>
        </w:rPr>
      </w:pPr>
    </w:p>
    <w:p>
      <w:pPr>
        <w:jc w:val="both"/>
        <w:ind w:left="1080" w:right="160" w:hanging="532"/>
        <w:spacing w:after="0" w:line="306"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add or change any provisions of an indenture (i) to change or eliminate restrictions on the payment of principal of, or premium or make-whole amount, or interest on, debt securities in bearer form, or (ii) to permit or facilitate the issuance of debt securities in uncertificated form, provided that such action shall not adversely affect the interests of the holders of the debt securities of any series in any material respect;</w:t>
      </w:r>
    </w:p>
    <w:p>
      <w:pPr>
        <w:spacing w:after="0" w:line="174" w:lineRule="exact"/>
        <w:rPr>
          <w:rFonts w:ascii="Arial" w:cs="Arial" w:eastAsia="Arial" w:hAnsi="Arial"/>
          <w:sz w:val="16"/>
          <w:szCs w:val="16"/>
          <w:color w:val="auto"/>
        </w:rPr>
      </w:pPr>
    </w:p>
    <w:p>
      <w:pPr>
        <w:ind w:left="1080" w:right="60" w:hanging="532"/>
        <w:spacing w:after="0" w:line="332"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change or eliminate any provisions of an indenture, provided that any such change or elimination shall become effective only when there are no debt securities outstanding of any series created prior thereto which are entitled to the benefit of such provision;</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secure the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provide for the acceptance of appointment by a successor trustee or facilitate the administration of the trusts under an indenture by more than one trustee;</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cure any ambiguity, defect or inconsistency in an indenture, provided that such action shall not adversely affect the interests of holders of debt securities of any series issued under such indenture; and</w:t>
      </w:r>
    </w:p>
    <w:p>
      <w:pPr>
        <w:spacing w:after="0" w:line="199" w:lineRule="exact"/>
        <w:rPr>
          <w:rFonts w:ascii="Arial" w:cs="Arial" w:eastAsia="Arial" w:hAnsi="Arial"/>
          <w:sz w:val="18"/>
          <w:szCs w:val="18"/>
          <w:color w:val="auto"/>
        </w:rPr>
      </w:pPr>
    </w:p>
    <w:p>
      <w:pPr>
        <w:ind w:left="1080" w:right="240" w:hanging="532"/>
        <w:spacing w:after="0" w:line="370" w:lineRule="auto"/>
        <w:tabs>
          <w:tab w:leader="none" w:pos="10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to supplement any of the provisions of an indenture to the extent necessary to permit or facilitate defeasance and discharge of any series of such debt securities, provided that such action shall not adversely affect the interests of the holders of the outstanding debt securities of any series.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right="40" w:firstLine="348"/>
        <w:spacing w:after="0" w:line="370" w:lineRule="auto"/>
        <w:rPr>
          <w:sz w:val="20"/>
          <w:szCs w:val="20"/>
          <w:color w:val="auto"/>
        </w:rPr>
      </w:pPr>
      <w:r>
        <w:rPr>
          <w:rFonts w:ascii="Arial" w:cs="Arial" w:eastAsia="Arial" w:hAnsi="Arial"/>
          <w:sz w:val="15"/>
          <w:szCs w:val="15"/>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w:t>
      </w:r>
    </w:p>
    <w:p>
      <w:pPr>
        <w:spacing w:after="0" w:line="143" w:lineRule="exact"/>
        <w:rPr>
          <w:sz w:val="20"/>
          <w:szCs w:val="20"/>
          <w:color w:val="auto"/>
        </w:rPr>
      </w:pPr>
    </w:p>
    <w:p>
      <w:pPr>
        <w:ind w:left="1080" w:right="140" w:hanging="532"/>
        <w:spacing w:after="0" w:line="332"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152" w:lineRule="exact"/>
        <w:rPr>
          <w:rFonts w:ascii="Arial" w:cs="Arial" w:eastAsia="Arial" w:hAnsi="Arial"/>
          <w:sz w:val="16"/>
          <w:szCs w:val="16"/>
          <w:color w:val="auto"/>
        </w:rPr>
      </w:pPr>
    </w:p>
    <w:p>
      <w:pPr>
        <w:jc w:val="both"/>
        <w:ind w:left="1080" w:right="300" w:hanging="532"/>
        <w:spacing w:after="0" w:line="335" w:lineRule="auto"/>
        <w:tabs>
          <w:tab w:leader="none" w:pos="10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principal amount of any debt security denominated in a foreign currency that shall be deemed outstanding shall be the United States dollar equivalent, determined on the issue date for such debt security, of the principal amount or, in the case of an original issue discount security, the United States dollar equivalent on the issue date of such debt security of the amount determined as provided in the preceding bullet point;</w:t>
      </w:r>
    </w:p>
    <w:p>
      <w:pPr>
        <w:spacing w:after="0" w:line="155" w:lineRule="exact"/>
        <w:rPr>
          <w:rFonts w:ascii="Arial" w:cs="Arial" w:eastAsia="Arial" w:hAnsi="Arial"/>
          <w:sz w:val="15"/>
          <w:szCs w:val="15"/>
          <w:color w:val="auto"/>
        </w:rPr>
      </w:pPr>
    </w:p>
    <w:p>
      <w:pPr>
        <w:ind w:left="108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principal amount of an indexed security that shall be deemed outstanding shall be the principal face amount of such indexed security at original issuance, unless otherwise provided for such indexed security under such indenture;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debt securities owned by us or any other obligor upon the debt securities or by any affiliate of ours or of such other obligor shall be disregarded.</w:t>
      </w:r>
    </w:p>
    <w:p>
      <w:pPr>
        <w:spacing w:after="0" w:line="24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indentures contain provisions for convening meetings of the holders of debt securities of a series. A meeting will be permitted to be called at any time by the applicable trustee, and also, upon request, by us or the holders of at least 25% in principal amount of the outstanding debt securities of such series, in any such case upon notice given as provided in such indenture. Except for any consent that must be given by the holder of each debt security affected by the modifications and amendments of an indenture described above, any resolution presented at a meeting or adjourned meeting duly reconvened at which a quorum is present may be adopted by the affirmative vote of the holders of a majority of the aggregate principal amount of the outstanding debt securities of that series represented at such meeting.</w:t>
      </w:r>
    </w:p>
    <w:p>
      <w:pPr>
        <w:spacing w:after="0" w:line="198"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Notwithstanding the preceding paragraph, except as referred to above, any resolution relating to a request, demand, authorization, direction, notice, consent, waiver or other action that may be made, given or taken by the holders of a specified percentage, which is less than a majority of the aggregate principal amount of the outstanding debt securities of a series, may be adopted at a meeting or adjourned meeting duly reconvened at which a quorum is present by the affirmative vote of such specified percentage.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63" w:name="page64"/>
    <w:bookmarkEnd w:id="63"/>
    <w:p>
      <w:pPr>
        <w:ind w:firstLine="341"/>
        <w:spacing w:after="0" w:line="298" w:lineRule="auto"/>
        <w:rPr>
          <w:sz w:val="20"/>
          <w:szCs w:val="20"/>
          <w:color w:val="auto"/>
        </w:rPr>
      </w:pPr>
      <w:r>
        <w:rPr>
          <w:rFonts w:ascii="Arial" w:cs="Arial" w:eastAsia="Arial" w:hAnsi="Arial"/>
          <w:sz w:val="16"/>
          <w:szCs w:val="16"/>
          <w:color w:val="auto"/>
        </w:rPr>
        <w:t>Any resolution passed or decision taken at any properly held meeting of holders of debt securities of any series will be binding on all holders of such series. The quorum at any meeting called to adopt a resolution, and at any reconvened meeting, will be persons holding or representing a majority in principal amount of the outstanding debt securities of a series. However, if any action is to be taken relating to a consent or waiver which may be given by the holders of at least a specified percentage in principal amount of the outstanding debt securities of a series, the persons holding such percentage will constitute a quorum.</w:t>
      </w:r>
    </w:p>
    <w:p>
      <w:pPr>
        <w:spacing w:after="0" w:line="167" w:lineRule="exact"/>
        <w:rPr>
          <w:sz w:val="20"/>
          <w:szCs w:val="20"/>
          <w:color w:val="auto"/>
        </w:rPr>
      </w:pPr>
    </w:p>
    <w:p>
      <w:pPr>
        <w:ind w:right="100" w:firstLine="351"/>
        <w:spacing w:after="0" w:line="335" w:lineRule="auto"/>
        <w:rPr>
          <w:sz w:val="20"/>
          <w:szCs w:val="20"/>
          <w:color w:val="auto"/>
        </w:rPr>
      </w:pPr>
      <w:r>
        <w:rPr>
          <w:rFonts w:ascii="Arial" w:cs="Arial" w:eastAsia="Arial" w:hAnsi="Arial"/>
          <w:sz w:val="15"/>
          <w:szCs w:val="15"/>
          <w:color w:val="auto"/>
        </w:rPr>
        <w:t>Notwithstanding the foregoing provisions, the indentures provide that if any action is to be taken at a meeting with respect to any request, demand, authorization, direction, notice, consent, waiver or other action that such indenture expressly provides may be made, given or taken by the holders of a specified percentage in principal amount of all outstanding debt securities affected by such action, or of the holders of such series and one or more additional series:</w:t>
      </w:r>
    </w:p>
    <w:p>
      <w:pPr>
        <w:spacing w:after="0" w:line="156"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252"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principal amount of the outstanding debt securities of such series that vote in favor of such request, demand, authorization, direction, notice, consent, waiver or other action shall be taken account in determining whether such request, demand, authorization, direction, notice, consent, waiver or other action has been made, given or taken under such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Unless otherwise provided in the applicable prospectus supplement, subordinated debt securities will be subject to the following subordination provisions.</w:t>
      </w:r>
    </w:p>
    <w:p>
      <w:pPr>
        <w:spacing w:after="0" w:line="248"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ours and our subsidiaries. As a result of these subordination provisions, in the event of a distribution of assets upon insolvency, holders of subordinated debt securities may recover less, ratably, than our general creditors.</w:t>
      </w:r>
    </w:p>
    <w:p>
      <w:pPr>
        <w:spacing w:after="0" w:line="174"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term "senior debt" will be defined in the applicable indenture as the principal of and interest on, or substantially similar payments to be made by us in respect of, other outstanding indebtedness, whether outstanding at the date of execution of the applicable indenture or subsequently incurred, created or assumed. The prospectus supplement may include a description of additional terms implementing the subordination feature.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restrictions will be included in any indenture relating to subordinated debt securities upon the creation of additional senior debt.</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23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Unless otherwise provided in the applicable prospectus supplement, the indentures allow us to discharge our obligations to holders of any series of debt securities issued under any indenture when:</w:t>
      </w:r>
    </w:p>
    <w:p>
      <w:pPr>
        <w:spacing w:after="0" w:line="199" w:lineRule="exact"/>
        <w:rPr>
          <w:sz w:val="20"/>
          <w:szCs w:val="20"/>
          <w:color w:val="auto"/>
        </w:rPr>
      </w:pPr>
    </w:p>
    <w:p>
      <w:pPr>
        <w:ind w:left="1080" w:hanging="532"/>
        <w:spacing w:after="0" w:line="25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22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and</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officers' certificate and an opinion of counsel stating the conditions to discharging the debt securities have been satisfied has been delivered to the trustee.</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Unless otherwise provided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may elect either:</w:t>
      </w:r>
    </w:p>
    <w:p>
      <w:pPr>
        <w:spacing w:after="0" w:line="183"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defease and be discharged from any and all obligations with respect to such debt securities; or</w:t>
      </w:r>
    </w:p>
    <w:p>
      <w:pPr>
        <w:spacing w:after="0" w:line="252" w:lineRule="exact"/>
        <w:rPr>
          <w:rFonts w:ascii="Arial" w:cs="Arial" w:eastAsia="Arial" w:hAnsi="Arial"/>
          <w:sz w:val="18"/>
          <w:szCs w:val="18"/>
          <w:color w:val="auto"/>
        </w:rPr>
      </w:pPr>
    </w:p>
    <w:p>
      <w:pPr>
        <w:jc w:val="both"/>
        <w:ind w:left="1080" w:right="140" w:hanging="532"/>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94"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indentures only permit us to establish the trust described in the paragraph above if, among other things, we have delivered to the applicable trustee an opinion of counsel to the effect that the holders of such debt securities will not recognize income, gain or loss for United States federal income tax purposes as a result of such defeasance or covenant defeasance and will be subject to United States federal income tax on the same amounts, in the same manner and at the same times as would have been the case if such defeasance or covenant defeasance had not occurred. Such opinion of counsel, in the case of defeasance, will be required to refer to and be based upon a ruling received from or published by the Internal Revenue Service or a change in applicable United States federal income tax law occurring after the date of the indenture. In the event of such defeasance, the holders of such debt securities would be able to look only to such trust fund for payment of principal, any premium or make-whole amount, and interest.</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5" w:name="page66"/>
    <w:bookmarkEnd w:id="65"/>
    <w:p>
      <w:pPr>
        <w:ind w:left="360"/>
        <w:spacing w:after="0"/>
        <w:rPr>
          <w:sz w:val="20"/>
          <w:szCs w:val="20"/>
          <w:color w:val="auto"/>
        </w:rPr>
      </w:pPr>
      <w:r>
        <w:rPr>
          <w:rFonts w:ascii="Arial" w:cs="Arial" w:eastAsia="Arial" w:hAnsi="Arial"/>
          <w:sz w:val="18"/>
          <w:szCs w:val="18"/>
          <w:color w:val="auto"/>
        </w:rPr>
        <w:t>When we use the term "government obligations," we mean securities that are:</w:t>
      </w:r>
    </w:p>
    <w:p>
      <w:pPr>
        <w:spacing w:after="0" w:line="239" w:lineRule="exact"/>
        <w:rPr>
          <w:sz w:val="20"/>
          <w:szCs w:val="20"/>
          <w:color w:val="auto"/>
        </w:rPr>
      </w:pPr>
    </w:p>
    <w:p>
      <w:pPr>
        <w:ind w:left="1080" w:right="38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direct obligations of the United States or the government that issued the foreign currency in which the debt securities of a particular series are payable, for the payment of which its full faith and credit is pledged; or</w:t>
      </w:r>
    </w:p>
    <w:p>
      <w:pPr>
        <w:spacing w:after="0" w:line="212" w:lineRule="exact"/>
        <w:rPr>
          <w:rFonts w:ascii="Arial" w:cs="Arial" w:eastAsia="Arial" w:hAnsi="Arial"/>
          <w:sz w:val="18"/>
          <w:szCs w:val="18"/>
          <w:color w:val="auto"/>
        </w:rPr>
      </w:pPr>
    </w:p>
    <w:p>
      <w:pPr>
        <w:ind w:left="1080" w:right="60" w:hanging="532"/>
        <w:spacing w:after="0" w:line="289"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Unless otherwise provided in the applicable prospectus supplement, if after we have deposited funds and/or government obligations to effect defeasance or covenant defeasance with respect to debt securities of any series, (i)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or (ii)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When we use the term "conversion event," we mean the cessation of use of:</w:t>
      </w:r>
    </w:p>
    <w:p>
      <w:pPr>
        <w:spacing w:after="0" w:line="239" w:lineRule="exact"/>
        <w:rPr>
          <w:sz w:val="20"/>
          <w:szCs w:val="20"/>
          <w:color w:val="auto"/>
        </w:rPr>
      </w:pPr>
    </w:p>
    <w:p>
      <w:pPr>
        <w:ind w:left="1080" w:right="660" w:hanging="532"/>
        <w:spacing w:after="0" w:line="332"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currency, currency unit or composite currency both by the government of the country that issued such currency and for the settlement of transactions by a central bank or other public institutions of or within the international banking community;</w:t>
      </w:r>
    </w:p>
    <w:p>
      <w:pPr>
        <w:spacing w:after="0" w:line="152"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European Currency Unit both within the European Monetary System and for the settlement of transactions by public institutions of or within the European Communities;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currency unit or composite currency other than the European Currency Unit for the purposes for which it was established.</w:t>
      </w:r>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Unless otherwise provided in the applicable prospectus supplement, all payments of principal of, and any premium or make-whole amount, and interest on, any debt security that is payable in a foreign currency that ceases to be used by its government of issuance shall be made in United States dollars.</w:t>
      </w:r>
    </w:p>
    <w:p>
      <w:pPr>
        <w:spacing w:after="0" w:line="139"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the event that (i) we effect covenant defeasance with respect to any debt securities and (ii) those debt securities are declared due and payable because of the occurrence of any event of default, the amount in the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default. However, the issuing company would remain liable to make payments of any amounts due at the time of acceleration.</w:t>
      </w:r>
    </w:p>
    <w:p>
      <w:pPr>
        <w:spacing w:after="0" w:line="225" w:lineRule="exact"/>
        <w:rPr>
          <w:sz w:val="20"/>
          <w:szCs w:val="20"/>
          <w:color w:val="auto"/>
        </w:rPr>
      </w:pPr>
    </w:p>
    <w:p>
      <w:pPr>
        <w:ind w:right="600" w:firstLine="348"/>
        <w:spacing w:after="0" w:line="332" w:lineRule="auto"/>
        <w:rPr>
          <w:sz w:val="20"/>
          <w:szCs w:val="20"/>
          <w:color w:val="auto"/>
        </w:rPr>
      </w:pPr>
      <w:r>
        <w:rPr>
          <w:rFonts w:ascii="Arial" w:cs="Arial" w:eastAsia="Arial" w:hAnsi="Arial"/>
          <w:sz w:val="16"/>
          <w:szCs w:val="16"/>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Recourse</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No recourse shall be had under any obligation, covenant or agreement of ours in the senior indenture or any supplemental indenture, or in any of the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debt securities, waives and releases all such liability.</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7" w:name="page68"/>
    <w:bookmarkEnd w:id="67"/>
    <w:p>
      <w:pPr>
        <w:jc w:val="center"/>
        <w:ind w:right="40"/>
        <w:spacing w:after="0"/>
        <w:rPr>
          <w:sz w:val="20"/>
          <w:szCs w:val="20"/>
          <w:color w:val="auto"/>
        </w:rPr>
      </w:pPr>
      <w:r>
        <w:rPr>
          <w:rFonts w:ascii="Arial" w:cs="Arial" w:eastAsia="Arial" w:hAnsi="Arial"/>
          <w:sz w:val="18"/>
          <w:szCs w:val="18"/>
          <w:b w:val="1"/>
          <w:bCs w:val="1"/>
          <w:color w:val="auto"/>
        </w:rPr>
        <w:t>DESCRIPTION OF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applicable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54"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94"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and paying certain charges.</w:t>
      </w:r>
    </w:p>
    <w:p>
      <w:pPr>
        <w:spacing w:after="0" w:line="139" w:lineRule="exact"/>
        <w:rPr>
          <w:sz w:val="20"/>
          <w:szCs w:val="20"/>
          <w:color w:val="auto"/>
        </w:rPr>
      </w:pPr>
    </w:p>
    <w:p>
      <w:pPr>
        <w:ind w:right="460" w:firstLine="348"/>
        <w:spacing w:after="0" w:line="332" w:lineRule="auto"/>
        <w:rPr>
          <w:sz w:val="20"/>
          <w:szCs w:val="20"/>
          <w:color w:val="auto"/>
        </w:rPr>
      </w:pPr>
      <w:r>
        <w:rPr>
          <w:rFonts w:ascii="Arial" w:cs="Arial" w:eastAsia="Arial" w:hAnsi="Arial"/>
          <w:sz w:val="16"/>
          <w:szCs w:val="16"/>
          <w:color w:val="auto"/>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6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31" w:lineRule="exact"/>
        <w:rPr>
          <w:sz w:val="20"/>
          <w:szCs w:val="20"/>
          <w:color w:val="auto"/>
        </w:rPr>
      </w:pPr>
    </w:p>
    <w:p>
      <w:pPr>
        <w:ind w:right="540" w:firstLine="351"/>
        <w:spacing w:after="0" w:line="306" w:lineRule="auto"/>
        <w:rPr>
          <w:sz w:val="20"/>
          <w:szCs w:val="20"/>
          <w:color w:val="auto"/>
        </w:rPr>
      </w:pPr>
      <w:r>
        <w:rPr>
          <w:rFonts w:ascii="Arial" w:cs="Arial" w:eastAsia="Arial" w:hAnsi="Arial"/>
          <w:sz w:val="16"/>
          <w:szCs w:val="16"/>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Stock</w:t>
      </w:r>
    </w:p>
    <w:p>
      <w:pPr>
        <w:spacing w:after="0" w:line="23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8" w:name="page69"/>
    <w:bookmarkEnd w:id="68"/>
    <w:p>
      <w:pPr>
        <w:ind w:right="40"/>
        <w:spacing w:after="0" w:line="306" w:lineRule="auto"/>
        <w:rPr>
          <w:sz w:val="20"/>
          <w:szCs w:val="20"/>
          <w:color w:val="auto"/>
        </w:rPr>
      </w:pPr>
      <w:r>
        <w:rPr>
          <w:rFonts w:ascii="Arial" w:cs="Arial" w:eastAsia="Arial" w:hAnsi="Arial"/>
          <w:sz w:val="16"/>
          <w:szCs w:val="16"/>
          <w:color w:val="auto"/>
        </w:rPr>
        <w:t>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74" w:lineRule="exact"/>
        <w:rPr>
          <w:sz w:val="20"/>
          <w:szCs w:val="20"/>
          <w:color w:val="auto"/>
        </w:rPr>
      </w:pPr>
    </w:p>
    <w:p>
      <w:pPr>
        <w:ind w:right="480" w:firstLine="341"/>
        <w:spacing w:after="0" w:line="306" w:lineRule="auto"/>
        <w:rPr>
          <w:sz w:val="20"/>
          <w:szCs w:val="20"/>
          <w:color w:val="auto"/>
        </w:rPr>
      </w:pPr>
      <w:r>
        <w:rPr>
          <w:rFonts w:ascii="Arial" w:cs="Arial" w:eastAsia="Arial" w:hAnsi="Arial"/>
          <w:sz w:val="16"/>
          <w:szCs w:val="16"/>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the Preferred Stock</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231"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spacing w:after="0" w:line="211"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3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Neither we nor the depositary will be liable if either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0" w:name="page71"/>
    <w:bookmarkEnd w:id="70"/>
    <w:p>
      <w:pPr>
        <w:jc w:val="center"/>
        <w:ind w:right="20"/>
        <w:spacing w:after="0"/>
        <w:rPr>
          <w:sz w:val="20"/>
          <w:szCs w:val="20"/>
          <w:color w:val="auto"/>
        </w:rPr>
      </w:pPr>
      <w:r>
        <w:rPr>
          <w:rFonts w:ascii="Arial" w:cs="Arial" w:eastAsia="Arial" w:hAnsi="Arial"/>
          <w:sz w:val="18"/>
          <w:szCs w:val="18"/>
          <w:b w:val="1"/>
          <w:bCs w:val="1"/>
          <w:color w:val="auto"/>
        </w:rPr>
        <w:t>DESCRIPTION OF PURCHASE CONTRACTS AND PURCHASE UNITS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may issue purchase contracts, including contracts obligating holders to purchase from or sell to us, and obligating us to sell to or purchase from the holders, a specified number of shares of our common stock, preferred stock or depositary shares at a future date or dates, which we refer to in this prospectus as purchase contracts. The price per share of common stock, preferred stock or depositary shares and the number of shares of each may be fixed at the time the purchase contracts are issued or may be determined by reference to a specific formula set forth in the purchase contracts. The purchase contracts may be issued separately or as part of units, often known as purchase units, consisting of one or more purchase contracts and beneficial interests in debt securities or any other securities described in the applicable prospectus supplement or any combination of the foregoing, securing the holders' obligations to purchase the common stock, preferred stock or depositary shares under the purchase contracts.</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purchase contracts may require us to make periodic payments to the holders of the purchase units or vice versa, and these payments may be unsecured or prefunded on some basis. The purchase contracts may require holders to secure their obligations under those contracts in a specified manner, including pledging their interest in another purchase contract.</w:t>
      </w:r>
    </w:p>
    <w:p>
      <w:pPr>
        <w:spacing w:after="0" w:line="19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applicable prospectus supplement will describe the terms of the purchase contracts and purchase units, including, if applicable, collateral or depositary arrangements.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may issue warrants to purchase debt securities, common stock, preferred stock or depositary shares. We may offer warrants separately or together with one or more additional warrants, debt securities, common stock, preferred stock or depositary shares,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210"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offering price at which we will issue, the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proposed listing, if any, of the warrants or any securities purchasable upon exercise of the warrants on any securities exchange;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designation and terms of any equity securities purchasable upon exercise of the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designation, aggregate principal amount, currency and terms of any debt securities that may be purchased upon exercise of the warrants;</w:t>
      </w:r>
    </w:p>
    <w:p>
      <w:pPr>
        <w:spacing w:after="0" w:line="275" w:lineRule="exact"/>
        <w:rPr>
          <w:rFonts w:ascii="Arial" w:cs="Arial" w:eastAsia="Arial" w:hAnsi="Arial"/>
          <w:sz w:val="16"/>
          <w:szCs w:val="16"/>
          <w:color w:val="auto"/>
        </w:rPr>
      </w:pPr>
    </w:p>
    <w:p>
      <w:pPr>
        <w:ind w:left="1080" w:right="30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common stock, preferred stock or depositary shares with which the warrants are issued and, the number of warrants issued with each security;</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applicable, the date from and after which any warrants issued as part of a unit and the related debt securities, common stock, preferred stock or depositary shares will be separately transferable;</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number of shares of common stock, the number of shares of preferred stock or the number of depositary shares purchasable upon exercise of a warrant and the price at which those shares may be purchased;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antidilution provisions of, and other provisions for changes to or adjustment in the exercise price of, the warrants,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redemption or call provisions;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or exercise of the warrants.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18"/>
          <w:szCs w:val="18"/>
          <w:b w:val="1"/>
          <w:bCs w:val="1"/>
          <w:color w:val="auto"/>
        </w:rPr>
        <w:t>FORMS OF SECURITIES</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Each debt security, depositary share, purchase contract, purchase unit and warrant will be represented either by a certificate issued in definitive form to a particular investor or by one or more global securities representing the entire issuance of securities. Unless otherwise provided in the applicable prospectus supplement,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purchase contracts, purchase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Global Securities</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may issue the registered debt securities, depositary shares, purchase contracts, purchase units and warrants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74"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72"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deposit agreement, purchase contract, warrant agreement or purchase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deposit agreement,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3" w:name="page74"/>
    <w:bookmarkEnd w:id="73"/>
    <w:p>
      <w:pPr>
        <w:spacing w:after="0" w:line="289" w:lineRule="auto"/>
        <w:rPr>
          <w:sz w:val="20"/>
          <w:szCs w:val="20"/>
          <w:color w:val="auto"/>
        </w:rPr>
      </w:pPr>
      <w:r>
        <w:rPr>
          <w:rFonts w:ascii="Arial" w:cs="Arial" w:eastAsia="Arial" w:hAnsi="Arial"/>
          <w:sz w:val="16"/>
          <w:szCs w:val="16"/>
          <w:color w:val="auto"/>
        </w:rPr>
        <w:t>purchase contract, purchase unit agreement or warrant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deposit agreement, purchase contract, purchase unit agreement or warrant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deposit agreement, purchase contract, purchase unit agreement or warrant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depositary shares, warrants, purchase agreements or purchase units, represented by a registered global security registered in the name of a depositary or its nominee will be made to the depositary or its nominee, as the case may be, as the registered owner of the registered global security. None of us, the trustees, the warrant agents, the unit agents or any other agent of ours,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74" w:lineRule="exact"/>
        <w:rPr>
          <w:sz w:val="20"/>
          <w:szCs w:val="20"/>
          <w:color w:val="auto"/>
        </w:rPr>
      </w:pPr>
    </w:p>
    <w:p>
      <w:pPr>
        <w:ind w:right="180" w:firstLine="348"/>
        <w:spacing w:after="0" w:line="254"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9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If the depositary for any of the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securities:</w:t>
      </w:r>
    </w:p>
    <w:p>
      <w:pPr>
        <w:spacing w:after="0" w:line="239"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or through underwriters, brokers or dealers;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directly to one or more other purchasers in negotiated sales or competitively bid transactions;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of 1933, as amended, or the Securities Act, to or through a market maker or into an existing trading market, on an exchange or otherwise;</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w:t>
      </w:r>
    </w:p>
    <w:p>
      <w:pPr>
        <w:spacing w:after="0" w:line="225"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239"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213"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the agent or underwriters;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If any underwriters or agents are utilized in the sale of the securities in respect of which this prospectus is delivered, we will enter into an underwriting agreement or other agreement with them at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75" w:name="page76"/>
    <w:bookmarkEnd w:id="75"/>
    <w:p>
      <w:pPr>
        <w:ind w:right="140"/>
        <w:spacing w:after="0" w:line="268" w:lineRule="auto"/>
        <w:rPr>
          <w:sz w:val="20"/>
          <w:szCs w:val="20"/>
          <w:color w:val="auto"/>
        </w:rPr>
      </w:pPr>
      <w:r>
        <w:rPr>
          <w:rFonts w:ascii="Arial" w:cs="Arial" w:eastAsia="Arial" w:hAnsi="Arial"/>
          <w:sz w:val="18"/>
          <w:szCs w:val="18"/>
          <w:color w:val="auto"/>
        </w:rPr>
        <w:t>the time of sale to them, and we will set forth in the prospectus supplement relating to such offering the names of the underwriters or agents and the terms of the related agreement with them.</w:t>
      </w:r>
    </w:p>
    <w:p>
      <w:pPr>
        <w:spacing w:after="0" w:line="186"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39"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61"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94"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88" w:lineRule="exact"/>
        <w:rPr>
          <w:sz w:val="20"/>
          <w:szCs w:val="20"/>
          <w:color w:val="auto"/>
        </w:rPr>
      </w:pPr>
    </w:p>
    <w:p>
      <w:pPr>
        <w:ind w:left="1080" w:right="40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94"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16"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ind w:firstLine="351"/>
        <w:spacing w:after="0" w:line="294" w:lineRule="auto"/>
        <w:rPr>
          <w:sz w:val="20"/>
          <w:szCs w:val="20"/>
          <w:color w:val="auto"/>
        </w:rPr>
      </w:pPr>
      <w:r>
        <w:rPr>
          <w:rFonts w:ascii="Arial" w:cs="Arial" w:eastAsia="Arial" w:hAnsi="Arial"/>
          <w:sz w:val="16"/>
          <w:szCs w:val="16"/>
          <w:color w:val="auto"/>
        </w:rPr>
        <w:t>Under Rule 15c6-1 of the Exchange Act, trades in the secondary market generally are required to settle in three business days, unless the parties to any such trade expressly agree otherwise. The applicable prospectus supplement may provide that the original issue date for your securities may be more than three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70"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compliance with the guidelines of the Financial Industry Regulatory Authority, or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7" w:name="page78"/>
    <w:bookmarkEnd w:id="77"/>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Unless the applicable prospectus supplement indicates otherwise, the validity of the securities in respect of which this prospectus is being delivered will be passed upon by Goodwin Procter LLP.</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consolidated financial statements of Blueprint Medicines Corporation appearing in Blueprint Medicines Corporation's Annual Report on Form 10-K for the year ended December 31, 2016 have been audited by Ernst &amp; Young LLP, independent registered public accounting firm, as set forth in their report thereon, included therein and incorporated herein by reference. Such financial statements are incorporated herein by reference in reliance upon such report given on the authority of said firm as experts in auditing and accounting.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5,000,000 Shares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144780</wp:posOffset>
            </wp:positionV>
            <wp:extent cx="3498850" cy="1183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98850" cy="118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 SUPPLEMENT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320" w:type="dxa"/>
            <w:vAlign w:val="bottom"/>
          </w:tcPr>
          <w:p>
            <w:pPr>
              <w:ind w:left="1140"/>
              <w:spacing w:after="0"/>
              <w:rPr>
                <w:sz w:val="20"/>
                <w:szCs w:val="20"/>
                <w:color w:val="auto"/>
              </w:rPr>
            </w:pPr>
            <w:r>
              <w:rPr>
                <w:rFonts w:ascii="Arial" w:cs="Arial" w:eastAsia="Arial" w:hAnsi="Arial"/>
                <w:sz w:val="24"/>
                <w:szCs w:val="24"/>
                <w:b w:val="1"/>
                <w:bCs w:val="1"/>
                <w:color w:val="auto"/>
              </w:rPr>
              <w:t>Goldman, Sachs &amp; Co.</w:t>
            </w:r>
          </w:p>
        </w:tc>
        <w:tc>
          <w:tcPr>
            <w:tcW w:w="3040" w:type="dxa"/>
            <w:vAlign w:val="bottom"/>
          </w:tcPr>
          <w:p>
            <w:pPr>
              <w:jc w:val="center"/>
              <w:spacing w:after="0"/>
              <w:rPr>
                <w:sz w:val="20"/>
                <w:szCs w:val="20"/>
                <w:color w:val="auto"/>
              </w:rPr>
            </w:pPr>
            <w:r>
              <w:rPr>
                <w:rFonts w:ascii="Arial" w:cs="Arial" w:eastAsia="Arial" w:hAnsi="Arial"/>
                <w:sz w:val="24"/>
                <w:szCs w:val="24"/>
                <w:b w:val="1"/>
                <w:bCs w:val="1"/>
                <w:color w:val="auto"/>
              </w:rPr>
              <w:t>Morgan Stanley</w:t>
            </w:r>
          </w:p>
        </w:tc>
        <w:tc>
          <w:tcPr>
            <w:tcW w:w="4060" w:type="dxa"/>
            <w:vAlign w:val="bottom"/>
          </w:tcPr>
          <w:p>
            <w:pPr>
              <w:ind w:left="560"/>
              <w:spacing w:after="0"/>
              <w:rPr>
                <w:sz w:val="20"/>
                <w:szCs w:val="20"/>
                <w:color w:val="auto"/>
              </w:rPr>
            </w:pPr>
            <w:r>
              <w:rPr>
                <w:rFonts w:ascii="Arial" w:cs="Arial" w:eastAsia="Arial" w:hAnsi="Arial"/>
                <w:sz w:val="24"/>
                <w:szCs w:val="24"/>
                <w:b w:val="1"/>
                <w:bCs w:val="1"/>
                <w:color w:val="auto"/>
              </w:rPr>
              <w:t>Cowen and Company</w:t>
            </w:r>
          </w:p>
        </w:tc>
      </w:tr>
      <w:tr>
        <w:trPr>
          <w:trHeight w:val="322"/>
        </w:trPr>
        <w:tc>
          <w:tcPr>
            <w:tcW w:w="43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24"/>
                <w:szCs w:val="24"/>
                <w:b w:val="1"/>
                <w:bCs w:val="1"/>
                <w:color w:val="auto"/>
              </w:rPr>
              <w:t>Raymond James</w:t>
            </w:r>
          </w:p>
        </w:tc>
        <w:tc>
          <w:tcPr>
            <w:tcW w:w="4060" w:type="dxa"/>
            <w:vAlign w:val="bottom"/>
          </w:tcPr>
          <w:p>
            <w:pPr>
              <w:spacing w:after="0"/>
              <w:rPr>
                <w:sz w:val="24"/>
                <w:szCs w:val="24"/>
                <w:color w:val="auto"/>
              </w:rPr>
            </w:pPr>
          </w:p>
        </w:tc>
      </w:tr>
      <w:tr>
        <w:trPr>
          <w:trHeight w:val="426"/>
        </w:trPr>
        <w:tc>
          <w:tcPr>
            <w:tcW w:w="4320" w:type="dxa"/>
            <w:vAlign w:val="bottom"/>
          </w:tcPr>
          <w:p>
            <w:pPr>
              <w:spacing w:after="0"/>
              <w:rPr>
                <w:sz w:val="24"/>
                <w:szCs w:val="24"/>
                <w:color w:val="auto"/>
              </w:rPr>
            </w:pPr>
          </w:p>
        </w:tc>
        <w:tc>
          <w:tcPr>
            <w:tcW w:w="3040" w:type="dxa"/>
            <w:vAlign w:val="bottom"/>
          </w:tcPr>
          <w:p>
            <w:pPr>
              <w:ind w:left="780"/>
              <w:spacing w:after="0"/>
              <w:rPr>
                <w:sz w:val="20"/>
                <w:szCs w:val="20"/>
                <w:color w:val="auto"/>
              </w:rPr>
            </w:pPr>
            <w:r>
              <w:rPr>
                <w:rFonts w:ascii="Arial" w:cs="Arial" w:eastAsia="Arial" w:hAnsi="Arial"/>
                <w:sz w:val="18"/>
                <w:szCs w:val="18"/>
                <w:color w:val="auto"/>
              </w:rPr>
              <w:t>March 29, 2017</w:t>
            </w:r>
          </w:p>
        </w:tc>
        <w:tc>
          <w:tcPr>
            <w:tcW w:w="4060" w:type="dxa"/>
            <w:vAlign w:val="bottom"/>
          </w:tcPr>
          <w:p>
            <w:pPr>
              <w:spacing w:after="0"/>
              <w:rPr>
                <w:sz w:val="24"/>
                <w:szCs w:val="24"/>
                <w:color w:val="auto"/>
              </w:rPr>
            </w:pPr>
          </w:p>
        </w:tc>
      </w:tr>
      <w:tr>
        <w:trPr>
          <w:trHeight w:val="488"/>
        </w:trPr>
        <w:tc>
          <w:tcPr>
            <w:tcW w:w="43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r>
        <w:trPr>
          <w:trHeight w:val="41"/>
        </w:trPr>
        <w:tc>
          <w:tcPr>
            <w:tcW w:w="432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r>
      <w:tr>
        <w:trPr>
          <w:trHeight w:val="226"/>
        </w:trPr>
        <w:tc>
          <w:tcPr>
            <w:tcW w:w="4320" w:type="dxa"/>
            <w:vAlign w:val="bottom"/>
            <w:tcBorders>
              <w:bottom w:val="single" w:sz="8" w:color="808080"/>
            </w:tcBorders>
          </w:tcPr>
          <w:p>
            <w:pPr>
              <w:spacing w:after="0"/>
              <w:rPr>
                <w:sz w:val="19"/>
                <w:szCs w:val="19"/>
                <w:color w:val="auto"/>
              </w:rPr>
            </w:pPr>
          </w:p>
        </w:tc>
        <w:tc>
          <w:tcPr>
            <w:tcW w:w="3040" w:type="dxa"/>
            <w:vAlign w:val="bottom"/>
            <w:tcBorders>
              <w:bottom w:val="single" w:sz="8" w:color="808080"/>
            </w:tcBorders>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9" w:name="page80"/>
    <w:bookmarkEnd w:id="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1)"/>
      <w:numFmt w:val="decimal"/>
      <w:start w:val="1"/>
    </w:lvl>
  </w:abstractNum>
  <w:abstractNum w:abstractNumId="1">
    <w:nsid w:val="1E7FF521"/>
    <w:multiLevelType w:val="hybridMultilevel"/>
    <w:lvl w:ilvl="0">
      <w:lvlJc w:val="left"/>
      <w:lvlText w:val="(%1)"/>
      <w:numFmt w:val="decimal"/>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1."/>
      <w:numFmt w:val="decimal"/>
      <w:start w:val="554"/>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lvl w:ilvl="1">
      <w:lvlJc w:val="left"/>
      <w:lvlText w:val="•"/>
      <w:numFmt w:val="bullet"/>
      <w:start w:val="1"/>
    </w:lvl>
  </w:abstractNum>
  <w:abstractNum w:abstractNumId="19">
    <w:nsid w:val="51EAD36B"/>
    <w:multiLevelType w:val="hybridMultilevel"/>
    <w:lvl w:ilvl="0">
      <w:lvlJc w:val="left"/>
      <w:lvlText w:val="(%1)"/>
      <w:numFmt w:val="decimal"/>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lvl w:ilvl="1">
      <w:lvlJc w:val="left"/>
      <w:lvlText w:val="(%2)"/>
      <w:numFmt w:val="lowerRoman"/>
      <w:start w:val="2"/>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
      <w:numFmt w:val="bullet"/>
      <w:start w:val="1"/>
    </w:lvl>
  </w:abstractNum>
  <w:abstractNum w:abstractNumId="56">
    <w:nsid w:val="235BA861"/>
    <w:multiLevelType w:val="hybridMultilevel"/>
    <w:lvl w:ilvl="0">
      <w:lvlJc w:val="left"/>
      <w:lvlText w:val="•"/>
      <w:numFmt w:val="bullet"/>
      <w:start w:val="1"/>
    </w:lvl>
  </w:abstractNum>
  <w:abstractNum w:abstractNumId="57">
    <w:nsid w:val="47398C89"/>
    <w:multiLevelType w:val="hybridMultilevel"/>
    <w:lvl w:ilvl="0">
      <w:lvlJc w:val="left"/>
      <w:lvlText w:val="•"/>
      <w:numFmt w:val="bullet"/>
      <w:start w:val="1"/>
    </w:lvl>
  </w:abstractNum>
  <w:abstractNum w:abstractNumId="58">
    <w:nsid w:val="354FE9F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2019-12-07T22:23:34Z</dcterms:created>
  <dcterms:modified xsi:type="dcterms:W3CDTF">2019-12-07T22:23:34Z</dcterms:modified>
</cp:coreProperties>
</file>