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right="4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-628015</wp:posOffset>
            </wp:positionV>
            <wp:extent cx="58420" cy="641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746760</wp:posOffset>
            </wp:positionV>
            <wp:extent cx="7045960" cy="6598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598920"/>
                    </a:xfrm>
                    <a:prstGeom prst="rect">
                      <a:avLst/>
                    </a:prstGeom>
                    <a:noFill/>
                  </pic:spPr>
                </pic:pic>
              </a:graphicData>
            </a:graphic>
          </wp:anchor>
        </w:drawing>
      </w:r>
    </w:p>
    <w:p>
      <w:pPr>
        <w:spacing w:after="0" w:line="1187"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Beckman Daniella</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60" w:type="dxa"/>
            <w:vAlign w:val="bottom"/>
            <w:gridSpan w:val="2"/>
          </w:tcPr>
          <w:p>
            <w:pPr>
              <w:spacing w:after="0" w:line="104"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Blueprint Medicines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BPMC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40" w:type="dxa"/>
            <w:vAlign w:val="bottom"/>
            <w:gridSpan w:val="3"/>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Borders>
              <w:bottom w:val="single" w:sz="8" w:color="0000EE"/>
            </w:tcBorders>
          </w:tcPr>
          <w:p>
            <w:pPr>
              <w:spacing w:after="0"/>
              <w:rPr>
                <w:sz w:val="6"/>
                <w:szCs w:val="6"/>
                <w:color w:val="auto"/>
              </w:rPr>
            </w:pPr>
          </w:p>
        </w:tc>
        <w:tc>
          <w:tcPr>
            <w:tcW w:w="1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9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07/17/2025</w:t>
            </w:r>
          </w:p>
        </w:tc>
        <w:tc>
          <w:tcPr>
            <w:tcW w:w="16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20" w:type="dxa"/>
            <w:vAlign w:val="bottom"/>
            <w:gridSpan w:val="3"/>
            <w:vMerge w:val="continue"/>
          </w:tcPr>
          <w:p>
            <w:pPr>
              <w:spacing w:after="0"/>
              <w:rPr>
                <w:sz w:val="10"/>
                <w:szCs w:val="10"/>
                <w:color w:val="auto"/>
              </w:rPr>
            </w:pPr>
          </w:p>
        </w:tc>
        <w:tc>
          <w:tcPr>
            <w:tcW w:w="16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45 SIDNEY STREET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4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02139</w:t>
            </w:r>
          </w:p>
        </w:tc>
      </w:tr>
      <w:tr>
        <w:trPr>
          <w:trHeight w:val="150"/>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5" w:lineRule="exact"/>
        <w:rPr>
          <w:sz w:val="20"/>
          <w:szCs w:val="20"/>
          <w:color w:val="auto"/>
        </w:rPr>
      </w:pPr>
    </w:p>
    <w:p>
      <w:pPr>
        <w:sectPr>
          <w:pgSz w:w="11900" w:h="16838" w:orient="portrait"/>
          <w:cols w:equalWidth="0" w:num="2">
            <w:col w:w="7560" w:space="720"/>
            <w:col w:w="280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5"/>
          </w:tcPr>
          <w:p>
            <w:pPr>
              <w:ind w:left="1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1"/>
              </w:rPr>
              <w:t>Transaction</w:t>
            </w:r>
          </w:p>
        </w:tc>
        <w:tc>
          <w:tcPr>
            <w:tcW w:w="1900" w:type="dxa"/>
            <w:vAlign w:val="bottom"/>
            <w:gridSpan w:val="5"/>
          </w:tcPr>
          <w:p>
            <w:pPr>
              <w:ind w:left="16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0" w:type="dxa"/>
            <w:vAlign w:val="bottom"/>
            <w:gridSpan w:val="2"/>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7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56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7"/>
                <w:szCs w:val="17"/>
                <w:color w:val="0000FF"/>
              </w:rPr>
              <w:t>07/17/2025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3,902</w:t>
            </w: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jc w:val="right"/>
              <w:ind w:right="14"/>
              <w:spacing w:after="0"/>
              <w:rPr>
                <w:sz w:val="20"/>
                <w:szCs w:val="20"/>
                <w:color w:val="auto"/>
              </w:rPr>
            </w:pPr>
            <w:r>
              <w:rPr>
                <w:rFonts w:ascii="Times New Roman" w:cs="Times New Roman" w:eastAsia="Times New Roman" w:hAnsi="Times New Roman"/>
                <w:sz w:val="11"/>
                <w:szCs w:val="11"/>
                <w:color w:val="008000"/>
              </w:rPr>
              <w:t>(3)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18"/>
              <w:spacing w:after="0"/>
              <w:rPr>
                <w:sz w:val="20"/>
                <w:szCs w:val="20"/>
                <w:color w:val="auto"/>
              </w:rPr>
            </w:pPr>
            <w:r>
              <w:rPr>
                <w:rFonts w:ascii="Times New Roman" w:cs="Times New Roman" w:eastAsia="Times New Roman" w:hAnsi="Times New Roman"/>
                <w:sz w:val="17"/>
                <w:szCs w:val="17"/>
                <w:color w:val="0000FF"/>
              </w:rPr>
              <w:t>10,842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7"/>
                <w:szCs w:val="17"/>
                <w:color w:val="0000FF"/>
              </w:rPr>
              <w:t>07/17/2025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U</w:t>
            </w:r>
            <w:r>
              <w:rPr>
                <w:rFonts w:ascii="Times New Roman" w:cs="Times New Roman" w:eastAsia="Times New Roman" w:hAnsi="Times New Roman"/>
                <w:sz w:val="11"/>
                <w:szCs w:val="11"/>
                <w:color w:val="008000"/>
              </w:rPr>
              <w:t>(1)(2)</w:t>
            </w:r>
          </w:p>
        </w:tc>
        <w:tc>
          <w:tcPr>
            <w:tcW w:w="7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10,842</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jc w:val="right"/>
              <w:ind w:right="14"/>
              <w:spacing w:after="0"/>
              <w:rPr>
                <w:sz w:val="20"/>
                <w:szCs w:val="20"/>
                <w:color w:val="auto"/>
              </w:rPr>
            </w:pPr>
            <w:r>
              <w:rPr>
                <w:rFonts w:ascii="Times New Roman" w:cs="Times New Roman" w:eastAsia="Times New Roman" w:hAnsi="Times New Roman"/>
                <w:sz w:val="11"/>
                <w:szCs w:val="11"/>
                <w:color w:val="008000"/>
              </w:rPr>
              <w:t>(4)</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right"/>
              <w:ind w:right="498"/>
              <w:spacing w:after="0"/>
              <w:rPr>
                <w:sz w:val="20"/>
                <w:szCs w:val="20"/>
                <w:color w:val="auto"/>
              </w:rPr>
            </w:pPr>
            <w:r>
              <w:rPr>
                <w:rFonts w:ascii="Times New Roman" w:cs="Times New Roman" w:eastAsia="Times New Roman" w:hAnsi="Times New Roman"/>
                <w:sz w:val="17"/>
                <w:szCs w:val="17"/>
                <w:color w:val="0000FF"/>
              </w:rPr>
              <w:t>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1040" w:type="dxa"/>
            <w:vAlign w:val="bottom"/>
            <w:tcBorders>
              <w:top w:val="single" w:sz="8" w:color="2C2C2C"/>
            </w:tcBorders>
          </w:tcPr>
          <w:p>
            <w:pPr>
              <w:spacing w:after="0"/>
              <w:rPr>
                <w:sz w:val="19"/>
                <w:szCs w:val="19"/>
                <w:color w:val="auto"/>
              </w:rPr>
            </w:pPr>
          </w:p>
        </w:tc>
        <w:tc>
          <w:tcPr>
            <w:tcW w:w="61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80" w:type="dxa"/>
            <w:vAlign w:val="bottom"/>
            <w:gridSpan w:val="11"/>
          </w:tcPr>
          <w:p>
            <w:pPr>
              <w:jc w:val="right"/>
              <w:ind w:right="1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ind w:right="59"/>
              <w:spacing w:after="0" w:line="130" w:lineRule="exact"/>
              <w:rPr>
                <w:sz w:val="20"/>
                <w:szCs w:val="20"/>
                <w:color w:val="auto"/>
              </w:rPr>
            </w:pPr>
            <w:r>
              <w:rPr>
                <w:rFonts w:ascii="Arial" w:cs="Arial" w:eastAsia="Arial" w:hAnsi="Arial"/>
                <w:sz w:val="12"/>
                <w:szCs w:val="12"/>
                <w:b w:val="1"/>
                <w:bCs w:val="1"/>
                <w:color w:val="auto"/>
                <w:w w:val="95"/>
              </w:rPr>
              <w:t>Expiration</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98.72</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07/17/2025</w:t>
            </w:r>
          </w:p>
        </w:tc>
        <w:tc>
          <w:tcPr>
            <w:tcW w:w="1140" w:type="dxa"/>
            <w:vAlign w:val="bottom"/>
          </w:tcPr>
          <w:p>
            <w:pPr>
              <w:spacing w:after="0"/>
              <w:rPr>
                <w:sz w:val="12"/>
                <w:szCs w:val="12"/>
                <w:color w:val="auto"/>
              </w:rPr>
            </w:pPr>
          </w:p>
        </w:tc>
        <w:tc>
          <w:tcPr>
            <w:tcW w:w="660" w:type="dxa"/>
            <w:vAlign w:val="bottom"/>
            <w:vMerge w:val="restart"/>
          </w:tcPr>
          <w:p>
            <w:pPr>
              <w:ind w:left="80"/>
              <w:spacing w:after="0" w:line="271"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180" w:type="dxa"/>
            <w:vAlign w:val="bottom"/>
          </w:tcPr>
          <w:p>
            <w:pPr>
              <w:spacing w:after="0"/>
              <w:rPr>
                <w:sz w:val="12"/>
                <w:szCs w:val="12"/>
                <w:color w:val="auto"/>
              </w:rPr>
            </w:pPr>
          </w:p>
        </w:tc>
        <w:tc>
          <w:tcPr>
            <w:tcW w:w="82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0000FF"/>
              </w:rPr>
              <w:t>7,000</w:t>
            </w: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ind w:right="59"/>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0000FF"/>
              </w:rPr>
              <w:t>7,000</w:t>
            </w:r>
          </w:p>
        </w:tc>
        <w:tc>
          <w:tcPr>
            <w:tcW w:w="40" w:type="dxa"/>
            <w:vAlign w:val="bottom"/>
          </w:tcPr>
          <w:p>
            <w:pPr>
              <w:spacing w:after="0"/>
              <w:rPr>
                <w:sz w:val="12"/>
                <w:szCs w:val="12"/>
                <w:color w:val="auto"/>
              </w:rPr>
            </w:pP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4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50.64</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07/17/2025</w:t>
            </w:r>
          </w:p>
        </w:tc>
        <w:tc>
          <w:tcPr>
            <w:tcW w:w="1140" w:type="dxa"/>
            <w:vAlign w:val="bottom"/>
          </w:tcPr>
          <w:p>
            <w:pPr>
              <w:spacing w:after="0"/>
              <w:rPr>
                <w:sz w:val="12"/>
                <w:szCs w:val="12"/>
                <w:color w:val="auto"/>
              </w:rPr>
            </w:pPr>
          </w:p>
        </w:tc>
        <w:tc>
          <w:tcPr>
            <w:tcW w:w="660" w:type="dxa"/>
            <w:vAlign w:val="bottom"/>
            <w:vMerge w:val="restart"/>
          </w:tcPr>
          <w:p>
            <w:pPr>
              <w:ind w:left="80"/>
              <w:spacing w:after="0" w:line="271"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180" w:type="dxa"/>
            <w:vAlign w:val="bottom"/>
          </w:tcPr>
          <w:p>
            <w:pPr>
              <w:spacing w:after="0"/>
              <w:rPr>
                <w:sz w:val="12"/>
                <w:szCs w:val="12"/>
                <w:color w:val="auto"/>
              </w:rPr>
            </w:pPr>
          </w:p>
        </w:tc>
        <w:tc>
          <w:tcPr>
            <w:tcW w:w="82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0000FF"/>
              </w:rPr>
              <w:t>5,300</w:t>
            </w: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ind w:right="59"/>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0000FF"/>
              </w:rPr>
              <w:t>5,300</w:t>
            </w:r>
          </w:p>
        </w:tc>
        <w:tc>
          <w:tcPr>
            <w:tcW w:w="40" w:type="dxa"/>
            <w:vAlign w:val="bottom"/>
          </w:tcPr>
          <w:p>
            <w:pPr>
              <w:spacing w:after="0"/>
              <w:rPr>
                <w:sz w:val="12"/>
                <w:szCs w:val="12"/>
                <w:color w:val="auto"/>
              </w:rPr>
            </w:pP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4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63.66</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07/17/2025</w:t>
            </w:r>
          </w:p>
        </w:tc>
        <w:tc>
          <w:tcPr>
            <w:tcW w:w="1140" w:type="dxa"/>
            <w:vAlign w:val="bottom"/>
          </w:tcPr>
          <w:p>
            <w:pPr>
              <w:spacing w:after="0"/>
              <w:rPr>
                <w:sz w:val="12"/>
                <w:szCs w:val="12"/>
                <w:color w:val="auto"/>
              </w:rPr>
            </w:pPr>
          </w:p>
        </w:tc>
        <w:tc>
          <w:tcPr>
            <w:tcW w:w="660" w:type="dxa"/>
            <w:vAlign w:val="bottom"/>
            <w:vMerge w:val="restart"/>
          </w:tcPr>
          <w:p>
            <w:pPr>
              <w:ind w:left="80"/>
              <w:spacing w:after="0" w:line="271"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180" w:type="dxa"/>
            <w:vAlign w:val="bottom"/>
          </w:tcPr>
          <w:p>
            <w:pPr>
              <w:spacing w:after="0"/>
              <w:rPr>
                <w:sz w:val="12"/>
                <w:szCs w:val="12"/>
                <w:color w:val="auto"/>
              </w:rPr>
            </w:pPr>
          </w:p>
        </w:tc>
        <w:tc>
          <w:tcPr>
            <w:tcW w:w="82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0000FF"/>
              </w:rPr>
              <w:t>5,300</w:t>
            </w: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ind w:right="59"/>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0000FF"/>
              </w:rPr>
              <w:t>5,300</w:t>
            </w:r>
          </w:p>
        </w:tc>
        <w:tc>
          <w:tcPr>
            <w:tcW w:w="40" w:type="dxa"/>
            <w:vAlign w:val="bottom"/>
          </w:tcPr>
          <w:p>
            <w:pPr>
              <w:spacing w:after="0"/>
              <w:rPr>
                <w:sz w:val="12"/>
                <w:szCs w:val="12"/>
                <w:color w:val="auto"/>
              </w:rPr>
            </w:pP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4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106.14</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07/17/2025</w:t>
            </w:r>
          </w:p>
        </w:tc>
        <w:tc>
          <w:tcPr>
            <w:tcW w:w="1140" w:type="dxa"/>
            <w:vAlign w:val="bottom"/>
          </w:tcPr>
          <w:p>
            <w:pPr>
              <w:spacing w:after="0"/>
              <w:rPr>
                <w:sz w:val="12"/>
                <w:szCs w:val="12"/>
                <w:color w:val="auto"/>
              </w:rPr>
            </w:pPr>
          </w:p>
        </w:tc>
        <w:tc>
          <w:tcPr>
            <w:tcW w:w="660" w:type="dxa"/>
            <w:vAlign w:val="bottom"/>
            <w:vMerge w:val="restart"/>
          </w:tcPr>
          <w:p>
            <w:pPr>
              <w:ind w:left="80"/>
              <w:spacing w:after="0" w:line="271"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180" w:type="dxa"/>
            <w:vAlign w:val="bottom"/>
          </w:tcPr>
          <w:p>
            <w:pPr>
              <w:spacing w:after="0"/>
              <w:rPr>
                <w:sz w:val="12"/>
                <w:szCs w:val="12"/>
                <w:color w:val="auto"/>
              </w:rPr>
            </w:pPr>
          </w:p>
        </w:tc>
        <w:tc>
          <w:tcPr>
            <w:tcW w:w="82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0000FF"/>
              </w:rPr>
              <w:t>4,570</w:t>
            </w: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ind w:right="59"/>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0000FF"/>
              </w:rPr>
              <w:t>4,570</w:t>
            </w:r>
          </w:p>
        </w:tc>
        <w:tc>
          <w:tcPr>
            <w:tcW w:w="40" w:type="dxa"/>
            <w:vAlign w:val="bottom"/>
          </w:tcPr>
          <w:p>
            <w:pPr>
              <w:spacing w:after="0"/>
              <w:rPr>
                <w:sz w:val="12"/>
                <w:szCs w:val="12"/>
                <w:color w:val="auto"/>
              </w:rPr>
            </w:pP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4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60" w:firstLine="2"/>
        <w:spacing w:after="0" w:line="257"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reports securities transacted pursuant to the Agreement and Plan of Merger (the "Merger Agreement") by and among the Issuer, SANOFI, a French societe anonyme ("Parent"), Aventis Inc., a Pennsylvania corporation and wholly owned subsidiary of Parent ("Aventis"), and Rothko Merger Sub, Inc., a Delaware corporation and wholly owned subsidiary of Aventis ("Purchaser").</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Purchaser completed a tender offer to acquire all of the issued and outstanding shares of common stock of the Issuer, par value $0.001 per share (the "Common Stock"), for</w:t>
      </w:r>
    </w:p>
    <w:p>
      <w:pPr>
        <w:spacing w:after="0" w:line="6" w:lineRule="exact"/>
        <w:rPr>
          <w:rFonts w:ascii="Times New Roman" w:cs="Times New Roman" w:eastAsia="Times New Roman" w:hAnsi="Times New Roman"/>
          <w:sz w:val="13"/>
          <w:szCs w:val="13"/>
          <w:color w:val="008000"/>
        </w:rPr>
      </w:pPr>
    </w:p>
    <w:p>
      <w:pPr>
        <w:ind w:left="40" w:right="240"/>
        <w:spacing w:after="0" w:line="234"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 $129.00 per share, without interest (the "Cash Offer Price"), plus (ii) one (1) contractual contingent value right per share, representing the right to receive contingent payments in cash, without interest, upon the achievement of certain milestones (each a "CVR" and together with the Cash Offer Price, the "Offer Consideration"). On July 17, 2025 (the "Effective Time"), Purchaser merged with and into the Issuer, with the Issuer surviving as an indirect wholly owned subsidiary of Parent.</w:t>
      </w:r>
    </w:p>
    <w:p>
      <w:pPr>
        <w:spacing w:after="0" w:line="27" w:lineRule="exact"/>
        <w:rPr>
          <w:rFonts w:ascii="Times New Roman" w:cs="Times New Roman" w:eastAsia="Times New Roman" w:hAnsi="Times New Roman"/>
          <w:sz w:val="13"/>
          <w:szCs w:val="13"/>
          <w:color w:val="008000"/>
        </w:rPr>
      </w:pPr>
    </w:p>
    <w:p>
      <w:pPr>
        <w:ind w:left="40" w:right="240" w:firstLine="2"/>
        <w:spacing w:after="0" w:line="257"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outstanding restricted stock unit ("RSU"), whether vested or unvested, was cancelled and automatically converted into the right to receive the Offer Consideration.</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share of Common Stock held by the Reporting Person was tendered in exchange for the Offer Consideration.</w:t>
      </w:r>
    </w:p>
    <w:p>
      <w:pPr>
        <w:spacing w:after="0" w:line="44" w:lineRule="exact"/>
        <w:rPr>
          <w:rFonts w:ascii="Times New Roman" w:cs="Times New Roman" w:eastAsia="Times New Roman" w:hAnsi="Times New Roman"/>
          <w:sz w:val="13"/>
          <w:szCs w:val="13"/>
          <w:color w:val="008000"/>
        </w:rPr>
      </w:pPr>
    </w:p>
    <w:p>
      <w:pPr>
        <w:ind w:left="40" w:right="240" w:firstLine="2"/>
        <w:spacing w:after="0" w:line="23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stock option that was outstanding, whether vested or unvested, immediately prior to the Effective Time became fully vested and was cancelled and converted into the right to receive for each share subject to such stock option (i) the Cash Offer Price (less the applicable exercise price per share subject to such option) and (ii) one (1) CVR (in each case, without interest and less applicable tax withholdings), except that fifty percent of such options that were issued in calendar year 2025 were converted into cash-based awards subject to continued vesting as described in the Merger Agreement based on the Cash Offer Price (less the applicable exercise price per share subject to such option), plus one CVR for each share underlying such portion of the option.</w:t>
      </w:r>
    </w:p>
    <w:p>
      <w:pPr>
        <w:ind w:left="6580"/>
        <w:spacing w:after="0" w:line="182" w:lineRule="auto"/>
        <w:rPr>
          <w:sz w:val="20"/>
          <w:szCs w:val="20"/>
          <w:color w:val="auto"/>
        </w:rPr>
      </w:pPr>
      <w:r>
        <w:rPr>
          <w:rFonts w:ascii="Times New Roman" w:cs="Times New Roman" w:eastAsia="Times New Roman" w:hAnsi="Times New Roman"/>
          <w:sz w:val="16"/>
          <w:szCs w:val="16"/>
          <w:color w:val="0000FF"/>
        </w:rPr>
        <w:t xml:space="preserve">/s/ Melissa Masse, Attorney-in- </w:t>
      </w:r>
      <w:r>
        <w:rPr>
          <w:rFonts w:ascii="Times New Roman" w:cs="Times New Roman" w:eastAsia="Times New Roman" w:hAnsi="Times New Roman"/>
          <w:sz w:val="32"/>
          <w:szCs w:val="32"/>
          <w:color w:val="0000FF"/>
          <w:vertAlign w:val="subscript"/>
        </w:rPr>
        <w:t>07/21/2025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-27305</wp:posOffset>
            </wp:positionV>
            <wp:extent cx="13468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-20320</wp:posOffset>
            </wp:positionV>
            <wp:extent cx="1841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15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-85725</wp:posOffset>
            </wp:positionV>
            <wp:extent cx="4864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6410" cy="8255"/>
                    </a:xfrm>
                    <a:prstGeom prst="rect">
                      <a:avLst/>
                    </a:prstGeom>
                    <a:noFill/>
                  </pic:spPr>
                </pic:pic>
              </a:graphicData>
            </a:graphic>
          </wp:anchor>
        </w:drawing>
      </w:r>
    </w:p>
    <w:p>
      <w:pPr>
        <w:sectPr>
          <w:pgSz w:w="11900" w:h="16838" w:orient="portrait"/>
          <w:cols w:equalWidth="0" w:num="1">
            <w:col w:w="11080"/>
          </w:cols>
          <w:pgMar w:left="460" w:top="216" w:right="359" w:bottom="0" w:gutter="0" w:footer="0" w:header="0"/>
          <w:type w:val="continuous"/>
        </w:sectPr>
      </w:pPr>
    </w:p>
    <w:p>
      <w:pPr>
        <w:spacing w:after="0" w:line="4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2479" w:firstLine="2"/>
        <w:spacing w:after="0" w:line="337" w:lineRule="auto"/>
        <w:tabs>
          <w:tab w:leader="none" w:pos="13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13422"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2025-07-21T18:48:06Z</dcterms:created>
  <dcterms:modified xsi:type="dcterms:W3CDTF">2025-07-21T18:48:06Z</dcterms:modified>
</cp:coreProperties>
</file>