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April 30, 2015</w:t>
      </w:r>
    </w:p>
    <w:p>
      <w:pPr>
        <w:spacing w:after="0" w:line="4" w:lineRule="exact"/>
        <w:rPr>
          <w:sz w:val="24"/>
          <w:szCs w:val="24"/>
          <w:color w:val="auto"/>
        </w:rPr>
      </w:pPr>
    </w:p>
    <w:p>
      <w:pPr>
        <w:ind w:left="90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S-8</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BLUEPRINT MEDICINES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46" w:right="239" w:bottom="0" w:gutter="0" w:footer="0" w:header="0"/>
        </w:sectPr>
      </w:pPr>
    </w:p>
    <w:p>
      <w:pPr>
        <w:spacing w:after="0" w:line="53"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Delaware</w:t>
      </w:r>
    </w:p>
    <w:p>
      <w:pPr>
        <w:jc w:val="center"/>
        <w:ind w:right="1240"/>
        <w:spacing w:after="0" w:line="226" w:lineRule="auto"/>
        <w:rPr>
          <w:sz w:val="20"/>
          <w:szCs w:val="20"/>
          <w:color w:val="auto"/>
        </w:rPr>
      </w:pPr>
      <w:r>
        <w:rPr>
          <w:rFonts w:ascii="Arial" w:cs="Arial" w:eastAsia="Arial" w:hAnsi="Arial"/>
          <w:sz w:val="14"/>
          <w:szCs w:val="14"/>
          <w:color w:val="auto"/>
        </w:rPr>
        <w:t>(State or Other Jurisdiction</w:t>
      </w:r>
    </w:p>
    <w:p>
      <w:pPr>
        <w:spacing w:after="0" w:line="1" w:lineRule="exact"/>
        <w:rPr>
          <w:sz w:val="24"/>
          <w:szCs w:val="24"/>
          <w:color w:val="auto"/>
        </w:rPr>
      </w:pPr>
    </w:p>
    <w:p>
      <w:pPr>
        <w:jc w:val="center"/>
        <w:ind w:right="1240"/>
        <w:spacing w:after="0"/>
        <w:rPr>
          <w:sz w:val="20"/>
          <w:szCs w:val="20"/>
          <w:color w:val="auto"/>
        </w:rPr>
      </w:pPr>
      <w:r>
        <w:rPr>
          <w:rFonts w:ascii="Arial" w:cs="Arial" w:eastAsia="Arial" w:hAnsi="Arial"/>
          <w:sz w:val="13"/>
          <w:szCs w:val="13"/>
          <w:color w:val="auto"/>
        </w:rPr>
        <w:t>of 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760"/>
        <w:spacing w:after="0"/>
        <w:rPr>
          <w:sz w:val="20"/>
          <w:szCs w:val="20"/>
          <w:color w:val="auto"/>
        </w:rPr>
      </w:pPr>
      <w:r>
        <w:rPr>
          <w:rFonts w:ascii="Arial" w:cs="Arial" w:eastAsia="Arial" w:hAnsi="Arial"/>
          <w:sz w:val="14"/>
          <w:szCs w:val="14"/>
          <w:b w:val="1"/>
          <w:bCs w:val="1"/>
          <w:color w:val="auto"/>
        </w:rPr>
        <w:t>26-3632015</w:t>
      </w:r>
    </w:p>
    <w:p>
      <w:pPr>
        <w:spacing w:after="0" w:line="4" w:lineRule="exact"/>
        <w:rPr>
          <w:sz w:val="24"/>
          <w:szCs w:val="24"/>
          <w:color w:val="auto"/>
        </w:rPr>
      </w:pPr>
    </w:p>
    <w:p>
      <w:pPr>
        <w:jc w:val="center"/>
        <w:ind w:right="1760"/>
        <w:spacing w:after="0"/>
        <w:rPr>
          <w:sz w:val="20"/>
          <w:szCs w:val="20"/>
          <w:color w:val="auto"/>
        </w:rPr>
      </w:pPr>
      <w:r>
        <w:rPr>
          <w:rFonts w:ascii="Arial" w:cs="Arial" w:eastAsia="Arial" w:hAnsi="Arial"/>
          <w:sz w:val="13"/>
          <w:szCs w:val="13"/>
          <w:color w:val="auto"/>
        </w:rPr>
        <w:t>(I.R.S. Employer Identification No.)</w:t>
      </w:r>
    </w:p>
    <w:p>
      <w:pPr>
        <w:spacing w:after="0" w:line="212" w:lineRule="exact"/>
        <w:rPr>
          <w:sz w:val="24"/>
          <w:szCs w:val="24"/>
          <w:color w:val="auto"/>
        </w:rPr>
      </w:pPr>
    </w:p>
    <w:p>
      <w:pPr>
        <w:sectPr>
          <w:pgSz w:w="11900" w:h="16838" w:orient="portrait"/>
          <w:cols w:equalWidth="0" w:num="2">
            <w:col w:w="6860" w:space="720"/>
            <w:col w:w="3840"/>
          </w:cols>
          <w:pgMar w:left="240" w:top="346" w:right="239" w:bottom="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215 First Street</w:t>
      </w:r>
    </w:p>
    <w:p>
      <w:pPr>
        <w:jc w:val="center"/>
        <w:spacing w:after="0" w:line="226" w:lineRule="auto"/>
        <w:rPr>
          <w:sz w:val="20"/>
          <w:szCs w:val="20"/>
          <w:color w:val="auto"/>
        </w:rPr>
      </w:pPr>
      <w:r>
        <w:rPr>
          <w:rFonts w:ascii="Arial" w:cs="Arial" w:eastAsia="Arial" w:hAnsi="Arial"/>
          <w:sz w:val="14"/>
          <w:szCs w:val="14"/>
          <w:b w:val="1"/>
          <w:bCs w:val="1"/>
          <w:color w:val="auto"/>
        </w:rPr>
        <w:t>Cambridge, Massachusetts 02142</w:t>
      </w:r>
    </w:p>
    <w:p>
      <w:pPr>
        <w:jc w:val="center"/>
        <w:spacing w:after="0" w:line="222" w:lineRule="auto"/>
        <w:rPr>
          <w:sz w:val="20"/>
          <w:szCs w:val="20"/>
          <w:color w:val="auto"/>
        </w:rPr>
      </w:pPr>
      <w:r>
        <w:rPr>
          <w:rFonts w:ascii="Arial" w:cs="Arial" w:eastAsia="Arial" w:hAnsi="Arial"/>
          <w:sz w:val="14"/>
          <w:szCs w:val="14"/>
          <w:b w:val="1"/>
          <w:bCs w:val="1"/>
          <w:color w:val="auto"/>
        </w:rPr>
        <w:t>(617) 374-7580</w:t>
      </w:r>
    </w:p>
    <w:p>
      <w:pPr>
        <w:jc w:val="center"/>
        <w:spacing w:after="0"/>
        <w:rPr>
          <w:sz w:val="20"/>
          <w:szCs w:val="20"/>
          <w:color w:val="auto"/>
        </w:rPr>
      </w:pPr>
      <w:r>
        <w:rPr>
          <w:rFonts w:ascii="Arial" w:cs="Arial" w:eastAsia="Arial" w:hAnsi="Arial"/>
          <w:sz w:val="13"/>
          <w:szCs w:val="13"/>
          <w:color w:val="auto"/>
        </w:rPr>
        <w:t>(Address of Principal Executive Offices)</w:t>
      </w:r>
    </w:p>
    <w:p>
      <w:pPr>
        <w:sectPr>
          <w:pgSz w:w="11900" w:h="16838" w:orient="portrait"/>
          <w:cols w:equalWidth="0" w:num="1">
            <w:col w:w="11420"/>
          </w:cols>
          <w:pgMar w:left="240" w:top="346" w:right="239" w:bottom="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Blueprint Medicines Corporation 2011 Stock Option and Grant Plan</w:t>
      </w:r>
    </w:p>
    <w:p>
      <w:pPr>
        <w:jc w:val="center"/>
        <w:spacing w:after="0" w:line="226" w:lineRule="auto"/>
        <w:rPr>
          <w:sz w:val="20"/>
          <w:szCs w:val="20"/>
          <w:color w:val="auto"/>
        </w:rPr>
      </w:pPr>
      <w:r>
        <w:rPr>
          <w:rFonts w:ascii="Arial" w:cs="Arial" w:eastAsia="Arial" w:hAnsi="Arial"/>
          <w:sz w:val="14"/>
          <w:szCs w:val="14"/>
          <w:b w:val="1"/>
          <w:bCs w:val="1"/>
          <w:color w:val="auto"/>
        </w:rPr>
        <w:t>Blueprint Medicines Corporation 2015 Stock Option and Incentive Plan</w:t>
      </w:r>
    </w:p>
    <w:p>
      <w:pPr>
        <w:jc w:val="center"/>
        <w:spacing w:after="0" w:line="222" w:lineRule="auto"/>
        <w:rPr>
          <w:sz w:val="20"/>
          <w:szCs w:val="20"/>
          <w:color w:val="auto"/>
        </w:rPr>
      </w:pPr>
      <w:r>
        <w:rPr>
          <w:rFonts w:ascii="Arial" w:cs="Arial" w:eastAsia="Arial" w:hAnsi="Arial"/>
          <w:sz w:val="14"/>
          <w:szCs w:val="14"/>
          <w:b w:val="1"/>
          <w:bCs w:val="1"/>
          <w:color w:val="auto"/>
        </w:rPr>
        <w:t>Blueprint Medicines Corporation 2015 Employee Stock Purchase Plan</w:t>
      </w:r>
    </w:p>
    <w:p>
      <w:pPr>
        <w:jc w:val="center"/>
        <w:spacing w:after="0"/>
        <w:rPr>
          <w:sz w:val="20"/>
          <w:szCs w:val="20"/>
          <w:color w:val="auto"/>
        </w:rPr>
      </w:pPr>
      <w:r>
        <w:rPr>
          <w:rFonts w:ascii="Arial" w:cs="Arial" w:eastAsia="Arial" w:hAnsi="Arial"/>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Jeffrey W. Albers</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Blueprint Medicines Corporation</w:t>
      </w:r>
    </w:p>
    <w:p>
      <w:pPr>
        <w:jc w:val="center"/>
        <w:spacing w:after="0" w:line="221" w:lineRule="auto"/>
        <w:rPr>
          <w:sz w:val="20"/>
          <w:szCs w:val="20"/>
          <w:color w:val="auto"/>
        </w:rPr>
      </w:pPr>
      <w:r>
        <w:rPr>
          <w:rFonts w:ascii="Arial" w:cs="Arial" w:eastAsia="Arial" w:hAnsi="Arial"/>
          <w:sz w:val="14"/>
          <w:szCs w:val="14"/>
          <w:b w:val="1"/>
          <w:bCs w:val="1"/>
          <w:color w:val="auto"/>
        </w:rPr>
        <w:t>215 First Street</w:t>
      </w:r>
    </w:p>
    <w:p>
      <w:pPr>
        <w:jc w:val="center"/>
        <w:spacing w:after="0" w:line="222" w:lineRule="auto"/>
        <w:rPr>
          <w:sz w:val="20"/>
          <w:szCs w:val="20"/>
          <w:color w:val="auto"/>
        </w:rPr>
      </w:pPr>
      <w:r>
        <w:rPr>
          <w:rFonts w:ascii="Arial" w:cs="Arial" w:eastAsia="Arial" w:hAnsi="Arial"/>
          <w:sz w:val="14"/>
          <w:szCs w:val="14"/>
          <w:b w:val="1"/>
          <w:bCs w:val="1"/>
          <w:color w:val="auto"/>
        </w:rPr>
        <w:t>Cambridge, Massachusetts 02142</w:t>
      </w: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Copy to:</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Kingsley L. Taft, Esq.</w:t>
      </w:r>
    </w:p>
    <w:p>
      <w:pPr>
        <w:jc w:val="center"/>
        <w:spacing w:after="0" w:line="226" w:lineRule="auto"/>
        <w:rPr>
          <w:sz w:val="20"/>
          <w:szCs w:val="20"/>
          <w:color w:val="auto"/>
        </w:rPr>
      </w:pPr>
      <w:r>
        <w:rPr>
          <w:rFonts w:ascii="Arial" w:cs="Arial" w:eastAsia="Arial" w:hAnsi="Arial"/>
          <w:sz w:val="14"/>
          <w:szCs w:val="14"/>
          <w:b w:val="1"/>
          <w:bCs w:val="1"/>
          <w:color w:val="auto"/>
        </w:rPr>
        <w:t>Michael J. Minahan, Esq.</w:t>
      </w:r>
    </w:p>
    <w:p>
      <w:pPr>
        <w:jc w:val="center"/>
        <w:spacing w:after="0" w:line="222" w:lineRule="auto"/>
        <w:rPr>
          <w:sz w:val="20"/>
          <w:szCs w:val="20"/>
          <w:color w:val="auto"/>
        </w:rPr>
      </w:pPr>
      <w:r>
        <w:rPr>
          <w:rFonts w:ascii="Arial" w:cs="Arial" w:eastAsia="Arial" w:hAnsi="Arial"/>
          <w:sz w:val="14"/>
          <w:szCs w:val="14"/>
          <w:b w:val="1"/>
          <w:bCs w:val="1"/>
          <w:color w:val="auto"/>
        </w:rPr>
        <w:t>Laurie A. Burlingame, Esq.</w:t>
      </w:r>
    </w:p>
    <w:p>
      <w:pPr>
        <w:jc w:val="center"/>
        <w:spacing w:after="0" w:line="221" w:lineRule="auto"/>
        <w:rPr>
          <w:sz w:val="20"/>
          <w:szCs w:val="20"/>
          <w:color w:val="auto"/>
        </w:rPr>
      </w:pPr>
      <w:r>
        <w:rPr>
          <w:rFonts w:ascii="Arial" w:cs="Arial" w:eastAsia="Arial" w:hAnsi="Arial"/>
          <w:sz w:val="14"/>
          <w:szCs w:val="14"/>
          <w:color w:val="auto"/>
        </w:rPr>
        <w:t>Goodwin Procter LLP</w:t>
      </w:r>
    </w:p>
    <w:p>
      <w:pPr>
        <w:jc w:val="center"/>
        <w:spacing w:after="0" w:line="222" w:lineRule="auto"/>
        <w:rPr>
          <w:sz w:val="20"/>
          <w:szCs w:val="20"/>
          <w:color w:val="auto"/>
        </w:rPr>
      </w:pPr>
      <w:r>
        <w:rPr>
          <w:rFonts w:ascii="Arial" w:cs="Arial" w:eastAsia="Arial" w:hAnsi="Arial"/>
          <w:sz w:val="14"/>
          <w:szCs w:val="14"/>
          <w:color w:val="auto"/>
        </w:rPr>
        <w:t>Exchange Place</w:t>
      </w:r>
    </w:p>
    <w:p>
      <w:pPr>
        <w:jc w:val="center"/>
        <w:spacing w:after="0" w:line="221" w:lineRule="auto"/>
        <w:rPr>
          <w:sz w:val="20"/>
          <w:szCs w:val="20"/>
          <w:color w:val="auto"/>
        </w:rPr>
      </w:pPr>
      <w:r>
        <w:rPr>
          <w:rFonts w:ascii="Arial" w:cs="Arial" w:eastAsia="Arial" w:hAnsi="Arial"/>
          <w:sz w:val="14"/>
          <w:szCs w:val="14"/>
          <w:color w:val="auto"/>
        </w:rPr>
        <w:t>53 State Street</w:t>
      </w:r>
    </w:p>
    <w:p>
      <w:pPr>
        <w:jc w:val="center"/>
        <w:spacing w:after="0" w:line="222" w:lineRule="auto"/>
        <w:rPr>
          <w:sz w:val="20"/>
          <w:szCs w:val="20"/>
          <w:color w:val="auto"/>
        </w:rPr>
      </w:pPr>
      <w:r>
        <w:rPr>
          <w:rFonts w:ascii="Arial" w:cs="Arial" w:eastAsia="Arial" w:hAnsi="Arial"/>
          <w:sz w:val="14"/>
          <w:szCs w:val="14"/>
          <w:color w:val="auto"/>
        </w:rPr>
        <w:t>Boston, Massachusetts 02109</w:t>
      </w:r>
    </w:p>
    <w:p>
      <w:pPr>
        <w:jc w:val="center"/>
        <w:spacing w:after="0"/>
        <w:rPr>
          <w:sz w:val="20"/>
          <w:szCs w:val="20"/>
          <w:color w:val="auto"/>
        </w:rPr>
      </w:pPr>
      <w:r>
        <w:rPr>
          <w:rFonts w:ascii="Arial" w:cs="Arial" w:eastAsia="Arial" w:hAnsi="Arial"/>
          <w:sz w:val="14"/>
          <w:szCs w:val="14"/>
          <w:color w:val="auto"/>
        </w:rPr>
        <w:t>(617) 570-1000</w:t>
      </w:r>
    </w:p>
    <w:p>
      <w:pPr>
        <w:spacing w:after="0" w:line="57"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Large accelerated filer o</w:t>
            </w:r>
          </w:p>
        </w:tc>
        <w:tc>
          <w:tcPr>
            <w:tcW w:w="4340" w:type="dxa"/>
            <w:vAlign w:val="bottom"/>
            <w:gridSpan w:val="3"/>
          </w:tcPr>
          <w:p>
            <w:pPr>
              <w:ind w:left="2120"/>
              <w:spacing w:after="0"/>
              <w:rPr>
                <w:sz w:val="20"/>
                <w:szCs w:val="20"/>
                <w:color w:val="auto"/>
              </w:rPr>
            </w:pPr>
            <w:r>
              <w:rPr>
                <w:rFonts w:ascii="Arial" w:cs="Arial" w:eastAsia="Arial" w:hAnsi="Arial"/>
                <w:sz w:val="14"/>
                <w:szCs w:val="14"/>
                <w:color w:val="auto"/>
              </w:rPr>
              <w:t>Accelerated filer o</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Non-accelerated filer x</w:t>
            </w:r>
          </w:p>
        </w:tc>
        <w:tc>
          <w:tcPr>
            <w:tcW w:w="4340" w:type="dxa"/>
            <w:vAlign w:val="bottom"/>
            <w:gridSpan w:val="3"/>
          </w:tcPr>
          <w:p>
            <w:pPr>
              <w:ind w:left="2120"/>
              <w:spacing w:after="0"/>
              <w:rPr>
                <w:sz w:val="20"/>
                <w:szCs w:val="20"/>
                <w:color w:val="auto"/>
              </w:rPr>
            </w:pPr>
            <w:r>
              <w:rPr>
                <w:rFonts w:ascii="Arial" w:cs="Arial" w:eastAsia="Arial" w:hAnsi="Arial"/>
                <w:sz w:val="14"/>
                <w:szCs w:val="14"/>
                <w:color w:val="auto"/>
              </w:rPr>
              <w:t>Smaller reporting company o</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(Do not check if a smaller reporting company)</w:t>
            </w: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34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73"/>
        </w:trPr>
        <w:tc>
          <w:tcPr>
            <w:tcW w:w="20" w:type="dxa"/>
            <w:vAlign w:val="bottom"/>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300" w:type="dxa"/>
            <w:vAlign w:val="bottom"/>
          </w:tcPr>
          <w:p>
            <w:pPr>
              <w:jc w:val="center"/>
              <w:ind w:left="53"/>
              <w:spacing w:after="0" w:line="108" w:lineRule="exact"/>
              <w:rPr>
                <w:sz w:val="20"/>
                <w:szCs w:val="20"/>
                <w:color w:val="auto"/>
              </w:rPr>
            </w:pPr>
            <w:r>
              <w:rPr>
                <w:rFonts w:ascii="Arial" w:cs="Arial" w:eastAsia="Arial" w:hAnsi="Arial"/>
                <w:sz w:val="11"/>
                <w:szCs w:val="11"/>
                <w:b w:val="1"/>
                <w:bCs w:val="1"/>
                <w:color w:val="auto"/>
                <w:w w:val="91"/>
              </w:rPr>
              <w:t>Amount</w:t>
            </w:r>
          </w:p>
        </w:tc>
        <w:tc>
          <w:tcPr>
            <w:tcW w:w="320" w:type="dxa"/>
            <w:vAlign w:val="bottom"/>
          </w:tcPr>
          <w:p>
            <w:pPr>
              <w:spacing w:after="0"/>
              <w:rPr>
                <w:sz w:val="9"/>
                <w:szCs w:val="9"/>
                <w:color w:val="auto"/>
              </w:rPr>
            </w:pPr>
          </w:p>
        </w:tc>
        <w:tc>
          <w:tcPr>
            <w:tcW w:w="1720" w:type="dxa"/>
            <w:vAlign w:val="bottom"/>
          </w:tcPr>
          <w:p>
            <w:pPr>
              <w:jc w:val="center"/>
              <w:ind w:right="437"/>
              <w:spacing w:after="0" w:line="108" w:lineRule="exact"/>
              <w:rPr>
                <w:sz w:val="20"/>
                <w:szCs w:val="20"/>
                <w:color w:val="auto"/>
              </w:rPr>
            </w:pPr>
            <w:r>
              <w:rPr>
                <w:rFonts w:ascii="Arial" w:cs="Arial" w:eastAsia="Arial" w:hAnsi="Arial"/>
                <w:sz w:val="11"/>
                <w:szCs w:val="11"/>
                <w:b w:val="1"/>
                <w:bCs w:val="1"/>
                <w:color w:val="auto"/>
                <w:w w:val="89"/>
              </w:rPr>
              <w:t>Proposed Maximum</w:t>
            </w:r>
          </w:p>
        </w:tc>
        <w:tc>
          <w:tcPr>
            <w:tcW w:w="340" w:type="dxa"/>
            <w:vAlign w:val="bottom"/>
          </w:tcPr>
          <w:p>
            <w:pPr>
              <w:spacing w:after="0"/>
              <w:rPr>
                <w:sz w:val="9"/>
                <w:szCs w:val="9"/>
                <w:color w:val="auto"/>
              </w:rPr>
            </w:pPr>
          </w:p>
        </w:tc>
        <w:tc>
          <w:tcPr>
            <w:tcW w:w="1480" w:type="dxa"/>
            <w:vAlign w:val="bottom"/>
          </w:tcPr>
          <w:p>
            <w:pPr>
              <w:jc w:val="center"/>
              <w:ind w:right="277"/>
              <w:spacing w:after="0" w:line="108" w:lineRule="exact"/>
              <w:rPr>
                <w:sz w:val="20"/>
                <w:szCs w:val="20"/>
                <w:color w:val="auto"/>
              </w:rPr>
            </w:pPr>
            <w:r>
              <w:rPr>
                <w:rFonts w:ascii="Arial" w:cs="Arial" w:eastAsia="Arial" w:hAnsi="Arial"/>
                <w:sz w:val="11"/>
                <w:szCs w:val="11"/>
                <w:b w:val="1"/>
                <w:bCs w:val="1"/>
                <w:color w:val="auto"/>
                <w:w w:val="89"/>
              </w:rPr>
              <w:t>Proposed Maximum</w:t>
            </w:r>
          </w:p>
        </w:tc>
        <w:tc>
          <w:tcPr>
            <w:tcW w:w="380" w:type="dxa"/>
            <w:vAlign w:val="bottom"/>
          </w:tcPr>
          <w:p>
            <w:pPr>
              <w:spacing w:after="0"/>
              <w:rPr>
                <w:sz w:val="9"/>
                <w:szCs w:val="9"/>
                <w:color w:val="auto"/>
              </w:rPr>
            </w:pPr>
          </w:p>
        </w:tc>
        <w:tc>
          <w:tcPr>
            <w:tcW w:w="1220" w:type="dxa"/>
            <w:vAlign w:val="bottom"/>
          </w:tcPr>
          <w:p>
            <w:pPr>
              <w:jc w:val="center"/>
              <w:ind w:right="296"/>
              <w:spacing w:after="0" w:line="108" w:lineRule="exact"/>
              <w:rPr>
                <w:sz w:val="20"/>
                <w:szCs w:val="20"/>
                <w:color w:val="auto"/>
              </w:rPr>
            </w:pPr>
            <w:r>
              <w:rPr>
                <w:rFonts w:ascii="Arial" w:cs="Arial" w:eastAsia="Arial" w:hAnsi="Arial"/>
                <w:sz w:val="11"/>
                <w:szCs w:val="11"/>
                <w:b w:val="1"/>
                <w:bCs w:val="1"/>
                <w:color w:val="auto"/>
                <w:w w:val="90"/>
              </w:rPr>
              <w:t>Amount of</w:t>
            </w:r>
          </w:p>
        </w:tc>
      </w:tr>
      <w:tr>
        <w:trPr>
          <w:trHeight w:val="122"/>
        </w:trPr>
        <w:tc>
          <w:tcPr>
            <w:tcW w:w="20" w:type="dxa"/>
            <w:vAlign w:val="bottom"/>
          </w:tcPr>
          <w:p>
            <w:pPr>
              <w:spacing w:after="0"/>
              <w:rPr>
                <w:sz w:val="10"/>
                <w:szCs w:val="10"/>
                <w:color w:val="auto"/>
              </w:rPr>
            </w:pPr>
          </w:p>
        </w:tc>
        <w:tc>
          <w:tcPr>
            <w:tcW w:w="3640" w:type="dxa"/>
            <w:vAlign w:val="bottom"/>
          </w:tcPr>
          <w:p>
            <w:pPr>
              <w:jc w:val="center"/>
              <w:ind w:left="34"/>
              <w:spacing w:after="0" w:line="122" w:lineRule="exact"/>
              <w:rPr>
                <w:sz w:val="20"/>
                <w:szCs w:val="20"/>
                <w:color w:val="auto"/>
              </w:rPr>
            </w:pPr>
            <w:r>
              <w:rPr>
                <w:rFonts w:ascii="Arial" w:cs="Arial" w:eastAsia="Arial" w:hAnsi="Arial"/>
                <w:sz w:val="11"/>
                <w:szCs w:val="11"/>
                <w:b w:val="1"/>
                <w:bCs w:val="1"/>
                <w:color w:val="auto"/>
                <w:w w:val="89"/>
              </w:rPr>
              <w:t>Title of Securities</w:t>
            </w:r>
          </w:p>
        </w:tc>
        <w:tc>
          <w:tcPr>
            <w:tcW w:w="2300" w:type="dxa"/>
            <w:vAlign w:val="bottom"/>
          </w:tcPr>
          <w:p>
            <w:pPr>
              <w:jc w:val="center"/>
              <w:ind w:left="53"/>
              <w:spacing w:after="0" w:line="122" w:lineRule="exact"/>
              <w:rPr>
                <w:sz w:val="20"/>
                <w:szCs w:val="20"/>
                <w:color w:val="auto"/>
              </w:rPr>
            </w:pPr>
            <w:r>
              <w:rPr>
                <w:rFonts w:ascii="Arial" w:cs="Arial" w:eastAsia="Arial" w:hAnsi="Arial"/>
                <w:sz w:val="11"/>
                <w:szCs w:val="11"/>
                <w:b w:val="1"/>
                <w:bCs w:val="1"/>
                <w:color w:val="auto"/>
                <w:w w:val="83"/>
              </w:rPr>
              <w:t>to be</w:t>
            </w:r>
          </w:p>
        </w:tc>
        <w:tc>
          <w:tcPr>
            <w:tcW w:w="320" w:type="dxa"/>
            <w:vAlign w:val="bottom"/>
          </w:tcPr>
          <w:p>
            <w:pPr>
              <w:spacing w:after="0"/>
              <w:rPr>
                <w:sz w:val="10"/>
                <w:szCs w:val="10"/>
                <w:color w:val="auto"/>
              </w:rPr>
            </w:pPr>
          </w:p>
        </w:tc>
        <w:tc>
          <w:tcPr>
            <w:tcW w:w="1720" w:type="dxa"/>
            <w:vAlign w:val="bottom"/>
          </w:tcPr>
          <w:p>
            <w:pPr>
              <w:jc w:val="center"/>
              <w:ind w:right="437"/>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340" w:type="dxa"/>
            <w:vAlign w:val="bottom"/>
          </w:tcPr>
          <w:p>
            <w:pPr>
              <w:spacing w:after="0"/>
              <w:rPr>
                <w:sz w:val="10"/>
                <w:szCs w:val="10"/>
                <w:color w:val="auto"/>
              </w:rPr>
            </w:pPr>
          </w:p>
        </w:tc>
        <w:tc>
          <w:tcPr>
            <w:tcW w:w="1480" w:type="dxa"/>
            <w:vAlign w:val="bottom"/>
          </w:tcPr>
          <w:p>
            <w:pPr>
              <w:jc w:val="center"/>
              <w:ind w:right="257"/>
              <w:spacing w:after="0" w:line="122" w:lineRule="exact"/>
              <w:rPr>
                <w:sz w:val="20"/>
                <w:szCs w:val="20"/>
                <w:color w:val="auto"/>
              </w:rPr>
            </w:pPr>
            <w:r>
              <w:rPr>
                <w:rFonts w:ascii="Arial" w:cs="Arial" w:eastAsia="Arial" w:hAnsi="Arial"/>
                <w:sz w:val="11"/>
                <w:szCs w:val="11"/>
                <w:b w:val="1"/>
                <w:bCs w:val="1"/>
                <w:color w:val="auto"/>
                <w:w w:val="88"/>
              </w:rPr>
              <w:t>Aggregate</w:t>
            </w:r>
          </w:p>
        </w:tc>
        <w:tc>
          <w:tcPr>
            <w:tcW w:w="380" w:type="dxa"/>
            <w:vAlign w:val="bottom"/>
          </w:tcPr>
          <w:p>
            <w:pPr>
              <w:spacing w:after="0"/>
              <w:rPr>
                <w:sz w:val="10"/>
                <w:szCs w:val="10"/>
                <w:color w:val="auto"/>
              </w:rPr>
            </w:pPr>
          </w:p>
        </w:tc>
        <w:tc>
          <w:tcPr>
            <w:tcW w:w="1220" w:type="dxa"/>
            <w:vAlign w:val="bottom"/>
          </w:tcPr>
          <w:p>
            <w:pPr>
              <w:jc w:val="center"/>
              <w:ind w:right="276"/>
              <w:spacing w:after="0" w:line="122" w:lineRule="exact"/>
              <w:rPr>
                <w:sz w:val="20"/>
                <w:szCs w:val="20"/>
                <w:color w:val="auto"/>
              </w:rPr>
            </w:pPr>
            <w:r>
              <w:rPr>
                <w:rFonts w:ascii="Arial" w:cs="Arial" w:eastAsia="Arial" w:hAnsi="Arial"/>
                <w:sz w:val="11"/>
                <w:szCs w:val="11"/>
                <w:b w:val="1"/>
                <w:bCs w:val="1"/>
                <w:color w:val="auto"/>
                <w:w w:val="87"/>
              </w:rPr>
              <w:t>Registration</w:t>
            </w:r>
          </w:p>
        </w:tc>
      </w:tr>
      <w:tr>
        <w:trPr>
          <w:trHeight w:val="135"/>
        </w:trPr>
        <w:tc>
          <w:tcPr>
            <w:tcW w:w="20" w:type="dxa"/>
            <w:vAlign w:val="bottom"/>
          </w:tcPr>
          <w:p>
            <w:pPr>
              <w:spacing w:after="0"/>
              <w:rPr>
                <w:sz w:val="11"/>
                <w:szCs w:val="11"/>
                <w:color w:val="auto"/>
              </w:rPr>
            </w:pPr>
          </w:p>
        </w:tc>
        <w:tc>
          <w:tcPr>
            <w:tcW w:w="3640" w:type="dxa"/>
            <w:vAlign w:val="bottom"/>
            <w:tcBorders>
              <w:bottom w:val="single" w:sz="8" w:color="auto"/>
            </w:tcBorders>
          </w:tcPr>
          <w:p>
            <w:pPr>
              <w:jc w:val="center"/>
              <w:ind w:left="34"/>
              <w:spacing w:after="0"/>
              <w:rPr>
                <w:sz w:val="20"/>
                <w:szCs w:val="20"/>
                <w:color w:val="auto"/>
              </w:rPr>
            </w:pPr>
            <w:r>
              <w:rPr>
                <w:rFonts w:ascii="Arial" w:cs="Arial" w:eastAsia="Arial" w:hAnsi="Arial"/>
                <w:sz w:val="11"/>
                <w:szCs w:val="11"/>
                <w:b w:val="1"/>
                <w:bCs w:val="1"/>
                <w:color w:val="auto"/>
                <w:w w:val="85"/>
              </w:rPr>
              <w:t>to be Registered</w:t>
            </w:r>
          </w:p>
        </w:tc>
        <w:tc>
          <w:tcPr>
            <w:tcW w:w="2300" w:type="dxa"/>
            <w:vAlign w:val="bottom"/>
            <w:tcBorders>
              <w:bottom w:val="single" w:sz="8" w:color="auto"/>
            </w:tcBorders>
          </w:tcPr>
          <w:p>
            <w:pPr>
              <w:jc w:val="center"/>
              <w:ind w:left="53"/>
              <w:spacing w:after="0"/>
              <w:rPr>
                <w:sz w:val="20"/>
                <w:szCs w:val="20"/>
                <w:color w:val="auto"/>
              </w:rPr>
            </w:pPr>
            <w:r>
              <w:rPr>
                <w:rFonts w:ascii="Arial" w:cs="Arial" w:eastAsia="Arial" w:hAnsi="Arial"/>
                <w:sz w:val="11"/>
                <w:szCs w:val="11"/>
                <w:b w:val="1"/>
                <w:bCs w:val="1"/>
                <w:color w:val="auto"/>
                <w:w w:val="88"/>
              </w:rPr>
              <w:t>Registered(1)</w:t>
            </w:r>
          </w:p>
        </w:tc>
        <w:tc>
          <w:tcPr>
            <w:tcW w:w="3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center"/>
              <w:ind w:right="437"/>
              <w:spacing w:after="0"/>
              <w:rPr>
                <w:sz w:val="20"/>
                <w:szCs w:val="20"/>
                <w:color w:val="auto"/>
              </w:rPr>
            </w:pPr>
            <w:r>
              <w:rPr>
                <w:rFonts w:ascii="Arial" w:cs="Arial" w:eastAsia="Arial" w:hAnsi="Arial"/>
                <w:sz w:val="11"/>
                <w:szCs w:val="11"/>
                <w:b w:val="1"/>
                <w:bCs w:val="1"/>
                <w:color w:val="auto"/>
                <w:w w:val="90"/>
              </w:rPr>
              <w:t>per Share</w:t>
            </w:r>
          </w:p>
        </w:tc>
        <w:tc>
          <w:tcPr>
            <w:tcW w:w="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w w:val="90"/>
              </w:rPr>
              <w:t>Offering Price</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276"/>
              <w:spacing w:after="0"/>
              <w:rPr>
                <w:sz w:val="20"/>
                <w:szCs w:val="20"/>
                <w:color w:val="auto"/>
              </w:rPr>
            </w:pPr>
            <w:r>
              <w:rPr>
                <w:rFonts w:ascii="Arial" w:cs="Arial" w:eastAsia="Arial" w:hAnsi="Arial"/>
                <w:sz w:val="11"/>
                <w:szCs w:val="11"/>
                <w:b w:val="1"/>
                <w:bCs w:val="1"/>
                <w:color w:val="auto"/>
                <w:w w:val="84"/>
              </w:rPr>
              <w:t>Fee</w:t>
            </w:r>
          </w:p>
        </w:tc>
      </w:tr>
      <w:tr>
        <w:trPr>
          <w:trHeight w:val="142"/>
        </w:trPr>
        <w:tc>
          <w:tcPr>
            <w:tcW w:w="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23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1,894,769 shares(2)</w:t>
            </w:r>
          </w:p>
        </w:tc>
        <w:tc>
          <w:tcPr>
            <w:tcW w:w="3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4.37(3)</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8,280,140.53</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962.15</w:t>
            </w:r>
          </w:p>
        </w:tc>
      </w:tr>
      <w:tr>
        <w:trPr>
          <w:trHeight w:val="142"/>
        </w:trPr>
        <w:tc>
          <w:tcPr>
            <w:tcW w:w="3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23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1,460,084 shares(4)</w:t>
            </w:r>
          </w:p>
        </w:tc>
        <w:tc>
          <w:tcPr>
            <w:tcW w:w="3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18.00(5)</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26,281,512.00</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3,053.91</w:t>
            </w:r>
          </w:p>
        </w:tc>
      </w:tr>
      <w:tr>
        <w:trPr>
          <w:trHeight w:val="142"/>
        </w:trPr>
        <w:tc>
          <w:tcPr>
            <w:tcW w:w="3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23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243,347 shares(6)</w:t>
            </w:r>
          </w:p>
        </w:tc>
        <w:tc>
          <w:tcPr>
            <w:tcW w:w="3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18.00(5)</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4,380,246.00</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508.98</w:t>
            </w:r>
          </w:p>
        </w:tc>
      </w:tr>
      <w:tr>
        <w:trPr>
          <w:trHeight w:val="149"/>
        </w:trPr>
        <w:tc>
          <w:tcPr>
            <w:tcW w:w="3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23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3,598,200 shares</w:t>
            </w:r>
          </w:p>
        </w:tc>
        <w:tc>
          <w:tcPr>
            <w:tcW w:w="3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4,525.04</w:t>
            </w:r>
          </w:p>
        </w:tc>
      </w:tr>
    </w:tbl>
    <w:p>
      <w:pPr>
        <w:ind w:left="420" w:right="100" w:hanging="412"/>
        <w:spacing w:after="0" w:line="232"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47" w:lineRule="exact"/>
        <w:rPr>
          <w:rFonts w:ascii="Arial" w:cs="Arial" w:eastAsia="Arial" w:hAnsi="Arial"/>
          <w:sz w:val="14"/>
          <w:szCs w:val="14"/>
          <w:color w:val="auto"/>
        </w:rPr>
      </w:pPr>
    </w:p>
    <w:p>
      <w:pPr>
        <w:ind w:left="420" w:right="60" w:hanging="412"/>
        <w:spacing w:after="0" w:line="256" w:lineRule="auto"/>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shares of common stock issuable upon the exercise of outstanding options under the 2011 Stock Option and Grant Plan, as amended (the “2011 Plan”). No further grants will be made under the 2011 Plan. To the extent outstanding awards under the 2011 Plan are forfeited, cancelled, held back upon exercise or settlement of an award to satisfy the exercise price or tax withholding, reacquired by the registrant prior to vesting, satisfied without any issuance of common stock, expire or are otherwise terminated (other than by exercise), the number of shares underlying such awards will be available for grant under the 2015 Stock Option and Incentive Plan (the “2015 Plan”). See footnote 4 below.</w:t>
      </w:r>
    </w:p>
    <w:p>
      <w:pPr>
        <w:spacing w:after="0" w:line="37" w:lineRule="exact"/>
        <w:rPr>
          <w:rFonts w:ascii="Arial" w:cs="Arial" w:eastAsia="Arial" w:hAnsi="Arial"/>
          <w:sz w:val="13"/>
          <w:szCs w:val="13"/>
          <w:color w:val="auto"/>
        </w:rPr>
      </w:pPr>
    </w:p>
    <w:p>
      <w:pPr>
        <w:ind w:left="420" w:right="260" w:hanging="412"/>
        <w:spacing w:after="0" w:line="238"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 of the Securities Act. For the shares of common stock reserved for issuance upon the exercise of outstanding awards granted under the 2011 Plan, the Proposed Maximum Offering Price Per Share is $4.37 per share, which is the weighted average exercise price (rounded to the nearest cent) of the outstanding awards under the 2011 Plan.</w:t>
      </w:r>
    </w:p>
    <w:p>
      <w:pPr>
        <w:spacing w:after="0" w:line="47" w:lineRule="exact"/>
        <w:rPr>
          <w:rFonts w:ascii="Arial" w:cs="Arial" w:eastAsia="Arial" w:hAnsi="Arial"/>
          <w:sz w:val="14"/>
          <w:szCs w:val="14"/>
          <w:color w:val="auto"/>
        </w:rPr>
      </w:pPr>
    </w:p>
    <w:p>
      <w:pPr>
        <w:ind w:left="420" w:right="40" w:hanging="412"/>
        <w:spacing w:after="0" w:line="249" w:lineRule="auto"/>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shares of common stock reserved for future issuance under the 2015 Plan. In addition to the shares registered under the 2015 Plan, to the extent that awards outstanding under the 2011 Plan as of the date of this Registration Statement are forfeited, cancelled, held back upon exercise or settlement of an award to satisfy the exercise price or tax withholding, reacquired by the registrant prior to vesting, satisfied without any issuance of common stock, expire or are otherwise terminated (other than by exercise), the number of shares underlying such awards will be available for future grant under the 2015 Plan. The 2015 Plan also provides that an additional number of shares will automatically be added to the shares authorized for issuance under the 2015 Plan on January 1 of each year. The number of shares added each year will be equal to the lesser of: (i) 4% of the outstanding shares on the immediately preceding December 31 or (ii) such amount as determined by the Compensation Committee of the registrant’s Board of Directors.</w:t>
      </w:r>
    </w:p>
    <w:p>
      <w:pPr>
        <w:spacing w:after="0" w:line="41" w:lineRule="exact"/>
        <w:rPr>
          <w:rFonts w:ascii="Arial" w:cs="Arial" w:eastAsia="Arial" w:hAnsi="Arial"/>
          <w:sz w:val="13"/>
          <w:szCs w:val="13"/>
          <w:color w:val="auto"/>
        </w:rPr>
      </w:pPr>
    </w:p>
    <w:p>
      <w:pPr>
        <w:ind w:left="420" w:right="60" w:hanging="412"/>
        <w:spacing w:after="0" w:line="253"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 of the Securities Act, and based on $18.00, the initial public offering price of the registrant’s common stock set forth on the cover page of the registrant’s prospectus dated April 29, 2015 relating to its initial public offering.</w:t>
      </w:r>
    </w:p>
    <w:p>
      <w:pPr>
        <w:spacing w:after="0" w:line="38"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shares of common stock available for future issuance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123825</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color w:val="auto"/>
        </w:rPr>
        <w:t>Proposed sales to take place as soon after the effective date of the Registration Statement as awards are granted, exercised or distributed under the above-named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267970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ectPr>
          <w:pgSz w:w="11900" w:h="16838" w:orient="portrait"/>
          <w:cols w:equalWidth="0" w:num="1">
            <w:col w:w="11420"/>
          </w:cols>
          <w:pgMar w:left="240" w:top="346" w:right="239" w:bottom="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6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Securities and Exchange Commission (the “SEC”).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SEC:</w:t>
      </w:r>
    </w:p>
    <w:p>
      <w:pPr>
        <w:spacing w:after="0" w:line="225" w:lineRule="exact"/>
        <w:rPr>
          <w:sz w:val="20"/>
          <w:szCs w:val="20"/>
          <w:color w:val="auto"/>
        </w:rPr>
      </w:pPr>
    </w:p>
    <w:p>
      <w:pPr>
        <w:ind w:left="980" w:right="360" w:hanging="324"/>
        <w:spacing w:after="0" w:line="264" w:lineRule="auto"/>
        <w:tabs>
          <w:tab w:leader="none" w:pos="9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prospectus filed by the registrant with the SEC pursuant to Rule 424(b) under the Securities Act, on April 29, 2015, relating to the Registration Statement on Form S-1, as amended (File No. 333-202938), which contains the registrant’s audited financial statements for the latest fiscal year for which such statements have been filed; and</w:t>
      </w:r>
    </w:p>
    <w:p>
      <w:pPr>
        <w:spacing w:after="0" w:line="181" w:lineRule="exact"/>
        <w:rPr>
          <w:rFonts w:ascii="Arial" w:cs="Arial" w:eastAsia="Arial" w:hAnsi="Arial"/>
          <w:sz w:val="18"/>
          <w:szCs w:val="18"/>
          <w:color w:val="auto"/>
        </w:rPr>
      </w:pPr>
    </w:p>
    <w:p>
      <w:pPr>
        <w:ind w:left="980" w:right="160" w:hanging="324"/>
        <w:spacing w:after="0" w:line="264" w:lineRule="auto"/>
        <w:tabs>
          <w:tab w:leader="none" w:pos="9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 No. 001-37359), filed by the registrant with the SEC under Section 12(b) of the Securities Exchange Act of 1934, as amended (the “Exchange Act”), on April 27, 2015, including any amendments or reports filed for the purpose of updating such description.</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16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directors to the fullest extent permissible under Delaware law.</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166"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registrant has entered into or plans to enter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17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registrant intends to purchase and maintain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12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7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400"/>
          </w:cols>
          <w:pgMar w:left="240" w:top="121" w:right="259" w:bottom="0" w:gutter="0" w:footer="0" w:header="0"/>
        </w:sectPr>
      </w:pPr>
    </w:p>
    <w:bookmarkStart w:id="2" w:name="page3"/>
    <w:bookmarkEnd w:id="2"/>
    <w:p>
      <w:pPr>
        <w:spacing w:after="0" w:line="107"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which Exhibit Index is incorporated herein by reference.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60" w:firstLine="656"/>
        <w:spacing w:after="0" w:line="273" w:lineRule="auto"/>
        <w:tabs>
          <w:tab w:leader="none" w:pos="91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herein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81" w:lineRule="exact"/>
        <w:rPr>
          <w:sz w:val="20"/>
          <w:szCs w:val="20"/>
          <w:color w:val="auto"/>
        </w:rPr>
      </w:pPr>
    </w:p>
    <w:p>
      <w:pPr>
        <w:ind w:right="540" w:firstLine="278"/>
        <w:spacing w:after="0" w:line="264" w:lineRule="auto"/>
        <w:tabs>
          <w:tab w:leader="none" w:pos="52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40" w:firstLine="278"/>
        <w:spacing w:after="0" w:line="277" w:lineRule="auto"/>
        <w:tabs>
          <w:tab w:leader="none" w:pos="52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 w:firstLine="8"/>
        <w:spacing w:after="0" w:line="302" w:lineRule="auto"/>
        <w:tabs>
          <w:tab w:leader="none" w:pos="2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ind w:right="6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30th day of April, 2015.</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6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6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Jeffrey W. Albers and Kyle D. Kuvalanka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ectPr>
          <w:pgSz w:w="11900" w:h="16946" w:orient="portrait"/>
          <w:cols w:equalWidth="0" w:num="1">
            <w:col w:w="11420"/>
          </w:cols>
          <w:pgMar w:left="240" w:top="341" w:right="239" w:bottom="0" w:gutter="0" w:footer="0" w:header="0"/>
        </w:sectPr>
      </w:pPr>
    </w:p>
    <w:bookmarkStart w:id="3" w:name="page4"/>
    <w:bookmarkEnd w:id="3"/>
    <w:p>
      <w:pPr>
        <w:ind w:right="2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 in the capacities and on the date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40" w:type="dxa"/>
            <w:vAlign w:val="bottom"/>
          </w:tcPr>
          <w:p>
            <w:pPr>
              <w:spacing w:after="0"/>
              <w:rPr>
                <w:sz w:val="14"/>
                <w:szCs w:val="14"/>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4"/>
                <w:szCs w:val="14"/>
                <w:color w:val="auto"/>
              </w:rPr>
            </w:pPr>
          </w:p>
        </w:tc>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W. Albers</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President, Chief Executive Officer and 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1"/>
              </w:rPr>
              <w:t>Jeffrey W. Albers</w:t>
            </w:r>
          </w:p>
        </w:tc>
        <w:tc>
          <w:tcPr>
            <w:tcW w:w="52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Kyle D. Kuvalanka</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Chief Business Officer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3"/>
              </w:rPr>
              <w:t>Kyle D. Kuvalanka</w:t>
            </w:r>
          </w:p>
        </w:tc>
        <w:tc>
          <w:tcPr>
            <w:tcW w:w="52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Financial and Accounting Officer)</w:t>
            </w: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Lynch</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3"/>
              </w:rPr>
              <w:t>Daniel S. Lynch</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Nicholas Lydon, Ph.D.</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3"/>
              </w:rPr>
              <w:t>Nicholas Lydon, Ph.D.</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Alexis Borisy</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5"/>
              </w:rPr>
              <w:t>Alexis Borisy</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A. Rowland, Jr.</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0"/>
              </w:rPr>
              <w:t>Charles A. Rowland, Jr.</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George D. Demetri</w:t>
            </w:r>
          </w:p>
        </w:tc>
        <w:tc>
          <w:tcPr>
            <w:tcW w:w="52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0"/>
                <w:szCs w:val="20"/>
                <w:color w:val="auto"/>
              </w:rPr>
            </w:pPr>
            <w:r>
              <w:rPr>
                <w:rFonts w:ascii="Arial" w:cs="Arial" w:eastAsia="Arial" w:hAnsi="Arial"/>
                <w:sz w:val="18"/>
                <w:szCs w:val="18"/>
                <w:color w:val="auto"/>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1"/>
              </w:rPr>
              <w:t>George D. Demetri</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4"/>
                <w:szCs w:val="24"/>
                <w:color w:val="auto"/>
              </w:rPr>
            </w:pPr>
          </w:p>
        </w:tc>
        <w:tc>
          <w:tcPr>
            <w:tcW w:w="4900" w:type="dxa"/>
            <w:vAlign w:val="bottom"/>
            <w:gridSpan w:val="2"/>
          </w:tcPr>
          <w:p>
            <w:pPr>
              <w:ind w:left="14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gridSpan w:val="2"/>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INDEX</w:t>
            </w: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2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486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4860" w:type="dxa"/>
            <w:vAlign w:val="bottom"/>
            <w:gridSpan w:val="2"/>
            <w:vMerge w:val="continue"/>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-859790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-859790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420" w:right="200" w:hanging="467"/>
        <w:spacing w:after="0" w:line="249" w:lineRule="auto"/>
        <w:tabs>
          <w:tab w:leader="none" w:pos="1400" w:val="left"/>
        </w:tabs>
        <w:rPr>
          <w:sz w:val="20"/>
          <w:szCs w:val="20"/>
          <w:color w:val="auto"/>
        </w:rPr>
      </w:pPr>
      <w:r>
        <w:rPr>
          <w:rFonts w:ascii="Arial" w:cs="Arial" w:eastAsia="Arial" w:hAnsi="Arial"/>
          <w:sz w:val="18"/>
          <w:szCs w:val="18"/>
          <w:color w:val="auto"/>
        </w:rPr>
        <w:t>4.1</w:t>
        <w:tab/>
        <w:t>Specimen Common Stock Certificate of the registrant (Incorporated by reference to Exhibit 4.1 to the registrant’s Registration Statement on Form S-1, as amended (File No. 333-202938)).</w:t>
      </w:r>
    </w:p>
    <w:p>
      <w:pPr>
        <w:spacing w:after="0" w:line="1" w:lineRule="exact"/>
        <w:rPr>
          <w:sz w:val="20"/>
          <w:szCs w:val="20"/>
          <w:color w:val="auto"/>
        </w:rPr>
      </w:pPr>
    </w:p>
    <w:p>
      <w:pPr>
        <w:ind w:left="1420" w:right="120" w:hanging="467"/>
        <w:spacing w:after="0" w:line="250" w:lineRule="auto"/>
        <w:tabs>
          <w:tab w:leader="none" w:pos="1400" w:val="left"/>
        </w:tabs>
        <w:rPr>
          <w:sz w:val="20"/>
          <w:szCs w:val="20"/>
          <w:color w:val="auto"/>
        </w:rPr>
      </w:pPr>
      <w:r>
        <w:rPr>
          <w:rFonts w:ascii="Arial" w:cs="Arial" w:eastAsia="Arial" w:hAnsi="Arial"/>
          <w:sz w:val="18"/>
          <w:szCs w:val="18"/>
          <w:color w:val="auto"/>
        </w:rPr>
        <w:t>4.2</w:t>
        <w:tab/>
        <w:t>Form of Fifth Amended and Restated Certificate of Incorporation (Incorporated by reference to Exhibit 3.2 to the registrant’s Registration Statement on Form S-1, as amended (File No. 333-202938)).</w:t>
      </w:r>
    </w:p>
    <w:p>
      <w:pPr>
        <w:spacing w:after="0" w:line="1" w:lineRule="exact"/>
        <w:rPr>
          <w:sz w:val="20"/>
          <w:szCs w:val="20"/>
          <w:color w:val="auto"/>
        </w:rPr>
      </w:pPr>
    </w:p>
    <w:p>
      <w:pPr>
        <w:ind w:left="1420" w:right="120" w:hanging="467"/>
        <w:spacing w:after="0" w:line="250" w:lineRule="auto"/>
        <w:tabs>
          <w:tab w:leader="none" w:pos="1400" w:val="left"/>
        </w:tabs>
        <w:rPr>
          <w:sz w:val="20"/>
          <w:szCs w:val="20"/>
          <w:color w:val="auto"/>
        </w:rPr>
      </w:pPr>
      <w:r>
        <w:rPr>
          <w:rFonts w:ascii="Arial" w:cs="Arial" w:eastAsia="Arial" w:hAnsi="Arial"/>
          <w:sz w:val="18"/>
          <w:szCs w:val="18"/>
          <w:color w:val="auto"/>
        </w:rPr>
        <w:t>4.3</w:t>
        <w:tab/>
        <w:t>Form of Amended and Restated By-laws (Incorporated by reference to Exhibit 3.4 to the registrant’s Registration Statement on Form S-1, as amended (File No. 333-202938)).</w:t>
      </w:r>
    </w:p>
    <w:p>
      <w:pPr>
        <w:spacing w:after="0" w:line="1" w:lineRule="exact"/>
        <w:rPr>
          <w:sz w:val="20"/>
          <w:szCs w:val="20"/>
          <w:color w:val="auto"/>
        </w:rPr>
      </w:pPr>
    </w:p>
    <w:p>
      <w:pPr>
        <w:ind w:left="1420" w:right="440" w:hanging="467"/>
        <w:spacing w:after="0" w:line="250" w:lineRule="auto"/>
        <w:tabs>
          <w:tab w:leader="none" w:pos="1400" w:val="left"/>
        </w:tabs>
        <w:rPr>
          <w:sz w:val="20"/>
          <w:szCs w:val="20"/>
          <w:color w:val="auto"/>
        </w:rPr>
      </w:pPr>
      <w:r>
        <w:rPr>
          <w:rFonts w:ascii="Arial" w:cs="Arial" w:eastAsia="Arial" w:hAnsi="Arial"/>
          <w:sz w:val="18"/>
          <w:szCs w:val="18"/>
          <w:color w:val="auto"/>
        </w:rPr>
        <w:t>4.4</w:t>
        <w:tab/>
        <w:t>Second Amended and Restated Investors’ Rights Agreement by and among the registrant and certain of its stockholders, dated November 7, 2014 (Incorporated by reference to Exhibit 4.2 to the registrant’s Registration Statement on Form S-1, as amended (File No. 333-202938)).</w:t>
      </w:r>
    </w:p>
    <w:p>
      <w:pPr>
        <w:spacing w:after="0" w:line="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Goodwin Procter LLP.</w:t>
      </w:r>
    </w:p>
    <w:p>
      <w:pPr>
        <w:spacing w:after="0" w:line="9"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w:t>
      </w:r>
    </w:p>
    <w:p>
      <w:pPr>
        <w:spacing w:after="0" w:line="9"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Goodwin Procter LLP (included in Exhibit 5.1).</w:t>
      </w:r>
    </w:p>
    <w:p>
      <w:pPr>
        <w:spacing w:after="0" w:line="9"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9" w:lineRule="exact"/>
        <w:rPr>
          <w:sz w:val="20"/>
          <w:szCs w:val="20"/>
          <w:color w:val="auto"/>
        </w:rPr>
      </w:pPr>
    </w:p>
    <w:p>
      <w:pPr>
        <w:ind w:left="1420" w:right="200" w:hanging="557"/>
        <w:spacing w:after="0" w:line="250" w:lineRule="auto"/>
        <w:tabs>
          <w:tab w:leader="none" w:pos="1400" w:val="left"/>
        </w:tabs>
        <w:rPr>
          <w:sz w:val="20"/>
          <w:szCs w:val="20"/>
          <w:color w:val="auto"/>
        </w:rPr>
      </w:pPr>
      <w:r>
        <w:rPr>
          <w:rFonts w:ascii="Arial" w:cs="Arial" w:eastAsia="Arial" w:hAnsi="Arial"/>
          <w:sz w:val="18"/>
          <w:szCs w:val="18"/>
          <w:color w:val="auto"/>
        </w:rPr>
        <w:t>99.1</w:t>
        <w:tab/>
        <w:t>2011 Stock Option and Grant Plan, as amended, and forms of award agreements thereunder (Incorporated by reference to Exhibit 10.1 to the registrant’s Registration Statement on Form S-1, as amended (File No. 333-202938)).</w:t>
      </w:r>
    </w:p>
    <w:p>
      <w:pPr>
        <w:spacing w:after="0" w:line="1" w:lineRule="exact"/>
        <w:rPr>
          <w:sz w:val="20"/>
          <w:szCs w:val="20"/>
          <w:color w:val="auto"/>
        </w:rPr>
      </w:pPr>
    </w:p>
    <w:p>
      <w:pPr>
        <w:ind w:left="1420" w:right="640" w:hanging="557"/>
        <w:spacing w:after="0" w:line="250" w:lineRule="auto"/>
        <w:tabs>
          <w:tab w:leader="none" w:pos="1400" w:val="left"/>
        </w:tabs>
        <w:rPr>
          <w:sz w:val="20"/>
          <w:szCs w:val="20"/>
          <w:color w:val="auto"/>
        </w:rPr>
      </w:pPr>
      <w:r>
        <w:rPr>
          <w:rFonts w:ascii="Arial" w:cs="Arial" w:eastAsia="Arial" w:hAnsi="Arial"/>
          <w:sz w:val="18"/>
          <w:szCs w:val="18"/>
          <w:color w:val="auto"/>
        </w:rPr>
        <w:t>99.2</w:t>
        <w:tab/>
        <w:t>2015 Stock Option and Incentive Plan and forms of award agreements thereunder (Incorporated by reference to Exhibit 10.2 to the registrant’s Registration Statement on Form S-1, as amended (File No. 333-202938)).</w:t>
      </w:r>
    </w:p>
    <w:p>
      <w:pPr>
        <w:spacing w:after="0" w:line="1"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215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3,754,840 shares (the “Shares”) of Common Stock, $0.001 par value per share, of Blueprint Medicines Corporation, a Delaware corporation (the “Company”), that may be issued pursuant to the Company’s 2011 Stock Option and Grant Plan, 2015 Stock Option and Incentive Plan, and 2015 Employee Stock Purchase Plan (collectively, the “Plans”).</w:t>
      </w:r>
    </w:p>
    <w:p>
      <w:pPr>
        <w:spacing w:after="0" w:line="15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opinion set forth below is limited to the Delaware General Corporation Law (which includes reported judicial decisions interpreting the Delaware General Corporation Law).</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2011 Stock Option and Grant Plan, the 2015 Stock Option and Incentive Plan, and the 2015 Employee Stock Purchase Plan of Blueprint Medicines Corporation of our report dated February 19, 2015, except for Note 12B, as to which the date is April 20, 2015, with respect to the financial statements of Blueprint Medicines Corporation included in Amendment No. 2 to its Registration Statement (Form S-1 No. 333-202938) and related Prospectus, filed with the Securities and Exchange Commission.</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EMPLOYEE STOCK PURCHASE PLAN</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purpose of the Blueprint Medicines Corporation 2015 Employee Stock Purchase Plan (“the Plan”) is to provide eligible employees of Blueprint Medicines Corporation (the “Company”) and each Designated Subsidiary (as defined in Section 11) with opportunities to purchase shares of the Company’s common stock, par value $0.001 per share (the “Common Stock”). 243,347 shares of Common Stock in the aggregate have been approved and reserved for this purpose, plus on January 1, 2016 and each January 1 thereafter, the number of shares of Common Stock reserved and available for issuance under the Plan shall be cumulatively increased by 1% percent of the number of shares of Common Stock issued and outstanding on the immediately preceding December 31 or such lesser number of shares of Common Stock as determined by the Administrator (the “Annual Increase”). The Plan is intended to constitute an “employee stock purchase plan” within the meaning of Section 423(b) of the Internal Revenue Code of 1986, as amended (the “Code”), and shall be interpreted in accordance with that intent.</w:t>
      </w:r>
    </w:p>
    <w:p>
      <w:pPr>
        <w:spacing w:after="0" w:line="179" w:lineRule="exact"/>
        <w:rPr>
          <w:sz w:val="20"/>
          <w:szCs w:val="20"/>
          <w:color w:val="auto"/>
        </w:rPr>
      </w:pPr>
    </w:p>
    <w:p>
      <w:pPr>
        <w:ind w:right="40" w:firstLine="656"/>
        <w:spacing w:after="0" w:line="272" w:lineRule="auto"/>
        <w:tabs>
          <w:tab w:leader="none" w:pos="129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77" w:lineRule="exact"/>
        <w:rPr>
          <w:rFonts w:ascii="Arial" w:cs="Arial" w:eastAsia="Arial" w:hAnsi="Arial"/>
          <w:sz w:val="17"/>
          <w:szCs w:val="17"/>
          <w:color w:val="auto"/>
        </w:rPr>
      </w:pPr>
    </w:p>
    <w:p>
      <w:pPr>
        <w:jc w:val="both"/>
        <w:ind w:right="100" w:firstLine="656"/>
        <w:spacing w:after="0" w:line="260" w:lineRule="auto"/>
        <w:tabs>
          <w:tab w:leader="none" w:pos="129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The Company will make one or more offerings to eligible employees to purchase Common Stock under the Plan (“Offerings”). Unless otherwise determined by the Administrator, an Offering will begin on the first business day occurring on or after each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July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will end on the last business day occurring on or before the following June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respectively. The Administrator may, in its discretion, designate a different period for any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Offering shall exceed 12 months in duration or overlap any other Offering.</w:t>
      </w:r>
    </w:p>
    <w:p>
      <w:pPr>
        <w:spacing w:after="0" w:line="183" w:lineRule="exact"/>
        <w:rPr>
          <w:rFonts w:ascii="Arial" w:cs="Arial" w:eastAsia="Arial" w:hAnsi="Arial"/>
          <w:sz w:val="16"/>
          <w:szCs w:val="16"/>
          <w:color w:val="auto"/>
        </w:rPr>
      </w:pPr>
    </w:p>
    <w:p>
      <w:pPr>
        <w:ind w:right="100" w:firstLine="656"/>
        <w:spacing w:after="0" w:line="255"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All individuals classified as employees on the payroll records of the Company and each Designated Subsidiary are eligible to participate in any one or more of the Offerings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of the first day of the applicable Offering (the “Offering Date”) they are customarily employed by the Company or a Designated Subsidiary for more than 20 hours a week and have completed at least six months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7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1305"/>
        <w:spacing w:after="0" w:line="264" w:lineRule="auto"/>
        <w:tabs>
          <w:tab w:leader="none" w:pos="194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Participants in Offering</w:t>
      </w:r>
      <w:r>
        <w:rPr>
          <w:rFonts w:ascii="Arial" w:cs="Arial" w:eastAsia="Arial" w:hAnsi="Arial"/>
          <w:sz w:val="18"/>
          <w:szCs w:val="18"/>
          <w:color w:val="auto"/>
        </w:rPr>
        <w:t>. An eligible employee who is not a Participant on any Offering Date may participate in such Offering by submitting an enrollment form to his or her appropriate payroll location at least 15 business days before the Offering Date (or by such other deadline as shall be established by the Administrator for the Offering).</w:t>
      </w:r>
    </w:p>
    <w:p>
      <w:pPr>
        <w:spacing w:after="0" w:line="181" w:lineRule="exact"/>
        <w:rPr>
          <w:rFonts w:ascii="Arial" w:cs="Arial" w:eastAsia="Arial" w:hAnsi="Arial"/>
          <w:sz w:val="18"/>
          <w:szCs w:val="18"/>
          <w:color w:val="auto"/>
        </w:rPr>
      </w:pPr>
    </w:p>
    <w:p>
      <w:pPr>
        <w:ind w:right="40" w:firstLine="1305"/>
        <w:spacing w:after="0" w:line="255" w:lineRule="auto"/>
        <w:tabs>
          <w:tab w:leader="none" w:pos="195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Enrollment</w:t>
      </w:r>
      <w:r>
        <w:rPr>
          <w:rFonts w:ascii="Arial" w:cs="Arial" w:eastAsia="Arial" w:hAnsi="Arial"/>
          <w:sz w:val="18"/>
          <w:szCs w:val="18"/>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the foregoing, participation in the Plan will neither be permitted nor be denied contrary to the requirements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right="40" w:firstLine="656"/>
        <w:spacing w:after="0" w:line="264"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Employee Contributions</w:t>
      </w:r>
      <w:r>
        <w:rPr>
          <w:rFonts w:ascii="Arial" w:cs="Arial" w:eastAsia="Arial" w:hAnsi="Arial"/>
          <w:sz w:val="18"/>
          <w:szCs w:val="18"/>
          <w:color w:val="auto"/>
        </w:rPr>
        <w:t>. Each eligible employee may authorize payroll deductions at a minimum of one percent (1%) up to a maximum of ten percent (10%) of such employee’s Compensation for each pay period. The Company will maintain book accounts showing the amount of payroll deductions made by each Participant for each Offering. No interest will accrue or be paid on payroll deductions.</w:t>
      </w:r>
    </w:p>
    <w:p>
      <w:pPr>
        <w:spacing w:after="0" w:line="181" w:lineRule="exact"/>
        <w:rPr>
          <w:rFonts w:ascii="Arial" w:cs="Arial" w:eastAsia="Arial" w:hAnsi="Arial"/>
          <w:sz w:val="18"/>
          <w:szCs w:val="18"/>
          <w:color w:val="auto"/>
        </w:rPr>
      </w:pPr>
    </w:p>
    <w:p>
      <w:pPr>
        <w:ind w:right="80" w:firstLine="656"/>
        <w:spacing w:after="0" w:line="257"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Deduction Changes</w:t>
      </w:r>
      <w:r>
        <w:rPr>
          <w:rFonts w:ascii="Arial" w:cs="Arial" w:eastAsia="Arial" w:hAnsi="Arial"/>
          <w:sz w:val="18"/>
          <w:szCs w:val="18"/>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7" w:name="page8"/>
    <w:bookmarkEnd w:id="7"/>
    <w:p>
      <w:pPr>
        <w:spacing w:after="0" w:line="79" w:lineRule="exact"/>
        <w:rPr>
          <w:sz w:val="20"/>
          <w:szCs w:val="20"/>
          <w:color w:val="auto"/>
        </w:rPr>
      </w:pPr>
    </w:p>
    <w:p>
      <w:pPr>
        <w:ind w:right="180" w:firstLine="656"/>
        <w:spacing w:after="0" w:line="25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88" w:lineRule="exact"/>
        <w:rPr>
          <w:rFonts w:ascii="Arial" w:cs="Arial" w:eastAsia="Arial" w:hAnsi="Arial"/>
          <w:sz w:val="18"/>
          <w:szCs w:val="18"/>
          <w:color w:val="auto"/>
        </w:rPr>
      </w:pPr>
    </w:p>
    <w:p>
      <w:pPr>
        <w:jc w:val="both"/>
        <w:ind w:right="80" w:firstLine="656"/>
        <w:spacing w:after="0" w:line="288" w:lineRule="auto"/>
        <w:tabs>
          <w:tab w:leader="none" w:pos="1296"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(as defined herein) for, the lowest of (a) a number of shares of Common Stock determined by dividing such Participant’s accumulated payroll deductions on such Exercise Date by the Option Price (as defined herein),</w:t>
      </w:r>
    </w:p>
    <w:p>
      <w:pPr>
        <w:ind w:firstLine="8"/>
        <w:spacing w:after="0" w:line="295"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2,500 shares; or (c) such other lesser maximum number of shares as shall have been established by the Administrator in advance of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eighty-five percent (85%) of the Fair Market Value of the Common Stock on the Offering Date or the Exercise Date, whichever is less.</w:t>
      </w:r>
    </w:p>
    <w:p>
      <w:pPr>
        <w:spacing w:after="0" w:line="16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66" w:lineRule="exact"/>
        <w:rPr>
          <w:sz w:val="20"/>
          <w:szCs w:val="20"/>
          <w:color w:val="auto"/>
        </w:rPr>
      </w:pPr>
    </w:p>
    <w:p>
      <w:pPr>
        <w:ind w:right="80" w:firstLine="656"/>
        <w:spacing w:after="0" w:line="255"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4" w:lineRule="auto"/>
        <w:tabs>
          <w:tab w:leader="none" w:pos="129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The term “Fair Market Value of the Common Stock” on any given date means the fair market value of the Common Stock determined in good faith by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Common Stock is admitted to quotation on the NASDAQ Capital Market, the NASDAQ Global Market, the NASDAQ Global Select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5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term “Initial Public Offering” means the consummation of the first underwritten firm commitment public offering pursuant to an effective registration statement under the Securities Act of 1933, as amended, covering the offer and sale by the Company of its Common Stock.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 “Participant” means an individual who is eligible as determined in Section 3 and who has complied with the provisions of Section 4.</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225" w:lineRule="exact"/>
        <w:rPr>
          <w:sz w:val="20"/>
          <w:szCs w:val="20"/>
          <w:color w:val="auto"/>
        </w:rPr>
      </w:pPr>
    </w:p>
    <w:p>
      <w:pPr>
        <w:ind w:right="100" w:firstLine="656"/>
        <w:spacing w:after="0" w:line="273" w:lineRule="auto"/>
        <w:tabs>
          <w:tab w:leader="none" w:pos="129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Rights on Termination of Employment</w:t>
      </w:r>
      <w:r>
        <w:rPr>
          <w:rFonts w:ascii="Arial" w:cs="Arial" w:eastAsia="Arial" w:hAnsi="Arial"/>
          <w:sz w:val="17"/>
          <w:szCs w:val="17"/>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ectPr>
          <w:pgSz w:w="11900" w:h="16918" w:orient="portrait"/>
          <w:cols w:equalWidth="0" w:num="1">
            <w:col w:w="11420"/>
          </w:cols>
          <w:pgMar w:left="240" w:top="125" w:right="239" w:bottom="0" w:gutter="0" w:footer="0" w:header="0"/>
        </w:sectPr>
      </w:pPr>
    </w:p>
    <w:bookmarkStart w:id="8" w:name="page9"/>
    <w:bookmarkEnd w:id="8"/>
    <w:p>
      <w:pPr>
        <w:ind w:right="80" w:firstLine="656"/>
        <w:spacing w:after="0" w:line="288" w:lineRule="auto"/>
        <w:tabs>
          <w:tab w:leader="none" w:pos="12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w:t>
      </w: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Any special rules established pursuant to this Section 13 shall, to the extent possible, result in the employees subject to such rules having substantially the same rights as other Participants in the Plan.</w:t>
      </w:r>
    </w:p>
    <w:p>
      <w:pPr>
        <w:spacing w:after="0" w:line="183" w:lineRule="exact"/>
        <w:rPr>
          <w:rFonts w:ascii="Arial" w:cs="Arial" w:eastAsia="Arial" w:hAnsi="Arial"/>
          <w:sz w:val="16"/>
          <w:szCs w:val="16"/>
          <w:color w:val="auto"/>
        </w:rPr>
      </w:pPr>
    </w:p>
    <w:p>
      <w:pPr>
        <w:jc w:val="both"/>
        <w:ind w:right="120" w:firstLine="656"/>
        <w:spacing w:after="0" w:line="342" w:lineRule="auto"/>
        <w:tabs>
          <w:tab w:leader="none" w:pos="12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23" w:lineRule="exact"/>
        <w:rPr>
          <w:rFonts w:ascii="Arial" w:cs="Arial" w:eastAsia="Arial" w:hAnsi="Arial"/>
          <w:sz w:val="16"/>
          <w:szCs w:val="16"/>
          <w:color w:val="auto"/>
        </w:rPr>
      </w:pPr>
    </w:p>
    <w:p>
      <w:pPr>
        <w:ind w:right="840" w:firstLine="656"/>
        <w:spacing w:after="0" w:line="277"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70" w:lineRule="exact"/>
        <w:rPr>
          <w:rFonts w:ascii="Arial" w:cs="Arial" w:eastAsia="Arial" w:hAnsi="Arial"/>
          <w:sz w:val="18"/>
          <w:szCs w:val="18"/>
          <w:color w:val="auto"/>
        </w:rPr>
      </w:pPr>
    </w:p>
    <w:p>
      <w:pPr>
        <w:ind w:right="100" w:firstLine="656"/>
        <w:spacing w:after="0" w:line="277"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70" w:lineRule="exact"/>
        <w:rPr>
          <w:rFonts w:ascii="Arial" w:cs="Arial" w:eastAsia="Arial" w:hAnsi="Arial"/>
          <w:sz w:val="18"/>
          <w:szCs w:val="18"/>
          <w:color w:val="auto"/>
        </w:rPr>
      </w:pPr>
    </w:p>
    <w:p>
      <w:pPr>
        <w:ind w:right="500" w:firstLine="656"/>
        <w:spacing w:after="0" w:line="286" w:lineRule="auto"/>
        <w:tabs>
          <w:tab w:leader="none" w:pos="129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Adjustment in Case of Changes Affecting Common Stock</w:t>
      </w:r>
      <w:r>
        <w:rPr>
          <w:rFonts w:ascii="Arial" w:cs="Arial" w:eastAsia="Arial" w:hAnsi="Arial"/>
          <w:sz w:val="17"/>
          <w:szCs w:val="17"/>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65" w:lineRule="exact"/>
        <w:rPr>
          <w:rFonts w:ascii="Arial" w:cs="Arial" w:eastAsia="Arial" w:hAnsi="Arial"/>
          <w:sz w:val="17"/>
          <w:szCs w:val="17"/>
          <w:color w:val="auto"/>
        </w:rPr>
      </w:pPr>
    </w:p>
    <w:p>
      <w:pPr>
        <w:ind w:right="80" w:firstLine="656"/>
        <w:spacing w:after="0" w:line="259"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86" w:lineRule="exact"/>
        <w:rPr>
          <w:rFonts w:ascii="Arial" w:cs="Arial" w:eastAsia="Arial" w:hAnsi="Arial"/>
          <w:sz w:val="18"/>
          <w:szCs w:val="18"/>
          <w:color w:val="auto"/>
        </w:rPr>
      </w:pPr>
    </w:p>
    <w:p>
      <w:pPr>
        <w:ind w:right="360" w:firstLine="656"/>
        <w:spacing w:after="0" w:line="259"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77"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170" w:lineRule="exact"/>
        <w:rPr>
          <w:rFonts w:ascii="Arial" w:cs="Arial" w:eastAsia="Arial" w:hAnsi="Arial"/>
          <w:sz w:val="18"/>
          <w:szCs w:val="18"/>
          <w:color w:val="auto"/>
        </w:rPr>
      </w:pPr>
    </w:p>
    <w:p>
      <w:pPr>
        <w:ind w:right="700" w:firstLine="656"/>
        <w:spacing w:after="0" w:line="277"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70" w:lineRule="exact"/>
        <w:rPr>
          <w:rFonts w:ascii="Arial" w:cs="Arial" w:eastAsia="Arial" w:hAnsi="Arial"/>
          <w:sz w:val="18"/>
          <w:szCs w:val="18"/>
          <w:color w:val="auto"/>
        </w:rPr>
      </w:pPr>
    </w:p>
    <w:p>
      <w:pPr>
        <w:ind w:firstLine="656"/>
        <w:spacing w:after="0" w:line="277"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all Options and actions taken thereunder shall be governed by, and construed in accordance with, the laws of the State of Delaware, applied without regard to conflict of law principles.</w:t>
      </w:r>
    </w:p>
    <w:p>
      <w:pPr>
        <w:spacing w:after="0" w:line="170" w:lineRule="exact"/>
        <w:rPr>
          <w:rFonts w:ascii="Arial" w:cs="Arial" w:eastAsia="Arial" w:hAnsi="Arial"/>
          <w:sz w:val="18"/>
          <w:szCs w:val="18"/>
          <w:color w:val="auto"/>
        </w:rPr>
      </w:pPr>
    </w:p>
    <w:p>
      <w:pPr>
        <w:ind w:right="40" w:firstLine="656"/>
        <w:spacing w:after="0" w:line="277"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170" w:lineRule="exact"/>
        <w:rPr>
          <w:rFonts w:ascii="Arial" w:cs="Arial" w:eastAsia="Arial" w:hAnsi="Arial"/>
          <w:sz w:val="18"/>
          <w:szCs w:val="18"/>
          <w:color w:val="auto"/>
        </w:rPr>
      </w:pPr>
    </w:p>
    <w:p>
      <w:pPr>
        <w:ind w:right="160" w:firstLine="656"/>
        <w:spacing w:after="0" w:line="264"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81" w:lineRule="exact"/>
        <w:rPr>
          <w:rFonts w:ascii="Arial" w:cs="Arial" w:eastAsia="Arial" w:hAnsi="Arial"/>
          <w:sz w:val="18"/>
          <w:szCs w:val="18"/>
          <w:color w:val="auto"/>
        </w:rPr>
      </w:pPr>
    </w:p>
    <w:p>
      <w:pPr>
        <w:ind w:right="200" w:firstLine="656"/>
        <w:spacing w:after="0" w:line="264"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w:t>
      </w:r>
    </w:p>
    <w:p>
      <w:pPr>
        <w:spacing w:after="0" w:line="181" w:lineRule="exact"/>
        <w:rPr>
          <w:rFonts w:ascii="Arial" w:cs="Arial" w:eastAsia="Arial" w:hAnsi="Arial"/>
          <w:sz w:val="18"/>
          <w:szCs w:val="18"/>
          <w:color w:val="auto"/>
        </w:rPr>
      </w:pPr>
    </w:p>
    <w:p>
      <w:pPr>
        <w:jc w:val="both"/>
        <w:ind w:right="300" w:firstLine="656"/>
        <w:spacing w:after="0" w:line="342" w:lineRule="auto"/>
        <w:tabs>
          <w:tab w:leader="none" w:pos="129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Effective Date and Approval of Shareholders</w:t>
      </w:r>
      <w:r>
        <w:rPr>
          <w:rFonts w:ascii="Arial" w:cs="Arial" w:eastAsia="Arial" w:hAnsi="Arial"/>
          <w:sz w:val="16"/>
          <w:szCs w:val="16"/>
          <w:color w:val="auto"/>
        </w:rPr>
        <w:t>. The Plan shall take effect on the date of the Company’s Initial Public Offering, subject to approval by the holders of a majority of the votes cast at a meeting of stockholders at which a quorum is present or by written consent of the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March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April 6,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1190CDE7"/>
    <w:multiLevelType w:val="hybridMultilevel"/>
    <w:lvl w:ilvl="0">
      <w:lvlJc w:val="left"/>
      <w:lvlText w:val="(%1)"/>
      <w:numFmt w:val="lowerRoman"/>
      <w:start w:val="3"/>
    </w:lvl>
  </w:abstractNum>
  <w:abstractNum w:abstractNumId="5">
    <w:nsid w:val="66EF438D"/>
    <w:multiLevelType w:val="hybridMultilevel"/>
    <w:lvl w:ilvl="0">
      <w:lvlJc w:val="left"/>
      <w:lvlText w:val="%1"/>
      <w:numFmt w:val="lowerLetter"/>
      <w:start w:val="1"/>
    </w:lvl>
    <w:lvl w:ilvl="1">
      <w:lvlJc w:val="left"/>
      <w:lvlText w:val="(%2)"/>
      <w:numFmt w:val="decimal"/>
      <w:start w:val="2"/>
    </w:lvl>
  </w:abstractNum>
  <w:abstractNum w:abstractNumId="6">
    <w:nsid w:val="140E0F76"/>
    <w:multiLevelType w:val="hybridMultilevel"/>
    <w:lvl w:ilvl="0">
      <w:lvlJc w:val="left"/>
      <w:lvlText w:val="(%1)"/>
      <w:numFmt w:val="lowerLetter"/>
      <w:start w:val="2"/>
    </w:lvl>
    <w:lvl w:ilvl="1">
      <w:lvlJc w:val="left"/>
      <w:lvlText w:val="%2"/>
      <w:numFmt w:val="decimal"/>
      <w:start w:val="1"/>
    </w:lvl>
  </w:abstractNum>
  <w:abstractNum w:abstractNumId="7">
    <w:nsid w:val="3352255A"/>
    <w:multiLevelType w:val="hybridMultilevel"/>
    <w:lvl w:ilvl="0">
      <w:lvlJc w:val="left"/>
      <w:lvlText w:val="(%1)"/>
      <w:numFmt w:val="lowerLetter"/>
      <w:start w:val="8"/>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lvl w:ilvl="1">
      <w:lvlJc w:val="left"/>
      <w:lvlText w:val="(%2)"/>
      <w:numFmt w:val="lowerLetter"/>
      <w:start w:val="1"/>
    </w:lvl>
  </w:abstractNum>
  <w:abstractNum w:abstractNumId="11">
    <w:nsid w:val="1BEFD79F"/>
    <w:multiLevelType w:val="hybridMultilevel"/>
    <w:lvl w:ilvl="0">
      <w:lvlJc w:val="left"/>
      <w:lvlText w:val="%1"/>
      <w:numFmt w:val="lowerLetter"/>
      <w:start w:val="1"/>
    </w:lvl>
    <w:lvl w:ilvl="1">
      <w:lvlJc w:val="left"/>
      <w:lvlText w:val="%2."/>
      <w:numFmt w:val="decimal"/>
      <w:start w:val="7"/>
    </w:lvl>
  </w:abstractNum>
  <w:abstractNum w:abstractNumId="12">
    <w:nsid w:val="41A7C4C9"/>
    <w:multiLevelType w:val="hybridMultilevel"/>
    <w:lvl w:ilvl="0">
      <w:lvlJc w:val="left"/>
      <w:lvlText w:val="(%1)"/>
      <w:numFmt w:val="lowerLetter"/>
      <w:start w:val="2"/>
    </w:lvl>
    <w:lvl w:ilvl="1">
      <w:lvlJc w:val="left"/>
      <w:lvlText w:val="%2"/>
      <w:numFmt w:val="decimal"/>
      <w:start w:val="1"/>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2"/>
    </w:lvl>
  </w:abstractNum>
  <w:abstractNum w:abstractNumId="16">
    <w:nsid w:val="519B500D"/>
    <w:multiLevelType w:val="hybridMultilevel"/>
    <w:lvl w:ilvl="0">
      <w:lvlJc w:val="left"/>
      <w:lvlText w:val="%1."/>
      <w:numFmt w:val="decimal"/>
      <w:start w:val="13"/>
    </w:lvl>
  </w:abstractNum>
  <w:abstractNum w:abstractNumId="17">
    <w:nsid w:val="431BD7B7"/>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2019-12-09T05:06:33Z</dcterms:created>
  <dcterms:modified xsi:type="dcterms:W3CDTF">2019-12-09T05:06:33Z</dcterms:modified>
</cp:coreProperties>
</file>