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6"/>
          <w:szCs w:val="16"/>
          <w:b w:val="1"/>
          <w:bCs w:val="1"/>
          <w:color w:val="auto"/>
        </w:rPr>
        <w:t>As filed with the Securities and Exchange Commission on March 11, 2016</w:t>
      </w:r>
    </w:p>
    <w:p>
      <w:pPr>
        <w:spacing w:after="0" w:line="26" w:lineRule="exact"/>
        <w:rPr>
          <w:sz w:val="24"/>
          <w:szCs w:val="24"/>
          <w:color w:val="auto"/>
        </w:rPr>
      </w:pPr>
    </w:p>
    <w:p>
      <w:pPr>
        <w:ind w:left="8620"/>
        <w:spacing w:after="0"/>
        <w:rPr>
          <w:sz w:val="20"/>
          <w:szCs w:val="20"/>
          <w:color w:val="auto"/>
        </w:rPr>
      </w:pPr>
      <w:r>
        <w:rPr>
          <w:rFonts w:ascii="Arial" w:cs="Arial" w:eastAsia="Arial" w:hAnsi="Arial"/>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661225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pacing w:after="0" w:line="31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2483485</wp:posOffset>
            </wp:positionH>
            <wp:positionV relativeFrom="paragraph">
              <wp:posOffset>90805</wp:posOffset>
            </wp:positionV>
            <wp:extent cx="16554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21" w:lineRule="exact"/>
        <w:rPr>
          <w:sz w:val="24"/>
          <w:szCs w:val="24"/>
          <w:color w:val="auto"/>
        </w:rPr>
      </w:pPr>
    </w:p>
    <w:tbl>
      <w:tblPr>
        <w:tblLayout w:type="fixed"/>
        <w:tblInd w:w="1420" w:type="dxa"/>
        <w:tblCellMar>
          <w:top w:w="0" w:type="dxa"/>
          <w:left w:w="0" w:type="dxa"/>
          <w:bottom w:w="0" w:type="dxa"/>
          <w:right w:w="0" w:type="dxa"/>
        </w:tblCellMar>
      </w:tblPr>
      <w:tr>
        <w:trPr>
          <w:trHeight w:val="297"/>
        </w:trPr>
        <w:tc>
          <w:tcPr>
            <w:tcW w:w="2500" w:type="dxa"/>
            <w:vAlign w:val="bottom"/>
          </w:tcPr>
          <w:p>
            <w:pPr>
              <w:spacing w:after="0"/>
              <w:rPr>
                <w:sz w:val="24"/>
                <w:szCs w:val="24"/>
                <w:color w:val="auto"/>
              </w:rPr>
            </w:pPr>
          </w:p>
        </w:tc>
        <w:tc>
          <w:tcPr>
            <w:tcW w:w="3260" w:type="dxa"/>
            <w:vAlign w:val="bottom"/>
            <w:gridSpan w:val="2"/>
          </w:tcPr>
          <w:p>
            <w:pPr>
              <w:jc w:val="center"/>
              <w:ind w:right="680"/>
              <w:spacing w:after="0"/>
              <w:rPr>
                <w:sz w:val="20"/>
                <w:szCs w:val="20"/>
                <w:color w:val="auto"/>
              </w:rPr>
            </w:pPr>
            <w:r>
              <w:rPr>
                <w:rFonts w:ascii="Arial" w:cs="Arial" w:eastAsia="Arial" w:hAnsi="Arial"/>
                <w:sz w:val="25"/>
                <w:szCs w:val="25"/>
                <w:b w:val="1"/>
                <w:bCs w:val="1"/>
                <w:color w:val="auto"/>
                <w:w w:val="98"/>
              </w:rPr>
              <w:t>FORM S-8</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5760" w:type="dxa"/>
            <w:vAlign w:val="bottom"/>
            <w:gridSpan w:val="3"/>
          </w:tcPr>
          <w:p>
            <w:pPr>
              <w:jc w:val="center"/>
              <w:ind w:left="1740"/>
              <w:spacing w:after="0"/>
              <w:rPr>
                <w:sz w:val="20"/>
                <w:szCs w:val="20"/>
                <w:color w:val="auto"/>
              </w:rPr>
            </w:pPr>
            <w:r>
              <w:rPr>
                <w:rFonts w:ascii="Arial" w:cs="Arial" w:eastAsia="Arial" w:hAnsi="Arial"/>
                <w:sz w:val="25"/>
                <w:szCs w:val="25"/>
                <w:b w:val="1"/>
                <w:bCs w:val="1"/>
                <w:color w:val="auto"/>
              </w:rPr>
              <w:t>REGISTRATION STATEMENT</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3260" w:type="dxa"/>
            <w:vAlign w:val="bottom"/>
            <w:gridSpan w:val="2"/>
          </w:tcPr>
          <w:p>
            <w:pPr>
              <w:jc w:val="center"/>
              <w:ind w:right="660"/>
              <w:spacing w:after="0"/>
              <w:rPr>
                <w:sz w:val="20"/>
                <w:szCs w:val="20"/>
                <w:color w:val="auto"/>
              </w:rPr>
            </w:pPr>
            <w:r>
              <w:rPr>
                <w:rFonts w:ascii="Arial" w:cs="Arial" w:eastAsia="Arial" w:hAnsi="Arial"/>
                <w:sz w:val="18"/>
                <w:szCs w:val="18"/>
                <w:b w:val="1"/>
                <w:bCs w:val="1"/>
                <w:i w:val="1"/>
                <w:iCs w:val="1"/>
                <w:color w:val="auto"/>
                <w:w w:val="99"/>
              </w:rPr>
              <w:t>UNDER THE</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00" w:type="dxa"/>
            <w:vAlign w:val="bottom"/>
          </w:tcPr>
          <w:p>
            <w:pPr>
              <w:spacing w:after="0"/>
              <w:rPr>
                <w:sz w:val="20"/>
                <w:szCs w:val="20"/>
                <w:color w:val="auto"/>
              </w:rPr>
            </w:pPr>
          </w:p>
        </w:tc>
        <w:tc>
          <w:tcPr>
            <w:tcW w:w="3260" w:type="dxa"/>
            <w:vAlign w:val="bottom"/>
            <w:gridSpan w:val="2"/>
          </w:tcPr>
          <w:p>
            <w:pPr>
              <w:jc w:val="center"/>
              <w:ind w:right="660"/>
              <w:spacing w:after="0"/>
              <w:rPr>
                <w:sz w:val="20"/>
                <w:szCs w:val="20"/>
                <w:color w:val="auto"/>
              </w:rPr>
            </w:pPr>
            <w:r>
              <w:rPr>
                <w:rFonts w:ascii="Arial" w:cs="Arial" w:eastAsia="Arial" w:hAnsi="Arial"/>
                <w:sz w:val="18"/>
                <w:szCs w:val="18"/>
                <w:b w:val="1"/>
                <w:bCs w:val="1"/>
                <w:i w:val="1"/>
                <w:iCs w:val="1"/>
                <w:color w:val="auto"/>
                <w:w w:val="95"/>
              </w:rPr>
              <w:t>SECURITIES ACT OF 1933</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2600" w:type="dxa"/>
            <w:vAlign w:val="bottom"/>
            <w:tcBorders>
              <w:bottom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0"/>
        </w:trPr>
        <w:tc>
          <w:tcPr>
            <w:tcW w:w="5760" w:type="dxa"/>
            <w:vAlign w:val="bottom"/>
            <w:gridSpan w:val="3"/>
          </w:tcPr>
          <w:p>
            <w:pPr>
              <w:jc w:val="center"/>
              <w:ind w:left="1760"/>
              <w:spacing w:after="0"/>
              <w:rPr>
                <w:sz w:val="20"/>
                <w:szCs w:val="20"/>
                <w:color w:val="auto"/>
              </w:rPr>
            </w:pPr>
            <w:r>
              <w:rPr>
                <w:rFonts w:ascii="Arial" w:cs="Arial" w:eastAsia="Arial" w:hAnsi="Arial"/>
                <w:sz w:val="25"/>
                <w:szCs w:val="25"/>
                <w:b w:val="1"/>
                <w:bCs w:val="1"/>
                <w:color w:val="auto"/>
                <w:w w:val="92"/>
              </w:rPr>
              <w:t>Blueprint Medicines Corporation</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760" w:type="dxa"/>
            <w:vAlign w:val="bottom"/>
            <w:gridSpan w:val="3"/>
          </w:tcPr>
          <w:p>
            <w:pPr>
              <w:jc w:val="center"/>
              <w:ind w:left="1740"/>
              <w:spacing w:after="0"/>
              <w:rPr>
                <w:sz w:val="20"/>
                <w:szCs w:val="20"/>
                <w:color w:val="auto"/>
              </w:rPr>
            </w:pPr>
            <w:r>
              <w:rPr>
                <w:rFonts w:ascii="Arial" w:cs="Arial" w:eastAsia="Arial" w:hAnsi="Arial"/>
                <w:sz w:val="14"/>
                <w:szCs w:val="14"/>
                <w:color w:val="auto"/>
                <w:w w:val="93"/>
              </w:rPr>
              <w:t>(Exact name of registrant as specified in its charter)</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500" w:type="dxa"/>
            <w:vAlign w:val="bottom"/>
          </w:tcPr>
          <w:p>
            <w:pPr>
              <w:spacing w:after="0"/>
              <w:rPr>
                <w:sz w:val="11"/>
                <w:szCs w:val="11"/>
                <w:color w:val="auto"/>
              </w:rPr>
            </w:pPr>
          </w:p>
        </w:tc>
        <w:tc>
          <w:tcPr>
            <w:tcW w:w="260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5"/>
        </w:trPr>
        <w:tc>
          <w:tcPr>
            <w:tcW w:w="5760" w:type="dxa"/>
            <w:vAlign w:val="bottom"/>
            <w:gridSpan w:val="3"/>
          </w:tcPr>
          <w:p>
            <w:pPr>
              <w:jc w:val="center"/>
              <w:ind w:right="3460"/>
              <w:spacing w:after="0"/>
              <w:rPr>
                <w:sz w:val="20"/>
                <w:szCs w:val="20"/>
                <w:color w:val="auto"/>
              </w:rPr>
            </w:pPr>
            <w:r>
              <w:rPr>
                <w:rFonts w:ascii="Arial" w:cs="Arial" w:eastAsia="Arial" w:hAnsi="Arial"/>
                <w:sz w:val="14"/>
                <w:szCs w:val="14"/>
                <w:b w:val="1"/>
                <w:bCs w:val="1"/>
                <w:color w:val="auto"/>
                <w:w w:val="94"/>
              </w:rPr>
              <w:t>Delaware</w:t>
            </w:r>
          </w:p>
        </w:tc>
        <w:tc>
          <w:tcPr>
            <w:tcW w:w="1220" w:type="dxa"/>
            <w:vAlign w:val="bottom"/>
          </w:tcPr>
          <w:p>
            <w:pPr>
              <w:jc w:val="right"/>
              <w:ind w:right="108"/>
              <w:spacing w:after="0"/>
              <w:rPr>
                <w:sz w:val="20"/>
                <w:szCs w:val="20"/>
                <w:color w:val="auto"/>
              </w:rPr>
            </w:pPr>
            <w:r>
              <w:rPr>
                <w:rFonts w:ascii="Arial" w:cs="Arial" w:eastAsia="Arial" w:hAnsi="Arial"/>
                <w:sz w:val="14"/>
                <w:szCs w:val="14"/>
                <w:b w:val="1"/>
                <w:bCs w:val="1"/>
                <w:color w:val="auto"/>
              </w:rPr>
              <w:t>26-3632015</w:t>
            </w:r>
          </w:p>
        </w:tc>
        <w:tc>
          <w:tcPr>
            <w:tcW w:w="0" w:type="dxa"/>
            <w:vAlign w:val="bottom"/>
          </w:tcPr>
          <w:p>
            <w:pPr>
              <w:spacing w:after="0"/>
              <w:rPr>
                <w:sz w:val="1"/>
                <w:szCs w:val="1"/>
                <w:color w:val="auto"/>
              </w:rPr>
            </w:pPr>
          </w:p>
        </w:tc>
      </w:tr>
      <w:tr>
        <w:trPr>
          <w:trHeight w:val="149"/>
        </w:trPr>
        <w:tc>
          <w:tcPr>
            <w:tcW w:w="5760" w:type="dxa"/>
            <w:vAlign w:val="bottom"/>
            <w:gridSpan w:val="3"/>
          </w:tcPr>
          <w:p>
            <w:pPr>
              <w:jc w:val="center"/>
              <w:ind w:right="3480"/>
              <w:spacing w:after="0" w:line="149" w:lineRule="exact"/>
              <w:rPr>
                <w:sz w:val="20"/>
                <w:szCs w:val="20"/>
                <w:color w:val="auto"/>
              </w:rPr>
            </w:pPr>
            <w:r>
              <w:rPr>
                <w:rFonts w:ascii="Arial" w:cs="Arial" w:eastAsia="Arial" w:hAnsi="Arial"/>
                <w:sz w:val="14"/>
                <w:szCs w:val="14"/>
                <w:color w:val="auto"/>
                <w:w w:val="95"/>
              </w:rPr>
              <w:t>(State or other jurisdiction</w:t>
            </w:r>
          </w:p>
        </w:tc>
        <w:tc>
          <w:tcPr>
            <w:tcW w:w="1220" w:type="dxa"/>
            <w:vAlign w:val="bottom"/>
          </w:tcPr>
          <w:p>
            <w:pPr>
              <w:jc w:val="center"/>
              <w:ind w:left="88"/>
              <w:spacing w:after="0" w:line="149" w:lineRule="exact"/>
              <w:rPr>
                <w:sz w:val="20"/>
                <w:szCs w:val="20"/>
                <w:color w:val="auto"/>
              </w:rPr>
            </w:pPr>
            <w:r>
              <w:rPr>
                <w:rFonts w:ascii="Arial" w:cs="Arial" w:eastAsia="Arial" w:hAnsi="Arial"/>
                <w:sz w:val="14"/>
                <w:szCs w:val="14"/>
                <w:color w:val="auto"/>
                <w:w w:val="95"/>
              </w:rPr>
              <w:t>(I.R.S. Employer</w:t>
            </w:r>
          </w:p>
        </w:tc>
        <w:tc>
          <w:tcPr>
            <w:tcW w:w="0" w:type="dxa"/>
            <w:vAlign w:val="bottom"/>
          </w:tcPr>
          <w:p>
            <w:pPr>
              <w:spacing w:after="0"/>
              <w:rPr>
                <w:sz w:val="1"/>
                <w:szCs w:val="1"/>
                <w:color w:val="auto"/>
              </w:rPr>
            </w:pPr>
          </w:p>
        </w:tc>
      </w:tr>
      <w:tr>
        <w:trPr>
          <w:trHeight w:val="182"/>
        </w:trPr>
        <w:tc>
          <w:tcPr>
            <w:tcW w:w="5760" w:type="dxa"/>
            <w:vAlign w:val="bottom"/>
            <w:gridSpan w:val="3"/>
          </w:tcPr>
          <w:p>
            <w:pPr>
              <w:jc w:val="center"/>
              <w:ind w:right="3460"/>
              <w:spacing w:after="0"/>
              <w:rPr>
                <w:sz w:val="20"/>
                <w:szCs w:val="20"/>
                <w:color w:val="auto"/>
              </w:rPr>
            </w:pPr>
            <w:r>
              <w:rPr>
                <w:rFonts w:ascii="Arial" w:cs="Arial" w:eastAsia="Arial" w:hAnsi="Arial"/>
                <w:sz w:val="14"/>
                <w:szCs w:val="14"/>
                <w:color w:val="auto"/>
                <w:w w:val="96"/>
              </w:rPr>
              <w:t>of incorporation)</w:t>
            </w:r>
          </w:p>
        </w:tc>
        <w:tc>
          <w:tcPr>
            <w:tcW w:w="1220" w:type="dxa"/>
            <w:vAlign w:val="bottom"/>
          </w:tcPr>
          <w:p>
            <w:pPr>
              <w:jc w:val="center"/>
              <w:ind w:left="68"/>
              <w:spacing w:after="0"/>
              <w:rPr>
                <w:sz w:val="20"/>
                <w:szCs w:val="20"/>
                <w:color w:val="auto"/>
              </w:rPr>
            </w:pPr>
            <w:r>
              <w:rPr>
                <w:rFonts w:ascii="Arial" w:cs="Arial" w:eastAsia="Arial" w:hAnsi="Arial"/>
                <w:sz w:val="14"/>
                <w:szCs w:val="14"/>
                <w:color w:val="auto"/>
                <w:w w:val="99"/>
              </w:rPr>
              <w:t>Identification No.)</w:t>
            </w:r>
          </w:p>
        </w:tc>
        <w:tc>
          <w:tcPr>
            <w:tcW w:w="0" w:type="dxa"/>
            <w:vAlign w:val="bottom"/>
          </w:tcPr>
          <w:p>
            <w:pPr>
              <w:spacing w:after="0"/>
              <w:rPr>
                <w:sz w:val="1"/>
                <w:szCs w:val="1"/>
                <w:color w:val="auto"/>
              </w:rPr>
            </w:pPr>
          </w:p>
        </w:tc>
      </w:tr>
      <w:tr>
        <w:trPr>
          <w:trHeight w:val="327"/>
        </w:trPr>
        <w:tc>
          <w:tcPr>
            <w:tcW w:w="5760" w:type="dxa"/>
            <w:vAlign w:val="bottom"/>
            <w:gridSpan w:val="3"/>
          </w:tcPr>
          <w:p>
            <w:pPr>
              <w:jc w:val="center"/>
              <w:ind w:right="3480"/>
              <w:spacing w:after="0"/>
              <w:rPr>
                <w:sz w:val="20"/>
                <w:szCs w:val="20"/>
                <w:color w:val="auto"/>
              </w:rPr>
            </w:pPr>
            <w:r>
              <w:rPr>
                <w:rFonts w:ascii="Arial" w:cs="Arial" w:eastAsia="Arial" w:hAnsi="Arial"/>
                <w:sz w:val="14"/>
                <w:szCs w:val="14"/>
                <w:b w:val="1"/>
                <w:bCs w:val="1"/>
                <w:color w:val="auto"/>
                <w:w w:val="92"/>
              </w:rPr>
              <w:t>38 Sidney Street, Suite 200</w:t>
            </w:r>
          </w:p>
        </w:tc>
        <w:tc>
          <w:tcPr>
            <w:tcW w:w="122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02139</w:t>
            </w:r>
          </w:p>
        </w:tc>
        <w:tc>
          <w:tcPr>
            <w:tcW w:w="0" w:type="dxa"/>
            <w:vAlign w:val="bottom"/>
          </w:tcPr>
          <w:p>
            <w:pPr>
              <w:spacing w:after="0"/>
              <w:rPr>
                <w:sz w:val="1"/>
                <w:szCs w:val="1"/>
                <w:color w:val="auto"/>
              </w:rPr>
            </w:pPr>
          </w:p>
        </w:tc>
      </w:tr>
      <w:tr>
        <w:trPr>
          <w:trHeight w:val="153"/>
        </w:trPr>
        <w:tc>
          <w:tcPr>
            <w:tcW w:w="5760" w:type="dxa"/>
            <w:vAlign w:val="bottom"/>
            <w:gridSpan w:val="3"/>
          </w:tcPr>
          <w:p>
            <w:pPr>
              <w:jc w:val="center"/>
              <w:ind w:right="3460"/>
              <w:spacing w:after="0" w:line="153" w:lineRule="exact"/>
              <w:rPr>
                <w:sz w:val="20"/>
                <w:szCs w:val="20"/>
                <w:color w:val="auto"/>
              </w:rPr>
            </w:pPr>
            <w:r>
              <w:rPr>
                <w:rFonts w:ascii="Arial" w:cs="Arial" w:eastAsia="Arial" w:hAnsi="Arial"/>
                <w:sz w:val="14"/>
                <w:szCs w:val="14"/>
                <w:b w:val="1"/>
                <w:bCs w:val="1"/>
                <w:color w:val="auto"/>
                <w:w w:val="91"/>
              </w:rPr>
              <w:t>Cambridge, Massachusetts</w:t>
            </w: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5760" w:type="dxa"/>
            <w:vAlign w:val="bottom"/>
            <w:gridSpan w:val="3"/>
          </w:tcPr>
          <w:p>
            <w:pPr>
              <w:jc w:val="center"/>
              <w:ind w:right="3480"/>
              <w:spacing w:after="0"/>
              <w:rPr>
                <w:sz w:val="20"/>
                <w:szCs w:val="20"/>
                <w:color w:val="auto"/>
              </w:rPr>
            </w:pPr>
            <w:r>
              <w:rPr>
                <w:rFonts w:ascii="Arial" w:cs="Arial" w:eastAsia="Arial" w:hAnsi="Arial"/>
                <w:sz w:val="14"/>
                <w:szCs w:val="14"/>
                <w:color w:val="auto"/>
                <w:w w:val="95"/>
              </w:rPr>
              <w:t>(Address of principal executive offices)</w:t>
            </w:r>
          </w:p>
        </w:tc>
        <w:tc>
          <w:tcPr>
            <w:tcW w:w="1220" w:type="dxa"/>
            <w:vAlign w:val="bottom"/>
          </w:tcPr>
          <w:p>
            <w:pPr>
              <w:jc w:val="center"/>
              <w:ind w:left="68"/>
              <w:spacing w:after="0"/>
              <w:rPr>
                <w:sz w:val="20"/>
                <w:szCs w:val="20"/>
                <w:color w:val="auto"/>
              </w:rPr>
            </w:pPr>
            <w:r>
              <w:rPr>
                <w:rFonts w:ascii="Arial" w:cs="Arial" w:eastAsia="Arial" w:hAnsi="Arial"/>
                <w:sz w:val="14"/>
                <w:szCs w:val="14"/>
                <w:color w:val="auto"/>
                <w:w w:val="96"/>
              </w:rPr>
              <w:t>(Zip Code)</w:t>
            </w:r>
          </w:p>
        </w:tc>
        <w:tc>
          <w:tcPr>
            <w:tcW w:w="0" w:type="dxa"/>
            <w:vAlign w:val="bottom"/>
          </w:tcPr>
          <w:p>
            <w:pPr>
              <w:spacing w:after="0"/>
              <w:rPr>
                <w:sz w:val="1"/>
                <w:szCs w:val="1"/>
                <w:color w:val="auto"/>
              </w:rPr>
            </w:pPr>
          </w:p>
        </w:tc>
      </w:tr>
      <w:tr>
        <w:trPr>
          <w:trHeight w:val="151"/>
        </w:trPr>
        <w:tc>
          <w:tcPr>
            <w:tcW w:w="2500" w:type="dxa"/>
            <w:vAlign w:val="bottom"/>
          </w:tcPr>
          <w:p>
            <w:pPr>
              <w:spacing w:after="0"/>
              <w:rPr>
                <w:sz w:val="13"/>
                <w:szCs w:val="13"/>
                <w:color w:val="auto"/>
              </w:rPr>
            </w:pPr>
          </w:p>
        </w:tc>
        <w:tc>
          <w:tcPr>
            <w:tcW w:w="3260" w:type="dxa"/>
            <w:vAlign w:val="bottom"/>
            <w:gridSpan w:val="2"/>
          </w:tcPr>
          <w:p>
            <w:pPr>
              <w:jc w:val="center"/>
              <w:ind w:right="660"/>
              <w:spacing w:after="0" w:line="151" w:lineRule="exact"/>
              <w:rPr>
                <w:sz w:val="20"/>
                <w:szCs w:val="20"/>
                <w:color w:val="auto"/>
              </w:rPr>
            </w:pPr>
            <w:r>
              <w:rPr>
                <w:rFonts w:ascii="Arial" w:cs="Arial" w:eastAsia="Arial" w:hAnsi="Arial"/>
                <w:sz w:val="14"/>
                <w:szCs w:val="14"/>
                <w:b w:val="1"/>
                <w:bCs w:val="1"/>
                <w:color w:val="auto"/>
                <w:w w:val="93"/>
              </w:rPr>
              <w:t>2015 Stock Option and Incentive Plan</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500" w:type="dxa"/>
            <w:vAlign w:val="bottom"/>
          </w:tcPr>
          <w:p>
            <w:pPr>
              <w:spacing w:after="0"/>
              <w:rPr>
                <w:sz w:val="13"/>
                <w:szCs w:val="13"/>
                <w:color w:val="auto"/>
              </w:rPr>
            </w:pPr>
          </w:p>
        </w:tc>
        <w:tc>
          <w:tcPr>
            <w:tcW w:w="3260" w:type="dxa"/>
            <w:vAlign w:val="bottom"/>
            <w:gridSpan w:val="2"/>
          </w:tcPr>
          <w:p>
            <w:pPr>
              <w:jc w:val="center"/>
              <w:ind w:right="680"/>
              <w:spacing w:after="0" w:line="153" w:lineRule="exact"/>
              <w:rPr>
                <w:sz w:val="20"/>
                <w:szCs w:val="20"/>
                <w:color w:val="auto"/>
              </w:rPr>
            </w:pPr>
            <w:r>
              <w:rPr>
                <w:rFonts w:ascii="Arial" w:cs="Arial" w:eastAsia="Arial" w:hAnsi="Arial"/>
                <w:sz w:val="14"/>
                <w:szCs w:val="14"/>
                <w:b w:val="1"/>
                <w:bCs w:val="1"/>
                <w:color w:val="auto"/>
                <w:w w:val="91"/>
              </w:rPr>
              <w:t>2015 Employee Stock Purchase Plan</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500" w:type="dxa"/>
            <w:vAlign w:val="bottom"/>
          </w:tcPr>
          <w:p>
            <w:pPr>
              <w:spacing w:after="0"/>
              <w:rPr>
                <w:sz w:val="15"/>
                <w:szCs w:val="15"/>
                <w:color w:val="auto"/>
              </w:rPr>
            </w:pPr>
          </w:p>
        </w:tc>
        <w:tc>
          <w:tcPr>
            <w:tcW w:w="3260" w:type="dxa"/>
            <w:vAlign w:val="bottom"/>
            <w:gridSpan w:val="2"/>
          </w:tcPr>
          <w:p>
            <w:pPr>
              <w:jc w:val="center"/>
              <w:ind w:right="680"/>
              <w:spacing w:after="0"/>
              <w:rPr>
                <w:sz w:val="20"/>
                <w:szCs w:val="20"/>
                <w:color w:val="auto"/>
              </w:rPr>
            </w:pPr>
            <w:r>
              <w:rPr>
                <w:rFonts w:ascii="Arial" w:cs="Arial" w:eastAsia="Arial" w:hAnsi="Arial"/>
                <w:sz w:val="14"/>
                <w:szCs w:val="14"/>
                <w:color w:val="auto"/>
                <w:w w:val="95"/>
              </w:rPr>
              <w:t>(Full titles of the plans)</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500" w:type="dxa"/>
            <w:vAlign w:val="bottom"/>
          </w:tcPr>
          <w:p>
            <w:pPr>
              <w:spacing w:after="0"/>
              <w:rPr>
                <w:sz w:val="13"/>
                <w:szCs w:val="13"/>
                <w:color w:val="auto"/>
              </w:rPr>
            </w:pPr>
          </w:p>
        </w:tc>
        <w:tc>
          <w:tcPr>
            <w:tcW w:w="3260" w:type="dxa"/>
            <w:vAlign w:val="bottom"/>
            <w:gridSpan w:val="2"/>
          </w:tcPr>
          <w:p>
            <w:pPr>
              <w:jc w:val="center"/>
              <w:ind w:right="660"/>
              <w:spacing w:after="0" w:line="151" w:lineRule="exact"/>
              <w:rPr>
                <w:sz w:val="20"/>
                <w:szCs w:val="20"/>
                <w:color w:val="auto"/>
              </w:rPr>
            </w:pPr>
            <w:r>
              <w:rPr>
                <w:rFonts w:ascii="Arial" w:cs="Arial" w:eastAsia="Arial" w:hAnsi="Arial"/>
                <w:sz w:val="14"/>
                <w:szCs w:val="14"/>
                <w:b w:val="1"/>
                <w:bCs w:val="1"/>
                <w:color w:val="auto"/>
                <w:w w:val="94"/>
              </w:rPr>
              <w:t>Jeffrey W. Albers</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32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3"/>
              </w:rPr>
              <w:t>President and Chief Executive Officer</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32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4"/>
              </w:rPr>
              <w:t>Blueprint Medicines Corporation</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32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2"/>
              </w:rPr>
              <w:t>38 Sidney Street, Suite 200</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500" w:type="dxa"/>
            <w:vAlign w:val="bottom"/>
          </w:tcPr>
          <w:p>
            <w:pPr>
              <w:spacing w:after="0"/>
              <w:rPr>
                <w:sz w:val="13"/>
                <w:szCs w:val="13"/>
                <w:color w:val="auto"/>
              </w:rPr>
            </w:pPr>
          </w:p>
        </w:tc>
        <w:tc>
          <w:tcPr>
            <w:tcW w:w="3260" w:type="dxa"/>
            <w:vAlign w:val="bottom"/>
            <w:gridSpan w:val="2"/>
          </w:tcPr>
          <w:p>
            <w:pPr>
              <w:jc w:val="center"/>
              <w:ind w:right="680"/>
              <w:spacing w:after="0" w:line="153" w:lineRule="exact"/>
              <w:rPr>
                <w:sz w:val="20"/>
                <w:szCs w:val="20"/>
                <w:color w:val="auto"/>
              </w:rPr>
            </w:pPr>
            <w:r>
              <w:rPr>
                <w:rFonts w:ascii="Arial" w:cs="Arial" w:eastAsia="Arial" w:hAnsi="Arial"/>
                <w:sz w:val="14"/>
                <w:szCs w:val="14"/>
                <w:b w:val="1"/>
                <w:bCs w:val="1"/>
                <w:color w:val="auto"/>
                <w:w w:val="91"/>
              </w:rPr>
              <w:t>Cambridge, Massachusetts 02139</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500" w:type="dxa"/>
            <w:vAlign w:val="bottom"/>
          </w:tcPr>
          <w:p>
            <w:pPr>
              <w:spacing w:after="0"/>
              <w:rPr>
                <w:sz w:val="15"/>
                <w:szCs w:val="15"/>
                <w:color w:val="auto"/>
              </w:rPr>
            </w:pPr>
          </w:p>
        </w:tc>
        <w:tc>
          <w:tcPr>
            <w:tcW w:w="3260" w:type="dxa"/>
            <w:vAlign w:val="bottom"/>
            <w:gridSpan w:val="2"/>
          </w:tcPr>
          <w:p>
            <w:pPr>
              <w:jc w:val="center"/>
              <w:ind w:right="680"/>
              <w:spacing w:after="0"/>
              <w:rPr>
                <w:sz w:val="20"/>
                <w:szCs w:val="20"/>
                <w:color w:val="auto"/>
              </w:rPr>
            </w:pPr>
            <w:r>
              <w:rPr>
                <w:rFonts w:ascii="Arial" w:cs="Arial" w:eastAsia="Arial" w:hAnsi="Arial"/>
                <w:sz w:val="14"/>
                <w:szCs w:val="14"/>
                <w:color w:val="auto"/>
                <w:w w:val="91"/>
              </w:rPr>
              <w:t>(Name and address of agent for service)</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100" w:type="dxa"/>
            <w:vAlign w:val="bottom"/>
            <w:gridSpan w:val="2"/>
          </w:tcPr>
          <w:p>
            <w:pPr>
              <w:jc w:val="center"/>
              <w:ind w:left="2360"/>
              <w:spacing w:after="0"/>
              <w:rPr>
                <w:sz w:val="20"/>
                <w:szCs w:val="20"/>
                <w:color w:val="auto"/>
              </w:rPr>
            </w:pPr>
            <w:r>
              <w:rPr>
                <w:rFonts w:ascii="Arial" w:cs="Arial" w:eastAsia="Arial" w:hAnsi="Arial"/>
                <w:sz w:val="14"/>
                <w:szCs w:val="14"/>
                <w:b w:val="1"/>
                <w:bCs w:val="1"/>
                <w:color w:val="auto"/>
                <w:w w:val="93"/>
              </w:rPr>
              <w:t>(617) 374-7580</w:t>
            </w: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760" w:type="dxa"/>
            <w:vAlign w:val="bottom"/>
            <w:gridSpan w:val="3"/>
          </w:tcPr>
          <w:p>
            <w:pPr>
              <w:jc w:val="center"/>
              <w:ind w:left="1740"/>
              <w:spacing w:after="0"/>
              <w:rPr>
                <w:sz w:val="20"/>
                <w:szCs w:val="20"/>
                <w:color w:val="auto"/>
              </w:rPr>
            </w:pPr>
            <w:r>
              <w:rPr>
                <w:rFonts w:ascii="Arial" w:cs="Arial" w:eastAsia="Arial" w:hAnsi="Arial"/>
                <w:sz w:val="14"/>
                <w:szCs w:val="14"/>
                <w:color w:val="auto"/>
                <w:w w:val="92"/>
              </w:rPr>
              <w:t>(Telephone number, including area code, of agent for service)</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5760" w:type="dxa"/>
            <w:vAlign w:val="bottom"/>
            <w:gridSpan w:val="3"/>
          </w:tcPr>
          <w:p>
            <w:pPr>
              <w:jc w:val="center"/>
              <w:ind w:left="1740"/>
              <w:spacing w:after="0"/>
              <w:rPr>
                <w:sz w:val="20"/>
                <w:szCs w:val="20"/>
                <w:color w:val="auto"/>
              </w:rPr>
            </w:pPr>
            <w:r>
              <w:rPr>
                <w:rFonts w:ascii="Arial" w:cs="Arial" w:eastAsia="Arial" w:hAnsi="Arial"/>
                <w:sz w:val="14"/>
                <w:szCs w:val="14"/>
                <w:b w:val="1"/>
                <w:bCs w:val="1"/>
                <w:color w:val="auto"/>
                <w:w w:val="89"/>
              </w:rPr>
              <w:t>Please send copies of all communications to:</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32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4"/>
              </w:rPr>
              <w:t>Kingsley L. Taft, Esq.</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32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4"/>
              </w:rPr>
              <w:t>Danielle M. Lauzon, Esq.</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32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6"/>
              </w:rPr>
              <w:t>Goodwin Procter LLP</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32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Exchange Place</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32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2"/>
              </w:rPr>
              <w:t>53 State Street</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32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9"/>
              </w:rPr>
              <w:t>Boston, Massachusetts 02109</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5100" w:type="dxa"/>
            <w:vAlign w:val="bottom"/>
            <w:gridSpan w:val="2"/>
          </w:tcPr>
          <w:p>
            <w:pPr>
              <w:jc w:val="center"/>
              <w:ind w:left="2400"/>
              <w:spacing w:after="0"/>
              <w:rPr>
                <w:sz w:val="20"/>
                <w:szCs w:val="20"/>
                <w:color w:val="auto"/>
              </w:rPr>
            </w:pPr>
            <w:r>
              <w:rPr>
                <w:rFonts w:ascii="Arial" w:cs="Arial" w:eastAsia="Arial" w:hAnsi="Arial"/>
                <w:sz w:val="14"/>
                <w:szCs w:val="14"/>
                <w:b w:val="1"/>
                <w:bCs w:val="1"/>
                <w:color w:val="auto"/>
                <w:w w:val="93"/>
              </w:rPr>
              <w:t>(617) 570-1000</w:t>
            </w:r>
          </w:p>
        </w:tc>
        <w:tc>
          <w:tcPr>
            <w:tcW w:w="6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2483485</wp:posOffset>
            </wp:positionH>
            <wp:positionV relativeFrom="paragraph">
              <wp:posOffset>59055</wp:posOffset>
            </wp:positionV>
            <wp:extent cx="16554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76" w:lineRule="exact"/>
        <w:rPr>
          <w:sz w:val="24"/>
          <w:szCs w:val="24"/>
          <w:color w:val="auto"/>
        </w:rPr>
      </w:pPr>
    </w:p>
    <w:p>
      <w:pPr>
        <w:ind w:left="20" w:right="18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38"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2540" w:type="dxa"/>
            <w:vAlign w:val="bottom"/>
          </w:tcPr>
          <w:p>
            <w:pPr>
              <w:ind w:left="120"/>
              <w:spacing w:after="0"/>
              <w:rPr>
                <w:sz w:val="20"/>
                <w:szCs w:val="20"/>
                <w:color w:val="auto"/>
              </w:rPr>
            </w:pPr>
            <w:r>
              <w:rPr>
                <w:rFonts w:ascii="Arial" w:cs="Arial" w:eastAsia="Arial" w:hAnsi="Arial"/>
                <w:sz w:val="14"/>
                <w:szCs w:val="14"/>
                <w:color w:val="auto"/>
              </w:rPr>
              <w:t>Large accelerated filer</w:t>
            </w:r>
          </w:p>
        </w:tc>
        <w:tc>
          <w:tcPr>
            <w:tcW w:w="1060" w:type="dxa"/>
            <w:vAlign w:val="bottom"/>
          </w:tcPr>
          <w:p>
            <w:pPr>
              <w:jc w:val="center"/>
              <w:ind w:left="428"/>
              <w:spacing w:after="0" w:line="141" w:lineRule="exact"/>
              <w:rPr>
                <w:sz w:val="20"/>
                <w:szCs w:val="20"/>
                <w:color w:val="auto"/>
              </w:rPr>
            </w:pPr>
            <w:r>
              <w:rPr>
                <w:rFonts w:ascii="MS PGothic" w:cs="MS PGothic" w:eastAsia="MS PGothic" w:hAnsi="MS PGothic"/>
                <w:sz w:val="14"/>
                <w:szCs w:val="14"/>
                <w:color w:val="auto"/>
                <w:w w:val="85"/>
              </w:rPr>
              <w:t>☐</w:t>
            </w:r>
          </w:p>
        </w:tc>
        <w:tc>
          <w:tcPr>
            <w:tcW w:w="320" w:type="dxa"/>
            <w:vAlign w:val="bottom"/>
          </w:tcPr>
          <w:p>
            <w:pPr>
              <w:spacing w:after="0"/>
              <w:rPr>
                <w:sz w:val="15"/>
                <w:szCs w:val="15"/>
                <w:color w:val="auto"/>
              </w:rPr>
            </w:pPr>
          </w:p>
        </w:tc>
        <w:tc>
          <w:tcPr>
            <w:tcW w:w="1480" w:type="dxa"/>
            <w:vAlign w:val="bottom"/>
            <w:gridSpan w:val="2"/>
          </w:tcPr>
          <w:p>
            <w:pPr>
              <w:ind w:left="400"/>
              <w:spacing w:after="0"/>
              <w:rPr>
                <w:sz w:val="20"/>
                <w:szCs w:val="20"/>
                <w:color w:val="auto"/>
              </w:rPr>
            </w:pPr>
            <w:r>
              <w:rPr>
                <w:rFonts w:ascii="Arial" w:cs="Arial" w:eastAsia="Arial" w:hAnsi="Arial"/>
                <w:sz w:val="14"/>
                <w:szCs w:val="14"/>
                <w:color w:val="auto"/>
              </w:rPr>
              <w:t>Accelerated filer</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80" w:type="dxa"/>
            <w:vAlign w:val="bottom"/>
          </w:tcPr>
          <w:p>
            <w:pPr>
              <w:jc w:val="right"/>
              <w:ind w:right="1568"/>
              <w:spacing w:after="0" w:line="141" w:lineRule="exact"/>
              <w:rPr>
                <w:sz w:val="20"/>
                <w:szCs w:val="20"/>
                <w:color w:val="auto"/>
              </w:rPr>
            </w:pPr>
            <w:r>
              <w:rPr>
                <w:rFonts w:ascii="MS PGothic" w:cs="MS PGothic" w:eastAsia="MS PGothic" w:hAnsi="MS PGothic"/>
                <w:sz w:val="14"/>
                <w:szCs w:val="14"/>
                <w:color w:val="auto"/>
                <w:w w:val="85"/>
              </w:rPr>
              <w:t>☐</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540" w:type="dxa"/>
            <w:vAlign w:val="bottom"/>
          </w:tcPr>
          <w:p>
            <w:pPr>
              <w:ind w:left="120"/>
              <w:spacing w:after="0"/>
              <w:rPr>
                <w:sz w:val="20"/>
                <w:szCs w:val="20"/>
                <w:color w:val="auto"/>
              </w:rPr>
            </w:pPr>
            <w:r>
              <w:rPr>
                <w:rFonts w:ascii="Arial" w:cs="Arial" w:eastAsia="Arial" w:hAnsi="Arial"/>
                <w:sz w:val="14"/>
                <w:szCs w:val="14"/>
                <w:color w:val="auto"/>
              </w:rPr>
              <w:t>Non-accelerated filer</w:t>
            </w:r>
          </w:p>
        </w:tc>
        <w:tc>
          <w:tcPr>
            <w:tcW w:w="1060" w:type="dxa"/>
            <w:vAlign w:val="bottom"/>
          </w:tcPr>
          <w:p>
            <w:pPr>
              <w:jc w:val="center"/>
              <w:ind w:left="428"/>
              <w:spacing w:after="0" w:line="141" w:lineRule="exact"/>
              <w:rPr>
                <w:sz w:val="20"/>
                <w:szCs w:val="20"/>
                <w:color w:val="auto"/>
              </w:rPr>
            </w:pPr>
            <w:r>
              <w:rPr>
                <w:rFonts w:ascii="MS PGothic" w:cs="MS PGothic" w:eastAsia="MS PGothic" w:hAnsi="MS PGothic"/>
                <w:sz w:val="14"/>
                <w:szCs w:val="14"/>
                <w:color w:val="auto"/>
                <w:w w:val="85"/>
              </w:rPr>
              <w:t>☒</w:t>
            </w:r>
          </w:p>
        </w:tc>
        <w:tc>
          <w:tcPr>
            <w:tcW w:w="320" w:type="dxa"/>
            <w:vAlign w:val="bottom"/>
          </w:tcPr>
          <w:p>
            <w:pPr>
              <w:spacing w:after="0"/>
              <w:rPr>
                <w:sz w:val="16"/>
                <w:szCs w:val="16"/>
                <w:color w:val="auto"/>
              </w:rPr>
            </w:pPr>
          </w:p>
        </w:tc>
        <w:tc>
          <w:tcPr>
            <w:tcW w:w="2700" w:type="dxa"/>
            <w:vAlign w:val="bottom"/>
            <w:gridSpan w:val="4"/>
          </w:tcPr>
          <w:p>
            <w:pPr>
              <w:jc w:val="center"/>
              <w:ind w:right="320"/>
              <w:spacing w:after="0"/>
              <w:rPr>
                <w:sz w:val="20"/>
                <w:szCs w:val="20"/>
                <w:color w:val="auto"/>
              </w:rPr>
            </w:pPr>
            <w:r>
              <w:rPr>
                <w:rFonts w:ascii="Arial" w:cs="Arial" w:eastAsia="Arial" w:hAnsi="Arial"/>
                <w:sz w:val="14"/>
                <w:szCs w:val="14"/>
                <w:color w:val="auto"/>
                <w:w w:val="94"/>
              </w:rPr>
              <w:t>Smaller reporting company</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tcPr>
          <w:p>
            <w:pPr>
              <w:jc w:val="right"/>
              <w:ind w:right="1568"/>
              <w:spacing w:after="0" w:line="141" w:lineRule="exact"/>
              <w:rPr>
                <w:sz w:val="20"/>
                <w:szCs w:val="20"/>
                <w:color w:val="auto"/>
              </w:rPr>
            </w:pPr>
            <w:r>
              <w:rPr>
                <w:rFonts w:ascii="MS PGothic" w:cs="MS PGothic" w:eastAsia="MS PGothic" w:hAnsi="MS PGothic"/>
                <w:sz w:val="14"/>
                <w:szCs w:val="14"/>
                <w:color w:val="auto"/>
                <w:w w:val="85"/>
              </w:rPr>
              <w:t>☐</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540" w:type="dxa"/>
            <w:vAlign w:val="bottom"/>
          </w:tcPr>
          <w:p>
            <w:pPr>
              <w:spacing w:after="0"/>
              <w:rPr>
                <w:sz w:val="12"/>
                <w:szCs w:val="12"/>
                <w:color w:val="auto"/>
              </w:rPr>
            </w:pPr>
          </w:p>
        </w:tc>
        <w:tc>
          <w:tcPr>
            <w:tcW w:w="2540" w:type="dxa"/>
            <w:vAlign w:val="bottom"/>
            <w:gridSpan w:val="3"/>
          </w:tcPr>
          <w:p>
            <w:pPr>
              <w:jc w:val="center"/>
              <w:ind w:right="888"/>
              <w:spacing w:after="0" w:line="149" w:lineRule="exact"/>
              <w:rPr>
                <w:sz w:val="20"/>
                <w:szCs w:val="20"/>
                <w:color w:val="auto"/>
              </w:rPr>
            </w:pPr>
            <w:r>
              <w:rPr>
                <w:rFonts w:ascii="Arial" w:cs="Arial" w:eastAsia="Arial" w:hAnsi="Arial"/>
                <w:sz w:val="14"/>
                <w:szCs w:val="14"/>
                <w:color w:val="auto"/>
                <w:w w:val="94"/>
              </w:rPr>
              <w:t>(Do not check if a smaller</w:t>
            </w: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540" w:type="dxa"/>
            <w:vAlign w:val="bottom"/>
          </w:tcPr>
          <w:p>
            <w:pPr>
              <w:spacing w:after="0"/>
              <w:rPr>
                <w:sz w:val="15"/>
                <w:szCs w:val="15"/>
                <w:color w:val="auto"/>
              </w:rPr>
            </w:pPr>
          </w:p>
        </w:tc>
        <w:tc>
          <w:tcPr>
            <w:tcW w:w="2540" w:type="dxa"/>
            <w:vAlign w:val="bottom"/>
            <w:gridSpan w:val="3"/>
          </w:tcPr>
          <w:p>
            <w:pPr>
              <w:jc w:val="center"/>
              <w:ind w:right="888"/>
              <w:spacing w:after="0"/>
              <w:rPr>
                <w:sz w:val="20"/>
                <w:szCs w:val="20"/>
                <w:color w:val="auto"/>
              </w:rPr>
            </w:pPr>
            <w:r>
              <w:rPr>
                <w:rFonts w:ascii="Arial" w:cs="Arial" w:eastAsia="Arial" w:hAnsi="Arial"/>
                <w:sz w:val="14"/>
                <w:szCs w:val="14"/>
                <w:color w:val="auto"/>
                <w:w w:val="94"/>
              </w:rPr>
              <w:t>reporting company)</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5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2"/>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5"/>
        </w:trPr>
        <w:tc>
          <w:tcPr>
            <w:tcW w:w="25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020" w:type="dxa"/>
            <w:vAlign w:val="bottom"/>
            <w:gridSpan w:val="5"/>
          </w:tcPr>
          <w:p>
            <w:pPr>
              <w:ind w:left="240"/>
              <w:spacing w:after="0"/>
              <w:rPr>
                <w:sz w:val="20"/>
                <w:szCs w:val="20"/>
                <w:color w:val="auto"/>
              </w:rPr>
            </w:pPr>
            <w:r>
              <w:rPr>
                <w:rFonts w:ascii="Arial" w:cs="Arial" w:eastAsia="Arial" w:hAnsi="Arial"/>
                <w:sz w:val="14"/>
                <w:szCs w:val="14"/>
                <w:b w:val="1"/>
                <w:bCs w:val="1"/>
                <w:color w:val="auto"/>
              </w:rPr>
              <w:t>CALCULATION OF REGISTRATION FEE</w:t>
            </w: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1"/>
        </w:trPr>
        <w:tc>
          <w:tcPr>
            <w:tcW w:w="25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540" w:type="dxa"/>
            <w:vAlign w:val="bottom"/>
          </w:tcPr>
          <w:p>
            <w:pPr>
              <w:spacing w:after="0"/>
              <w:rPr>
                <w:sz w:val="10"/>
                <w:szCs w:val="10"/>
                <w:color w:val="auto"/>
              </w:rPr>
            </w:pPr>
          </w:p>
        </w:tc>
        <w:tc>
          <w:tcPr>
            <w:tcW w:w="1060" w:type="dxa"/>
            <w:vAlign w:val="bottom"/>
            <w:tcBorders>
              <w:righ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160" w:type="dxa"/>
            <w:vAlign w:val="bottom"/>
            <w:tcBorders>
              <w:right w:val="single" w:sz="8" w:color="auto"/>
            </w:tcBorders>
            <w:vMerge w:val="restart"/>
          </w:tcPr>
          <w:p>
            <w:pPr>
              <w:jc w:val="center"/>
              <w:ind w:right="268"/>
              <w:spacing w:after="0"/>
              <w:rPr>
                <w:sz w:val="20"/>
                <w:szCs w:val="20"/>
                <w:color w:val="auto"/>
              </w:rPr>
            </w:pPr>
            <w:r>
              <w:rPr>
                <w:rFonts w:ascii="Arial" w:cs="Arial" w:eastAsia="Arial" w:hAnsi="Arial"/>
                <w:sz w:val="14"/>
                <w:szCs w:val="14"/>
                <w:b w:val="1"/>
                <w:bCs w:val="1"/>
                <w:color w:val="auto"/>
                <w:w w:val="94"/>
              </w:rPr>
              <w:t>Amount</w:t>
            </w:r>
          </w:p>
        </w:tc>
        <w:tc>
          <w:tcPr>
            <w:tcW w:w="320" w:type="dxa"/>
            <w:vAlign w:val="bottom"/>
          </w:tcPr>
          <w:p>
            <w:pPr>
              <w:spacing w:after="0"/>
              <w:rPr>
                <w:sz w:val="10"/>
                <w:szCs w:val="10"/>
                <w:color w:val="auto"/>
              </w:rPr>
            </w:pPr>
          </w:p>
        </w:tc>
        <w:tc>
          <w:tcPr>
            <w:tcW w:w="1220" w:type="dxa"/>
            <w:vAlign w:val="bottom"/>
            <w:gridSpan w:val="2"/>
          </w:tcPr>
          <w:p>
            <w:pPr>
              <w:jc w:val="center"/>
              <w:ind w:right="120"/>
              <w:spacing w:after="0" w:line="126" w:lineRule="exact"/>
              <w:rPr>
                <w:sz w:val="20"/>
                <w:szCs w:val="20"/>
                <w:color w:val="auto"/>
              </w:rPr>
            </w:pPr>
            <w:r>
              <w:rPr>
                <w:rFonts w:ascii="Arial" w:cs="Arial" w:eastAsia="Arial" w:hAnsi="Arial"/>
                <w:sz w:val="14"/>
                <w:szCs w:val="14"/>
                <w:b w:val="1"/>
                <w:bCs w:val="1"/>
                <w:color w:val="auto"/>
                <w:w w:val="89"/>
              </w:rPr>
              <w:t>Proposed</w:t>
            </w:r>
          </w:p>
        </w:tc>
        <w:tc>
          <w:tcPr>
            <w:tcW w:w="2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780" w:type="dxa"/>
            <w:vAlign w:val="bottom"/>
          </w:tcPr>
          <w:p>
            <w:pPr>
              <w:jc w:val="center"/>
              <w:ind w:left="108"/>
              <w:spacing w:after="0" w:line="126" w:lineRule="exact"/>
              <w:rPr>
                <w:sz w:val="20"/>
                <w:szCs w:val="20"/>
                <w:color w:val="auto"/>
              </w:rPr>
            </w:pPr>
            <w:r>
              <w:rPr>
                <w:rFonts w:ascii="Arial" w:cs="Arial" w:eastAsia="Arial" w:hAnsi="Arial"/>
                <w:sz w:val="14"/>
                <w:szCs w:val="14"/>
                <w:b w:val="1"/>
                <w:bCs w:val="1"/>
                <w:color w:val="auto"/>
                <w:w w:val="86"/>
              </w:rPr>
              <w:t>Proposed</w:t>
            </w:r>
          </w:p>
        </w:tc>
        <w:tc>
          <w:tcPr>
            <w:tcW w:w="28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540" w:type="dxa"/>
            <w:vAlign w:val="bottom"/>
            <w:vMerge w:val="restart"/>
          </w:tcPr>
          <w:p>
            <w:pPr>
              <w:ind w:left="1260"/>
              <w:spacing w:after="0"/>
              <w:rPr>
                <w:sz w:val="20"/>
                <w:szCs w:val="20"/>
                <w:color w:val="auto"/>
              </w:rPr>
            </w:pPr>
            <w:r>
              <w:rPr>
                <w:rFonts w:ascii="Arial" w:cs="Arial" w:eastAsia="Arial" w:hAnsi="Arial"/>
                <w:sz w:val="14"/>
                <w:szCs w:val="14"/>
                <w:b w:val="1"/>
                <w:bCs w:val="1"/>
                <w:color w:val="auto"/>
              </w:rPr>
              <w:t>Title of Securities</w:t>
            </w:r>
          </w:p>
        </w:tc>
        <w:tc>
          <w:tcPr>
            <w:tcW w:w="106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Borders>
              <w:right w:val="single" w:sz="8" w:color="auto"/>
            </w:tcBorders>
            <w:vMerge w:val="continue"/>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99"/>
              </w:rPr>
              <w:t>Maximum</w:t>
            </w:r>
          </w:p>
        </w:tc>
        <w:tc>
          <w:tcPr>
            <w:tcW w:w="2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tcPr>
          <w:p>
            <w:pPr>
              <w:jc w:val="center"/>
              <w:ind w:left="108"/>
              <w:spacing w:after="0" w:line="145" w:lineRule="exact"/>
              <w:rPr>
                <w:sz w:val="20"/>
                <w:szCs w:val="20"/>
                <w:color w:val="auto"/>
              </w:rPr>
            </w:pPr>
            <w:r>
              <w:rPr>
                <w:rFonts w:ascii="Arial" w:cs="Arial" w:eastAsia="Arial" w:hAnsi="Arial"/>
                <w:sz w:val="14"/>
                <w:szCs w:val="14"/>
                <w:b w:val="1"/>
                <w:bCs w:val="1"/>
                <w:color w:val="auto"/>
                <w:w w:val="99"/>
              </w:rPr>
              <w:t>Maximum</w:t>
            </w:r>
          </w:p>
        </w:tc>
        <w:tc>
          <w:tcPr>
            <w:tcW w:w="2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Amount of</w:t>
            </w:r>
          </w:p>
        </w:tc>
        <w:tc>
          <w:tcPr>
            <w:tcW w:w="0" w:type="dxa"/>
            <w:vAlign w:val="bottom"/>
          </w:tcPr>
          <w:p>
            <w:pPr>
              <w:spacing w:after="0"/>
              <w:rPr>
                <w:sz w:val="1"/>
                <w:szCs w:val="1"/>
                <w:color w:val="auto"/>
              </w:rPr>
            </w:pPr>
          </w:p>
        </w:tc>
      </w:tr>
      <w:tr>
        <w:trPr>
          <w:trHeight w:val="149"/>
        </w:trPr>
        <w:tc>
          <w:tcPr>
            <w:tcW w:w="2540" w:type="dxa"/>
            <w:vAlign w:val="bottom"/>
            <w:vMerge w:val="continue"/>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Borders>
              <w:right w:val="single" w:sz="8" w:color="auto"/>
            </w:tcBorders>
          </w:tcPr>
          <w:p>
            <w:pPr>
              <w:jc w:val="center"/>
              <w:ind w:right="268"/>
              <w:spacing w:after="0" w:line="149" w:lineRule="exact"/>
              <w:rPr>
                <w:sz w:val="20"/>
                <w:szCs w:val="20"/>
                <w:color w:val="auto"/>
              </w:rPr>
            </w:pPr>
            <w:r>
              <w:rPr>
                <w:rFonts w:ascii="Arial" w:cs="Arial" w:eastAsia="Arial" w:hAnsi="Arial"/>
                <w:sz w:val="14"/>
                <w:szCs w:val="14"/>
                <w:b w:val="1"/>
                <w:bCs w:val="1"/>
                <w:color w:val="auto"/>
                <w:w w:val="89"/>
              </w:rPr>
              <w:t>to be</w:t>
            </w:r>
          </w:p>
        </w:tc>
        <w:tc>
          <w:tcPr>
            <w:tcW w:w="320" w:type="dxa"/>
            <w:vAlign w:val="bottom"/>
          </w:tcPr>
          <w:p>
            <w:pPr>
              <w:spacing w:after="0"/>
              <w:rPr>
                <w:sz w:val="12"/>
                <w:szCs w:val="12"/>
                <w:color w:val="auto"/>
              </w:rPr>
            </w:pPr>
          </w:p>
        </w:tc>
        <w:tc>
          <w:tcPr>
            <w:tcW w:w="12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Offering Price</w:t>
            </w:r>
          </w:p>
        </w:tc>
        <w:tc>
          <w:tcPr>
            <w:tcW w:w="2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tcPr>
          <w:p>
            <w:pPr>
              <w:jc w:val="center"/>
              <w:ind w:left="108"/>
              <w:spacing w:after="0" w:line="149" w:lineRule="exact"/>
              <w:rPr>
                <w:sz w:val="20"/>
                <w:szCs w:val="20"/>
                <w:color w:val="auto"/>
              </w:rPr>
            </w:pPr>
            <w:r>
              <w:rPr>
                <w:rFonts w:ascii="Arial" w:cs="Arial" w:eastAsia="Arial" w:hAnsi="Arial"/>
                <w:sz w:val="14"/>
                <w:szCs w:val="14"/>
                <w:b w:val="1"/>
                <w:bCs w:val="1"/>
                <w:color w:val="auto"/>
                <w:w w:val="92"/>
              </w:rPr>
              <w:t>Aggregate</w:t>
            </w:r>
          </w:p>
        </w:tc>
        <w:tc>
          <w:tcPr>
            <w:tcW w:w="2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540" w:type="dxa"/>
            <w:vAlign w:val="bottom"/>
            <w:tcBorders>
              <w:bottom w:val="single" w:sz="8" w:color="auto"/>
            </w:tcBorders>
          </w:tcPr>
          <w:p>
            <w:pPr>
              <w:ind w:left="1300"/>
              <w:spacing w:after="0"/>
              <w:rPr>
                <w:sz w:val="20"/>
                <w:szCs w:val="20"/>
                <w:color w:val="auto"/>
              </w:rPr>
            </w:pPr>
            <w:r>
              <w:rPr>
                <w:rFonts w:ascii="Arial" w:cs="Arial" w:eastAsia="Arial" w:hAnsi="Arial"/>
                <w:sz w:val="14"/>
                <w:szCs w:val="14"/>
                <w:b w:val="1"/>
                <w:bCs w:val="1"/>
                <w:color w:val="auto"/>
              </w:rPr>
              <w:t>to be Registered</w:t>
            </w:r>
          </w:p>
        </w:tc>
        <w:tc>
          <w:tcPr>
            <w:tcW w:w="1060" w:type="dxa"/>
            <w:vAlign w:val="bottom"/>
            <w:tcBorders>
              <w:bottom w:val="single" w:sz="8" w:color="auto"/>
              <w:right w:val="single" w:sz="8" w:color="auto"/>
            </w:tcBorders>
          </w:tcPr>
          <w:p>
            <w:pPr>
              <w:spacing w:after="0"/>
              <w:rPr>
                <w:sz w:val="15"/>
                <w:szCs w:val="15"/>
                <w:color w:val="auto"/>
              </w:rPr>
            </w:pPr>
          </w:p>
        </w:tc>
        <w:tc>
          <w:tcPr>
            <w:tcW w:w="14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Registered (1)</w:t>
            </w:r>
          </w:p>
        </w:tc>
        <w:tc>
          <w:tcPr>
            <w:tcW w:w="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4"/>
              </w:rPr>
              <w:t>Per Share</w:t>
            </w:r>
          </w:p>
        </w:tc>
        <w:tc>
          <w:tcPr>
            <w:tcW w:w="220" w:type="dxa"/>
            <w:vAlign w:val="bottom"/>
            <w:tcBorders>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center"/>
              <w:ind w:left="108"/>
              <w:spacing w:after="0"/>
              <w:rPr>
                <w:sz w:val="20"/>
                <w:szCs w:val="20"/>
                <w:color w:val="auto"/>
              </w:rPr>
            </w:pPr>
            <w:r>
              <w:rPr>
                <w:rFonts w:ascii="Arial" w:cs="Arial" w:eastAsia="Arial" w:hAnsi="Arial"/>
                <w:sz w:val="14"/>
                <w:szCs w:val="14"/>
                <w:b w:val="1"/>
                <w:bCs w:val="1"/>
                <w:color w:val="auto"/>
                <w:w w:val="94"/>
              </w:rPr>
              <w:t>Offering Price</w:t>
            </w:r>
          </w:p>
        </w:tc>
        <w:tc>
          <w:tcPr>
            <w:tcW w:w="280" w:type="dxa"/>
            <w:vAlign w:val="bottom"/>
            <w:tcBorders>
              <w:bottom w:val="single" w:sz="8" w:color="auto"/>
              <w:right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6"/>
              </w:rPr>
              <w:t>Registration Fee</w:t>
            </w:r>
          </w:p>
        </w:tc>
        <w:tc>
          <w:tcPr>
            <w:tcW w:w="0" w:type="dxa"/>
            <w:vAlign w:val="bottom"/>
          </w:tcPr>
          <w:p>
            <w:pPr>
              <w:spacing w:after="0"/>
              <w:rPr>
                <w:sz w:val="1"/>
                <w:szCs w:val="1"/>
                <w:color w:val="auto"/>
              </w:rPr>
            </w:pPr>
          </w:p>
        </w:tc>
      </w:tr>
      <w:tr>
        <w:trPr>
          <w:trHeight w:val="142"/>
        </w:trPr>
        <w:tc>
          <w:tcPr>
            <w:tcW w:w="254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color w:val="auto"/>
                <w:w w:val="92"/>
              </w:rPr>
              <w:t>Common Stock, $0.001 par value per share</w:t>
            </w:r>
          </w:p>
        </w:tc>
        <w:tc>
          <w:tcPr>
            <w:tcW w:w="1060" w:type="dxa"/>
            <w:vAlign w:val="bottom"/>
            <w:tcBorders>
              <w:bottom w:val="single" w:sz="8" w:color="auto"/>
              <w:right w:val="single" w:sz="8" w:color="auto"/>
            </w:tcBorders>
          </w:tcPr>
          <w:p>
            <w:pPr>
              <w:spacing w:after="0"/>
              <w:rPr>
                <w:sz w:val="12"/>
                <w:szCs w:val="12"/>
                <w:color w:val="auto"/>
              </w:rPr>
            </w:pPr>
          </w:p>
        </w:tc>
        <w:tc>
          <w:tcPr>
            <w:tcW w:w="1480" w:type="dxa"/>
            <w:vAlign w:val="bottom"/>
            <w:tcBorders>
              <w:bottom w:val="single" w:sz="8" w:color="auto"/>
              <w:right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1,087,842</w:t>
            </w:r>
          </w:p>
        </w:tc>
        <w:tc>
          <w:tcPr>
            <w:tcW w:w="320" w:type="dxa"/>
            <w:vAlign w:val="bottom"/>
            <w:tcBorders>
              <w:bottom w:val="single" w:sz="8" w:color="auto"/>
            </w:tcBorders>
          </w:tcPr>
          <w:p>
            <w:pPr>
              <w:jc w:val="center"/>
              <w:ind w:right="188"/>
              <w:spacing w:after="0" w:line="142" w:lineRule="exact"/>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16.40</w:t>
            </w: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(2)</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78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17,835,169.59</w:t>
            </w:r>
          </w:p>
        </w:tc>
        <w:tc>
          <w:tcPr>
            <w:tcW w:w="28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(2)</w:t>
            </w:r>
          </w:p>
        </w:tc>
        <w:tc>
          <w:tcPr>
            <w:tcW w:w="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1,796.01</w:t>
            </w:r>
          </w:p>
        </w:tc>
        <w:tc>
          <w:tcPr>
            <w:tcW w:w="0" w:type="dxa"/>
            <w:vAlign w:val="bottom"/>
          </w:tcPr>
          <w:p>
            <w:pPr>
              <w:spacing w:after="0"/>
              <w:rPr>
                <w:sz w:val="1"/>
                <w:szCs w:val="1"/>
                <w:color w:val="auto"/>
              </w:rPr>
            </w:pPr>
          </w:p>
        </w:tc>
      </w:tr>
      <w:tr>
        <w:trPr>
          <w:trHeight w:val="142"/>
        </w:trPr>
        <w:tc>
          <w:tcPr>
            <w:tcW w:w="254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color w:val="auto"/>
                <w:w w:val="92"/>
              </w:rPr>
              <w:t>Common Stock, $0.001 par value per share</w:t>
            </w:r>
          </w:p>
        </w:tc>
        <w:tc>
          <w:tcPr>
            <w:tcW w:w="1060" w:type="dxa"/>
            <w:vAlign w:val="bottom"/>
            <w:tcBorders>
              <w:bottom w:val="single" w:sz="8" w:color="auto"/>
              <w:right w:val="single" w:sz="8" w:color="auto"/>
            </w:tcBorders>
          </w:tcPr>
          <w:p>
            <w:pPr>
              <w:spacing w:after="0"/>
              <w:rPr>
                <w:sz w:val="12"/>
                <w:szCs w:val="12"/>
                <w:color w:val="auto"/>
              </w:rPr>
            </w:pPr>
          </w:p>
        </w:tc>
        <w:tc>
          <w:tcPr>
            <w:tcW w:w="1480" w:type="dxa"/>
            <w:vAlign w:val="bottom"/>
            <w:tcBorders>
              <w:bottom w:val="single" w:sz="8" w:color="auto"/>
              <w:right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271,960</w:t>
            </w:r>
          </w:p>
        </w:tc>
        <w:tc>
          <w:tcPr>
            <w:tcW w:w="320" w:type="dxa"/>
            <w:vAlign w:val="bottom"/>
            <w:tcBorders>
              <w:bottom w:val="single" w:sz="8" w:color="auto"/>
            </w:tcBorders>
          </w:tcPr>
          <w:p>
            <w:pPr>
              <w:jc w:val="center"/>
              <w:ind w:right="188"/>
              <w:spacing w:after="0" w:line="142" w:lineRule="exact"/>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13.94</w:t>
            </w: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(3)</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78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3,791,122.40</w:t>
            </w:r>
          </w:p>
        </w:tc>
        <w:tc>
          <w:tcPr>
            <w:tcW w:w="28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(3)</w:t>
            </w:r>
          </w:p>
        </w:tc>
        <w:tc>
          <w:tcPr>
            <w:tcW w:w="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381.77</w:t>
            </w:r>
          </w:p>
        </w:tc>
        <w:tc>
          <w:tcPr>
            <w:tcW w:w="0" w:type="dxa"/>
            <w:vAlign w:val="bottom"/>
          </w:tcPr>
          <w:p>
            <w:pPr>
              <w:spacing w:after="0"/>
              <w:rPr>
                <w:sz w:val="1"/>
                <w:szCs w:val="1"/>
                <w:color w:val="auto"/>
              </w:rPr>
            </w:pPr>
          </w:p>
        </w:tc>
      </w:tr>
      <w:tr>
        <w:trPr>
          <w:trHeight w:val="176"/>
        </w:trPr>
        <w:tc>
          <w:tcPr>
            <w:tcW w:w="2540" w:type="dxa"/>
            <w:vAlign w:val="bottom"/>
          </w:tcPr>
          <w:p>
            <w:pPr>
              <w:ind w:left="20"/>
              <w:spacing w:after="0"/>
              <w:rPr>
                <w:sz w:val="20"/>
                <w:szCs w:val="20"/>
                <w:color w:val="auto"/>
              </w:rPr>
            </w:pPr>
            <w:r>
              <w:rPr>
                <w:rFonts w:ascii="Arial" w:cs="Arial" w:eastAsia="Arial" w:hAnsi="Arial"/>
                <w:sz w:val="14"/>
                <w:szCs w:val="14"/>
                <w:color w:val="auto"/>
              </w:rPr>
              <w:t>Total</w:t>
            </w:r>
          </w:p>
        </w:tc>
        <w:tc>
          <w:tcPr>
            <w:tcW w:w="106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gridSpan w:val="2"/>
          </w:tcPr>
          <w:p>
            <w:pPr>
              <w:jc w:val="right"/>
              <w:spacing w:after="0"/>
              <w:rPr>
                <w:sz w:val="20"/>
                <w:szCs w:val="20"/>
                <w:color w:val="auto"/>
              </w:rPr>
            </w:pPr>
            <w:r>
              <w:rPr>
                <w:rFonts w:ascii="Arial" w:cs="Arial" w:eastAsia="Arial" w:hAnsi="Arial"/>
                <w:sz w:val="14"/>
                <w:szCs w:val="14"/>
                <w:color w:val="auto"/>
              </w:rPr>
              <w:t>1,359,802</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780" w:type="dxa"/>
            <w:vAlign w:val="bottom"/>
          </w:tcPr>
          <w:p>
            <w:pPr>
              <w:jc w:val="right"/>
              <w:ind w:right="28"/>
              <w:spacing w:after="0"/>
              <w:rPr>
                <w:sz w:val="20"/>
                <w:szCs w:val="20"/>
                <w:color w:val="auto"/>
              </w:rPr>
            </w:pPr>
            <w:r>
              <w:rPr>
                <w:rFonts w:ascii="Arial" w:cs="Arial" w:eastAsia="Arial" w:hAnsi="Arial"/>
                <w:sz w:val="14"/>
                <w:szCs w:val="14"/>
                <w:color w:val="auto"/>
              </w:rPr>
              <w:t>21,626,291.99</w:t>
            </w:r>
          </w:p>
        </w:tc>
        <w:tc>
          <w:tcPr>
            <w:tcW w:w="280" w:type="dxa"/>
            <w:vAlign w:val="bottom"/>
            <w:tcBorders>
              <w:right w:val="single" w:sz="8" w:color="auto"/>
            </w:tcBorders>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2,177.78</w:t>
            </w:r>
          </w:p>
        </w:tc>
        <w:tc>
          <w:tcPr>
            <w:tcW w:w="0" w:type="dxa"/>
            <w:vAlign w:val="bottom"/>
          </w:tcPr>
          <w:p>
            <w:pPr>
              <w:spacing w:after="0"/>
              <w:rPr>
                <w:sz w:val="1"/>
                <w:szCs w:val="1"/>
                <w:color w:val="auto"/>
              </w:rPr>
            </w:pPr>
          </w:p>
        </w:tc>
      </w:tr>
      <w:tr>
        <w:trPr>
          <w:trHeight w:val="41"/>
        </w:trPr>
        <w:tc>
          <w:tcPr>
            <w:tcW w:w="2540" w:type="dxa"/>
            <w:vAlign w:val="bottom"/>
            <w:tcBorders>
              <w:bottom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560" w:right="180" w:hanging="225"/>
        <w:spacing w:after="0" w:line="231" w:lineRule="auto"/>
        <w:tabs>
          <w:tab w:leader="none" w:pos="56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 accordance with Rule 416 under the Securities Act of 1933, as amended (the “Securities Act”), this registration statement shall be deemed to cover any additional shares of common stock that may from time to time be offered or issued under the above-named plans to prevent dilution resulting from stock splits, stock dividends, recapitalizations or similar transactions effected without the receipt of consideration which results in an increase in the number of the Registrant’s outstanding shares of Common Stock. Pursuant to Rule 416(c) under the Securities Act, this Registration Statement shall also cover an indeterminate amount of interests to be offered or sold pursuant to the employee benefit plans described herein.</w:t>
      </w:r>
    </w:p>
    <w:p>
      <w:pPr>
        <w:spacing w:after="0" w:line="22" w:lineRule="exact"/>
        <w:rPr>
          <w:rFonts w:ascii="Arial" w:cs="Arial" w:eastAsia="Arial" w:hAnsi="Arial"/>
          <w:sz w:val="14"/>
          <w:szCs w:val="14"/>
          <w:color w:val="auto"/>
        </w:rPr>
      </w:pPr>
    </w:p>
    <w:p>
      <w:pPr>
        <w:ind w:left="560" w:right="180" w:hanging="225"/>
        <w:spacing w:after="0" w:line="253" w:lineRule="auto"/>
        <w:tabs>
          <w:tab w:leader="none" w:pos="56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Rules 457(c) and 457(h) of the Securities Act and based upon the average of the high and low prices of the Registrant’s Common Stock as reported on The NASDAQ Global Select Market on March 9, 2016.</w:t>
      </w:r>
    </w:p>
    <w:p>
      <w:pPr>
        <w:spacing w:after="0" w:line="11" w:lineRule="exact"/>
        <w:rPr>
          <w:rFonts w:ascii="Arial" w:cs="Arial" w:eastAsia="Arial" w:hAnsi="Arial"/>
          <w:sz w:val="14"/>
          <w:szCs w:val="14"/>
          <w:color w:val="auto"/>
        </w:rPr>
      </w:pPr>
    </w:p>
    <w:p>
      <w:pPr>
        <w:jc w:val="both"/>
        <w:ind w:left="560" w:right="180" w:hanging="225"/>
        <w:spacing w:after="0" w:line="238" w:lineRule="auto"/>
        <w:tabs>
          <w:tab w:leader="none" w:pos="56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Rules 457(c) and 457(h) of the Securities Act and based upon the average of the high and low prices of the Registrant’s Common Stock as reported on The NASDAQ Global Select Market on March 9, 2016, multiplied by 85%, which is the percentage of the price per share applicable to purchasers under the 2015 Employee Stock Purchase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661225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12255"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385445</wp:posOffset>
            </wp:positionV>
            <wp:extent cx="661225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40" w:top="234" w:right="75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This Registration Statement on Form S-8 relating to the 2015 Stock Option and Incentive Plan (the “2015 Plan”) and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2015 Employee Stock Purchase Plan (the “2015 ESPP”) of Blueprint Medicines Corporation (the “Registrant”) is being filed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the purpose of registering additional securities of the same class as other securities for which a Registration Statement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Form S-8 has previously been filed and is effective. Accordingly, this Registration Statement on Form S-8 incorporates by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reference the contents of the Registration Statement on Form S-8 (File No. 333-203749) filed with the Securities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Exchange Commission on April 30, 2015 by the Registrant, relating to the 2015 Plan and the 2015 ESPP except for “Item 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Exhibits” with respect to which the Exhibit Index immediately preceding the exhibits attached hereto is incorporated herein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142875</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Cambridge, Commonwealth of Massachusetts, on this 11</w:t>
      </w:r>
      <w:r>
        <w:rPr>
          <w:rFonts w:ascii="Arial" w:cs="Arial" w:eastAsia="Arial" w:hAnsi="Arial"/>
          <w:sz w:val="8"/>
          <w:szCs w:val="8"/>
          <w:color w:val="auto"/>
        </w:rPr>
        <w:t>th</w:t>
      </w:r>
      <w:r>
        <w:rPr>
          <w:rFonts w:ascii="Arial" w:cs="Arial" w:eastAsia="Arial" w:hAnsi="Arial"/>
          <w:sz w:val="18"/>
          <w:szCs w:val="18"/>
          <w:color w:val="auto"/>
        </w:rPr>
        <w:t xml:space="preserve"> day of March, 2016.</w:t>
      </w:r>
    </w:p>
    <w:p>
      <w:pPr>
        <w:spacing w:after="0" w:line="196"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BLUEPRINT MEDICINES CORPORATION</w:t>
      </w:r>
    </w:p>
    <w:p>
      <w:pPr>
        <w:spacing w:after="0" w:line="200" w:lineRule="exact"/>
        <w:rPr>
          <w:sz w:val="20"/>
          <w:szCs w:val="20"/>
          <w:color w:val="auto"/>
        </w:rPr>
      </w:pPr>
    </w:p>
    <w:p>
      <w:pPr>
        <w:spacing w:after="0" w:line="38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/s/ Jeffrey W.</w:t>
      </w:r>
    </w:p>
    <w:p>
      <w:pPr>
        <w:spacing w:after="0" w:line="2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Albers</w:t>
      </w:r>
    </w:p>
    <w:p>
      <w:pPr>
        <w:spacing w:after="0" w:line="9"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3114675</wp:posOffset>
            </wp:positionH>
            <wp:positionV relativeFrom="paragraph">
              <wp:posOffset>-130810</wp:posOffset>
            </wp:positionV>
            <wp:extent cx="23755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President and Chief Executive Officer</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POWER OF ATTORNEY AND SIGNATURES</w:t>
      </w:r>
    </w:p>
    <w:p>
      <w:pPr>
        <w:spacing w:after="0" w:line="121" w:lineRule="exact"/>
        <w:rPr>
          <w:sz w:val="20"/>
          <w:szCs w:val="20"/>
          <w:color w:val="auto"/>
        </w:rPr>
      </w:pPr>
    </w:p>
    <w:p>
      <w:pPr>
        <w:ind w:right="160" w:firstLine="648"/>
        <w:spacing w:after="0" w:line="271" w:lineRule="auto"/>
        <w:rPr>
          <w:sz w:val="20"/>
          <w:szCs w:val="20"/>
          <w:color w:val="auto"/>
        </w:rPr>
      </w:pPr>
      <w:r>
        <w:rPr>
          <w:rFonts w:ascii="Arial" w:cs="Arial" w:eastAsia="Arial" w:hAnsi="Arial"/>
          <w:sz w:val="17"/>
          <w:szCs w:val="17"/>
          <w:color w:val="auto"/>
        </w:rPr>
        <w:t>We, the undersigned officers and directors of Blueprint Medicines Corporation, hereby severally constitute and appoint Jeffrey W. Albers and Michael Landsittel, and each of them singly, our true and lawful attorneys with full power to any of them, and to each of them singly, to sign for us and in our names in the capacities indicated below the Registration Statement on Form S-8 filed herewith and any and all amendments to said Registration Statement, and generally to do all such things in our name and on our behalf in our capacities as officers and directors to enable Blueprint Medicines Corporation to comply with the provisions of the Securities Act of 1933, as amended, and all requirements of the Securities and Exchange Commission, hereby ratifying and confirming our signatures as they may be signed by our said attorneys, or any of them, to said registration statement and any and all amendments thereto.</w:t>
      </w:r>
    </w:p>
    <w:p>
      <w:pPr>
        <w:spacing w:after="0" w:line="7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 w:type="dxa"/>
            <w:vAlign w:val="bottom"/>
          </w:tcPr>
          <w:p>
            <w:pPr>
              <w:spacing w:after="0"/>
              <w:rPr>
                <w:sz w:val="14"/>
                <w:szCs w:val="14"/>
                <w:color w:val="auto"/>
              </w:rPr>
            </w:pPr>
          </w:p>
        </w:tc>
        <w:tc>
          <w:tcPr>
            <w:tcW w:w="3060" w:type="dxa"/>
            <w:vAlign w:val="bottom"/>
            <w:tcBorders>
              <w:bottom w:val="single" w:sz="8" w:color="auto"/>
            </w:tcBorders>
          </w:tcPr>
          <w:p>
            <w:pPr>
              <w:ind w:left="1240"/>
              <w:spacing w:after="0"/>
              <w:rPr>
                <w:sz w:val="20"/>
                <w:szCs w:val="20"/>
                <w:color w:val="auto"/>
              </w:rPr>
            </w:pPr>
            <w:r>
              <w:rPr>
                <w:rFonts w:ascii="Arial" w:cs="Arial" w:eastAsia="Arial" w:hAnsi="Arial"/>
                <w:sz w:val="14"/>
                <w:szCs w:val="14"/>
                <w:b w:val="1"/>
                <w:bCs w:val="1"/>
                <w:color w:val="auto"/>
              </w:rPr>
              <w:t>Signature</w:t>
            </w:r>
          </w:p>
        </w:tc>
        <w:tc>
          <w:tcPr>
            <w:tcW w:w="180" w:type="dxa"/>
            <w:vAlign w:val="bottom"/>
          </w:tcPr>
          <w:p>
            <w:pPr>
              <w:spacing w:after="0"/>
              <w:rPr>
                <w:sz w:val="14"/>
                <w:szCs w:val="14"/>
                <w:color w:val="auto"/>
              </w:rPr>
            </w:pPr>
          </w:p>
        </w:tc>
        <w:tc>
          <w:tcPr>
            <w:tcW w:w="3860" w:type="dxa"/>
            <w:vAlign w:val="bottom"/>
            <w:tcBorders>
              <w:bottom w:val="single" w:sz="8" w:color="auto"/>
            </w:tcBorders>
          </w:tcPr>
          <w:p>
            <w:pPr>
              <w:ind w:left="1780"/>
              <w:spacing w:after="0"/>
              <w:rPr>
                <w:sz w:val="20"/>
                <w:szCs w:val="20"/>
                <w:color w:val="auto"/>
              </w:rPr>
            </w:pPr>
            <w:r>
              <w:rPr>
                <w:rFonts w:ascii="Arial" w:cs="Arial" w:eastAsia="Arial" w:hAnsi="Arial"/>
                <w:sz w:val="14"/>
                <w:szCs w:val="14"/>
                <w:b w:val="1"/>
                <w:bCs w:val="1"/>
                <w:color w:val="auto"/>
              </w:rPr>
              <w:t>Title</w:t>
            </w:r>
          </w:p>
        </w:tc>
        <w:tc>
          <w:tcPr>
            <w:tcW w:w="160" w:type="dxa"/>
            <w:vAlign w:val="bottom"/>
          </w:tcPr>
          <w:p>
            <w:pPr>
              <w:spacing w:after="0"/>
              <w:rPr>
                <w:sz w:val="14"/>
                <w:szCs w:val="14"/>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80" w:type="dxa"/>
            <w:vAlign w:val="bottom"/>
          </w:tcPr>
          <w:p>
            <w:pPr>
              <w:spacing w:after="0"/>
              <w:rPr>
                <w:sz w:val="14"/>
                <w:szCs w:val="14"/>
                <w:color w:val="auto"/>
              </w:rPr>
            </w:pPr>
          </w:p>
        </w:tc>
      </w:tr>
      <w:tr>
        <w:trPr>
          <w:trHeight w:val="426"/>
        </w:trPr>
        <w:tc>
          <w:tcPr>
            <w:tcW w:w="80" w:type="dxa"/>
            <w:vAlign w:val="bottom"/>
          </w:tcPr>
          <w:p>
            <w:pPr>
              <w:spacing w:after="0"/>
              <w:rPr>
                <w:sz w:val="24"/>
                <w:szCs w:val="24"/>
                <w:color w:val="auto"/>
              </w:rPr>
            </w:pPr>
          </w:p>
        </w:tc>
        <w:tc>
          <w:tcPr>
            <w:tcW w:w="3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W. Albers</w:t>
            </w:r>
          </w:p>
        </w:tc>
        <w:tc>
          <w:tcPr>
            <w:tcW w:w="4040" w:type="dxa"/>
            <w:vAlign w:val="bottom"/>
            <w:gridSpan w:val="2"/>
          </w:tcPr>
          <w:p>
            <w:pPr>
              <w:ind w:left="160"/>
              <w:spacing w:after="0"/>
              <w:rPr>
                <w:sz w:val="20"/>
                <w:szCs w:val="20"/>
                <w:color w:val="auto"/>
              </w:rPr>
            </w:pPr>
            <w:r>
              <w:rPr>
                <w:rFonts w:ascii="Arial" w:cs="Arial" w:eastAsia="Arial" w:hAnsi="Arial"/>
                <w:sz w:val="18"/>
                <w:szCs w:val="18"/>
                <w:color w:val="auto"/>
              </w:rPr>
              <w:t>President, Chief Executive Officer and Director</w:t>
            </w:r>
          </w:p>
        </w:tc>
        <w:tc>
          <w:tcPr>
            <w:tcW w:w="16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March 11, 2016</w:t>
            </w:r>
          </w:p>
        </w:tc>
        <w:tc>
          <w:tcPr>
            <w:tcW w:w="80" w:type="dxa"/>
            <w:vAlign w:val="bottom"/>
          </w:tcPr>
          <w:p>
            <w:pPr>
              <w:spacing w:after="0"/>
              <w:rPr>
                <w:sz w:val="24"/>
                <w:szCs w:val="24"/>
                <w:color w:val="auto"/>
              </w:rPr>
            </w:pPr>
          </w:p>
        </w:tc>
      </w:tr>
      <w:tr>
        <w:trPr>
          <w:trHeight w:val="224"/>
        </w:trPr>
        <w:tc>
          <w:tcPr>
            <w:tcW w:w="8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Jeffrey W. Albers</w:t>
            </w:r>
          </w:p>
        </w:tc>
        <w:tc>
          <w:tcPr>
            <w:tcW w:w="4040" w:type="dxa"/>
            <w:vAlign w:val="bottom"/>
            <w:gridSpan w:val="2"/>
          </w:tcPr>
          <w:p>
            <w:pPr>
              <w:ind w:left="160"/>
              <w:spacing w:after="0"/>
              <w:rPr>
                <w:sz w:val="20"/>
                <w:szCs w:val="20"/>
                <w:color w:val="auto"/>
              </w:rPr>
            </w:pPr>
            <w:r>
              <w:rPr>
                <w:rFonts w:ascii="Arial" w:cs="Arial" w:eastAsia="Arial" w:hAnsi="Arial"/>
                <w:sz w:val="18"/>
                <w:szCs w:val="18"/>
                <w:i w:val="1"/>
                <w:iCs w:val="1"/>
                <w:color w:val="auto"/>
              </w:rPr>
              <w:t>(Principal Executive Officer)</w:t>
            </w: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18"/>
        </w:trPr>
        <w:tc>
          <w:tcPr>
            <w:tcW w:w="80" w:type="dxa"/>
            <w:vAlign w:val="bottom"/>
          </w:tcPr>
          <w:p>
            <w:pPr>
              <w:spacing w:after="0"/>
              <w:rPr>
                <w:sz w:val="24"/>
                <w:szCs w:val="24"/>
                <w:color w:val="auto"/>
              </w:rPr>
            </w:pPr>
          </w:p>
        </w:tc>
        <w:tc>
          <w:tcPr>
            <w:tcW w:w="3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Landsittel</w:t>
            </w:r>
          </w:p>
        </w:tc>
        <w:tc>
          <w:tcPr>
            <w:tcW w:w="4040" w:type="dxa"/>
            <w:vAlign w:val="bottom"/>
            <w:gridSpan w:val="2"/>
          </w:tcPr>
          <w:p>
            <w:pPr>
              <w:ind w:left="160"/>
              <w:spacing w:after="0"/>
              <w:rPr>
                <w:sz w:val="20"/>
                <w:szCs w:val="20"/>
                <w:color w:val="auto"/>
              </w:rPr>
            </w:pPr>
            <w:r>
              <w:rPr>
                <w:rFonts w:ascii="Arial" w:cs="Arial" w:eastAsia="Arial" w:hAnsi="Arial"/>
                <w:sz w:val="18"/>
                <w:szCs w:val="18"/>
                <w:color w:val="auto"/>
              </w:rPr>
              <w:t>Vice President of Finance</w:t>
            </w:r>
          </w:p>
        </w:tc>
        <w:tc>
          <w:tcPr>
            <w:tcW w:w="16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March 11, 2016</w:t>
            </w:r>
          </w:p>
        </w:tc>
        <w:tc>
          <w:tcPr>
            <w:tcW w:w="80" w:type="dxa"/>
            <w:vAlign w:val="bottom"/>
          </w:tcPr>
          <w:p>
            <w:pPr>
              <w:spacing w:after="0"/>
              <w:rPr>
                <w:sz w:val="24"/>
                <w:szCs w:val="24"/>
                <w:color w:val="auto"/>
              </w:rPr>
            </w:pPr>
          </w:p>
        </w:tc>
      </w:tr>
      <w:tr>
        <w:trPr>
          <w:trHeight w:val="224"/>
        </w:trPr>
        <w:tc>
          <w:tcPr>
            <w:tcW w:w="8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Michael Landsittel</w:t>
            </w:r>
          </w:p>
        </w:tc>
        <w:tc>
          <w:tcPr>
            <w:tcW w:w="4040" w:type="dxa"/>
            <w:vAlign w:val="bottom"/>
            <w:gridSpan w:val="2"/>
          </w:tcPr>
          <w:p>
            <w:pPr>
              <w:ind w:left="160"/>
              <w:spacing w:after="0"/>
              <w:rPr>
                <w:sz w:val="20"/>
                <w:szCs w:val="20"/>
                <w:color w:val="auto"/>
              </w:rPr>
            </w:pPr>
            <w:r>
              <w:rPr>
                <w:rFonts w:ascii="Arial" w:cs="Arial" w:eastAsia="Arial" w:hAnsi="Arial"/>
                <w:sz w:val="18"/>
                <w:szCs w:val="18"/>
                <w:i w:val="1"/>
                <w:iCs w:val="1"/>
                <w:color w:val="auto"/>
              </w:rPr>
              <w:t>(Principal Financial and Accounting Officer)</w:t>
            </w: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18"/>
        </w:trPr>
        <w:tc>
          <w:tcPr>
            <w:tcW w:w="80" w:type="dxa"/>
            <w:vAlign w:val="bottom"/>
          </w:tcPr>
          <w:p>
            <w:pPr>
              <w:spacing w:after="0"/>
              <w:rPr>
                <w:sz w:val="24"/>
                <w:szCs w:val="24"/>
                <w:color w:val="auto"/>
              </w:rPr>
            </w:pPr>
          </w:p>
        </w:tc>
        <w:tc>
          <w:tcPr>
            <w:tcW w:w="3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S. Lynch</w:t>
            </w:r>
          </w:p>
        </w:tc>
        <w:tc>
          <w:tcPr>
            <w:tcW w:w="4040" w:type="dxa"/>
            <w:vAlign w:val="bottom"/>
            <w:gridSpan w:val="2"/>
          </w:tcPr>
          <w:p>
            <w:pPr>
              <w:ind w:left="160"/>
              <w:spacing w:after="0"/>
              <w:rPr>
                <w:sz w:val="20"/>
                <w:szCs w:val="20"/>
                <w:color w:val="auto"/>
              </w:rPr>
            </w:pPr>
            <w:r>
              <w:rPr>
                <w:rFonts w:ascii="Arial" w:cs="Arial" w:eastAsia="Arial" w:hAnsi="Arial"/>
                <w:sz w:val="18"/>
                <w:szCs w:val="18"/>
                <w:color w:val="auto"/>
              </w:rPr>
              <w:t>Chairman of the Board</w:t>
            </w:r>
          </w:p>
        </w:tc>
        <w:tc>
          <w:tcPr>
            <w:tcW w:w="16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March 11, 2016</w:t>
            </w:r>
          </w:p>
        </w:tc>
        <w:tc>
          <w:tcPr>
            <w:tcW w:w="80" w:type="dxa"/>
            <w:vAlign w:val="bottom"/>
          </w:tcPr>
          <w:p>
            <w:pPr>
              <w:spacing w:after="0"/>
              <w:rPr>
                <w:sz w:val="24"/>
                <w:szCs w:val="24"/>
                <w:color w:val="auto"/>
              </w:rPr>
            </w:pPr>
          </w:p>
        </w:tc>
      </w:tr>
      <w:tr>
        <w:trPr>
          <w:trHeight w:val="224"/>
        </w:trPr>
        <w:tc>
          <w:tcPr>
            <w:tcW w:w="8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Daniel S. Lynch</w:t>
            </w:r>
          </w:p>
        </w:tc>
        <w:tc>
          <w:tcPr>
            <w:tcW w:w="18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18"/>
        </w:trPr>
        <w:tc>
          <w:tcPr>
            <w:tcW w:w="80" w:type="dxa"/>
            <w:vAlign w:val="bottom"/>
          </w:tcPr>
          <w:p>
            <w:pPr>
              <w:spacing w:after="0"/>
              <w:rPr>
                <w:sz w:val="24"/>
                <w:szCs w:val="24"/>
                <w:color w:val="auto"/>
              </w:rPr>
            </w:pPr>
          </w:p>
        </w:tc>
        <w:tc>
          <w:tcPr>
            <w:tcW w:w="3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Nicholas Lydon</w:t>
            </w:r>
          </w:p>
        </w:tc>
        <w:tc>
          <w:tcPr>
            <w:tcW w:w="404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March 11, 2016</w:t>
            </w:r>
          </w:p>
        </w:tc>
        <w:tc>
          <w:tcPr>
            <w:tcW w:w="80" w:type="dxa"/>
            <w:vAlign w:val="bottom"/>
          </w:tcPr>
          <w:p>
            <w:pPr>
              <w:spacing w:after="0"/>
              <w:rPr>
                <w:sz w:val="24"/>
                <w:szCs w:val="24"/>
                <w:color w:val="auto"/>
              </w:rPr>
            </w:pPr>
          </w:p>
        </w:tc>
      </w:tr>
      <w:tr>
        <w:trPr>
          <w:trHeight w:val="224"/>
        </w:trPr>
        <w:tc>
          <w:tcPr>
            <w:tcW w:w="8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Nicholas Lydon, Ph.D.</w:t>
            </w:r>
          </w:p>
        </w:tc>
        <w:tc>
          <w:tcPr>
            <w:tcW w:w="18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18"/>
        </w:trPr>
        <w:tc>
          <w:tcPr>
            <w:tcW w:w="80" w:type="dxa"/>
            <w:vAlign w:val="bottom"/>
          </w:tcPr>
          <w:p>
            <w:pPr>
              <w:spacing w:after="0"/>
              <w:rPr>
                <w:sz w:val="24"/>
                <w:szCs w:val="24"/>
                <w:color w:val="auto"/>
              </w:rPr>
            </w:pPr>
          </w:p>
        </w:tc>
        <w:tc>
          <w:tcPr>
            <w:tcW w:w="3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Alexis Borisy</w:t>
            </w:r>
          </w:p>
        </w:tc>
        <w:tc>
          <w:tcPr>
            <w:tcW w:w="404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March 11, 2016</w:t>
            </w:r>
          </w:p>
        </w:tc>
        <w:tc>
          <w:tcPr>
            <w:tcW w:w="80" w:type="dxa"/>
            <w:vAlign w:val="bottom"/>
          </w:tcPr>
          <w:p>
            <w:pPr>
              <w:spacing w:after="0"/>
              <w:rPr>
                <w:sz w:val="24"/>
                <w:szCs w:val="24"/>
                <w:color w:val="auto"/>
              </w:rPr>
            </w:pPr>
          </w:p>
        </w:tc>
      </w:tr>
      <w:tr>
        <w:trPr>
          <w:trHeight w:val="224"/>
        </w:trPr>
        <w:tc>
          <w:tcPr>
            <w:tcW w:w="8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Alexis Borisy</w:t>
            </w:r>
          </w:p>
        </w:tc>
        <w:tc>
          <w:tcPr>
            <w:tcW w:w="18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18"/>
        </w:trPr>
        <w:tc>
          <w:tcPr>
            <w:tcW w:w="80" w:type="dxa"/>
            <w:vAlign w:val="bottom"/>
          </w:tcPr>
          <w:p>
            <w:pPr>
              <w:spacing w:after="0"/>
              <w:rPr>
                <w:sz w:val="24"/>
                <w:szCs w:val="24"/>
                <w:color w:val="auto"/>
              </w:rPr>
            </w:pPr>
          </w:p>
        </w:tc>
        <w:tc>
          <w:tcPr>
            <w:tcW w:w="3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Goldberg</w:t>
            </w:r>
          </w:p>
        </w:tc>
        <w:tc>
          <w:tcPr>
            <w:tcW w:w="404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March 11, 2016</w:t>
            </w:r>
          </w:p>
        </w:tc>
        <w:tc>
          <w:tcPr>
            <w:tcW w:w="80" w:type="dxa"/>
            <w:vAlign w:val="bottom"/>
          </w:tcPr>
          <w:p>
            <w:pPr>
              <w:spacing w:after="0"/>
              <w:rPr>
                <w:sz w:val="24"/>
                <w:szCs w:val="24"/>
                <w:color w:val="auto"/>
              </w:rPr>
            </w:pPr>
          </w:p>
        </w:tc>
      </w:tr>
      <w:tr>
        <w:trPr>
          <w:trHeight w:val="224"/>
        </w:trPr>
        <w:tc>
          <w:tcPr>
            <w:tcW w:w="8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Mark Goldberg, M.D.</w:t>
            </w:r>
          </w:p>
        </w:tc>
        <w:tc>
          <w:tcPr>
            <w:tcW w:w="18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18"/>
        </w:trPr>
        <w:tc>
          <w:tcPr>
            <w:tcW w:w="80" w:type="dxa"/>
            <w:vAlign w:val="bottom"/>
          </w:tcPr>
          <w:p>
            <w:pPr>
              <w:spacing w:after="0"/>
              <w:rPr>
                <w:sz w:val="24"/>
                <w:szCs w:val="24"/>
                <w:color w:val="auto"/>
              </w:rPr>
            </w:pPr>
          </w:p>
        </w:tc>
        <w:tc>
          <w:tcPr>
            <w:tcW w:w="3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Charles A. Rowland, Jr.</w:t>
            </w:r>
          </w:p>
        </w:tc>
        <w:tc>
          <w:tcPr>
            <w:tcW w:w="404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March 11, 2016</w:t>
            </w:r>
          </w:p>
        </w:tc>
        <w:tc>
          <w:tcPr>
            <w:tcW w:w="80" w:type="dxa"/>
            <w:vAlign w:val="bottom"/>
          </w:tcPr>
          <w:p>
            <w:pPr>
              <w:spacing w:after="0"/>
              <w:rPr>
                <w:sz w:val="24"/>
                <w:szCs w:val="24"/>
                <w:color w:val="auto"/>
              </w:rPr>
            </w:pPr>
          </w:p>
        </w:tc>
      </w:tr>
      <w:tr>
        <w:trPr>
          <w:trHeight w:val="224"/>
        </w:trPr>
        <w:tc>
          <w:tcPr>
            <w:tcW w:w="8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Charles A. Rowland, Jr.</w:t>
            </w:r>
          </w:p>
        </w:tc>
        <w:tc>
          <w:tcPr>
            <w:tcW w:w="18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18"/>
        </w:trPr>
        <w:tc>
          <w:tcPr>
            <w:tcW w:w="80" w:type="dxa"/>
            <w:vAlign w:val="bottom"/>
          </w:tcPr>
          <w:p>
            <w:pPr>
              <w:spacing w:after="0"/>
              <w:rPr>
                <w:sz w:val="24"/>
                <w:szCs w:val="24"/>
                <w:color w:val="auto"/>
              </w:rPr>
            </w:pPr>
          </w:p>
        </w:tc>
        <w:tc>
          <w:tcPr>
            <w:tcW w:w="3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George Demetri</w:t>
            </w:r>
          </w:p>
        </w:tc>
        <w:tc>
          <w:tcPr>
            <w:tcW w:w="404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March 11, 2016</w:t>
            </w:r>
          </w:p>
        </w:tc>
        <w:tc>
          <w:tcPr>
            <w:tcW w:w="80" w:type="dxa"/>
            <w:vAlign w:val="bottom"/>
          </w:tcPr>
          <w:p>
            <w:pPr>
              <w:spacing w:after="0"/>
              <w:rPr>
                <w:sz w:val="24"/>
                <w:szCs w:val="24"/>
                <w:color w:val="auto"/>
              </w:rPr>
            </w:pPr>
          </w:p>
        </w:tc>
      </w:tr>
      <w:tr>
        <w:trPr>
          <w:trHeight w:val="224"/>
        </w:trPr>
        <w:tc>
          <w:tcPr>
            <w:tcW w:w="8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George Demetri, M.D.</w:t>
            </w:r>
          </w:p>
        </w:tc>
        <w:tc>
          <w:tcPr>
            <w:tcW w:w="18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18"/>
        </w:trPr>
        <w:tc>
          <w:tcPr>
            <w:tcW w:w="80" w:type="dxa"/>
            <w:vAlign w:val="bottom"/>
          </w:tcPr>
          <w:p>
            <w:pPr>
              <w:spacing w:after="0"/>
              <w:rPr>
                <w:sz w:val="24"/>
                <w:szCs w:val="24"/>
                <w:color w:val="auto"/>
              </w:rPr>
            </w:pPr>
          </w:p>
        </w:tc>
        <w:tc>
          <w:tcPr>
            <w:tcW w:w="3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Lonnel Coats</w:t>
            </w:r>
          </w:p>
        </w:tc>
        <w:tc>
          <w:tcPr>
            <w:tcW w:w="404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March 11, 2016</w:t>
            </w:r>
          </w:p>
        </w:tc>
        <w:tc>
          <w:tcPr>
            <w:tcW w:w="80" w:type="dxa"/>
            <w:vAlign w:val="bottom"/>
          </w:tcPr>
          <w:p>
            <w:pPr>
              <w:spacing w:after="0"/>
              <w:rPr>
                <w:sz w:val="24"/>
                <w:szCs w:val="24"/>
                <w:color w:val="auto"/>
              </w:rPr>
            </w:pPr>
          </w:p>
        </w:tc>
      </w:tr>
      <w:tr>
        <w:trPr>
          <w:trHeight w:val="224"/>
        </w:trPr>
        <w:tc>
          <w:tcPr>
            <w:tcW w:w="8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Lonnel Coats</w:t>
            </w:r>
          </w:p>
        </w:tc>
        <w:tc>
          <w:tcPr>
            <w:tcW w:w="18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2"/>
        </w:trPr>
        <w:tc>
          <w:tcPr>
            <w:tcW w:w="8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8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r>
    </w:tbl>
    <w:p>
      <w:pPr>
        <w:sectPr>
          <w:pgSz w:w="11900" w:h="16838" w:orient="portrait"/>
          <w:cols w:equalWidth="0" w:num="1">
            <w:col w:w="9060"/>
          </w:cols>
          <w:pgMar w:left="1420" w:top="121" w:right="141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9039"/>
          </w:cols>
          <w:pgMar w:left="1420" w:top="121" w:right="1440" w:bottom="1440" w:gutter="0" w:footer="0" w:header="0"/>
        </w:sectPr>
      </w:pPr>
    </w:p>
    <w:p>
      <w:pPr>
        <w:spacing w:after="0" w:line="200" w:lineRule="exact"/>
        <w:rPr>
          <w:sz w:val="20"/>
          <w:szCs w:val="20"/>
          <w:color w:val="auto"/>
        </w:rPr>
      </w:pPr>
    </w:p>
    <w:p>
      <w:pPr>
        <w:spacing w:after="0" w:line="251"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1360" w:type="dxa"/>
            <w:vAlign w:val="bottom"/>
          </w:tcPr>
          <w:p>
            <w:pPr>
              <w:jc w:val="center"/>
              <w:ind w:right="788"/>
              <w:spacing w:after="0"/>
              <w:rPr>
                <w:sz w:val="20"/>
                <w:szCs w:val="20"/>
                <w:color w:val="auto"/>
              </w:rPr>
            </w:pPr>
            <w:r>
              <w:rPr>
                <w:rFonts w:ascii="Arial" w:cs="Arial" w:eastAsia="Arial" w:hAnsi="Arial"/>
                <w:sz w:val="14"/>
                <w:szCs w:val="14"/>
                <w:b w:val="1"/>
                <w:bCs w:val="1"/>
                <w:color w:val="auto"/>
                <w:w w:val="98"/>
              </w:rPr>
              <w:t>Exhibit</w:t>
            </w:r>
          </w:p>
        </w:tc>
        <w:tc>
          <w:tcPr>
            <w:tcW w:w="2200" w:type="dxa"/>
            <w:vAlign w:val="bottom"/>
            <w:vMerge w:val="restart"/>
          </w:tcPr>
          <w:p>
            <w:pPr>
              <w:ind w:left="840"/>
              <w:spacing w:after="0"/>
              <w:rPr>
                <w:sz w:val="20"/>
                <w:szCs w:val="20"/>
                <w:color w:val="auto"/>
              </w:rPr>
            </w:pPr>
            <w:r>
              <w:rPr>
                <w:rFonts w:ascii="Arial" w:cs="Arial" w:eastAsia="Arial" w:hAnsi="Arial"/>
                <w:sz w:val="14"/>
                <w:szCs w:val="14"/>
                <w:b w:val="1"/>
                <w:bCs w:val="1"/>
                <w:color w:val="auto"/>
                <w:w w:val="92"/>
              </w:rPr>
              <w:t>Description of Exhibit</w:t>
            </w:r>
          </w:p>
        </w:tc>
        <w:tc>
          <w:tcPr>
            <w:tcW w:w="0" w:type="dxa"/>
            <w:vAlign w:val="bottom"/>
          </w:tcPr>
          <w:p>
            <w:pPr>
              <w:spacing w:after="0"/>
              <w:rPr>
                <w:sz w:val="1"/>
                <w:szCs w:val="1"/>
                <w:color w:val="auto"/>
              </w:rPr>
            </w:pPr>
          </w:p>
        </w:tc>
      </w:tr>
      <w:tr>
        <w:trPr>
          <w:trHeight w:val="186"/>
        </w:trPr>
        <w:tc>
          <w:tcPr>
            <w:tcW w:w="1360" w:type="dxa"/>
            <w:vAlign w:val="bottom"/>
          </w:tcPr>
          <w:p>
            <w:pPr>
              <w:jc w:val="center"/>
              <w:ind w:right="788"/>
              <w:spacing w:after="0"/>
              <w:rPr>
                <w:sz w:val="20"/>
                <w:szCs w:val="20"/>
                <w:color w:val="auto"/>
              </w:rPr>
            </w:pPr>
            <w:r>
              <w:rPr>
                <w:rFonts w:ascii="Arial" w:cs="Arial" w:eastAsia="Arial" w:hAnsi="Arial"/>
                <w:sz w:val="14"/>
                <w:szCs w:val="14"/>
                <w:b w:val="1"/>
                <w:bCs w:val="1"/>
                <w:color w:val="auto"/>
                <w:w w:val="94"/>
              </w:rPr>
              <w:t>Number</w:t>
            </w:r>
          </w:p>
        </w:tc>
        <w:tc>
          <w:tcPr>
            <w:tcW w:w="2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3310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ind w:left="760" w:right="140" w:hanging="755"/>
        <w:spacing w:after="0" w:line="259" w:lineRule="auto"/>
        <w:tabs>
          <w:tab w:leader="none" w:pos="7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Fifth Amended and Restated Certificate of Incorporation of the Registrant</w:t>
      </w:r>
    </w:p>
    <w:p>
      <w:pPr>
        <w:spacing w:after="0" w:line="7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Amended and Restated Bylaws of the Registrant</w:t>
      </w:r>
    </w:p>
    <w:p>
      <w:pPr>
        <w:spacing w:after="0" w:line="17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Specimen Common Stock Certificate</w:t>
      </w:r>
    </w:p>
    <w:p>
      <w:pPr>
        <w:spacing w:after="0" w:line="117" w:lineRule="exact"/>
        <w:rPr>
          <w:sz w:val="20"/>
          <w:szCs w:val="20"/>
          <w:color w:val="auto"/>
        </w:rPr>
      </w:pPr>
    </w:p>
    <w:p>
      <w:pPr>
        <w:jc w:val="both"/>
        <w:ind w:left="760" w:hanging="755"/>
        <w:spacing w:after="0" w:line="264" w:lineRule="auto"/>
        <w:tabs>
          <w:tab w:leader="none" w:pos="7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Second Amended and Restated Investors’ Rights Agreement, dated as of November 7, 2014, by and among the Registrant and the Investors listed therein</w:t>
      </w:r>
    </w:p>
    <w:p>
      <w:pPr>
        <w:spacing w:after="0" w:line="73" w:lineRule="exact"/>
        <w:rPr>
          <w:sz w:val="20"/>
          <w:szCs w:val="20"/>
          <w:color w:val="auto"/>
        </w:rPr>
      </w:pPr>
    </w:p>
    <w:p>
      <w:pPr>
        <w:ind w:left="760" w:right="100" w:hanging="755"/>
        <w:spacing w:after="0" w:line="286" w:lineRule="auto"/>
        <w:tabs>
          <w:tab w:leader="none" w:pos="7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7"/>
          <w:szCs w:val="17"/>
          <w:color w:val="auto"/>
        </w:rPr>
        <w:t>Second Amended and Restated Stockholders’ Agreement, dated as of November 7, 2014, by and among the Registrant and the Stockholders listed therein</w:t>
      </w:r>
    </w:p>
    <w:p>
      <w:pPr>
        <w:spacing w:after="0" w:line="5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Goodwin Procter LLP, counsel to the Registrant</w:t>
      </w:r>
    </w:p>
    <w:p>
      <w:pPr>
        <w:spacing w:after="0" w:line="117" w:lineRule="exact"/>
        <w:rPr>
          <w:sz w:val="20"/>
          <w:szCs w:val="20"/>
          <w:color w:val="auto"/>
        </w:rPr>
      </w:pPr>
    </w:p>
    <w:p>
      <w:pPr>
        <w:ind w:left="760" w:right="220" w:hanging="755"/>
        <w:spacing w:after="0" w:line="277" w:lineRule="auto"/>
        <w:tabs>
          <w:tab w:leader="none" w:pos="7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8"/>
          <w:szCs w:val="18"/>
          <w:color w:val="auto"/>
        </w:rPr>
        <w:t>Consent of Ernst &amp; Young LLP, an independent registered public accounting firm</w:t>
      </w:r>
    </w:p>
    <w:p>
      <w:pPr>
        <w:spacing w:after="0" w:line="6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Goodwin Procter LLP (included in Exhibit 5.1)</w:t>
      </w:r>
    </w:p>
    <w:p>
      <w:pPr>
        <w:spacing w:after="0" w:line="117" w:lineRule="exact"/>
        <w:rPr>
          <w:sz w:val="20"/>
          <w:szCs w:val="20"/>
          <w:color w:val="auto"/>
        </w:rPr>
      </w:pPr>
    </w:p>
    <w:p>
      <w:pPr>
        <w:ind w:left="760" w:right="260" w:hanging="755"/>
        <w:spacing w:after="0" w:line="277" w:lineRule="auto"/>
        <w:tabs>
          <w:tab w:leader="none" w:pos="74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8"/>
          <w:szCs w:val="18"/>
          <w:color w:val="auto"/>
        </w:rPr>
        <w:t>Power of attorney (included on the signature pages of this registration statement)</w:t>
      </w:r>
    </w:p>
    <w:p>
      <w:pPr>
        <w:spacing w:after="0" w:line="6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2015 Stock Option and Incentive Plan</w:t>
      </w:r>
    </w:p>
    <w:p>
      <w:pPr>
        <w:spacing w:after="0" w:line="11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5"/>
          <w:szCs w:val="15"/>
          <w:color w:val="auto"/>
        </w:rPr>
        <w:t>2015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152400</wp:posOffset>
            </wp:positionV>
            <wp:extent cx="14408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3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152400</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2320" w:type="dxa"/>
            <w:vAlign w:val="bottom"/>
            <w:gridSpan w:val="6"/>
          </w:tcPr>
          <w:p>
            <w:pPr>
              <w:ind w:left="300"/>
              <w:spacing w:after="0"/>
              <w:rPr>
                <w:sz w:val="20"/>
                <w:szCs w:val="20"/>
                <w:color w:val="auto"/>
              </w:rPr>
            </w:pPr>
            <w:r>
              <w:rPr>
                <w:rFonts w:ascii="Arial" w:cs="Arial" w:eastAsia="Arial" w:hAnsi="Arial"/>
                <w:sz w:val="14"/>
                <w:szCs w:val="14"/>
                <w:b w:val="1"/>
                <w:bCs w:val="1"/>
                <w:color w:val="auto"/>
              </w:rPr>
              <w:t>Incorporated by Reference</w:t>
            </w: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40" w:type="dxa"/>
            <w:vAlign w:val="bottom"/>
            <w:tcBorders>
              <w:top w:val="single" w:sz="8" w:color="auto"/>
            </w:tcBorders>
            <w:gridSpan w:val="2"/>
            <w:vMerge w:val="restart"/>
          </w:tcPr>
          <w:p>
            <w:pPr>
              <w:jc w:val="center"/>
              <w:ind w:right="60"/>
              <w:spacing w:after="0"/>
              <w:rPr>
                <w:sz w:val="20"/>
                <w:szCs w:val="20"/>
                <w:color w:val="auto"/>
              </w:rPr>
            </w:pPr>
            <w:r>
              <w:rPr>
                <w:rFonts w:ascii="Arial" w:cs="Arial" w:eastAsia="Arial" w:hAnsi="Arial"/>
                <w:sz w:val="14"/>
                <w:szCs w:val="14"/>
                <w:b w:val="1"/>
                <w:bCs w:val="1"/>
                <w:color w:val="auto"/>
              </w:rPr>
              <w:t>Form</w:t>
            </w:r>
          </w:p>
        </w:tc>
        <w:tc>
          <w:tcPr>
            <w:tcW w:w="960" w:type="dxa"/>
            <w:vAlign w:val="bottom"/>
            <w:tcBorders>
              <w:top w:val="single" w:sz="8" w:color="auto"/>
            </w:tcBorders>
            <w:gridSpan w:val="2"/>
            <w:vMerge w:val="restart"/>
          </w:tcPr>
          <w:p>
            <w:pPr>
              <w:ind w:left="220"/>
              <w:spacing w:after="0"/>
              <w:rPr>
                <w:sz w:val="20"/>
                <w:szCs w:val="20"/>
                <w:color w:val="auto"/>
              </w:rPr>
            </w:pPr>
            <w:r>
              <w:rPr>
                <w:rFonts w:ascii="Arial" w:cs="Arial" w:eastAsia="Arial" w:hAnsi="Arial"/>
                <w:sz w:val="14"/>
                <w:szCs w:val="14"/>
                <w:b w:val="1"/>
                <w:bCs w:val="1"/>
                <w:color w:val="auto"/>
              </w:rPr>
              <w:t>File No.</w:t>
            </w:r>
          </w:p>
        </w:tc>
        <w:tc>
          <w:tcPr>
            <w:tcW w:w="7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Exhibit</w:t>
            </w:r>
          </w:p>
        </w:tc>
        <w:tc>
          <w:tcPr>
            <w:tcW w:w="80" w:type="dxa"/>
            <w:vAlign w:val="bottom"/>
          </w:tcPr>
          <w:p>
            <w:pPr>
              <w:spacing w:after="0"/>
              <w:rPr>
                <w:sz w:val="10"/>
                <w:szCs w:val="10"/>
                <w:color w:val="auto"/>
              </w:rPr>
            </w:pP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0" w:type="dxa"/>
            <w:vAlign w:val="bottom"/>
          </w:tcPr>
          <w:p>
            <w:pPr>
              <w:spacing w:after="0"/>
              <w:rPr>
                <w:sz w:val="1"/>
                <w:szCs w:val="1"/>
                <w:color w:val="auto"/>
              </w:rPr>
            </w:pPr>
          </w:p>
        </w:tc>
      </w:tr>
      <w:tr>
        <w:trPr>
          <w:trHeight w:val="171"/>
        </w:trPr>
        <w:tc>
          <w:tcPr>
            <w:tcW w:w="54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Number</w:t>
            </w: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80" w:type="dxa"/>
            <w:vAlign w:val="bottom"/>
            <w:tcBorders>
              <w:top w:val="single" w:sz="8" w:color="auto"/>
            </w:tcBorders>
          </w:tcPr>
          <w:p>
            <w:pPr>
              <w:jc w:val="center"/>
              <w:spacing w:after="0" w:line="154" w:lineRule="exact"/>
              <w:rPr>
                <w:sz w:val="20"/>
                <w:szCs w:val="20"/>
                <w:color w:val="auto"/>
              </w:rPr>
            </w:pPr>
            <w:r>
              <w:rPr>
                <w:rFonts w:ascii="Arial" w:cs="Arial" w:eastAsia="Arial" w:hAnsi="Arial"/>
                <w:sz w:val="17"/>
                <w:szCs w:val="17"/>
                <w:color w:val="auto"/>
                <w:w w:val="95"/>
              </w:rPr>
              <w:t>10-Q</w:t>
            </w:r>
          </w:p>
        </w:tc>
        <w:tc>
          <w:tcPr>
            <w:tcW w:w="60" w:type="dxa"/>
            <w:vAlign w:val="bottom"/>
          </w:tcPr>
          <w:p>
            <w:pPr>
              <w:spacing w:after="0"/>
              <w:rPr>
                <w:sz w:val="13"/>
                <w:szCs w:val="13"/>
                <w:color w:val="auto"/>
              </w:rPr>
            </w:pPr>
          </w:p>
        </w:tc>
        <w:tc>
          <w:tcPr>
            <w:tcW w:w="900" w:type="dxa"/>
            <w:vAlign w:val="bottom"/>
            <w:tcBorders>
              <w:top w:val="single" w:sz="8" w:color="auto"/>
            </w:tcBorders>
          </w:tcPr>
          <w:p>
            <w:pPr>
              <w:jc w:val="center"/>
              <w:spacing w:after="0" w:line="154" w:lineRule="exact"/>
              <w:rPr>
                <w:sz w:val="20"/>
                <w:szCs w:val="20"/>
                <w:color w:val="auto"/>
              </w:rPr>
            </w:pPr>
            <w:r>
              <w:rPr>
                <w:rFonts w:ascii="Arial" w:cs="Arial" w:eastAsia="Arial" w:hAnsi="Arial"/>
                <w:sz w:val="17"/>
                <w:szCs w:val="17"/>
                <w:color w:val="auto"/>
                <w:w w:val="95"/>
              </w:rPr>
              <w:t>001-37359</w:t>
            </w:r>
          </w:p>
        </w:tc>
        <w:tc>
          <w:tcPr>
            <w:tcW w:w="60" w:type="dxa"/>
            <w:vAlign w:val="bottom"/>
          </w:tcPr>
          <w:p>
            <w:pPr>
              <w:spacing w:after="0"/>
              <w:rPr>
                <w:sz w:val="13"/>
                <w:szCs w:val="13"/>
                <w:color w:val="auto"/>
              </w:rPr>
            </w:pPr>
          </w:p>
        </w:tc>
        <w:tc>
          <w:tcPr>
            <w:tcW w:w="740" w:type="dxa"/>
            <w:vAlign w:val="bottom"/>
            <w:tcBorders>
              <w:top w:val="single" w:sz="8" w:color="auto"/>
            </w:tcBorders>
          </w:tcPr>
          <w:p>
            <w:pPr>
              <w:jc w:val="center"/>
              <w:spacing w:after="0" w:line="154" w:lineRule="exact"/>
              <w:rPr>
                <w:sz w:val="20"/>
                <w:szCs w:val="20"/>
                <w:color w:val="auto"/>
              </w:rPr>
            </w:pPr>
            <w:r>
              <w:rPr>
                <w:rFonts w:ascii="Arial" w:cs="Arial" w:eastAsia="Arial" w:hAnsi="Arial"/>
                <w:sz w:val="17"/>
                <w:szCs w:val="17"/>
                <w:color w:val="auto"/>
                <w:w w:val="92"/>
              </w:rPr>
              <w:t>3.1</w:t>
            </w:r>
          </w:p>
        </w:tc>
        <w:tc>
          <w:tcPr>
            <w:tcW w:w="80" w:type="dxa"/>
            <w:vAlign w:val="bottom"/>
          </w:tcPr>
          <w:p>
            <w:pPr>
              <w:spacing w:after="0"/>
              <w:rPr>
                <w:sz w:val="13"/>
                <w:szCs w:val="13"/>
                <w:color w:val="auto"/>
              </w:rPr>
            </w:pPr>
          </w:p>
        </w:tc>
        <w:tc>
          <w:tcPr>
            <w:tcW w:w="1340" w:type="dxa"/>
            <w:vAlign w:val="bottom"/>
            <w:tcBorders>
              <w:top w:val="single" w:sz="8" w:color="auto"/>
            </w:tcBorders>
          </w:tcPr>
          <w:p>
            <w:pPr>
              <w:jc w:val="center"/>
              <w:spacing w:after="0" w:line="154" w:lineRule="exact"/>
              <w:rPr>
                <w:sz w:val="20"/>
                <w:szCs w:val="20"/>
                <w:color w:val="auto"/>
              </w:rPr>
            </w:pPr>
            <w:r>
              <w:rPr>
                <w:rFonts w:ascii="Arial" w:cs="Arial" w:eastAsia="Arial" w:hAnsi="Arial"/>
                <w:sz w:val="17"/>
                <w:szCs w:val="17"/>
                <w:color w:val="auto"/>
                <w:w w:val="96"/>
              </w:rPr>
              <w:t>November 9,</w:t>
            </w:r>
          </w:p>
        </w:tc>
        <w:tc>
          <w:tcPr>
            <w:tcW w:w="0" w:type="dxa"/>
            <w:vAlign w:val="bottom"/>
          </w:tcPr>
          <w:p>
            <w:pPr>
              <w:spacing w:after="0"/>
              <w:rPr>
                <w:sz w:val="1"/>
                <w:szCs w:val="1"/>
                <w:color w:val="auto"/>
              </w:rPr>
            </w:pPr>
          </w:p>
        </w:tc>
      </w:tr>
      <w:tr>
        <w:trPr>
          <w:trHeight w:val="230"/>
        </w:trPr>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0" w:type="dxa"/>
            <w:vAlign w:val="bottom"/>
          </w:tcPr>
          <w:p>
            <w:pPr>
              <w:spacing w:after="0"/>
              <w:rPr>
                <w:sz w:val="1"/>
                <w:szCs w:val="1"/>
                <w:color w:val="auto"/>
              </w:rPr>
            </w:pPr>
          </w:p>
        </w:tc>
      </w:tr>
      <w:tr>
        <w:trPr>
          <w:trHeight w:val="310"/>
        </w:trPr>
        <w:tc>
          <w:tcPr>
            <w:tcW w:w="54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10-Q</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001-37359</w:t>
            </w: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8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November 9,</w:t>
            </w:r>
          </w:p>
        </w:tc>
        <w:tc>
          <w:tcPr>
            <w:tcW w:w="0" w:type="dxa"/>
            <w:vAlign w:val="bottom"/>
          </w:tcPr>
          <w:p>
            <w:pPr>
              <w:spacing w:after="0"/>
              <w:rPr>
                <w:sz w:val="1"/>
                <w:szCs w:val="1"/>
                <w:color w:val="auto"/>
              </w:rPr>
            </w:pPr>
          </w:p>
        </w:tc>
      </w:tr>
      <w:tr>
        <w:trPr>
          <w:trHeight w:val="189"/>
        </w:trPr>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jc w:val="center"/>
              <w:spacing w:after="0" w:line="189" w:lineRule="exact"/>
              <w:rPr>
                <w:sz w:val="20"/>
                <w:szCs w:val="20"/>
                <w:color w:val="auto"/>
              </w:rPr>
            </w:pPr>
            <w:r>
              <w:rPr>
                <w:rFonts w:ascii="Arial" w:cs="Arial" w:eastAsia="Arial" w:hAnsi="Arial"/>
                <w:sz w:val="18"/>
                <w:szCs w:val="18"/>
                <w:color w:val="auto"/>
                <w:w w:val="89"/>
              </w:rPr>
              <w:t>2015</w:t>
            </w:r>
          </w:p>
        </w:tc>
        <w:tc>
          <w:tcPr>
            <w:tcW w:w="0" w:type="dxa"/>
            <w:vAlign w:val="bottom"/>
          </w:tcPr>
          <w:p>
            <w:pPr>
              <w:spacing w:after="0"/>
              <w:rPr>
                <w:sz w:val="1"/>
                <w:szCs w:val="1"/>
                <w:color w:val="auto"/>
              </w:rPr>
            </w:pPr>
          </w:p>
        </w:tc>
      </w:tr>
      <w:tr>
        <w:trPr>
          <w:trHeight w:val="230"/>
        </w:trPr>
        <w:tc>
          <w:tcPr>
            <w:tcW w:w="540" w:type="dxa"/>
            <w:vAlign w:val="bottom"/>
            <w:gridSpan w:val="2"/>
          </w:tcPr>
          <w:p>
            <w:pPr>
              <w:jc w:val="center"/>
              <w:ind w:right="60"/>
              <w:spacing w:after="0"/>
              <w:rPr>
                <w:sz w:val="20"/>
                <w:szCs w:val="20"/>
                <w:color w:val="auto"/>
              </w:rPr>
            </w:pPr>
            <w:r>
              <w:rPr>
                <w:rFonts w:ascii="Arial" w:cs="Arial" w:eastAsia="Arial" w:hAnsi="Arial"/>
                <w:sz w:val="18"/>
                <w:szCs w:val="18"/>
                <w:color w:val="auto"/>
                <w:w w:val="97"/>
              </w:rPr>
              <w:t>S-1/A</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333-202938</w:t>
            </w:r>
          </w:p>
        </w:tc>
        <w:tc>
          <w:tcPr>
            <w:tcW w:w="6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8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3"/>
              </w:rPr>
              <w:t>April 20, 2015</w:t>
            </w:r>
          </w:p>
        </w:tc>
        <w:tc>
          <w:tcPr>
            <w:tcW w:w="0" w:type="dxa"/>
            <w:vAlign w:val="bottom"/>
          </w:tcPr>
          <w:p>
            <w:pPr>
              <w:spacing w:after="0"/>
              <w:rPr>
                <w:sz w:val="1"/>
                <w:szCs w:val="1"/>
                <w:color w:val="auto"/>
              </w:rPr>
            </w:pPr>
          </w:p>
        </w:tc>
      </w:tr>
      <w:tr>
        <w:trPr>
          <w:trHeight w:val="324"/>
        </w:trPr>
        <w:tc>
          <w:tcPr>
            <w:tcW w:w="540" w:type="dxa"/>
            <w:vAlign w:val="bottom"/>
            <w:gridSpan w:val="2"/>
          </w:tcPr>
          <w:p>
            <w:pPr>
              <w:jc w:val="center"/>
              <w:ind w:right="60"/>
              <w:spacing w:after="0"/>
              <w:rPr>
                <w:sz w:val="20"/>
                <w:szCs w:val="20"/>
                <w:color w:val="auto"/>
              </w:rPr>
            </w:pPr>
            <w:r>
              <w:rPr>
                <w:rFonts w:ascii="Arial" w:cs="Arial" w:eastAsia="Arial" w:hAnsi="Arial"/>
                <w:sz w:val="18"/>
                <w:szCs w:val="18"/>
                <w:color w:val="auto"/>
                <w:w w:val="85"/>
              </w:rPr>
              <w:t>S-1</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333-202938</w:t>
            </w: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8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March 23, 2015</w:t>
            </w:r>
          </w:p>
        </w:tc>
        <w:tc>
          <w:tcPr>
            <w:tcW w:w="0" w:type="dxa"/>
            <w:vAlign w:val="bottom"/>
          </w:tcPr>
          <w:p>
            <w:pPr>
              <w:spacing w:after="0"/>
              <w:rPr>
                <w:sz w:val="1"/>
                <w:szCs w:val="1"/>
                <w:color w:val="auto"/>
              </w:rPr>
            </w:pPr>
          </w:p>
        </w:tc>
      </w:tr>
      <w:tr>
        <w:trPr>
          <w:trHeight w:val="756"/>
        </w:trPr>
        <w:tc>
          <w:tcPr>
            <w:tcW w:w="540" w:type="dxa"/>
            <w:vAlign w:val="bottom"/>
            <w:gridSpan w:val="2"/>
          </w:tcPr>
          <w:p>
            <w:pPr>
              <w:jc w:val="center"/>
              <w:ind w:right="60"/>
              <w:spacing w:after="0"/>
              <w:rPr>
                <w:sz w:val="20"/>
                <w:szCs w:val="20"/>
                <w:color w:val="auto"/>
              </w:rPr>
            </w:pPr>
            <w:r>
              <w:rPr>
                <w:rFonts w:ascii="Arial" w:cs="Arial" w:eastAsia="Arial" w:hAnsi="Arial"/>
                <w:sz w:val="18"/>
                <w:szCs w:val="18"/>
                <w:color w:val="auto"/>
                <w:w w:val="85"/>
              </w:rPr>
              <w:t>S-1</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333-202938</w:t>
            </w: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8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March 23, 2015</w:t>
            </w:r>
          </w:p>
        </w:tc>
        <w:tc>
          <w:tcPr>
            <w:tcW w:w="0" w:type="dxa"/>
            <w:vAlign w:val="bottom"/>
          </w:tcPr>
          <w:p>
            <w:pPr>
              <w:spacing w:after="0"/>
              <w:rPr>
                <w:sz w:val="1"/>
                <w:szCs w:val="1"/>
                <w:color w:val="auto"/>
              </w:rPr>
            </w:pPr>
          </w:p>
        </w:tc>
      </w:tr>
      <w:tr>
        <w:trPr>
          <w:trHeight w:val="756"/>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0"/>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0"/>
        </w:trPr>
        <w:tc>
          <w:tcPr>
            <w:tcW w:w="1500" w:type="dxa"/>
            <w:vAlign w:val="bottom"/>
            <w:gridSpan w:val="4"/>
          </w:tcPr>
          <w:p>
            <w:pPr>
              <w:ind w:left="60"/>
              <w:spacing w:after="0"/>
              <w:rPr>
                <w:sz w:val="20"/>
                <w:szCs w:val="20"/>
                <w:color w:val="auto"/>
              </w:rPr>
            </w:pPr>
            <w:r>
              <w:rPr>
                <w:rFonts w:ascii="Arial" w:cs="Arial" w:eastAsia="Arial" w:hAnsi="Arial"/>
                <w:sz w:val="18"/>
                <w:szCs w:val="18"/>
                <w:color w:val="auto"/>
              </w:rPr>
              <w:t>10-K  001-37359</w:t>
            </w:r>
          </w:p>
        </w:tc>
        <w:tc>
          <w:tcPr>
            <w:tcW w:w="74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8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March 11, 2016</w:t>
            </w:r>
          </w:p>
        </w:tc>
        <w:tc>
          <w:tcPr>
            <w:tcW w:w="0" w:type="dxa"/>
            <w:vAlign w:val="bottom"/>
          </w:tcPr>
          <w:p>
            <w:pPr>
              <w:spacing w:after="0"/>
              <w:rPr>
                <w:sz w:val="1"/>
                <w:szCs w:val="1"/>
                <w:color w:val="auto"/>
              </w:rPr>
            </w:pPr>
          </w:p>
        </w:tc>
      </w:tr>
      <w:tr>
        <w:trPr>
          <w:trHeight w:val="324"/>
        </w:trPr>
        <w:tc>
          <w:tcPr>
            <w:tcW w:w="540" w:type="dxa"/>
            <w:vAlign w:val="bottom"/>
            <w:gridSpan w:val="2"/>
          </w:tcPr>
          <w:p>
            <w:pPr>
              <w:jc w:val="center"/>
              <w:ind w:right="60"/>
              <w:spacing w:after="0"/>
              <w:rPr>
                <w:sz w:val="20"/>
                <w:szCs w:val="20"/>
                <w:color w:val="auto"/>
              </w:rPr>
            </w:pPr>
            <w:r>
              <w:rPr>
                <w:rFonts w:ascii="Arial" w:cs="Arial" w:eastAsia="Arial" w:hAnsi="Arial"/>
                <w:sz w:val="18"/>
                <w:szCs w:val="18"/>
                <w:color w:val="auto"/>
                <w:w w:val="85"/>
              </w:rPr>
              <w:t>S-8</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333-203749</w:t>
            </w: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5"/>
              </w:rPr>
              <w:t>99.3</w:t>
            </w:r>
          </w:p>
        </w:tc>
        <w:tc>
          <w:tcPr>
            <w:tcW w:w="8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3"/>
              </w:rPr>
              <w:t>April 30, 2015</w:t>
            </w:r>
          </w:p>
        </w:tc>
        <w:tc>
          <w:tcPr>
            <w:tcW w:w="0" w:type="dxa"/>
            <w:vAlign w:val="bottom"/>
          </w:tcPr>
          <w:p>
            <w:pPr>
              <w:spacing w:after="0"/>
              <w:rPr>
                <w:sz w:val="1"/>
                <w:szCs w:val="1"/>
                <w:color w:val="auto"/>
              </w:rPr>
            </w:pPr>
          </w:p>
        </w:tc>
      </w:tr>
    </w:tbl>
    <w:p>
      <w:pPr>
        <w:sectPr>
          <w:pgSz w:w="11900" w:h="16838" w:orient="portrait"/>
          <w:cols w:equalWidth="0" w:num="2">
            <w:col w:w="5180" w:space="180"/>
            <w:col w:w="3679"/>
          </w:cols>
          <w:pgMar w:left="1420" w:top="121" w:right="1440" w:bottom="1440" w:gutter="0" w:footer="0" w:header="0"/>
          <w:type w:val="continuous"/>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March 11,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Blueprint Medicines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 Sidney Street,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02139</w:t>
      </w:r>
    </w:p>
    <w:p>
      <w:pPr>
        <w:spacing w:after="0" w:line="21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Securities Being Registered under Registration Statement on Form S-8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have acted as counsel to you in connection with your filing of a Registration Statement on Form S-8 (the “Registration Statement”) pursuant to the Securities Act of 1933, as amended (the “Securities Act”), on or about the date hereof relating to an aggregate of 1,359,802 shares (the “Shares”) of Common Stock, $0.001 par value per share, of Blueprint Medicines Corporation, a Delaware corporation (the “Company”), that may be issued pursuant to the Company’s 2015 Stock Option and Incentive Plan and 2015 Employee Stock Purchase Plan (collectively, the “Plans”).</w:t>
      </w:r>
    </w:p>
    <w:p>
      <w:pPr>
        <w:spacing w:after="0" w:line="17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have reviewed such documents and made such examination of law as we have deemed appropriate to give the opinions set forth below. We have relied, without independent verification, on certificates of public officials and, as to matters of fact material to the opinion set forth below, on certificates of officers of the Company.</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opinion set forth below is limited to the Delaware General Corporation Law (which includes reported judicial decisions interpreting the Delaware General Corporation Law).</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For purposes of the opinion set forth below, we have assumed that a sufficient number of authorized but unissued shares of the Company’s Common Stock will be available for issuance when the Shares are issued.</w:t>
      </w:r>
    </w:p>
    <w:p>
      <w:pPr>
        <w:spacing w:after="0" w:line="170"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Based on the foregoing, we are of the opinion that the Shares have been duly authorized and, upon issuance and delivery against payment therefor in accordance with the terms of the Plans, will be validly issued, fully paid and nonassessable.</w:t>
      </w:r>
    </w:p>
    <w:p>
      <w:pPr>
        <w:spacing w:after="0" w:line="12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hereby consent to the inclusion of this opinion as Exhibit 5.1 to the Registration Statement. In giving our consent, we do not admit that we are in the category of persons whose consent is required under Section 7 of the Securities Act or the rules and regulations thereunder.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GOODWIN PROCTER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GOODWIN PROCTER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152400</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We consent to the incorporation by reference in the Registration Statement (Form S-8) pertaining to the 2015 Stock Option and Incentive Plan and the 2015 Employee Stock Purchase Plan of Blueprint Medicines Corporation of our report dated March 11, 2016 with respect to the consolidated financial statements of Blueprint Medicines Corporation included in its Annual Report (Form 10-K) for the year ended December 31, 2015, filed with the Securities and Exchange Commission.</w:t>
      </w:r>
    </w:p>
    <w:p>
      <w:pPr>
        <w:spacing w:after="0" w:line="154"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142875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21"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2019-12-09T00:26:24Z</dcterms:created>
  <dcterms:modified xsi:type="dcterms:W3CDTF">2019-12-09T00:26:24Z</dcterms:modified>
</cp:coreProperties>
</file>