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Hewes L. Becker</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00" w:type="dxa"/>
            <w:vAlign w:val="bottom"/>
            <w:tcBorders>
              <w:top w:val="single" w:sz="8" w:color="0000EE"/>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06/06/2022</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4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1,220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59.76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30,451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3,155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27,296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August 13, 2021 pursuant to Rule 10b5-1 under the Securities Exchange Act of 1934, as amended.</w:t>
      </w:r>
    </w:p>
    <w:p>
      <w:pPr>
        <w:spacing w:after="0" w:line="4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Ariel Hurley,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011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2022-06-08T15:06:47Z</dcterms:created>
  <dcterms:modified xsi:type="dcterms:W3CDTF">2022-06-08T15:06:47Z</dcterms:modified>
</cp:coreProperties>
</file>