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40"/>
          </w:cols>
          <w:pgMar w:left="980" w:top="970" w:right="97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970" w:right="979" w:bottom="1440" w:gutter="0" w:footer="0" w:header="0"/>
          <w:type w:val="continuous"/>
        </w:sectPr>
      </w:pPr>
    </w:p>
    <w:p>
      <w:pPr>
        <w:spacing w:after="0" w:line="124"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970" w:right="979" w:bottom="1440" w:gutter="0" w:footer="0" w:header="0"/>
          <w:type w:val="continuous"/>
        </w:sectPr>
      </w:pPr>
    </w:p>
    <w:p>
      <w:pPr>
        <w:spacing w:after="0" w:line="1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85725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6"/>
        </w:trPr>
        <w:tc>
          <w:tcPr>
            <w:tcW w:w="39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r>
      <w:tr>
        <w:trPr>
          <w:trHeight w:val="81"/>
        </w:trPr>
        <w:tc>
          <w:tcPr>
            <w:tcW w:w="39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r>
      <w:tr>
        <w:trPr>
          <w:trHeight w:val="857"/>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970"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On February 15, 2024, Blueprint Medicines Corporation announced its financial results for the year ended December 31, 2023 and other business highlights. The full text of the press release issued in connection with the announcement is furnished as Exhibit 99.1 to this Current Report on Form 8-K and is incorporated by reference herein.</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of this Form 8-K shall be deemed to be furnished and not filed: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Pr>
          <w:p>
            <w:pPr>
              <w:spacing w:after="0"/>
              <w:rPr>
                <w:sz w:val="20"/>
                <w:szCs w:val="20"/>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420" w:type="dxa"/>
            <w:vAlign w:val="bottom"/>
            <w:tcBorders>
              <w:top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8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issued by Blueprint Medicines Corporation on February 15, 2024</w:t>
            </w:r>
          </w:p>
        </w:tc>
        <w:tc>
          <w:tcPr>
            <w:tcW w:w="2400" w:type="dxa"/>
            <w:vAlign w:val="bottom"/>
            <w:tcBorders>
              <w:top w:val="single" w:sz="8" w:color="auto"/>
            </w:tcBorders>
          </w:tcPr>
          <w:p>
            <w:pPr>
              <w:spacing w:after="0"/>
              <w:rPr>
                <w:sz w:val="14"/>
                <w:szCs w:val="14"/>
                <w:color w:val="auto"/>
              </w:rPr>
            </w:pPr>
          </w:p>
        </w:tc>
      </w:tr>
      <w:tr>
        <w:trPr>
          <w:trHeight w:val="218"/>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w:t>
            </w:r>
          </w:p>
        </w:tc>
      </w:tr>
      <w:tr>
        <w:trPr>
          <w:trHeight w:val="234"/>
        </w:trPr>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2400" w:type="dxa"/>
            <w:vAlign w:val="bottom"/>
          </w:tcPr>
          <w:p>
            <w:pPr>
              <w:spacing w:after="0"/>
              <w:rPr>
                <w:sz w:val="20"/>
                <w:szCs w:val="20"/>
                <w:color w:val="auto"/>
              </w:rPr>
            </w:pPr>
          </w:p>
        </w:tc>
      </w:tr>
      <w:tr>
        <w:trPr>
          <w:trHeight w:val="1235"/>
        </w:trPr>
        <w:tc>
          <w:tcPr>
            <w:tcW w:w="1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648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594"/>
        </w:trPr>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February 15, 2024</w:t>
            </w:r>
          </w:p>
        </w:tc>
        <w:tc>
          <w:tcPr>
            <w:tcW w:w="64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228"/>
        </w:trPr>
        <w:tc>
          <w:tcPr>
            <w:tcW w:w="34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Kathryn Haviland</w:t>
            </w:r>
          </w:p>
        </w:tc>
      </w:tr>
      <w:tr>
        <w:trPr>
          <w:trHeight w:val="306"/>
        </w:trPr>
        <w:tc>
          <w:tcPr>
            <w:tcW w:w="3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79"/>
        </w:trPr>
        <w:tc>
          <w:tcPr>
            <w:tcW w:w="3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74" w:right="999"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Reports Fourth Quarter and Full Year 2023 Results</w:t>
      </w:r>
    </w:p>
    <w:p>
      <w:pPr>
        <w:spacing w:after="0" w:line="227" w:lineRule="exact"/>
        <w:rPr>
          <w:sz w:val="20"/>
          <w:szCs w:val="20"/>
          <w:color w:val="auto"/>
        </w:rPr>
      </w:pPr>
    </w:p>
    <w:p>
      <w:pPr>
        <w:ind w:left="300" w:hanging="173"/>
        <w:spacing w:after="0"/>
        <w:tabs>
          <w:tab w:leader="none" w:pos="30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Achieved $204.2 million in AYVAKIT®/AYVAKYT® (avapritinib) net product revenues in 2023, including $71.0 million</w:t>
      </w:r>
    </w:p>
    <w:p>
      <w:pPr>
        <w:spacing w:after="0" w:line="29" w:lineRule="exact"/>
        <w:rPr>
          <w:rFonts w:ascii="Times New Roman" w:cs="Times New Roman" w:eastAsia="Times New Roman" w:hAnsi="Times New Roman"/>
          <w:sz w:val="18"/>
          <w:szCs w:val="18"/>
          <w:i w:val="1"/>
          <w:iCs w:val="1"/>
          <w:color w:val="auto"/>
        </w:rPr>
      </w:pPr>
    </w:p>
    <w:p>
      <w:pPr>
        <w:ind w:left="36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fourth quarter --</w:t>
      </w:r>
    </w:p>
    <w:p>
      <w:pPr>
        <w:spacing w:after="0" w:line="204" w:lineRule="exact"/>
        <w:rPr>
          <w:rFonts w:ascii="Times New Roman" w:cs="Times New Roman" w:eastAsia="Times New Roman" w:hAnsi="Times New Roman"/>
          <w:sz w:val="18"/>
          <w:szCs w:val="18"/>
          <w:i w:val="1"/>
          <w:iCs w:val="1"/>
          <w:color w:val="auto"/>
        </w:rPr>
      </w:pPr>
    </w:p>
    <w:p>
      <w:pPr>
        <w:jc w:val="center"/>
        <w:ind w:left="2760" w:right="59" w:hanging="2706"/>
        <w:spacing w:after="0" w:line="284" w:lineRule="auto"/>
        <w:tabs>
          <w:tab w:leader="none" w:pos="223"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Anticipate global AYVAKIT net product revenue of approximately $360 million to $390 million in 2024, representing &gt;80 percent year-over-year growth at the midpoint --</w:t>
      </w:r>
    </w:p>
    <w:p>
      <w:pPr>
        <w:spacing w:after="0" w:line="158" w:lineRule="exact"/>
        <w:rPr>
          <w:rFonts w:ascii="Times New Roman" w:cs="Times New Roman" w:eastAsia="Times New Roman" w:hAnsi="Times New Roman"/>
          <w:sz w:val="18"/>
          <w:szCs w:val="18"/>
          <w:i w:val="1"/>
          <w:iCs w:val="1"/>
          <w:color w:val="auto"/>
        </w:rPr>
      </w:pPr>
    </w:p>
    <w:p>
      <w:pPr>
        <w:ind w:left="820" w:right="59" w:hanging="767"/>
        <w:spacing w:after="0" w:line="284" w:lineRule="auto"/>
        <w:tabs>
          <w:tab w:leader="none" w:pos="218"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Nine presentations highlighting AYVAKIT long-term safety and efficacy, BLU-808 preclinical profile, and additional data fortifying leadership in mast cell diseases accepted for presentation at 2024 AAAAI Annual Meeting --</w:t>
      </w:r>
    </w:p>
    <w:p>
      <w:pPr>
        <w:spacing w:after="0" w:line="160"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CAMBRIDGE, Mass., February 15, 2024 – Blueprint Medicines Corporation (NASDAQ: BPMC) today reported financial results and provided a business update for the fourth quarter and full year ended December 31, 2023 and provided financial guidance.</w:t>
      </w:r>
    </w:p>
    <w:p>
      <w:pPr>
        <w:spacing w:after="0" w:line="1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“As we enter 2024, AVAYKIT continues to be the foundation of our thriving and growing commercial business. Our 2024 guidance of $360 to $390 million sets us up to nearly double AYVAKIT product revenue this year, driven by the launch in ISM as we focus on reaching more patients in both the U.S. and Europe. AYVAKIT’s compelling efficacy and safety profile, coupled with the chronic nature of ISM, make the cumulative effect of patients staying on therapy an important revenue driver this year, beyond and in addition to new patient starts. AYVAKIT is firmly on the path to becoming a multibillion-dollar product, providing Blueprint with durable revenue growth well into the next decade. Beyond AYVAKIT and ISM, we are balancing investment in our most compelling pipeline opportunities and maintaining financial discipline, strengthening our financial profile, and accelerating our path to profitability,” said Kate Haviland, Chief Executive Officer of Blueprint Medicines. “We are particularly excited about our expanding portfolio targeting allergic-inflammatory diseases where mast cells play a central role, and we are looking forward to sharing more on these programs throughout this year.”</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Fourth Quarter 2023 Highlights and Recent Progress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Mast cell disorders</w:t>
      </w:r>
    </w:p>
    <w:p>
      <w:pPr>
        <w:spacing w:after="0" w:line="229" w:lineRule="exact"/>
        <w:rPr>
          <w:sz w:val="20"/>
          <w:szCs w:val="20"/>
          <w:color w:val="auto"/>
        </w:rPr>
      </w:pPr>
    </w:p>
    <w:p>
      <w:pPr>
        <w:ind w:left="380" w:right="199" w:hanging="330"/>
        <w:spacing w:after="0" w:line="261"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AYVAKIT net product revenues of $204.2 million and $71.0 million for the full year and the fourth quarter of 2023, respectively, representing 84 percent growth year-over-year.</w:t>
      </w:r>
    </w:p>
    <w:p>
      <w:pPr>
        <w:ind w:left="380" w:right="73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approval by the European Commission for AYVAKYT as the first and only treatment for indolent systemic mastocytosis (ISM). Read the press release here.</w:t>
      </w:r>
    </w:p>
    <w:p>
      <w:pPr>
        <w:ind w:left="380" w:right="99" w:hanging="330"/>
        <w:spacing w:after="0" w:line="255"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data demonstrating the compelling benefit-risk profile of elenestinib in ISM from Part 1 of the HARBOR trial and analyses of real-world data highlighting the burden of and urgency to treat ISM at the 2023 American Society of Hematology annual meeting. Read the presentations here.</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Breast cancer and other solid tumors</w:t>
      </w:r>
    </w:p>
    <w:p>
      <w:pPr>
        <w:spacing w:after="0" w:line="229" w:lineRule="exact"/>
        <w:rPr>
          <w:sz w:val="20"/>
          <w:szCs w:val="20"/>
          <w:color w:val="auto"/>
        </w:rPr>
      </w:pPr>
    </w:p>
    <w:p>
      <w:pPr>
        <w:ind w:left="380" w:right="279" w:hanging="330"/>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the development of BLU-222 in combination with ribociclib and fulvestrant in patients with HR+/HER2-breast cancer.</w:t>
      </w: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development candidate nomination of BLU-956, a next-generation CDK2 inhibitor.</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229" w:lineRule="exact"/>
        <w:rPr>
          <w:sz w:val="20"/>
          <w:szCs w:val="20"/>
          <w:color w:val="auto"/>
        </w:rPr>
      </w:pPr>
    </w:p>
    <w:p>
      <w:pPr>
        <w:ind w:left="380" w:right="319" w:hanging="330"/>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a 2024 corporate overview and strategy at the J.P. Morgan 42nd Annual Healthcare Conference. Read the press release here.</w:t>
      </w:r>
    </w:p>
    <w:p>
      <w:pPr>
        <w:ind w:left="380" w:right="79" w:hanging="330"/>
        <w:spacing w:after="0" w:line="255"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an alternate partner for GAVRETO® (pralsetinib) in the U.S. and are working with all involved parties to enable continuity of access to GAVRETO in the U.S. The company plans to provide an update to coincide with the late February 2024 termination date of the existing collaboration agreement with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609600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380" w:right="359" w:hanging="330"/>
        <w:spacing w:after="0" w:line="261"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continues to expect that the wind-down of the Roche collaboration for GAVRETO and the discontinuation of global development and marketing in territories outside the U.S. and Greater China will result in significantly lower year-over-year operating expenses related to GAVRETO and will have no material impact to its overall operating expense plans in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2024 Financial Guidance</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Blueprint Medicines today announced it anticipates approximately $360 million to $390 million in global AYVAKIT net product revenues for all approved indications in 2024. The midpoint of this range represents more than 80 percent year-over-year revenue growth, the majority of which is expected to be driven by ISM. The company continues to expect that operating expenses and cash burn will further decline in 2024, and that its existing cash, cash equivalents and investments, together with anticipated future product revenues, will maintain a durable capital position to enable the company to achieve a self-sustainable financial profile.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Upcoming Milestones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plans to achieve the following milestones in the first half of 2024: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Mast cell diseases</w:t>
      </w:r>
    </w:p>
    <w:p>
      <w:pPr>
        <w:spacing w:after="0" w:line="27" w:lineRule="exact"/>
        <w:rPr>
          <w:sz w:val="20"/>
          <w:szCs w:val="20"/>
          <w:color w:val="auto"/>
        </w:rPr>
      </w:pPr>
    </w:p>
    <w:p>
      <w:pPr>
        <w:ind w:left="380" w:right="639" w:hanging="330"/>
        <w:spacing w:after="0" w:line="250"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long-term safety and efficacy data from the PIONEER trial of AYVAKIT in ISM at the 2024 American Academy of Allergy, Asthma and Immunology (AAAAI) Annual Meeting.</w:t>
      </w:r>
    </w:p>
    <w:p>
      <w:pPr>
        <w:ind w:left="380" w:right="679" w:hanging="330"/>
        <w:spacing w:after="0" w:line="250"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preclinical data for BLU-808, a highly selective and potent oral inhibitor of wild-type KIT, at the 2024 AAAAI Annual Meeting.</w:t>
      </w: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 investigational new drug application for BLU-808 in the second quarter of 2024.</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Breast cancer and other solid tumors</w:t>
      </w:r>
    </w:p>
    <w:p>
      <w:pPr>
        <w:spacing w:after="0" w:line="27"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ongoing strategic business development discussions.</w:t>
      </w:r>
    </w:p>
    <w:p>
      <w:pPr>
        <w:spacing w:after="0" w:line="9" w:lineRule="exact"/>
        <w:rPr>
          <w:rFonts w:ascii="Times New Roman" w:cs="Times New Roman" w:eastAsia="Times New Roman" w:hAnsi="Times New Roman"/>
          <w:sz w:val="18"/>
          <w:szCs w:val="18"/>
          <w:color w:val="auto"/>
        </w:rPr>
      </w:pPr>
    </w:p>
    <w:p>
      <w:pPr>
        <w:ind w:left="380" w:right="139" w:hanging="330"/>
        <w:spacing w:after="0" w:line="260"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data for BLU-222 in combination with ribociclib and fulvestrant in patients with HR+/HER2- breast cancer in the first half of 2024.</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Fourth Quarter and Year End 2023 Results</w:t>
      </w:r>
    </w:p>
    <w:p>
      <w:pPr>
        <w:spacing w:after="0" w:line="225" w:lineRule="exact"/>
        <w:rPr>
          <w:sz w:val="20"/>
          <w:szCs w:val="20"/>
          <w:color w:val="auto"/>
        </w:rPr>
      </w:pPr>
    </w:p>
    <w:p>
      <w:pPr>
        <w:ind w:left="380" w:right="219" w:hanging="330"/>
        <w:spacing w:after="0" w:line="255"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Revenues were $72.0 million for the fourth quarter of 2023, including $71.0 million of net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from sales of AYVAKIT/AYVAKYT and $0.9 million in collaboration revenues. Revenues for the year ended December 31, 2023 were $249.4 million, including $204.2 million of net product revenues from sales of AYVAKIT/AYVAKYT, and $45.2 million in collaboration and license revenues. Blueprint Medicines recorded $38.8 million and $204.0 million in revenues in the fourth quarter and year ended December 31, 2022, respectively.</w:t>
      </w:r>
    </w:p>
    <w:p>
      <w:pPr>
        <w:spacing w:after="0" w:line="2" w:lineRule="exact"/>
        <w:rPr>
          <w:rFonts w:ascii="Times New Roman" w:cs="Times New Roman" w:eastAsia="Times New Roman" w:hAnsi="Times New Roman"/>
          <w:sz w:val="18"/>
          <w:szCs w:val="18"/>
          <w:color w:val="auto"/>
        </w:rPr>
      </w:pPr>
    </w:p>
    <w:p>
      <w:pPr>
        <w:ind w:left="380" w:right="339" w:hanging="330"/>
        <w:spacing w:after="0" w:line="250"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Cost of sales was $0.3 million for the fourth quarter of 2023 and $8.5 million for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2023, as compared to $4.8 million and $17.8 million for the fourth quarter and year ended December 31, 2022, respectively. This decrease was mainly due to a decrease in inventory write-downs and the cost of collaboration-related sales.</w:t>
      </w:r>
    </w:p>
    <w:p>
      <w:pPr>
        <w:spacing w:after="0" w:line="1"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$97.5 million for the fourth quarter of 2023 and $427.7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year ended December 31, 2023, as compared to $117.8 million and $477.4 million for the fourth quarter and year ended December 31, 2022, respectively. This decrease was primarily due to a focused approach towards optimizing operational efficiency across Blueprint Medicine</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s portfolio as the company executes across its top priority programs and the timing of manufacturing of clinical trial materials. Research and development expenses also included $10.0 million in stock-based compensation expenses for the fourth quarter of 2023 and $41.5 million in stock-based compensation for the year ended December 31, 2023.</w:t>
      </w:r>
    </w:p>
    <w:p>
      <w:pPr>
        <w:spacing w:after="0" w:line="2" w:lineRule="exact"/>
        <w:rPr>
          <w:rFonts w:ascii="Times New Roman" w:cs="Times New Roman" w:eastAsia="Times New Roman" w:hAnsi="Times New Roman"/>
          <w:sz w:val="18"/>
          <w:szCs w:val="18"/>
          <w:color w:val="auto"/>
        </w:rPr>
      </w:pPr>
    </w:p>
    <w:p>
      <w:pPr>
        <w:ind w:left="380" w:right="199" w:hanging="330"/>
        <w:spacing w:after="0" w:line="260"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Selling, general and administrative expenses were $79.3 million for the fourth quarter of 2023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$295.1 million for the year ended December 31, 2023, as compared to $64.0 million and $237.4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469900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380" w:right="159"/>
        <w:spacing w:after="0" w:line="253" w:lineRule="auto"/>
        <w:rPr>
          <w:sz w:val="20"/>
          <w:szCs w:val="20"/>
          <w:color w:val="auto"/>
        </w:rPr>
      </w:pPr>
      <w:r>
        <w:rPr>
          <w:rFonts w:ascii="Times New Roman" w:cs="Times New Roman" w:eastAsia="Times New Roman" w:hAnsi="Times New Roman"/>
          <w:sz w:val="18"/>
          <w:szCs w:val="18"/>
          <w:color w:val="auto"/>
        </w:rPr>
        <w:t>million for the fourth and year ended December 31, 2022, respectively. This increase was primarily due to an increase in compensation and personnel related costs driven by the company</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s first quarter 2023 field force expansion to support the AYVAKIT launch in ISM and an increase in commercial and related activities primarily related to the commercialization of AYVAKIT/AYVAKYT. Selling, general and administrative expenses included $12.6 million in stock-based compensation expenses for the fourth quarter of 2023 and $51.1 million in stock-based compensation for the year ended December 31, 2023.</w:t>
      </w:r>
    </w:p>
    <w:p>
      <w:pPr>
        <w:spacing w:after="0" w:line="5" w:lineRule="exact"/>
        <w:rPr>
          <w:sz w:val="20"/>
          <w:szCs w:val="20"/>
          <w:color w:val="auto"/>
        </w:rPr>
      </w:pPr>
    </w:p>
    <w:p>
      <w:pPr>
        <w:ind w:left="380" w:right="99" w:hanging="330"/>
        <w:spacing w:after="0" w:line="250"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(Loss): </w:t>
      </w:r>
      <w:r>
        <w:rPr>
          <w:rFonts w:ascii="Times New Roman" w:cs="Times New Roman" w:eastAsia="Times New Roman" w:hAnsi="Times New Roman"/>
          <w:sz w:val="18"/>
          <w:szCs w:val="18"/>
          <w:color w:val="auto"/>
        </w:rPr>
        <w:t>Net loss was $(110.9) million for the fourth quarter of 2023 and $(507.0) million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2023, or a diluted net loss per share of $(1.82) and diluted net loss per share of $(8.37), respectively, as compared to a net loss of $(158.6) million for the fourth quarter of 2022 and a net loss of $(557.5) million for the year ended December 31, 2022, or a diluted net loss per share of $(2.65) and a diluted net loss per share of $(9.35), respectively.</w:t>
      </w:r>
    </w:p>
    <w:p>
      <w:pPr>
        <w:spacing w:after="0" w:line="1" w:lineRule="exact"/>
        <w:rPr>
          <w:rFonts w:ascii="Times New Roman" w:cs="Times New Roman" w:eastAsia="Times New Roman" w:hAnsi="Times New Roman"/>
          <w:sz w:val="18"/>
          <w:szCs w:val="18"/>
          <w:color w:val="auto"/>
        </w:rPr>
      </w:pPr>
    </w:p>
    <w:p>
      <w:pPr>
        <w:ind w:left="380" w:right="179" w:hanging="330"/>
        <w:spacing w:after="0" w:line="25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December 31, 2023, cash, cash equivalents and marketable securities were $767.2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$1,078.5 million as of December 31, 2022. Blueprint Medicine</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s cash and investments provide a durable capital position which enables the company to reach a self-sustainable profile.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color w:val="auto"/>
        </w:rPr>
        <w:t>Blueprint Medicines will host a live conference call and webcast at 8:00 a.m. ET today to discuss fourth quarter and full year 2023 financial results and recent business activities. The conference call may be accessed by dialing 833-470-1428 (domestic) or 404-975-4839 (international), and referring to conference ID 071930. A webcast of the call will also be available under “Events and Presentations” in the Investors &amp; Media section of the Blueprint Medicines website</w:t>
      </w:r>
    </w:p>
    <w:p>
      <w:pPr>
        <w:spacing w:after="0" w:line="3"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at http://ir.blueprintmedicines.com/. The archived webcast will be available on Blueprint Medicines' website approximately two hours after the conference call and will be available for 30 days following the call.</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Upcoming Investor Conferences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Blueprint Medicines will participate in one upcoming investor conference:</w:t>
      </w:r>
    </w:p>
    <w:p>
      <w:pPr>
        <w:spacing w:after="0" w:line="27" w:lineRule="exact"/>
        <w:rPr>
          <w:sz w:val="20"/>
          <w:szCs w:val="20"/>
          <w:color w:val="auto"/>
        </w:rPr>
      </w:pPr>
    </w:p>
    <w:p>
      <w:pPr>
        <w:ind w:left="700" w:hanging="326"/>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Cowen 44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Annual Health Care Conference </w:t>
      </w:r>
      <w:r>
        <w:rPr>
          <w:rFonts w:ascii="Times New Roman" w:cs="Times New Roman" w:eastAsia="Times New Roman" w:hAnsi="Times New Roman"/>
          <w:sz w:val="18"/>
          <w:szCs w:val="18"/>
          <w:color w:val="auto"/>
        </w:rPr>
        <w:t>on Monday, March 4, 2024 at 9:10 am ET.</w:t>
      </w:r>
    </w:p>
    <w:p>
      <w:pPr>
        <w:spacing w:after="0" w:line="115"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A live webcast of the presentation will be available under "Events and Presentations" in the Investors &amp; Media section of the Blueprint Medicines website at http://ir.blueprintmedicines.com. A replay of the webcast will be archived on the Blueprint Medicines website for 30 days following the presentation.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About Blueprint Medicines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Blueprint Medicines is a fully-integrated, commercial-stage, global biopharmaceutical company that invents life-changing medicines in two core, strategic areas of allergy/inflammation and oncology/hematology. We pursue discovery, development, and commercialization of therapies that potently and selectively target known drivers of disease, with focused investment in therapeutic areas where we can leverage our core expertise and business infrastructure to bring scale to our science. We are bringing AYVAKIT®/AYVAKYT® (avapritinib) to people living with systemic mastocytosis (SM) in the U.S. and Europe. Additionally, we have a pipeline of research and development programs that range from early science to advanced clinical trials in mast cell-mediated diseases, including SM and chronic urticaria, breast cancer, and other solid tumors vulnerable to CDK2 inhibition. For more information, visit www.BlueprintMedicines.com and follow us on X (formerly Twitter; @BlueprintMeds) and LinkedIn.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statements regarding plans, strategies, timelines and expectations for Blueprint Medicines’ future business growth, including its expectations for growth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60" w:right="79"/>
        <w:spacing w:after="0" w:line="251" w:lineRule="auto"/>
        <w:rPr>
          <w:sz w:val="20"/>
          <w:szCs w:val="20"/>
          <w:color w:val="auto"/>
        </w:rPr>
      </w:pPr>
      <w:r>
        <w:rPr>
          <w:rFonts w:ascii="Times New Roman" w:cs="Times New Roman" w:eastAsia="Times New Roman" w:hAnsi="Times New Roman"/>
          <w:sz w:val="18"/>
          <w:szCs w:val="18"/>
          <w:color w:val="auto"/>
        </w:rPr>
        <w:t>AYVAKIT’s potential as a blockbuster market opportunity in SM; whether the any of Blueprint Medicines’ product candidates will address unmet medical needs; reduction of Blueprint Medicines’ operating expenses and cash burn in 2024; statements regarding plans and expectations for the company’s current or future approved drugs and drug candidates; the potential benefits of any of Blueprint Medicines’ current or future approved drugs or drug candidates in treating patients; and Blueprint Medicines’ financial performance,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the risk of delay of any current or planned clinical trials or the development of Blueprint Medicines' current or future drug candidates; risks related to Blueprint Medicines’ ability to successfully demonstrate the safety and efficacy of its drug candidates and gain approval of its drug candidates on a timely basis, if at all; preclinical and clinical results for Blueprint Medicines' drug candidates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may be delayed or slower than anticipated; actions of regulatory agencies may affect the initiation, timing and progress of clinical trials; risks related to Blueprint Medicines' ability to obtain, maintain and enforce patent and other intellectual property protection for its products and current or future drug candidates it is developing; and the success of Blueprint Medicines’ current and future collaborations, financing arrangements, partnerships or licensing arrangements.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Blueprint Medicines, AYVAKIT, AYVAKYT, GAVRETO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602615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Blueprint Medicines Corporation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Selected Condensed Consolidated Balance Sheet Data</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(unaudited)</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r>
      <w:tr>
        <w:trPr>
          <w:trHeight w:val="209"/>
        </w:trPr>
        <w:tc>
          <w:tcPr>
            <w:tcW w:w="6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8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767,171</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1,078,472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(1)</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593,470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863,417</w:t>
            </w: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1,049,250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1,349,902</w:t>
            </w: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(2)</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18,291</w:t>
            </w: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 and revenues (2)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441,625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430,330</w:t>
            </w: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Term loan (2)</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238,813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139,083</w:t>
            </w: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918,641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835,225</w:t>
            </w:r>
          </w:p>
        </w:tc>
        <w:tc>
          <w:tcPr>
            <w:tcW w:w="60" w:type="dxa"/>
            <w:vAlign w:val="bottom"/>
            <w:shd w:val="clear" w:color="auto" w:fill="CCEEFF"/>
          </w:tcPr>
          <w:p>
            <w:pPr>
              <w:spacing w:after="0"/>
              <w:rPr>
                <w:sz w:val="18"/>
                <w:szCs w:val="18"/>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514,677</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Blueprint Medicines defines working capital as current assets less current liabilities.</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current and long-term portions of the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631825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jc w:val="center"/>
        <w:ind w:left="60" w:right="59"/>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Blueprint Medicines Corporation Condensed Consolidated Statements of Operations Data (in thousands, except per share data) </w:t>
      </w:r>
      <w:r>
        <w:rPr>
          <w:rFonts w:ascii="Times New Roman" w:cs="Times New Roman" w:eastAsia="Times New Roman" w:hAnsi="Times New Roman"/>
          <w:sz w:val="20"/>
          <w:szCs w:val="20"/>
          <w:b w:val="1"/>
          <w:bCs w:val="1"/>
          <w:i w:val="1"/>
          <w:iCs w:val="1"/>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Years Ended</w:t>
            </w:r>
          </w:p>
        </w:tc>
        <w:tc>
          <w:tcPr>
            <w:tcW w:w="0" w:type="dxa"/>
            <w:vAlign w:val="bottom"/>
          </w:tcPr>
          <w:p>
            <w:pPr>
              <w:spacing w:after="0"/>
              <w:rPr>
                <w:sz w:val="1"/>
                <w:szCs w:val="1"/>
                <w:color w:val="auto"/>
              </w:rPr>
            </w:pPr>
          </w:p>
        </w:tc>
      </w:tr>
      <w:tr>
        <w:trPr>
          <w:trHeight w:val="199"/>
        </w:trPr>
        <w:tc>
          <w:tcPr>
            <w:tcW w:w="4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71,034</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30,064</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License revenue – Related Party</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79,270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295,141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237,374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(552,281)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(110,918)</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(158,639)</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(506,984)</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(557,517)</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43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rPr>
              <w:t xml:space="preserve">Net loss per share applicable to common stockholders </w:t>
            </w:r>
            <w:r>
              <w:rPr>
                <w:rFonts w:ascii="Calibri" w:cs="Calibri" w:eastAsia="Calibri" w:hAnsi="Calibri"/>
                <w:sz w:val="17"/>
                <w:szCs w:val="17"/>
                <w:color w:val="auto"/>
              </w:rPr>
              <w:t>—</w:t>
            </w:r>
          </w:p>
        </w:tc>
        <w:tc>
          <w:tcPr>
            <w:tcW w:w="46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gridSpan w:val="2"/>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6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46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Weighted-average number of common shares used in net</w:t>
            </w: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60,890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59,873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60,558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59,642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Andrew Law</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617-844-8205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media@blueprintmedicines.com</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Jenna Cohen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857-209-3147</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2024-02-15T06:24:50Z</dcterms:created>
  <dcterms:modified xsi:type="dcterms:W3CDTF">2024-02-15T06:24:50Z</dcterms:modified>
</cp:coreProperties>
</file>