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March 14, 2016, Blueprint Medicines Corporation (the “Company”) entered into a Collaboration and License Agreement (the “Agreement”) with F. Hoffmann-La Roche Ltd and Hoffmann-La Roche Inc. (collectively, “Roche”). Pursuant to the terms of the Agreement, the Company and Roche have agreed to collaborate on the discovery, development and commercialization of up to five small molecule therapeutics targeting kinases believed to be important in cancer immunotherapy, as single products or possibly in combination with other therapeutics (the “Collaboration”). The parties have agreed to the targets for three of the collaboration programs, all of which are expected to begin in 2016, and the parties have agreed to work together to use the Company’s proprietary drug discovery platform and library of chemical compounds to select targets for up to two additional collaboration programs.</w:t>
      </w:r>
    </w:p>
    <w:p>
      <w:pPr>
        <w:spacing w:after="0" w:line="1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Under the Agreement, Roche is granted up to five option rights to obtain an exclusive license to exploit products derived from the collaboration programs (the “Licensed Products”) in the field of cancer immunotherapy. Such option rights are triggered upon the achievement of Phase I proof-of-concept. For up to three of the five collaboration programs, if Roche exercises its option, Roche will receive worldwide, exclusive commercialization rights for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9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Prior to Roche’s exercise of an option, the Company will have the lead responsibility for drug discovery and preclinical development of all collaboration programs. In addition, the Company will have the lead responsibility for the conduct of all Phase I clinical trials other than those Phase I clinical trials for any product in combination with Roche’s portfolio of therapeutics, for which Roche will have the right lead the conduct of such Phase I clinical trials. Pursuant to the Agreement, the parties will share the costs of Phase I development for each collaboration program. In addition, Roche will be responsible for post-Phase I development costs for each Licensed Product for which it retains global commercialization rights, and the Company and Roche will share post-Phase I development costs for each Licensed Product for which the Company retains commercialization rights in the United States.</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Subject to the terms of the Agreement, the Company will receive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w:t>
      </w:r>
    </w:p>
    <w:p>
      <w:pPr>
        <w:spacing w:after="0" w:line="1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the Agreement, each party has granted the other party specified intellectual property licenses to enable the other party to perform its obligations and exercise its rights under the Agreement, including license grants to enable each party to conduct research, development and commercialization activities pursuant to the terms of the Agreement. Following Roche’s exercise of its option with respect to the collaboration programs for which it will obtain worldwide rights, the Company will grant Roche an exclusive license under the Company’s intellectual property to develop and commercialize the Licensed Products generated through such collaboration program. Similarly, Roche will grant the Company an exclusive license under Roche’s intellectual property to develop and commercialize Licensed Products in the United States for the collaboration programs on which the Company will retain rights in the United States, with Roche receiving a license under the Company’s intellectual property to develop and commercialize such Licensed Products outside of the United States.</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Subject to the terms and conditions of the Agreement, the Company has agreed to work exclusively with Roche with respect to each collaboration target, and the Company has agreed to work exclusively within the field of cancer immunotherapy for a period of up to 30 months after the execution of the Agreement. In addition, subject to specified exceptions, Roche has a right of first negotiation in the event that the Company desires to grant any third party rights to develop or commercialize a Licensed Product under either of the collaboration programs for which the Company will retain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ind w:right="100"/>
        <w:spacing w:after="0" w:line="259" w:lineRule="auto"/>
        <w:rPr>
          <w:sz w:val="20"/>
          <w:szCs w:val="20"/>
          <w:color w:val="auto"/>
        </w:rPr>
      </w:pPr>
      <w:r>
        <w:rPr>
          <w:rFonts w:ascii="Arial" w:cs="Arial" w:eastAsia="Arial" w:hAnsi="Arial"/>
          <w:sz w:val="18"/>
          <w:szCs w:val="18"/>
          <w:color w:val="auto"/>
        </w:rPr>
        <w:t>commercialization rights in the United States. Roche’s right of first negotiation will not apply in connection with a change of control of the Company, an assignment by the Company in accordance with the terms of the Agreement or certain agreements with contract research organizations, contract manufacturing organizations, academic institutions, not-for-profit third parties or distributors.</w:t>
      </w:r>
    </w:p>
    <w:p>
      <w:pPr>
        <w:spacing w:after="0" w:line="18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Agreement will continue until the date when no royalty or other payment obligations are or will become due, unless earlier terminated in accordance with the terms of the Agreement. Prior to its exercise of its first option, Roche may terminate the Agreement at will, in whole or on a collaboration target-by-collaboration target basis, upon 120 days’ prior written notice to the Company. Following its exercise of an option, Roche may terminate the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w:t>
      </w:r>
    </w:p>
    <w:p>
      <w:pPr>
        <w:spacing w:after="0" w:line="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sold.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9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foregoing description of the material terms of the Agreement is qualified in its entirety by reference to the complete text of the Agreement, which the Company intends to file, with confidential terms redacted, with the Securities and Exchange Commission (“SEC”) as an exhibit to the Company’s Quarterly Report on Form 10-Q for the quarterly period ended March 31, 2016.</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March 15, 2016, the Company issued a press release regarding the Collaboration, a copy of which is being furnished as Exhibit 99.1 to this Current Report on Form 8-K (this “Form 8-K”).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expects that its cash and cash equivalents of $162.7 million as of December 31, 2015, together with the $45.0 million upfront cash payment under the Agreement, will be sufficient to enable the Company to fund its operating expenses and capital expenditure requirements until late 2017.</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exhibit relating to Item 7.01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March 15, 2016</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This Form 8-K contains forward-looking statements of the Company that involve substantial risks and uncertainties. All statements, other than statements of historical facts, contained in this Form 8-K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The forward-looking statements in this Form 8-K include, but are not limited to, statements about the Company’s expectations regarding the initiation and timing of collaboration programs and the Company’s ability to fund its operating expenses and capital expenditure requirements until late 2017. Actual results or events could differ materially from the plans, intentions and expectations disclosed in the forward-looking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5" w:right="1299" w:bottom="1440" w:gutter="0" w:footer="0" w:header="0"/>
        </w:sectPr>
      </w:pPr>
    </w:p>
    <w:bookmarkStart w:id="3" w:name="page4"/>
    <w:bookmarkEnd w:id="3"/>
    <w:p>
      <w:pPr>
        <w:spacing w:after="0" w:line="291" w:lineRule="auto"/>
        <w:rPr>
          <w:sz w:val="20"/>
          <w:szCs w:val="20"/>
          <w:color w:val="auto"/>
        </w:rPr>
      </w:pPr>
      <w:r>
        <w:rPr>
          <w:rFonts w:ascii="Arial" w:cs="Arial" w:eastAsia="Arial" w:hAnsi="Arial"/>
          <w:sz w:val="16"/>
          <w:szCs w:val="16"/>
          <w:color w:val="auto"/>
        </w:rPr>
        <w:t>statements that the Company makes due to a number of important factors, including those risk factors discussed in the Company’s annual report on Form 10-K for the year ended December 31, 2015 filed with the SEC on March 11, 2016 and other filings that the Company may make with the SEC in the future. The forward-looking statements in this Form 8-K represent the Company’s views as of the date of this Form 8-K. The Company anticipates that subsequent events and developments will cause its views to change. However, while it may elect to update these forward-looking statements at some point in the future, it has no current intention of doing so except to the extent required by applicable law. You should, therefore, not rely on these forward-looking statements as representing the Company’s views as of any date subsequent to the date of this Form 8-K.</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5" w:right="1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760" w:type="dxa"/>
            <w:vAlign w:val="bottom"/>
            <w:gridSpan w:val="2"/>
          </w:tcPr>
          <w:p>
            <w:pPr>
              <w:ind w:left="1560"/>
              <w:spacing w:after="0"/>
              <w:rPr>
                <w:sz w:val="20"/>
                <w:szCs w:val="20"/>
                <w:color w:val="auto"/>
              </w:rPr>
            </w:pPr>
            <w:r>
              <w:rPr>
                <w:rFonts w:ascii="Arial" w:cs="Arial" w:eastAsia="Arial" w:hAnsi="Arial"/>
                <w:sz w:val="18"/>
                <w:szCs w:val="18"/>
                <w:b w:val="1"/>
                <w:bCs w:val="1"/>
                <w:color w:val="auto"/>
              </w:rPr>
              <w:t>BLUEPRINT MEDICINES CORPORATION</w:t>
            </w:r>
          </w:p>
        </w:tc>
        <w:tc>
          <w:tcPr>
            <w:tcW w:w="440" w:type="dxa"/>
            <w:vAlign w:val="bottom"/>
          </w:tcPr>
          <w:p>
            <w:pPr>
              <w:spacing w:after="0"/>
              <w:rPr>
                <w:sz w:val="20"/>
                <w:szCs w:val="20"/>
                <w:color w:val="auto"/>
              </w:rPr>
            </w:pPr>
          </w:p>
        </w:tc>
      </w:tr>
      <w:tr>
        <w:trPr>
          <w:trHeight w:val="661"/>
        </w:trPr>
        <w:tc>
          <w:tcPr>
            <w:tcW w:w="3080" w:type="dxa"/>
            <w:vAlign w:val="bottom"/>
          </w:tcPr>
          <w:p>
            <w:pPr>
              <w:spacing w:after="0"/>
              <w:rPr>
                <w:sz w:val="20"/>
                <w:szCs w:val="20"/>
                <w:color w:val="auto"/>
              </w:rPr>
            </w:pPr>
            <w:r>
              <w:rPr>
                <w:rFonts w:ascii="Arial" w:cs="Arial" w:eastAsia="Arial" w:hAnsi="Arial"/>
                <w:sz w:val="18"/>
                <w:szCs w:val="18"/>
                <w:color w:val="auto"/>
              </w:rPr>
              <w:t>Date: March 18, 2016</w:t>
            </w:r>
          </w:p>
        </w:tc>
        <w:tc>
          <w:tcPr>
            <w:tcW w:w="5760" w:type="dxa"/>
            <w:vAlign w:val="bottom"/>
            <w:gridSpan w:val="2"/>
          </w:tcPr>
          <w:p>
            <w:pPr>
              <w:ind w:left="1560"/>
              <w:spacing w:after="0"/>
              <w:rPr>
                <w:sz w:val="20"/>
                <w:szCs w:val="20"/>
                <w:color w:val="auto"/>
              </w:rPr>
            </w:pPr>
            <w:r>
              <w:rPr>
                <w:rFonts w:ascii="Arial" w:cs="Arial" w:eastAsia="Arial" w:hAnsi="Arial"/>
                <w:sz w:val="18"/>
                <w:szCs w:val="18"/>
                <w:color w:val="auto"/>
              </w:rPr>
              <w:t>By: /s/ Jeffrey W.</w:t>
            </w:r>
          </w:p>
        </w:tc>
        <w:tc>
          <w:tcPr>
            <w:tcW w:w="440" w:type="dxa"/>
            <w:vAlign w:val="bottom"/>
          </w:tcPr>
          <w:p>
            <w:pPr>
              <w:spacing w:after="0"/>
              <w:rPr>
                <w:sz w:val="24"/>
                <w:szCs w:val="24"/>
                <w:color w:val="auto"/>
              </w:rPr>
            </w:pPr>
          </w:p>
        </w:tc>
      </w:tr>
      <w:tr>
        <w:trPr>
          <w:trHeight w:val="230"/>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40" w:type="dxa"/>
            <w:vAlign w:val="bottom"/>
          </w:tcPr>
          <w:p>
            <w:pPr>
              <w:spacing w:after="0"/>
              <w:rPr>
                <w:sz w:val="20"/>
                <w:szCs w:val="20"/>
                <w:color w:val="auto"/>
              </w:rPr>
            </w:pPr>
          </w:p>
        </w:tc>
      </w:tr>
      <w:tr>
        <w:trPr>
          <w:trHeight w:val="195"/>
        </w:trPr>
        <w:tc>
          <w:tcPr>
            <w:tcW w:w="3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40" w:type="dxa"/>
            <w:vAlign w:val="bottom"/>
          </w:tcPr>
          <w:p>
            <w:pPr>
              <w:spacing w:after="0"/>
              <w:rPr>
                <w:sz w:val="16"/>
                <w:szCs w:val="16"/>
                <w:color w:val="auto"/>
              </w:rPr>
            </w:pPr>
          </w:p>
        </w:tc>
      </w:tr>
      <w:tr>
        <w:trPr>
          <w:trHeight w:val="230"/>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 w:type="dxa"/>
            <w:vAlign w:val="bottom"/>
          </w:tcPr>
          <w:p>
            <w:pPr>
              <w:spacing w:after="0"/>
              <w:rPr>
                <w:sz w:val="20"/>
                <w:szCs w:val="20"/>
                <w:color w:val="auto"/>
              </w:rPr>
            </w:pPr>
          </w:p>
        </w:tc>
      </w:tr>
      <w:tr>
        <w:trPr>
          <w:trHeight w:val="891"/>
        </w:trPr>
        <w:tc>
          <w:tcPr>
            <w:tcW w:w="3080" w:type="dxa"/>
            <w:vAlign w:val="bottom"/>
          </w:tcPr>
          <w:p>
            <w:pPr>
              <w:spacing w:after="0"/>
              <w:rPr>
                <w:sz w:val="24"/>
                <w:szCs w:val="24"/>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29"/>
        </w:trPr>
        <w:tc>
          <w:tcPr>
            <w:tcW w:w="30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jc w:val="center"/>
              <w:ind w:right="1525"/>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679"/>
        </w:trPr>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March 15, 2016</w:t>
            </w:r>
          </w:p>
        </w:tc>
        <w:tc>
          <w:tcPr>
            <w:tcW w:w="0" w:type="dxa"/>
            <w:vAlign w:val="bottom"/>
          </w:tcPr>
          <w:p>
            <w:pPr>
              <w:spacing w:after="0"/>
              <w:rPr>
                <w:sz w:val="1"/>
                <w:szCs w:val="1"/>
                <w:color w:val="auto"/>
              </w:rPr>
            </w:pPr>
          </w:p>
        </w:tc>
      </w:tr>
      <w:tr>
        <w:trPr>
          <w:trHeight w:val="891"/>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jc w:val="right"/>
              <w:ind w:right="450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20" w:top="111" w:right="1299" w:bottom="1440" w:gutter="0" w:footer="0" w:header="0"/>
        </w:sectPr>
      </w:pPr>
    </w:p>
    <w:bookmarkStart w:id="6" w:name="page7"/>
    <w:bookmarkEnd w:id="6"/>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72402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160" w:right="139"/>
        <w:spacing w:after="0" w:line="251" w:lineRule="auto"/>
        <w:rPr>
          <w:sz w:val="20"/>
          <w:szCs w:val="20"/>
          <w:color w:val="auto"/>
        </w:rPr>
      </w:pPr>
      <w:r>
        <w:rPr>
          <w:rFonts w:ascii="Arial" w:cs="Arial" w:eastAsia="Arial" w:hAnsi="Arial"/>
          <w:sz w:val="20"/>
          <w:szCs w:val="20"/>
          <w:b w:val="1"/>
          <w:bCs w:val="1"/>
          <w:color w:val="auto"/>
        </w:rPr>
        <w:t>Blueprint Medicines Announces Worldwide Collaboration to Accelerate and Expand its Development of Novel Medicines in the Field of Cancer Immunotherapy</w:t>
      </w:r>
    </w:p>
    <w:p>
      <w:pPr>
        <w:ind w:left="260"/>
        <w:spacing w:after="0"/>
        <w:rPr>
          <w:sz w:val="20"/>
          <w:szCs w:val="20"/>
          <w:color w:val="auto"/>
        </w:rPr>
      </w:pPr>
      <w:r>
        <w:rPr>
          <w:rFonts w:ascii="Arial" w:cs="Arial" w:eastAsia="Arial" w:hAnsi="Arial"/>
          <w:sz w:val="18"/>
          <w:szCs w:val="18"/>
          <w:i w:val="1"/>
          <w:iCs w:val="1"/>
          <w:color w:val="auto"/>
        </w:rPr>
        <w:t>— Collaboration Combines Blueprint Medicines’ Proprietary Drug Discovery Platform and Immunokinase</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20"/>
          <w:szCs w:val="20"/>
          <w:i w:val="1"/>
          <w:iCs w:val="1"/>
          <w:color w:val="auto"/>
        </w:rPr>
        <w:t>Expertise with Roche’s Cancer Immunotherapy Expertise —</w:t>
      </w:r>
    </w:p>
    <w:p>
      <w:pPr>
        <w:ind w:left="480"/>
        <w:spacing w:after="0"/>
        <w:rPr>
          <w:sz w:val="20"/>
          <w:szCs w:val="20"/>
          <w:color w:val="auto"/>
        </w:rPr>
      </w:pPr>
      <w:r>
        <w:rPr>
          <w:rFonts w:ascii="Arial" w:cs="Arial" w:eastAsia="Arial" w:hAnsi="Arial"/>
          <w:sz w:val="19"/>
          <w:szCs w:val="19"/>
          <w:i w:val="1"/>
          <w:iCs w:val="1"/>
          <w:color w:val="auto"/>
        </w:rPr>
        <w:t>— Blueprint Medicines to Receive $45 Million Upfront Payment and is Eligible to Receive Additional</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20"/>
          <w:szCs w:val="20"/>
          <w:i w:val="1"/>
          <w:iCs w:val="1"/>
          <w:color w:val="auto"/>
        </w:rPr>
        <w:t>Contingent Fees and Milestone Payments—</w:t>
      </w:r>
    </w:p>
    <w:p>
      <w:pPr>
        <w:ind w:left="1560"/>
        <w:spacing w:after="0"/>
        <w:rPr>
          <w:sz w:val="20"/>
          <w:szCs w:val="20"/>
          <w:color w:val="auto"/>
        </w:rPr>
      </w:pPr>
      <w:r>
        <w:rPr>
          <w:rFonts w:ascii="Arial" w:cs="Arial" w:eastAsia="Arial" w:hAnsi="Arial"/>
          <w:sz w:val="20"/>
          <w:szCs w:val="20"/>
          <w:i w:val="1"/>
          <w:iCs w:val="1"/>
          <w:color w:val="auto"/>
        </w:rPr>
        <w:t>— Blueprint Medicines to Host Conference Call Today at 8:00 A.M. ET —</w:t>
      </w:r>
    </w:p>
    <w:p>
      <w:pPr>
        <w:spacing w:after="0" w:line="213" w:lineRule="exact"/>
        <w:rPr>
          <w:sz w:val="20"/>
          <w:szCs w:val="20"/>
          <w:color w:val="auto"/>
        </w:rPr>
      </w:pPr>
    </w:p>
    <w:p>
      <w:pPr>
        <w:ind w:left="160" w:right="579"/>
        <w:spacing w:after="0" w:line="259" w:lineRule="auto"/>
        <w:rPr>
          <w:sz w:val="20"/>
          <w:szCs w:val="20"/>
          <w:color w:val="auto"/>
        </w:rPr>
      </w:pPr>
      <w:r>
        <w:rPr>
          <w:rFonts w:ascii="Arial" w:cs="Arial" w:eastAsia="Arial" w:hAnsi="Arial"/>
          <w:sz w:val="19"/>
          <w:szCs w:val="19"/>
          <w:color w:val="auto"/>
        </w:rPr>
        <w:t>CAMBRIDGE, Mass., March 15, 2016 /PRNewswire/ – Blueprint Medicines Corporation (NASDAQ: BPMC), a leader in discovering and developing highly selective kinase medicines for patients with genomically defined diseases, today announced that it has entered into a worldwide collaboration and exclusive license agreement with F. Hoffmann-La Roche Ltd and Hoffmann-La Roche Inc. (collectively, Roche) for the discovery, development and commercialization of up to five small molecule therapeutics targeting kinases believed to be important in cancer immunotherapy.</w:t>
      </w:r>
    </w:p>
    <w:p>
      <w:pPr>
        <w:spacing w:after="0" w:line="192" w:lineRule="exact"/>
        <w:rPr>
          <w:sz w:val="20"/>
          <w:szCs w:val="20"/>
          <w:color w:val="auto"/>
        </w:rPr>
      </w:pPr>
    </w:p>
    <w:p>
      <w:pPr>
        <w:ind w:left="160" w:right="199"/>
        <w:spacing w:after="0" w:line="258" w:lineRule="auto"/>
        <w:rPr>
          <w:sz w:val="20"/>
          <w:szCs w:val="20"/>
          <w:color w:val="auto"/>
        </w:rPr>
      </w:pPr>
      <w:r>
        <w:rPr>
          <w:rFonts w:ascii="Arial" w:cs="Arial" w:eastAsia="Arial" w:hAnsi="Arial"/>
          <w:sz w:val="19"/>
          <w:szCs w:val="19"/>
          <w:color w:val="auto"/>
        </w:rPr>
        <w:t>Under the terms of the agreement, Blueprint Medicines will receive an upfront cash payment of $45 million and will be eligible to receive up to an additional approximately $965 million in contingent option fees and milestone payments related to specified research, preclinical, clinical, regulatory and sales-based milestones across all five potential programs. Of the total contingent payments, up to approximately $215 million are for option fees and milestone payments for research, preclinical and clinical development events prior to licensing across all five potential programs. In addition, the agreement provides for specified royalties and cost sharing, which are described in more detail below.</w:t>
      </w:r>
    </w:p>
    <w:p>
      <w:pPr>
        <w:spacing w:after="0" w:line="193" w:lineRule="exact"/>
        <w:rPr>
          <w:sz w:val="20"/>
          <w:szCs w:val="20"/>
          <w:color w:val="auto"/>
        </w:rPr>
      </w:pPr>
    </w:p>
    <w:p>
      <w:pPr>
        <w:ind w:left="160" w:right="219"/>
        <w:spacing w:after="0" w:line="257" w:lineRule="auto"/>
        <w:rPr>
          <w:sz w:val="20"/>
          <w:szCs w:val="20"/>
          <w:color w:val="auto"/>
        </w:rPr>
      </w:pPr>
      <w:r>
        <w:rPr>
          <w:rFonts w:ascii="Arial" w:cs="Arial" w:eastAsia="Arial" w:hAnsi="Arial"/>
          <w:sz w:val="19"/>
          <w:szCs w:val="19"/>
          <w:color w:val="auto"/>
        </w:rPr>
        <w:t>Immunokinases are intracellular targets known to regulate numerous aspects of immune response and represent an important opportunity for potentially innovative approaches to enhance the immune system’s ability to recognize and eradicate tumor cells. To date, cancer immunotherapies have demonstrated important clinical benefits. However, most cancer immunotherapies have focused on antibodies or combinations with existing approved therapies and have not yet targeted immunokinases with small molecules. This collaboration seeks to develop new mechanisms of modulating the tumor immune response by targeting immunokinases with the goal of enhancing response rates and broadening the utility of using cancer immunotherapies to treat additional cancer types.</w:t>
      </w:r>
    </w:p>
    <w:p>
      <w:pPr>
        <w:spacing w:after="0" w:line="195" w:lineRule="exact"/>
        <w:rPr>
          <w:sz w:val="20"/>
          <w:szCs w:val="20"/>
          <w:color w:val="auto"/>
        </w:rPr>
      </w:pPr>
    </w:p>
    <w:p>
      <w:pPr>
        <w:ind w:left="160" w:right="299"/>
        <w:spacing w:after="0" w:line="273" w:lineRule="auto"/>
        <w:rPr>
          <w:sz w:val="20"/>
          <w:szCs w:val="20"/>
          <w:color w:val="auto"/>
        </w:rPr>
      </w:pPr>
      <w:r>
        <w:rPr>
          <w:rFonts w:ascii="Arial" w:cs="Arial" w:eastAsia="Arial" w:hAnsi="Arial"/>
          <w:sz w:val="18"/>
          <w:szCs w:val="18"/>
          <w:color w:val="auto"/>
        </w:rPr>
        <w:t>“We believe Blueprint Medicines’ proprietary drug discovery platform and expertise in immunokinases, combined with our proven ability to move quickly through drug discovery, is a perfect complement to Roche’s expertise with cancer immunotherapy biology and in developing and commercializing innovative therapies,” said Jeff Albers, Chief Executive Officer of Blueprint Medicines. “Under this collaboration, Blueprint Medicines will lead preclinical research and development through Phase 1 proof of concept for all five programs and retain U.S. commercial rights for two programs. We believe this highly collaborative relationship will enable us to accelerate our efforts in the emerging field of cancer immunotherapy and to continue building a leading biotechnology company.”</w:t>
      </w:r>
    </w:p>
    <w:p>
      <w:pPr>
        <w:spacing w:after="0" w:line="183" w:lineRule="exact"/>
        <w:rPr>
          <w:sz w:val="20"/>
          <w:szCs w:val="20"/>
          <w:color w:val="auto"/>
        </w:rPr>
      </w:pPr>
    </w:p>
    <w:p>
      <w:pPr>
        <w:ind w:left="160" w:right="179"/>
        <w:spacing w:after="0" w:line="282" w:lineRule="auto"/>
        <w:rPr>
          <w:sz w:val="20"/>
          <w:szCs w:val="20"/>
          <w:color w:val="auto"/>
        </w:rPr>
      </w:pPr>
      <w:r>
        <w:rPr>
          <w:rFonts w:ascii="Arial" w:cs="Arial" w:eastAsia="Arial" w:hAnsi="Arial"/>
          <w:sz w:val="18"/>
          <w:szCs w:val="18"/>
          <w:color w:val="auto"/>
        </w:rPr>
        <w:t>The collaboration provides for the worldwide development and commercialization of immunokinases in the field of cancer immunotherapy for up to five small molecule drug candidates as single products or possibly in combination with Roche’s portfolio of therapeutics. Roche’s rights are structured as an option, triggered upon achievement of Phase I proof-of-concept, for an exclusive license to each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473710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160" w:right="159"/>
        <w:spacing w:after="0" w:line="272" w:lineRule="auto"/>
        <w:rPr>
          <w:sz w:val="20"/>
          <w:szCs w:val="20"/>
          <w:color w:val="auto"/>
        </w:rPr>
      </w:pPr>
      <w:r>
        <w:rPr>
          <w:rFonts w:ascii="Arial" w:cs="Arial" w:eastAsia="Arial" w:hAnsi="Arial"/>
          <w:sz w:val="18"/>
          <w:szCs w:val="18"/>
          <w:color w:val="auto"/>
        </w:rPr>
        <w:t>developed under the collaboration. Blueprint Medicines will be primarily responsible for preclinical research and conduct of clinical development for each program prior to any exercise of Roche’s option for such program. If Roche exercises an option for a program, Roche will be responsible for subsequent global development for that program through registrational clinical trials. For up to three of the five programs, if Roche exercises its option, Roche will receive worldwide commercialization rights for the licensed product. For up to two of the five programs, if Roche exercises its option, Blueprint Medicines will retain commercialization rights in the United States for the licensed product, and Roche will receive commercialization rights outside of the United States for such licensed product. Blueprint Medicines will also retain worldwide rights to any drug candidates for which Roche elects not to exercise the applicable option.</w:t>
      </w:r>
    </w:p>
    <w:p>
      <w:pPr>
        <w:spacing w:after="0" w:line="185" w:lineRule="exact"/>
        <w:rPr>
          <w:sz w:val="20"/>
          <w:szCs w:val="20"/>
          <w:color w:val="auto"/>
        </w:rPr>
      </w:pPr>
    </w:p>
    <w:p>
      <w:pPr>
        <w:ind w:left="160" w:right="239"/>
        <w:spacing w:after="0" w:line="271" w:lineRule="auto"/>
        <w:rPr>
          <w:sz w:val="20"/>
          <w:szCs w:val="20"/>
          <w:color w:val="auto"/>
        </w:rPr>
      </w:pPr>
      <w:r>
        <w:rPr>
          <w:rFonts w:ascii="Arial" w:cs="Arial" w:eastAsia="Arial" w:hAnsi="Arial"/>
          <w:sz w:val="18"/>
          <w:szCs w:val="18"/>
          <w:color w:val="auto"/>
        </w:rPr>
        <w:t>For any licensed product for which Roche retains worldwide commercialization rights, Blueprint Medicines will be eligible to receive tiered royalties ranging from low double-digits to high-teens on future net sales of the licensed product. For any licensed product for which Blueprint Medicines retains commercialization rights in the United States, Blueprint Medicines and Roche will be eligible to receive tiered royalties ranging from mid-single-digits to low double-digits on future net sales in the other party’s respective territories in which it commercializes the licensed product. Blueprint Medicines and Roche will share the costs of Phase 1 development for each collaboration target. In addition, Roche will be responsible for post-Phase 1 development costs for each licensed product for which it retains global commercialization rights, and Blueprint Medicines and Roche will share post-Phase 1 development costs for each licensed product for which Blueprint Medicines retains commercialization rights in the United States.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235" w:lineRule="exact"/>
        <w:rPr>
          <w:sz w:val="20"/>
          <w:szCs w:val="20"/>
          <w:color w:val="auto"/>
        </w:rPr>
      </w:pPr>
    </w:p>
    <w:p>
      <w:pPr>
        <w:ind w:left="160" w:right="339"/>
        <w:spacing w:after="0" w:line="243" w:lineRule="auto"/>
        <w:rPr>
          <w:sz w:val="20"/>
          <w:szCs w:val="20"/>
          <w:color w:val="auto"/>
        </w:rPr>
      </w:pPr>
      <w:r>
        <w:rPr>
          <w:rFonts w:ascii="Arial" w:cs="Arial" w:eastAsia="Arial" w:hAnsi="Arial"/>
          <w:sz w:val="20"/>
          <w:szCs w:val="20"/>
          <w:color w:val="auto"/>
        </w:rPr>
        <w:t>Blueprint Medicines will host a conference call and live audio webcast for investors at 8:00 A.M. ET today. To participate in the conference call, please dial 877-516-3348 (domestic) or 281-973-6089 (international) and refer to conference ID 63223687. A live webcast of the conference call will be available by visiting the Investors section of Blueprint Medicines' website at http://ir.blueprintmedicines.com. The archived webcast will be available on Blueprint Medicines' website approximately 2 hours after the call and will be available for 30 days following the call.</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ind w:left="160" w:right="179"/>
        <w:spacing w:after="0" w:line="243" w:lineRule="auto"/>
        <w:rPr>
          <w:sz w:val="20"/>
          <w:szCs w:val="20"/>
          <w:color w:val="auto"/>
        </w:rPr>
      </w:pPr>
      <w:r>
        <w:rPr>
          <w:rFonts w:ascii="Arial" w:cs="Arial" w:eastAsia="Arial" w:hAnsi="Arial"/>
          <w:sz w:val="20"/>
          <w:szCs w:val="20"/>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ind w:left="160" w:right="159"/>
        <w:spacing w:after="0" w:line="26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statements regarding the collaboration and license agreement among Blueprint Medicines and Roche, including anticipated payments, as well as the future development, manufacture and commercialization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483235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8" w:name="page9"/>
    <w:bookmarkEnd w:id="8"/>
    <w:p>
      <w:pPr>
        <w:ind w:left="160" w:right="159"/>
        <w:spacing w:after="0" w:line="268" w:lineRule="auto"/>
        <w:rPr>
          <w:sz w:val="20"/>
          <w:szCs w:val="20"/>
          <w:color w:val="auto"/>
        </w:rPr>
      </w:pPr>
      <w:r>
        <w:rPr>
          <w:rFonts w:ascii="Arial" w:cs="Arial" w:eastAsia="Arial" w:hAnsi="Arial"/>
          <w:sz w:val="18"/>
          <w:szCs w:val="18"/>
          <w:color w:val="auto"/>
        </w:rPr>
        <w:t>immunotherapies under the agreement; Blueprint Medicines’ and Roche’s ability to successfully develop and commercialize cancer immunotherapies; and Blueprint Medicines' strategy and business plans.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Annual Report on Form 10-K for the year ended December 31, 2015, as filed with the Securities and Exchange Commission (SEC) on March 11,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Contact:</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Investor Relations: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Williams</w:t>
      </w:r>
    </w:p>
    <w:p>
      <w:pPr>
        <w:ind w:left="160"/>
        <w:spacing w:after="0"/>
        <w:rPr>
          <w:sz w:val="20"/>
          <w:szCs w:val="20"/>
          <w:color w:val="auto"/>
        </w:rPr>
      </w:pPr>
      <w:r>
        <w:rPr>
          <w:rFonts w:ascii="Arial" w:cs="Arial" w:eastAsia="Arial" w:hAnsi="Arial"/>
          <w:sz w:val="20"/>
          <w:szCs w:val="20"/>
          <w:color w:val="auto"/>
        </w:rPr>
        <w:t>Blueprint Medicines Corporation</w:t>
      </w: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KWilliams@blueprintmedicines.com</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Media Relations: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Dan Quinn</w:t>
      </w:r>
    </w:p>
    <w:p>
      <w:pPr>
        <w:ind w:left="160"/>
        <w:spacing w:after="0"/>
        <w:rPr>
          <w:sz w:val="20"/>
          <w:szCs w:val="20"/>
          <w:color w:val="auto"/>
        </w:rPr>
      </w:pPr>
      <w:r>
        <w:rPr>
          <w:rFonts w:ascii="Arial" w:cs="Arial" w:eastAsia="Arial" w:hAnsi="Arial"/>
          <w:sz w:val="20"/>
          <w:szCs w:val="20"/>
          <w:color w:val="auto"/>
        </w:rPr>
        <w:t>Ten Bridge Communications, Inc.</w:t>
      </w:r>
    </w:p>
    <w:p>
      <w:pPr>
        <w:ind w:left="160"/>
        <w:spacing w:after="0"/>
        <w:rPr>
          <w:sz w:val="20"/>
          <w:szCs w:val="20"/>
          <w:color w:val="auto"/>
        </w:rPr>
      </w:pPr>
      <w:r>
        <w:rPr>
          <w:rFonts w:ascii="Arial" w:cs="Arial" w:eastAsia="Arial" w:hAnsi="Arial"/>
          <w:sz w:val="20"/>
          <w:szCs w:val="20"/>
          <w:color w:val="auto"/>
        </w:rPr>
        <w:t>781-475-7974</w:t>
      </w:r>
    </w:p>
    <w:p>
      <w:pPr>
        <w:ind w:left="160"/>
        <w:spacing w:after="0"/>
        <w:rPr>
          <w:sz w:val="20"/>
          <w:szCs w:val="20"/>
          <w:color w:val="auto"/>
        </w:rPr>
      </w:pPr>
      <w:r>
        <w:rPr>
          <w:rFonts w:ascii="Arial" w:cs="Arial" w:eastAsia="Arial" w:hAnsi="Arial"/>
          <w:sz w:val="20"/>
          <w:szCs w:val="20"/>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497840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5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2019-12-09T00:26:02Z</dcterms:created>
  <dcterms:modified xsi:type="dcterms:W3CDTF">2019-12-09T00:26:02Z</dcterms:modified>
</cp:coreProperties>
</file>