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760730</wp:posOffset>
            </wp:positionV>
            <wp:extent cx="140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55880</wp:posOffset>
            </wp:positionV>
            <wp:extent cx="1405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21" w:lineRule="exact"/>
        <w:rPr>
          <w:sz w:val="24"/>
          <w:szCs w:val="24"/>
          <w:color w:val="auto"/>
        </w:rPr>
      </w:pPr>
    </w:p>
    <w:tbl>
      <w:tblPr>
        <w:tblLayout w:type="fixed"/>
        <w:tblInd w:w="60" w:type="dxa"/>
        <w:tblCellMar>
          <w:top w:w="0" w:type="dxa"/>
          <w:left w:w="0" w:type="dxa"/>
          <w:bottom w:w="0" w:type="dxa"/>
          <w:right w:w="0" w:type="dxa"/>
        </w:tblCellMar>
      </w:tblPr>
      <w:tr>
        <w:trPr>
          <w:trHeight w:val="421"/>
        </w:trPr>
        <w:tc>
          <w:tcPr>
            <w:tcW w:w="1980" w:type="dxa"/>
            <w:vAlign w:val="bottom"/>
          </w:tcPr>
          <w:p>
            <w:pPr>
              <w:spacing w:after="0"/>
              <w:rPr>
                <w:sz w:val="24"/>
                <w:szCs w:val="24"/>
                <w:color w:val="auto"/>
              </w:rPr>
            </w:pPr>
          </w:p>
        </w:tc>
        <w:tc>
          <w:tcPr>
            <w:tcW w:w="4720" w:type="dxa"/>
            <w:vAlign w:val="bottom"/>
            <w:gridSpan w:val="3"/>
          </w:tcPr>
          <w:p>
            <w:pPr>
              <w:jc w:val="center"/>
              <w:ind w:left="105"/>
              <w:spacing w:after="0"/>
              <w:rPr>
                <w:sz w:val="20"/>
                <w:szCs w:val="20"/>
                <w:color w:val="auto"/>
              </w:rPr>
            </w:pPr>
            <w:r>
              <w:rPr>
                <w:rFonts w:ascii="Arial" w:cs="Arial" w:eastAsia="Arial" w:hAnsi="Arial"/>
                <w:sz w:val="32"/>
                <w:szCs w:val="32"/>
                <w:b w:val="1"/>
                <w:bCs w:val="1"/>
                <w:color w:val="auto"/>
                <w:w w:val="99"/>
              </w:rPr>
              <w:t>SCHEDULE 14A</w:t>
            </w:r>
          </w:p>
        </w:tc>
      </w:tr>
      <w:tr>
        <w:trPr>
          <w:trHeight w:val="255"/>
        </w:trPr>
        <w:tc>
          <w:tcPr>
            <w:tcW w:w="1980" w:type="dxa"/>
            <w:vAlign w:val="bottom"/>
          </w:tcPr>
          <w:p>
            <w:pPr>
              <w:spacing w:after="0"/>
              <w:rPr>
                <w:sz w:val="22"/>
                <w:szCs w:val="22"/>
                <w:color w:val="auto"/>
              </w:rPr>
            </w:pPr>
          </w:p>
        </w:tc>
        <w:tc>
          <w:tcPr>
            <w:tcW w:w="4720" w:type="dxa"/>
            <w:vAlign w:val="bottom"/>
            <w:gridSpan w:val="3"/>
          </w:tcPr>
          <w:p>
            <w:pPr>
              <w:jc w:val="center"/>
              <w:ind w:left="105"/>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1980" w:type="dxa"/>
            <w:vAlign w:val="bottom"/>
          </w:tcPr>
          <w:p>
            <w:pPr>
              <w:spacing w:after="0"/>
              <w:rPr>
                <w:sz w:val="21"/>
                <w:szCs w:val="21"/>
                <w:color w:val="auto"/>
              </w:rPr>
            </w:pPr>
          </w:p>
        </w:tc>
        <w:tc>
          <w:tcPr>
            <w:tcW w:w="4720" w:type="dxa"/>
            <w:vAlign w:val="bottom"/>
            <w:gridSpan w:val="3"/>
          </w:tcPr>
          <w:p>
            <w:pPr>
              <w:jc w:val="center"/>
              <w:ind w:left="85"/>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0"/>
        </w:trPr>
        <w:tc>
          <w:tcPr>
            <w:tcW w:w="1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gridSpan w:val="2"/>
          </w:tcPr>
          <w:p>
            <w:pPr>
              <w:jc w:val="center"/>
              <w:ind w:right="1160"/>
              <w:spacing w:after="0"/>
              <w:rPr>
                <w:sz w:val="20"/>
                <w:szCs w:val="20"/>
                <w:color w:val="auto"/>
              </w:rPr>
            </w:pPr>
            <w:r>
              <w:rPr>
                <w:rFonts w:ascii="Arial" w:cs="Arial" w:eastAsia="Arial" w:hAnsi="Arial"/>
                <w:sz w:val="22"/>
                <w:szCs w:val="22"/>
                <w:b w:val="1"/>
                <w:bCs w:val="1"/>
                <w:color w:val="auto"/>
                <w:w w:val="92"/>
              </w:rPr>
              <w:t>(Amendment No. )</w:t>
            </w:r>
          </w:p>
        </w:tc>
      </w:tr>
      <w:tr>
        <w:trPr>
          <w:trHeight w:val="92"/>
        </w:trPr>
        <w:tc>
          <w:tcPr>
            <w:tcW w:w="19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r>
      <w:tr>
        <w:trPr>
          <w:trHeight w:val="282"/>
        </w:trPr>
        <w:tc>
          <w:tcPr>
            <w:tcW w:w="1980" w:type="dxa"/>
            <w:vAlign w:val="bottom"/>
          </w:tcPr>
          <w:p>
            <w:pPr>
              <w:spacing w:after="0" w:line="215" w:lineRule="exact"/>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p>
        </w:tc>
        <w:tc>
          <w:tcPr>
            <w:tcW w:w="4720" w:type="dxa"/>
            <w:vAlign w:val="bottom"/>
            <w:gridSpan w:val="3"/>
          </w:tcPr>
          <w:p>
            <w:pPr>
              <w:ind w:left="900"/>
              <w:spacing w:after="0" w:line="215" w:lineRule="exact"/>
              <w:rPr>
                <w:sz w:val="20"/>
                <w:szCs w:val="20"/>
                <w:color w:val="auto"/>
              </w:rPr>
            </w:pPr>
            <w:r>
              <w:rPr>
                <w:rFonts w:ascii="Arial" w:cs="Arial" w:eastAsia="Arial" w:hAnsi="Arial"/>
                <w:sz w:val="16"/>
                <w:szCs w:val="16"/>
                <w:color w:val="auto"/>
              </w:rPr>
              <w:t xml:space="preserve">Filed by a Party other than the Registrant </w:t>
            </w:r>
            <w:r>
              <w:rPr>
                <w:rFonts w:ascii="Arial Unicode MS" w:cs="Arial Unicode MS" w:eastAsia="Arial Unicode MS" w:hAnsi="Arial Unicode MS"/>
                <w:sz w:val="16"/>
                <w:szCs w:val="16"/>
                <w:color w:val="auto"/>
              </w:rPr>
              <w:t>☐</w:t>
            </w:r>
          </w:p>
        </w:tc>
      </w:tr>
      <w:tr>
        <w:trPr>
          <w:trHeight w:val="239"/>
        </w:trPr>
        <w:tc>
          <w:tcPr>
            <w:tcW w:w="1980" w:type="dxa"/>
            <w:vAlign w:val="bottom"/>
          </w:tcPr>
          <w:p>
            <w:pPr>
              <w:spacing w:after="0"/>
              <w:rPr>
                <w:sz w:val="20"/>
                <w:szCs w:val="20"/>
                <w:color w:val="auto"/>
              </w:rPr>
            </w:pPr>
            <w:r>
              <w:rPr>
                <w:rFonts w:ascii="Arial" w:cs="Arial" w:eastAsia="Arial" w:hAnsi="Arial"/>
                <w:sz w:val="16"/>
                <w:szCs w:val="16"/>
                <w:color w:val="auto"/>
              </w:rPr>
              <w:t>Check the appropriate box:</w:t>
            </w:r>
          </w:p>
        </w:tc>
        <w:tc>
          <w:tcPr>
            <w:tcW w:w="1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23" w:lineRule="exact"/>
        <w:rPr>
          <w:sz w:val="24"/>
          <w:szCs w:val="24"/>
          <w:color w:val="auto"/>
        </w:rPr>
      </w:pPr>
    </w:p>
    <w:p>
      <w:pPr>
        <w:ind w:left="500" w:hanging="450"/>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82" w:lineRule="exact"/>
        <w:rPr>
          <w:rFonts w:ascii="Arial" w:cs="Arial" w:eastAsia="Arial" w:hAnsi="Arial"/>
          <w:sz w:val="16"/>
          <w:szCs w:val="16"/>
          <w:color w:val="auto"/>
        </w:rPr>
      </w:pPr>
    </w:p>
    <w:p>
      <w:pPr>
        <w:ind w:left="500" w:hanging="450"/>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83" w:lineRule="exact"/>
        <w:rPr>
          <w:sz w:val="24"/>
          <w:szCs w:val="24"/>
          <w:color w:val="auto"/>
        </w:rPr>
      </w:pPr>
    </w:p>
    <w:p>
      <w:pPr>
        <w:ind w:left="500" w:hanging="450"/>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83" w:lineRule="exact"/>
        <w:rPr>
          <w:sz w:val="24"/>
          <w:szCs w:val="24"/>
          <w:color w:val="auto"/>
        </w:rPr>
      </w:pPr>
    </w:p>
    <w:p>
      <w:pPr>
        <w:ind w:left="500" w:hanging="45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82" w:lineRule="exact"/>
        <w:rPr>
          <w:rFonts w:ascii="Arial" w:cs="Arial" w:eastAsia="Arial" w:hAnsi="Arial"/>
          <w:sz w:val="16"/>
          <w:szCs w:val="16"/>
          <w:color w:val="auto"/>
        </w:rPr>
      </w:pPr>
    </w:p>
    <w:p>
      <w:pPr>
        <w:ind w:left="500" w:hanging="45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BLUEPRINT MEDICINES CORPORATION</w:t>
      </w:r>
    </w:p>
    <w:p>
      <w:pPr>
        <w:spacing w:after="0" w:line="47"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(Name of Registrant as Specified in its Certificate of Incorporation)</w:t>
      </w:r>
    </w:p>
    <w:p>
      <w:pPr>
        <w:spacing w:after="0" w:line="55"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77" w:lineRule="exact"/>
        <w:rPr>
          <w:sz w:val="24"/>
          <w:szCs w:val="24"/>
          <w:color w:val="auto"/>
        </w:rPr>
      </w:pPr>
    </w:p>
    <w:p>
      <w:pPr>
        <w:ind w:left="60"/>
        <w:spacing w:after="0"/>
        <w:rPr>
          <w:sz w:val="20"/>
          <w:szCs w:val="20"/>
          <w:color w:val="auto"/>
        </w:rPr>
      </w:pPr>
      <w:r>
        <w:rPr>
          <w:rFonts w:ascii="Arial" w:cs="Arial" w:eastAsia="Arial" w:hAnsi="Arial"/>
          <w:sz w:val="16"/>
          <w:szCs w:val="16"/>
          <w:color w:val="auto"/>
        </w:rPr>
        <w:t>Payment of Filing Fee (Check the appropriate box):</w:t>
      </w:r>
    </w:p>
    <w:p>
      <w:pPr>
        <w:spacing w:after="0" w:line="145" w:lineRule="exact"/>
        <w:rPr>
          <w:sz w:val="24"/>
          <w:szCs w:val="24"/>
          <w:color w:val="auto"/>
        </w:rPr>
      </w:pPr>
    </w:p>
    <w:p>
      <w:pPr>
        <w:ind w:left="460" w:hanging="410"/>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50" w:lineRule="exact"/>
        <w:rPr>
          <w:sz w:val="24"/>
          <w:szCs w:val="24"/>
          <w:color w:val="auto"/>
        </w:rPr>
      </w:pPr>
    </w:p>
    <w:p>
      <w:pPr>
        <w:ind w:left="460" w:hanging="410"/>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90"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34" w:lineRule="exact"/>
        <w:rPr>
          <w:rFonts w:ascii="Arial" w:cs="Arial" w:eastAsia="Arial" w:hAnsi="Arial"/>
          <w:sz w:val="16"/>
          <w:szCs w:val="16"/>
          <w:color w:val="auto"/>
        </w:rPr>
      </w:pPr>
    </w:p>
    <w:p>
      <w:pPr>
        <w:ind w:left="840" w:right="219" w:hanging="385"/>
        <w:spacing w:after="0" w:line="293" w:lineRule="auto"/>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58"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26" w:lineRule="exact"/>
        <w:rPr>
          <w:rFonts w:ascii="Arial" w:cs="Arial" w:eastAsia="Arial" w:hAnsi="Arial"/>
          <w:sz w:val="16"/>
          <w:szCs w:val="16"/>
          <w:color w:val="auto"/>
        </w:rPr>
      </w:pPr>
    </w:p>
    <w:p>
      <w:pPr>
        <w:ind w:left="460" w:hanging="410"/>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0" w:lineRule="exact"/>
        <w:rPr>
          <w:rFonts w:ascii="Arial" w:cs="Arial" w:eastAsia="Arial" w:hAnsi="Arial"/>
          <w:sz w:val="16"/>
          <w:szCs w:val="16"/>
          <w:color w:val="auto"/>
        </w:rPr>
      </w:pPr>
    </w:p>
    <w:p>
      <w:pPr>
        <w:ind w:left="460" w:right="219" w:hanging="410"/>
        <w:spacing w:after="0" w:line="249"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3"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455295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86360</wp:posOffset>
            </wp:positionV>
            <wp:extent cx="5151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-178435</wp:posOffset>
            </wp:positionV>
            <wp:extent cx="5151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-444500</wp:posOffset>
            </wp:positionV>
            <wp:extent cx="5151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-709930</wp:posOffset>
            </wp:positionV>
            <wp:extent cx="5151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-1550035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-1816100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-2081530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-2467610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-2733040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692150</wp:posOffset>
            </wp:positionV>
            <wp:extent cx="166306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BLUEPRINT MEDICINES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45 Sidney Street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Massachusetts 02139</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(617) 374-7580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2021 ANNUAL MEETING OF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Be Held On June 2, 2021</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Dear Stockholders:</w:t>
      </w:r>
    </w:p>
    <w:p>
      <w:pPr>
        <w:spacing w:after="0" w:line="127"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6"/>
          <w:szCs w:val="16"/>
          <w:color w:val="auto"/>
        </w:rPr>
        <w:t xml:space="preserve">You are cordially invited to attend the 2021 annual meeting of stockholders of Blueprint Medicines Corporation to be held on Wednesday, June 2, 2021 at 4:00 p.m., Eastern Daylight Time, virtually via live webcast at </w:t>
      </w:r>
      <w:r>
        <w:rPr>
          <w:rFonts w:ascii="Arial" w:cs="Arial" w:eastAsia="Arial" w:hAnsi="Arial"/>
          <w:sz w:val="16"/>
          <w:szCs w:val="16"/>
          <w:i w:val="1"/>
          <w:iCs w:val="1"/>
          <w:color w:val="auto"/>
        </w:rPr>
        <w:t>http://www.virtualshareholdermeeting.com/BPMC2021</w:t>
      </w:r>
      <w:r>
        <w:rPr>
          <w:rFonts w:ascii="Arial" w:cs="Arial" w:eastAsia="Arial" w:hAnsi="Arial"/>
          <w:sz w:val="16"/>
          <w:szCs w:val="16"/>
          <w:color w:val="auto"/>
        </w:rPr>
        <w:t>, where you will be able to vote electronically and submit questions. You will</w:t>
      </w:r>
      <w:r>
        <w:rPr>
          <w:rFonts w:ascii="Arial" w:cs="Arial" w:eastAsia="Arial" w:hAnsi="Arial"/>
          <w:sz w:val="16"/>
          <w:szCs w:val="16"/>
          <w:i w:val="1"/>
          <w:iCs w:val="1"/>
          <w:color w:val="auto"/>
        </w:rPr>
        <w:t xml:space="preserve"> </w:t>
      </w:r>
      <w:r>
        <w:rPr>
          <w:rFonts w:ascii="Arial" w:cs="Arial" w:eastAsia="Arial" w:hAnsi="Arial"/>
          <w:sz w:val="16"/>
          <w:szCs w:val="16"/>
          <w:color w:val="auto"/>
        </w:rPr>
        <w:t>need the 16-digit control number included with these proxy materials to attend the annual meeting. At the annual meeting, stockholders will consider and vote on the following matters:</w:t>
      </w:r>
    </w:p>
    <w:p>
      <w:pPr>
        <w:spacing w:after="0" w:line="82" w:lineRule="exact"/>
        <w:rPr>
          <w:sz w:val="20"/>
          <w:szCs w:val="20"/>
          <w:color w:val="auto"/>
        </w:rPr>
      </w:pPr>
    </w:p>
    <w:p>
      <w:pPr>
        <w:ind w:left="1340" w:right="119" w:hanging="318"/>
        <w:spacing w:after="0" w:line="369" w:lineRule="auto"/>
        <w:tabs>
          <w:tab w:leader="none" w:pos="1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election of two Class III directors nominated by our board of directors, each to serve for a three-year term expiring at the 2024 annual meeting of stockholders or until his or her successor has been duly elected and qualified;</w:t>
      </w:r>
    </w:p>
    <w:p>
      <w:pPr>
        <w:spacing w:after="0" w:line="17" w:lineRule="exact"/>
        <w:rPr>
          <w:rFonts w:ascii="Arial" w:cs="Arial" w:eastAsia="Arial" w:hAnsi="Arial"/>
          <w:sz w:val="14"/>
          <w:szCs w:val="14"/>
          <w:color w:val="auto"/>
        </w:rPr>
      </w:pPr>
    </w:p>
    <w:p>
      <w:pPr>
        <w:ind w:left="1340" w:hanging="318"/>
        <w:spacing w:after="0"/>
        <w:tabs>
          <w:tab w:leader="none" w:pos="1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 non-binding, advisory vote on the compensation paid to our named executive officers;</w:t>
      </w:r>
    </w:p>
    <w:p>
      <w:pPr>
        <w:spacing w:after="0" w:line="126" w:lineRule="exact"/>
        <w:rPr>
          <w:rFonts w:ascii="Arial" w:cs="Arial" w:eastAsia="Arial" w:hAnsi="Arial"/>
          <w:sz w:val="16"/>
          <w:szCs w:val="16"/>
          <w:color w:val="auto"/>
        </w:rPr>
      </w:pPr>
    </w:p>
    <w:p>
      <w:pPr>
        <w:ind w:left="1340" w:right="199" w:hanging="318"/>
        <w:spacing w:after="0" w:line="293" w:lineRule="auto"/>
        <w:tabs>
          <w:tab w:leader="none" w:pos="1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our independent registered public accounting firm for the fiscal year ending December 31, 2021; and</w:t>
      </w:r>
    </w:p>
    <w:p>
      <w:pPr>
        <w:spacing w:after="0" w:line="63" w:lineRule="exact"/>
        <w:rPr>
          <w:rFonts w:ascii="Arial" w:cs="Arial" w:eastAsia="Arial" w:hAnsi="Arial"/>
          <w:sz w:val="16"/>
          <w:szCs w:val="16"/>
          <w:color w:val="auto"/>
        </w:rPr>
      </w:pPr>
    </w:p>
    <w:p>
      <w:pPr>
        <w:ind w:left="1340" w:right="459" w:hanging="318"/>
        <w:spacing w:after="0" w:line="293" w:lineRule="auto"/>
        <w:tabs>
          <w:tab w:leader="none" w:pos="1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transaction of any other business that may properly come before the annual meeting or any adjournment or postponement thereof.</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127"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5"/>
          <w:szCs w:val="15"/>
          <w:color w:val="auto"/>
        </w:rPr>
        <w:t xml:space="preserve">Stockholders of record at the close of business on April 9, 2021 will be entitled to notice of and to vote at the annual meeting or any adjournment or postponement thereof. We encourage you to access the annual meeting before it begins. Online check-in to access the meeting will start shortly before the meeting on June 2, 2021. If you attend the annual meeting at </w:t>
      </w:r>
      <w:r>
        <w:rPr>
          <w:rFonts w:ascii="Arial" w:cs="Arial" w:eastAsia="Arial" w:hAnsi="Arial"/>
          <w:sz w:val="15"/>
          <w:szCs w:val="15"/>
          <w:i w:val="1"/>
          <w:iCs w:val="1"/>
          <w:color w:val="auto"/>
        </w:rPr>
        <w:t>http://www.virtualshareholdermeeting.com/BPMC2021</w:t>
      </w:r>
      <w:r>
        <w:rPr>
          <w:rFonts w:ascii="Arial" w:cs="Arial" w:eastAsia="Arial" w:hAnsi="Arial"/>
          <w:sz w:val="15"/>
          <w:szCs w:val="15"/>
          <w:color w:val="auto"/>
        </w:rPr>
        <w:t>, you may vote electronically during the meeting even if you have previously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returned a proxy. Stockholders will also have the opportunity to submit questions during the annual meeting through </w:t>
      </w:r>
      <w:r>
        <w:rPr>
          <w:rFonts w:ascii="Arial" w:cs="Arial" w:eastAsia="Arial" w:hAnsi="Arial"/>
          <w:sz w:val="15"/>
          <w:szCs w:val="15"/>
          <w:i w:val="1"/>
          <w:iCs w:val="1"/>
          <w:color w:val="auto"/>
        </w:rPr>
        <w:t>http://www.virtualshareholdermeeting.com/BPMC2021</w:t>
      </w:r>
      <w:r>
        <w:rPr>
          <w:rFonts w:ascii="Arial" w:cs="Arial" w:eastAsia="Arial" w:hAnsi="Arial"/>
          <w:sz w:val="15"/>
          <w:szCs w:val="15"/>
          <w:color w:val="auto"/>
        </w:rPr>
        <w:t>. A technical support telephone number will be posted on the log-in page that you</w:t>
      </w:r>
      <w:r>
        <w:rPr>
          <w:rFonts w:ascii="Arial" w:cs="Arial" w:eastAsia="Arial" w:hAnsi="Arial"/>
          <w:sz w:val="15"/>
          <w:szCs w:val="15"/>
          <w:i w:val="1"/>
          <w:iCs w:val="1"/>
          <w:color w:val="auto"/>
        </w:rPr>
        <w:t xml:space="preserve"> </w:t>
      </w:r>
      <w:r>
        <w:rPr>
          <w:rFonts w:ascii="Arial" w:cs="Arial" w:eastAsia="Arial" w:hAnsi="Arial"/>
          <w:sz w:val="15"/>
          <w:szCs w:val="15"/>
          <w:color w:val="auto"/>
        </w:rPr>
        <w:t>can call if you encounter any difficulties accessing the virtual meeting during the check-in or during the meeting.</w:t>
      </w:r>
    </w:p>
    <w:p>
      <w:pPr>
        <w:spacing w:after="0" w:line="72" w:lineRule="exact"/>
        <w:rPr>
          <w:sz w:val="20"/>
          <w:szCs w:val="20"/>
          <w:color w:val="auto"/>
        </w:rPr>
      </w:pPr>
    </w:p>
    <w:p>
      <w:pPr>
        <w:ind w:left="60" w:right="279" w:firstLine="648"/>
        <w:spacing w:after="0" w:line="278"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spacing w:after="0" w:line="76" w:lineRule="exact"/>
        <w:rPr>
          <w:sz w:val="20"/>
          <w:szCs w:val="20"/>
          <w:color w:val="auto"/>
        </w:rPr>
      </w:pPr>
    </w:p>
    <w:p>
      <w:pPr>
        <w:ind w:left="60" w:right="159" w:firstLine="648"/>
        <w:spacing w:after="0" w:line="278" w:lineRule="auto"/>
        <w:rPr>
          <w:sz w:val="20"/>
          <w:szCs w:val="20"/>
          <w:color w:val="auto"/>
        </w:rPr>
      </w:pPr>
      <w:r>
        <w:rPr>
          <w:rFonts w:ascii="Arial" w:cs="Arial" w:eastAsia="Arial" w:hAnsi="Arial"/>
          <w:sz w:val="16"/>
          <w:szCs w:val="16"/>
          <w:color w:val="auto"/>
        </w:rPr>
        <w:t>We encourage all stockholders to attend the annual meeting online. However, whether or not you plan to attend the annual meeting, we encourage you to read this proxy statement and submit your proxy or voting instructions as soon as possible. Please review the instructions on each of your voting options described in the proxy statement.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Thank you for your ongoing support and continued interest in Blueprint Medicines Corporation.</w:t>
      </w:r>
    </w:p>
    <w:p>
      <w:pPr>
        <w:spacing w:after="0" w:line="140"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103505</wp:posOffset>
            </wp:positionV>
            <wp:extent cx="1903095"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09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Jeffrey W. Albers</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820420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Important Notice Regarding Internet Availability of Proxy Materials:</w:t>
      </w:r>
    </w:p>
    <w:p>
      <w:pPr>
        <w:spacing w:after="0" w:line="131"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5"/>
          <w:szCs w:val="15"/>
          <w:color w:val="auto"/>
        </w:rPr>
        <w:t>We are furnishing proxy materials to our stockholders primarily via the Internet. On April 21, 2021, we mailed to our stockholders a Notice of Internet Availability, or Notice, containing instructions on how to access our proxy materials, including this proxy statement and our 2020 annual report. The Notice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A copy of this proxy statement and our 2020 annual report to stockholders are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127"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6"/>
          <w:szCs w:val="16"/>
          <w:color w:val="auto"/>
        </w:rPr>
        <w:t>Internet distribution of our proxy materials is designed to expedite receipt by stockholders, lower the cost of the annual meeting, and conserve natural resources. However, if you would prefer to receive printed proxy materials, please follow the instructions included in the Notice. If you have previously elected to receive our proxy materials electronically, you will continue to receive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60" w:type="dxa"/>
            <w:vAlign w:val="bottom"/>
            <w:gridSpan w:val="11"/>
          </w:tcPr>
          <w:p>
            <w:pPr>
              <w:ind w:left="440"/>
              <w:spacing w:after="0"/>
              <w:rPr>
                <w:sz w:val="20"/>
                <w:szCs w:val="20"/>
                <w:color w:val="auto"/>
              </w:rPr>
            </w:pPr>
            <w:r>
              <w:rPr>
                <w:rFonts w:ascii="Arial" w:cs="Arial" w:eastAsia="Arial" w:hAnsi="Arial"/>
                <w:sz w:val="14"/>
                <w:szCs w:val="14"/>
                <w:b w:val="1"/>
                <w:bCs w:val="1"/>
                <w:color w:val="auto"/>
              </w:rPr>
              <w:t>TABLE OF CONTENTS</w:t>
            </w:r>
          </w:p>
        </w:tc>
        <w:tc>
          <w:tcPr>
            <w:tcW w:w="700" w:type="dxa"/>
            <w:vAlign w:val="bottom"/>
          </w:tcPr>
          <w:p>
            <w:pPr>
              <w:spacing w:after="0"/>
              <w:rPr>
                <w:sz w:val="16"/>
                <w:szCs w:val="16"/>
                <w:color w:val="auto"/>
              </w:rPr>
            </w:pPr>
          </w:p>
        </w:tc>
      </w:tr>
      <w:tr>
        <w:trPr>
          <w:trHeight w:val="242"/>
        </w:trPr>
        <w:tc>
          <w:tcPr>
            <w:tcW w:w="8200" w:type="dxa"/>
            <w:vAlign w:val="bottom"/>
            <w:gridSpan w:val="37"/>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INFORMATION CONCERNING SOLICITATION AND VOTING</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34"/>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IMPORTANT INFORMATION ABOUT THE ANNUAL MEETING AND VOTING</w:t>
              </w:r>
            </w:hyperlink>
          </w:p>
        </w:tc>
        <w:tc>
          <w:tcPr>
            <w:tcW w:w="3240" w:type="dxa"/>
            <w:vAlign w:val="bottom"/>
            <w:gridSpan w:val="3"/>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2760" w:type="dxa"/>
            <w:vAlign w:val="bottom"/>
            <w:tcBorders>
              <w:bottom w:val="single" w:sz="8" w:color="0000EE"/>
            </w:tcBorders>
            <w:gridSpan w:val="23"/>
          </w:tcPr>
          <w:p>
            <w:pPr>
              <w:spacing w:after="0"/>
              <w:rPr>
                <w:rFonts w:ascii="Arial" w:cs="Arial" w:eastAsia="Arial" w:hAnsi="Arial"/>
                <w:sz w:val="14"/>
                <w:szCs w:val="14"/>
                <w:color w:val="0000EE"/>
                <w:w w:val="97"/>
              </w:rPr>
            </w:pPr>
            <w:hyperlink w:anchor="page10">
              <w:r>
                <w:rPr>
                  <w:rFonts w:ascii="Arial" w:cs="Arial" w:eastAsia="Arial" w:hAnsi="Arial"/>
                  <w:sz w:val="14"/>
                  <w:szCs w:val="14"/>
                  <w:color w:val="0000EE"/>
                  <w:w w:val="97"/>
                </w:rPr>
                <w:t>PROPOSAL 1—ELECTION OF DIRECTORS</w:t>
              </w:r>
            </w:hyperlink>
          </w:p>
        </w:tc>
        <w:tc>
          <w:tcPr>
            <w:tcW w:w="5440" w:type="dxa"/>
            <w:vAlign w:val="bottom"/>
            <w:gridSpan w:val="14"/>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Information Regarding Directors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13">
              <w:r>
                <w:rPr>
                  <w:rFonts w:ascii="Arial" w:cs="Arial" w:eastAsia="Arial" w:hAnsi="Arial"/>
                  <w:sz w:val="14"/>
                  <w:szCs w:val="14"/>
                  <w:color w:val="0000EE"/>
                </w:rPr>
                <w:t>Recommendation of the Board of Directors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80" w:type="dxa"/>
            <w:vAlign w:val="bottom"/>
            <w:tcBorders>
              <w:bottom w:val="single" w:sz="8" w:color="0000EE"/>
            </w:tcBorders>
            <w:gridSpan w:val="9"/>
          </w:tcPr>
          <w:p>
            <w:pPr>
              <w:spacing w:after="0"/>
              <w:rPr>
                <w:rFonts w:ascii="Arial" w:cs="Arial" w:eastAsia="Arial" w:hAnsi="Arial"/>
                <w:sz w:val="14"/>
                <w:szCs w:val="14"/>
                <w:color w:val="0000EE"/>
                <w:w w:val="96"/>
              </w:rPr>
            </w:pPr>
            <w:hyperlink w:anchor="page14">
              <w:r>
                <w:rPr>
                  <w:rFonts w:ascii="Arial" w:cs="Arial" w:eastAsia="Arial" w:hAnsi="Arial"/>
                  <w:sz w:val="14"/>
                  <w:szCs w:val="14"/>
                  <w:color w:val="0000EE"/>
                  <w:w w:val="96"/>
                </w:rPr>
                <w:t>CORPORATE GOVERNANCE</w:t>
              </w:r>
            </w:hyperlink>
          </w:p>
        </w:tc>
        <w:tc>
          <w:tcPr>
            <w:tcW w:w="6320" w:type="dxa"/>
            <w:vAlign w:val="bottom"/>
            <w:gridSpan w:val="28"/>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14">
              <w:r>
                <w:rPr>
                  <w:rFonts w:ascii="Arial" w:cs="Arial" w:eastAsia="Arial" w:hAnsi="Arial"/>
                  <w:sz w:val="14"/>
                  <w:szCs w:val="14"/>
                  <w:color w:val="0000EE"/>
                </w:rPr>
                <w:t>General</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14">
              <w:r>
                <w:rPr>
                  <w:rFonts w:ascii="Arial" w:cs="Arial" w:eastAsia="Arial" w:hAnsi="Arial"/>
                  <w:sz w:val="14"/>
                  <w:szCs w:val="14"/>
                  <w:color w:val="0000EE"/>
                </w:rPr>
                <w:t>Code of Business Conduct and Ethics and Corporate Governance Guidelines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200" w:type="dxa"/>
            <w:vAlign w:val="bottom"/>
          </w:tcPr>
          <w:p>
            <w:pPr>
              <w:spacing w:after="0"/>
              <w:rPr>
                <w:sz w:val="17"/>
                <w:szCs w:val="17"/>
                <w:color w:val="auto"/>
              </w:rPr>
            </w:pPr>
          </w:p>
        </w:tc>
        <w:tc>
          <w:tcPr>
            <w:tcW w:w="4400" w:type="dxa"/>
            <w:vAlign w:val="bottom"/>
            <w:tcBorders>
              <w:top w:val="single" w:sz="8" w:color="0000EE"/>
            </w:tcBorders>
            <w:gridSpan w:val="32"/>
          </w:tcPr>
          <w:p>
            <w:pPr>
              <w:spacing w:after="0"/>
              <w:rPr>
                <w:rFonts w:ascii="Arial" w:cs="Arial" w:eastAsia="Arial" w:hAnsi="Arial"/>
                <w:sz w:val="14"/>
                <w:szCs w:val="14"/>
                <w:color w:val="0000EE"/>
              </w:rPr>
            </w:pPr>
            <w:hyperlink w:anchor="page14">
              <w:r>
                <w:rPr>
                  <w:rFonts w:ascii="Arial" w:cs="Arial" w:eastAsia="Arial" w:hAnsi="Arial"/>
                  <w:sz w:val="14"/>
                  <w:szCs w:val="14"/>
                  <w:color w:val="0000EE"/>
                </w:rPr>
                <w:t>Board Leadership Structure and Risk Oversight</w:t>
              </w:r>
            </w:hyperlink>
          </w:p>
        </w:tc>
        <w:tc>
          <w:tcPr>
            <w:tcW w:w="3600" w:type="dxa"/>
            <w:vAlign w:val="bottom"/>
            <w:gridSpan w:val="4"/>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2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7"/>
          </w:tcPr>
          <w:p>
            <w:pPr>
              <w:spacing w:after="0"/>
              <w:rPr>
                <w:rFonts w:ascii="Arial" w:cs="Arial" w:eastAsia="Arial" w:hAnsi="Arial"/>
                <w:sz w:val="14"/>
                <w:szCs w:val="14"/>
                <w:color w:val="0000EE"/>
                <w:w w:val="92"/>
              </w:rPr>
            </w:pPr>
            <w:hyperlink w:anchor="page15">
              <w:r>
                <w:rPr>
                  <w:rFonts w:ascii="Arial" w:cs="Arial" w:eastAsia="Arial" w:hAnsi="Arial"/>
                  <w:sz w:val="14"/>
                  <w:szCs w:val="14"/>
                  <w:color w:val="0000EE"/>
                  <w:w w:val="92"/>
                </w:rPr>
                <w:t>Board Determination of Independence</w:t>
              </w:r>
            </w:hyperlink>
          </w:p>
        </w:tc>
        <w:tc>
          <w:tcPr>
            <w:tcW w:w="520" w:type="dxa"/>
            <w:vAlign w:val="bottom"/>
            <w:tcBorders>
              <w:top w:val="single" w:sz="8" w:color="0000EE"/>
            </w:tcBorders>
            <w:gridSpan w:val="7"/>
          </w:tcPr>
          <w:p>
            <w:pPr>
              <w:spacing w:after="0"/>
              <w:rPr>
                <w:sz w:val="17"/>
                <w:szCs w:val="17"/>
                <w:color w:val="auto"/>
              </w:rPr>
            </w:pPr>
          </w:p>
        </w:tc>
        <w:tc>
          <w:tcPr>
            <w:tcW w:w="5280" w:type="dxa"/>
            <w:vAlign w:val="bottom"/>
            <w:gridSpan w:val="12"/>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200" w:type="dxa"/>
            <w:vAlign w:val="bottom"/>
          </w:tcPr>
          <w:p>
            <w:pPr>
              <w:spacing w:after="0"/>
              <w:rPr>
                <w:sz w:val="17"/>
                <w:szCs w:val="17"/>
                <w:color w:val="auto"/>
              </w:rPr>
            </w:pPr>
          </w:p>
        </w:tc>
        <w:tc>
          <w:tcPr>
            <w:tcW w:w="2480" w:type="dxa"/>
            <w:vAlign w:val="bottom"/>
            <w:tcBorders>
              <w:bottom w:val="single" w:sz="8" w:color="0000EE"/>
            </w:tcBorders>
            <w:gridSpan w:val="20"/>
          </w:tcPr>
          <w:p>
            <w:pPr>
              <w:spacing w:after="0"/>
              <w:rPr>
                <w:rFonts w:ascii="Arial" w:cs="Arial" w:eastAsia="Arial" w:hAnsi="Arial"/>
                <w:sz w:val="14"/>
                <w:szCs w:val="14"/>
                <w:color w:val="0000EE"/>
                <w:w w:val="90"/>
              </w:rPr>
            </w:pPr>
            <w:hyperlink w:anchor="page15">
              <w:r>
                <w:rPr>
                  <w:rFonts w:ascii="Arial" w:cs="Arial" w:eastAsia="Arial" w:hAnsi="Arial"/>
                  <w:sz w:val="14"/>
                  <w:szCs w:val="14"/>
                  <w:color w:val="0000EE"/>
                  <w:w w:val="90"/>
                </w:rPr>
                <w:t>Board of Director Meetings and Attendance</w:t>
              </w:r>
            </w:hyperlink>
          </w:p>
        </w:tc>
        <w:tc>
          <w:tcPr>
            <w:tcW w:w="5520" w:type="dxa"/>
            <w:vAlign w:val="bottom"/>
            <w:gridSpan w:val="16"/>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200" w:type="dxa"/>
            <w:vAlign w:val="bottom"/>
          </w:tcPr>
          <w:p>
            <w:pPr>
              <w:spacing w:after="0"/>
              <w:rPr>
                <w:sz w:val="17"/>
                <w:szCs w:val="17"/>
                <w:color w:val="auto"/>
              </w:rPr>
            </w:pPr>
          </w:p>
        </w:tc>
        <w:tc>
          <w:tcPr>
            <w:tcW w:w="2540" w:type="dxa"/>
            <w:vAlign w:val="bottom"/>
            <w:tcBorders>
              <w:bottom w:val="single" w:sz="8" w:color="0000EE"/>
            </w:tcBorders>
            <w:gridSpan w:val="21"/>
          </w:tcPr>
          <w:p>
            <w:pPr>
              <w:spacing w:after="0"/>
              <w:rPr>
                <w:rFonts w:ascii="Arial" w:cs="Arial" w:eastAsia="Arial" w:hAnsi="Arial"/>
                <w:sz w:val="14"/>
                <w:szCs w:val="14"/>
                <w:color w:val="0000EE"/>
                <w:w w:val="94"/>
              </w:rPr>
            </w:pPr>
            <w:hyperlink w:anchor="page15">
              <w:r>
                <w:rPr>
                  <w:rFonts w:ascii="Arial" w:cs="Arial" w:eastAsia="Arial" w:hAnsi="Arial"/>
                  <w:sz w:val="14"/>
                  <w:szCs w:val="14"/>
                  <w:color w:val="0000EE"/>
                  <w:w w:val="94"/>
                </w:rPr>
                <w:t>Communicating with the Board of Directors</w:t>
              </w:r>
            </w:hyperlink>
          </w:p>
        </w:tc>
        <w:tc>
          <w:tcPr>
            <w:tcW w:w="5460" w:type="dxa"/>
            <w:vAlign w:val="bottom"/>
            <w:gridSpan w:val="15"/>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Committees of the Board of Directors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20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8"/>
          </w:tcPr>
          <w:p>
            <w:pPr>
              <w:spacing w:after="0"/>
              <w:rPr>
                <w:rFonts w:ascii="Arial" w:cs="Arial" w:eastAsia="Arial" w:hAnsi="Arial"/>
                <w:sz w:val="14"/>
                <w:szCs w:val="14"/>
                <w:color w:val="0000EE"/>
                <w:w w:val="93"/>
              </w:rPr>
            </w:pPr>
            <w:hyperlink w:anchor="page17">
              <w:r>
                <w:rPr>
                  <w:rFonts w:ascii="Arial" w:cs="Arial" w:eastAsia="Arial" w:hAnsi="Arial"/>
                  <w:sz w:val="14"/>
                  <w:szCs w:val="14"/>
                  <w:color w:val="0000EE"/>
                  <w:w w:val="93"/>
                </w:rPr>
                <w:t>Director Nomination Process</w:t>
              </w:r>
            </w:hyperlink>
          </w:p>
        </w:tc>
        <w:tc>
          <w:tcPr>
            <w:tcW w:w="480" w:type="dxa"/>
            <w:vAlign w:val="bottom"/>
            <w:tcBorders>
              <w:top w:val="single" w:sz="8" w:color="0000EE"/>
            </w:tcBorders>
            <w:gridSpan w:val="7"/>
          </w:tcPr>
          <w:p>
            <w:pPr>
              <w:spacing w:after="0"/>
              <w:rPr>
                <w:sz w:val="17"/>
                <w:szCs w:val="17"/>
                <w:color w:val="auto"/>
              </w:rPr>
            </w:pPr>
          </w:p>
        </w:tc>
        <w:tc>
          <w:tcPr>
            <w:tcW w:w="5840" w:type="dxa"/>
            <w:vAlign w:val="bottom"/>
            <w:gridSpan w:val="21"/>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Our Corporate Social Responsibility Efforts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5"/>
          </w:tcPr>
          <w:p>
            <w:pPr>
              <w:spacing w:after="0"/>
              <w:rPr>
                <w:rFonts w:ascii="Arial" w:cs="Arial" w:eastAsia="Arial" w:hAnsi="Arial"/>
                <w:sz w:val="14"/>
                <w:szCs w:val="14"/>
                <w:color w:val="0000EE"/>
                <w:w w:val="97"/>
              </w:rPr>
            </w:pPr>
            <w:hyperlink w:anchor="page20">
              <w:r>
                <w:rPr>
                  <w:rFonts w:ascii="Arial" w:cs="Arial" w:eastAsia="Arial" w:hAnsi="Arial"/>
                  <w:sz w:val="14"/>
                  <w:szCs w:val="14"/>
                  <w:color w:val="0000EE"/>
                  <w:w w:val="97"/>
                </w:rPr>
                <w:t>EXECUTIVE OFFICERS</w:t>
              </w:r>
            </w:hyperlink>
          </w:p>
        </w:tc>
        <w:tc>
          <w:tcPr>
            <w:tcW w:w="6680" w:type="dxa"/>
            <w:vAlign w:val="bottom"/>
            <w:gridSpan w:val="32"/>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8200" w:type="dxa"/>
            <w:vAlign w:val="bottom"/>
            <w:gridSpan w:val="37"/>
          </w:tcPr>
          <w:p>
            <w:pPr>
              <w:spacing w:after="0"/>
              <w:rPr>
                <w:rFonts w:ascii="Arial" w:cs="Arial" w:eastAsia="Arial" w:hAnsi="Arial"/>
                <w:sz w:val="14"/>
                <w:szCs w:val="14"/>
                <w:color w:val="0000EE"/>
              </w:rPr>
            </w:pPr>
            <w:hyperlink w:anchor="page22">
              <w:r>
                <w:rPr>
                  <w:rFonts w:ascii="Arial" w:cs="Arial" w:eastAsia="Arial" w:hAnsi="Arial"/>
                  <w:sz w:val="14"/>
                  <w:szCs w:val="14"/>
                  <w:color w:val="0000EE"/>
                </w:rPr>
                <w:t>EXECUTIVE COMPENSATION</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2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80" w:type="dxa"/>
            <w:vAlign w:val="bottom"/>
            <w:tcBorders>
              <w:bottom w:val="single" w:sz="8" w:color="0000EE"/>
            </w:tcBorders>
            <w:gridSpan w:val="18"/>
          </w:tcPr>
          <w:p>
            <w:pPr>
              <w:spacing w:after="0"/>
              <w:rPr>
                <w:rFonts w:ascii="Arial" w:cs="Arial" w:eastAsia="Arial" w:hAnsi="Arial"/>
                <w:sz w:val="14"/>
                <w:szCs w:val="14"/>
                <w:color w:val="0000EE"/>
                <w:w w:val="92"/>
              </w:rPr>
            </w:pPr>
            <w:hyperlink w:anchor="page22">
              <w:r>
                <w:rPr>
                  <w:rFonts w:ascii="Arial" w:cs="Arial" w:eastAsia="Arial" w:hAnsi="Arial"/>
                  <w:sz w:val="14"/>
                  <w:szCs w:val="14"/>
                  <w:color w:val="0000EE"/>
                  <w:w w:val="92"/>
                </w:rPr>
                <w:t>Compensation Discussion and Analysis</w:t>
              </w:r>
            </w:hyperlink>
          </w:p>
        </w:tc>
        <w:tc>
          <w:tcPr>
            <w:tcW w:w="5720" w:type="dxa"/>
            <w:vAlign w:val="bottom"/>
            <w:gridSpan w:val="18"/>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20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rPr>
                <w:rFonts w:ascii="Arial" w:cs="Arial" w:eastAsia="Arial" w:hAnsi="Arial"/>
                <w:sz w:val="14"/>
                <w:szCs w:val="14"/>
                <w:color w:val="0000EE"/>
                <w:w w:val="91"/>
              </w:rPr>
            </w:pPr>
            <w:hyperlink w:anchor="page35">
              <w:r>
                <w:rPr>
                  <w:rFonts w:ascii="Arial" w:cs="Arial" w:eastAsia="Arial" w:hAnsi="Arial"/>
                  <w:sz w:val="14"/>
                  <w:szCs w:val="14"/>
                  <w:color w:val="0000EE"/>
                  <w:w w:val="91"/>
                </w:rPr>
                <w:t>Executive Compensation</w:t>
              </w:r>
            </w:hyperlink>
          </w:p>
        </w:tc>
        <w:tc>
          <w:tcPr>
            <w:tcW w:w="6560" w:type="dxa"/>
            <w:vAlign w:val="bottom"/>
            <w:gridSpan w:val="30"/>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96"/>
        </w:trPr>
        <w:tc>
          <w:tcPr>
            <w:tcW w:w="20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rPr>
                <w:rFonts w:ascii="Arial" w:cs="Arial" w:eastAsia="Arial" w:hAnsi="Arial"/>
                <w:sz w:val="14"/>
                <w:szCs w:val="14"/>
                <w:color w:val="0000EE"/>
                <w:w w:val="91"/>
              </w:rPr>
            </w:pPr>
            <w:hyperlink w:anchor="page36">
              <w:r>
                <w:rPr>
                  <w:rFonts w:ascii="Arial" w:cs="Arial" w:eastAsia="Arial" w:hAnsi="Arial"/>
                  <w:sz w:val="14"/>
                  <w:szCs w:val="14"/>
                  <w:color w:val="0000EE"/>
                  <w:w w:val="91"/>
                </w:rPr>
                <w:t>Summary Compensation Table</w:t>
              </w:r>
            </w:hyperlink>
          </w:p>
        </w:tc>
        <w:tc>
          <w:tcPr>
            <w:tcW w:w="6220" w:type="dxa"/>
            <w:vAlign w:val="bottom"/>
            <w:gridSpan w:val="25"/>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6"/>
        </w:trPr>
        <w:tc>
          <w:tcPr>
            <w:tcW w:w="200" w:type="dxa"/>
            <w:vAlign w:val="bottom"/>
          </w:tcPr>
          <w:p>
            <w:pPr>
              <w:spacing w:after="0"/>
              <w:rPr>
                <w:sz w:val="17"/>
                <w:szCs w:val="17"/>
                <w:color w:val="auto"/>
              </w:rPr>
            </w:pPr>
          </w:p>
        </w:tc>
        <w:tc>
          <w:tcPr>
            <w:tcW w:w="1740" w:type="dxa"/>
            <w:vAlign w:val="bottom"/>
            <w:tcBorders>
              <w:bottom w:val="single" w:sz="8" w:color="0000EE"/>
            </w:tcBorders>
            <w:gridSpan w:val="9"/>
          </w:tcPr>
          <w:p>
            <w:pPr>
              <w:spacing w:after="0"/>
              <w:rPr>
                <w:rFonts w:ascii="Arial" w:cs="Arial" w:eastAsia="Arial" w:hAnsi="Arial"/>
                <w:sz w:val="14"/>
                <w:szCs w:val="14"/>
                <w:color w:val="0000EE"/>
                <w:w w:val="92"/>
              </w:rPr>
            </w:pPr>
            <w:hyperlink w:anchor="page37">
              <w:r>
                <w:rPr>
                  <w:rFonts w:ascii="Arial" w:cs="Arial" w:eastAsia="Arial" w:hAnsi="Arial"/>
                  <w:sz w:val="14"/>
                  <w:szCs w:val="14"/>
                  <w:color w:val="0000EE"/>
                  <w:w w:val="92"/>
                </w:rPr>
                <w:t>Grants of Plan-Based Awards</w:t>
              </w:r>
            </w:hyperlink>
          </w:p>
        </w:tc>
        <w:tc>
          <w:tcPr>
            <w:tcW w:w="6260" w:type="dxa"/>
            <w:vAlign w:val="bottom"/>
            <w:gridSpan w:val="27"/>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200" w:type="dxa"/>
            <w:vAlign w:val="bottom"/>
          </w:tcPr>
          <w:p>
            <w:pPr>
              <w:spacing w:after="0"/>
              <w:rPr>
                <w:sz w:val="17"/>
                <w:szCs w:val="17"/>
                <w:color w:val="auto"/>
              </w:rPr>
            </w:pPr>
          </w:p>
        </w:tc>
        <w:tc>
          <w:tcPr>
            <w:tcW w:w="2680" w:type="dxa"/>
            <w:vAlign w:val="bottom"/>
            <w:tcBorders>
              <w:bottom w:val="single" w:sz="8" w:color="0000EE"/>
            </w:tcBorders>
            <w:gridSpan w:val="23"/>
          </w:tcPr>
          <w:p>
            <w:pPr>
              <w:spacing w:after="0"/>
              <w:rPr>
                <w:rFonts w:ascii="Arial" w:cs="Arial" w:eastAsia="Arial" w:hAnsi="Arial"/>
                <w:sz w:val="14"/>
                <w:szCs w:val="14"/>
                <w:color w:val="0000EE"/>
                <w:w w:val="92"/>
              </w:rPr>
            </w:pPr>
            <w:hyperlink w:anchor="page38">
              <w:r>
                <w:rPr>
                  <w:rFonts w:ascii="Arial" w:cs="Arial" w:eastAsia="Arial" w:hAnsi="Arial"/>
                  <w:sz w:val="14"/>
                  <w:szCs w:val="14"/>
                  <w:color w:val="0000EE"/>
                  <w:w w:val="92"/>
                </w:rPr>
                <w:t>Outstanding Equity Awards at Fiscal Year-End</w:t>
              </w:r>
            </w:hyperlink>
          </w:p>
        </w:tc>
        <w:tc>
          <w:tcPr>
            <w:tcW w:w="5320" w:type="dxa"/>
            <w:vAlign w:val="bottom"/>
            <w:gridSpan w:val="13"/>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Option Exercises and Stock Vested</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tcBorders>
              <w:bottom w:val="single" w:sz="8" w:color="0000EE"/>
            </w:tcBorders>
            <w:gridSpan w:val="27"/>
          </w:tcPr>
          <w:p>
            <w:pPr>
              <w:spacing w:after="0"/>
              <w:rPr>
                <w:rFonts w:ascii="Arial" w:cs="Arial" w:eastAsia="Arial" w:hAnsi="Arial"/>
                <w:sz w:val="14"/>
                <w:szCs w:val="14"/>
                <w:color w:val="0000EE"/>
                <w:w w:val="92"/>
              </w:rPr>
            </w:pPr>
            <w:hyperlink w:anchor="page39">
              <w:r>
                <w:rPr>
                  <w:rFonts w:ascii="Arial" w:cs="Arial" w:eastAsia="Arial" w:hAnsi="Arial"/>
                  <w:sz w:val="14"/>
                  <w:szCs w:val="14"/>
                  <w:color w:val="0000EE"/>
                  <w:w w:val="92"/>
                </w:rPr>
                <w:t>Employment, Severance and Change-in-Control Arrangements</w:t>
              </w:r>
            </w:hyperlink>
          </w:p>
        </w:tc>
        <w:tc>
          <w:tcPr>
            <w:tcW w:w="4380" w:type="dxa"/>
            <w:vAlign w:val="bottom"/>
            <w:gridSpan w:val="9"/>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Other Agreements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Limitation of Liability and Indemnification</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560" w:type="dxa"/>
            <w:vAlign w:val="bottom"/>
            <w:tcBorders>
              <w:bottom w:val="single" w:sz="8" w:color="0000EE"/>
            </w:tcBorders>
            <w:gridSpan w:val="26"/>
          </w:tcPr>
          <w:p>
            <w:pPr>
              <w:spacing w:after="0"/>
              <w:rPr>
                <w:rFonts w:ascii="Arial" w:cs="Arial" w:eastAsia="Arial" w:hAnsi="Arial"/>
                <w:sz w:val="14"/>
                <w:szCs w:val="14"/>
                <w:color w:val="0000EE"/>
                <w:w w:val="93"/>
              </w:rPr>
            </w:pPr>
            <w:hyperlink w:anchor="page42">
              <w:r>
                <w:rPr>
                  <w:rFonts w:ascii="Arial" w:cs="Arial" w:eastAsia="Arial" w:hAnsi="Arial"/>
                  <w:sz w:val="14"/>
                  <w:szCs w:val="14"/>
                  <w:color w:val="0000EE"/>
                  <w:w w:val="93"/>
                </w:rPr>
                <w:t>Compensation Committee Interlocks and Insider Participation</w:t>
              </w:r>
            </w:hyperlink>
          </w:p>
        </w:tc>
        <w:tc>
          <w:tcPr>
            <w:tcW w:w="4440" w:type="dxa"/>
            <w:vAlign w:val="bottom"/>
            <w:gridSpan w:val="10"/>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Compensation Committee Report</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8200" w:type="dxa"/>
            <w:vAlign w:val="bottom"/>
            <w:gridSpan w:val="37"/>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CEO PAY RATIO DISCLOSURE</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1860" w:type="dxa"/>
            <w:vAlign w:val="bottom"/>
            <w:tcBorders>
              <w:top w:val="single" w:sz="8" w:color="0000EE"/>
              <w:bottom w:val="single" w:sz="8" w:color="0000EE"/>
            </w:tcBorders>
            <w:gridSpan w:val="8"/>
          </w:tcPr>
          <w:p>
            <w:pPr>
              <w:spacing w:after="0"/>
              <w:rPr>
                <w:rFonts w:ascii="Arial" w:cs="Arial" w:eastAsia="Arial" w:hAnsi="Arial"/>
                <w:sz w:val="14"/>
                <w:szCs w:val="14"/>
                <w:color w:val="0000EE"/>
                <w:w w:val="96"/>
              </w:rPr>
            </w:pPr>
            <w:hyperlink w:anchor="page44">
              <w:r>
                <w:rPr>
                  <w:rFonts w:ascii="Arial" w:cs="Arial" w:eastAsia="Arial" w:hAnsi="Arial"/>
                  <w:sz w:val="14"/>
                  <w:szCs w:val="14"/>
                  <w:color w:val="0000EE"/>
                  <w:w w:val="96"/>
                </w:rPr>
                <w:t>DIRECTOR COMPENSATION</w:t>
              </w:r>
            </w:hyperlink>
          </w:p>
        </w:tc>
        <w:tc>
          <w:tcPr>
            <w:tcW w:w="100" w:type="dxa"/>
            <w:vAlign w:val="bottom"/>
            <w:tcBorders>
              <w:top w:val="single" w:sz="8" w:color="0000EE"/>
            </w:tcBorders>
            <w:gridSpan w:val="3"/>
          </w:tcPr>
          <w:p>
            <w:pPr>
              <w:spacing w:after="0"/>
              <w:rPr>
                <w:sz w:val="17"/>
                <w:szCs w:val="17"/>
                <w:color w:val="auto"/>
              </w:rPr>
            </w:pPr>
          </w:p>
        </w:tc>
        <w:tc>
          <w:tcPr>
            <w:tcW w:w="6240" w:type="dxa"/>
            <w:vAlign w:val="bottom"/>
            <w:gridSpan w:val="26"/>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96"/>
        </w:trPr>
        <w:tc>
          <w:tcPr>
            <w:tcW w:w="5580" w:type="dxa"/>
            <w:vAlign w:val="bottom"/>
            <w:tcBorders>
              <w:bottom w:val="single" w:sz="8" w:color="0000EE"/>
            </w:tcBorders>
            <w:gridSpan w:val="35"/>
          </w:tcPr>
          <w:p>
            <w:pPr>
              <w:spacing w:after="0"/>
              <w:rPr>
                <w:rFonts w:ascii="Arial" w:cs="Arial" w:eastAsia="Arial" w:hAnsi="Arial"/>
                <w:sz w:val="14"/>
                <w:szCs w:val="14"/>
                <w:color w:val="0000EE"/>
                <w:w w:val="98"/>
              </w:rPr>
            </w:pPr>
            <w:hyperlink w:anchor="page46">
              <w:r>
                <w:rPr>
                  <w:rFonts w:ascii="Arial" w:cs="Arial" w:eastAsia="Arial" w:hAnsi="Arial"/>
                  <w:sz w:val="14"/>
                  <w:szCs w:val="14"/>
                  <w:color w:val="0000EE"/>
                  <w:w w:val="98"/>
                </w:rPr>
                <w:t>SECURITIES AUTHORIZED FOR ISSUANCE UNDER EQUITY COMPENSATION PLANS</w:t>
              </w:r>
            </w:hyperlink>
          </w:p>
        </w:tc>
        <w:tc>
          <w:tcPr>
            <w:tcW w:w="2620" w:type="dxa"/>
            <w:vAlign w:val="bottom"/>
            <w:gridSpan w:val="2"/>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4580" w:type="dxa"/>
            <w:vAlign w:val="bottom"/>
            <w:tcBorders>
              <w:bottom w:val="single" w:sz="8" w:color="0000EE"/>
            </w:tcBorders>
            <w:gridSpan w:val="32"/>
          </w:tcPr>
          <w:p>
            <w:pPr>
              <w:spacing w:after="0"/>
              <w:rPr>
                <w:rFonts w:ascii="Arial" w:cs="Arial" w:eastAsia="Arial" w:hAnsi="Arial"/>
                <w:sz w:val="14"/>
                <w:szCs w:val="14"/>
                <w:color w:val="0000EE"/>
                <w:w w:val="97"/>
              </w:rPr>
            </w:pPr>
            <w:hyperlink w:anchor="page47">
              <w:r>
                <w:rPr>
                  <w:rFonts w:ascii="Arial" w:cs="Arial" w:eastAsia="Arial" w:hAnsi="Arial"/>
                  <w:sz w:val="14"/>
                  <w:szCs w:val="14"/>
                  <w:color w:val="0000EE"/>
                  <w:w w:val="97"/>
                </w:rPr>
                <w:t>REPORT OF THE AUDIT COMMITTEE OF THE BOARD OF DIRECTORS</w:t>
              </w:r>
            </w:hyperlink>
          </w:p>
        </w:tc>
        <w:tc>
          <w:tcPr>
            <w:tcW w:w="3620" w:type="dxa"/>
            <w:vAlign w:val="bottom"/>
            <w:gridSpan w:val="5"/>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4380" w:type="dxa"/>
            <w:vAlign w:val="bottom"/>
            <w:tcBorders>
              <w:bottom w:val="single" w:sz="8" w:color="0000EE"/>
            </w:tcBorders>
            <w:gridSpan w:val="30"/>
          </w:tcPr>
          <w:p>
            <w:pPr>
              <w:spacing w:after="0"/>
              <w:rPr>
                <w:rFonts w:ascii="Arial" w:cs="Arial" w:eastAsia="Arial" w:hAnsi="Arial"/>
                <w:sz w:val="14"/>
                <w:szCs w:val="14"/>
                <w:color w:val="0000EE"/>
                <w:w w:val="98"/>
              </w:rPr>
            </w:pPr>
            <w:hyperlink w:anchor="page48">
              <w:r>
                <w:rPr>
                  <w:rFonts w:ascii="Arial" w:cs="Arial" w:eastAsia="Arial" w:hAnsi="Arial"/>
                  <w:sz w:val="14"/>
                  <w:szCs w:val="14"/>
                  <w:color w:val="0000EE"/>
                  <w:w w:val="98"/>
                </w:rPr>
                <w:t>PROPOSAL 2—ADVISORY VOTE ON EXECUTIVE COMPENSATION</w:t>
              </w:r>
            </w:hyperlink>
          </w:p>
        </w:tc>
        <w:tc>
          <w:tcPr>
            <w:tcW w:w="3820" w:type="dxa"/>
            <w:vAlign w:val="bottom"/>
            <w:gridSpan w:val="7"/>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Recommendation of the Board of Directors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40" w:type="dxa"/>
            <w:vAlign w:val="bottom"/>
            <w:tcBorders>
              <w:bottom w:val="single" w:sz="8" w:color="0000EE"/>
            </w:tcBorders>
            <w:gridSpan w:val="36"/>
          </w:tcPr>
          <w:p>
            <w:pPr>
              <w:spacing w:after="0"/>
              <w:rPr>
                <w:rFonts w:ascii="Arial" w:cs="Arial" w:eastAsia="Arial" w:hAnsi="Arial"/>
                <w:sz w:val="14"/>
                <w:szCs w:val="14"/>
                <w:color w:val="0000EE"/>
                <w:w w:val="98"/>
              </w:rPr>
            </w:pPr>
            <w:hyperlink w:anchor="page49">
              <w:r>
                <w:rPr>
                  <w:rFonts w:ascii="Arial" w:cs="Arial" w:eastAsia="Arial" w:hAnsi="Arial"/>
                  <w:sz w:val="14"/>
                  <w:szCs w:val="14"/>
                  <w:color w:val="0000EE"/>
                  <w:w w:val="98"/>
                </w:rPr>
                <w:t>PROPOSAL 3—RATIFICATION OF THE APPOINTMENT OF INDEPENDENT REGISTERED PUBLIC ACCOUNTING FIRM</w:t>
              </w:r>
            </w:hyperlink>
          </w:p>
        </w:tc>
        <w:tc>
          <w:tcPr>
            <w:tcW w:w="5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Audit Fees and Services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Pre-Approval Policies and Procedures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7"/>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00" w:type="dxa"/>
            <w:vAlign w:val="bottom"/>
            <w:gridSpan w:val="36"/>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Recommendation of the Board of Directors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2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7"/>
            <w:shd w:val="clear" w:color="auto" w:fill="0000EE"/>
          </w:tcPr>
          <w:p>
            <w:pPr>
              <w:spacing w:after="0" w:line="20" w:lineRule="exact"/>
              <w:rPr>
                <w:sz w:val="1"/>
                <w:szCs w:val="1"/>
                <w:color w:val="auto"/>
              </w:rPr>
            </w:pPr>
          </w:p>
        </w:tc>
        <w:tc>
          <w:tcPr>
            <w:tcW w:w="5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31"/>
          </w:tcPr>
          <w:p>
            <w:pPr>
              <w:spacing w:after="0"/>
              <w:rPr>
                <w:rFonts w:ascii="Arial" w:cs="Arial" w:eastAsia="Arial" w:hAnsi="Arial"/>
                <w:sz w:val="14"/>
                <w:szCs w:val="14"/>
                <w:color w:val="0000EE"/>
                <w:w w:val="97"/>
              </w:rPr>
            </w:pPr>
            <w:hyperlink w:anchor="page50">
              <w:r>
                <w:rPr>
                  <w:rFonts w:ascii="Arial" w:cs="Arial" w:eastAsia="Arial" w:hAnsi="Arial"/>
                  <w:sz w:val="14"/>
                  <w:szCs w:val="14"/>
                  <w:color w:val="0000EE"/>
                  <w:w w:val="97"/>
                </w:rPr>
                <w:t>CERTAIN RELATIONSHIPS AND RELATED PERSON TRANSACTIONS</w:t>
              </w:r>
            </w:hyperlink>
          </w:p>
        </w:tc>
        <w:tc>
          <w:tcPr>
            <w:tcW w:w="3720" w:type="dxa"/>
            <w:vAlign w:val="bottom"/>
            <w:gridSpan w:val="6"/>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8200" w:type="dxa"/>
            <w:vAlign w:val="bottom"/>
            <w:gridSpan w:val="37"/>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STOCK OWNERSHIP AND REPORTING</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96"/>
        </w:trPr>
        <w:tc>
          <w:tcPr>
            <w:tcW w:w="1940" w:type="dxa"/>
            <w:vAlign w:val="bottom"/>
            <w:tcBorders>
              <w:top w:val="single" w:sz="8" w:color="0000EE"/>
              <w:bottom w:val="single" w:sz="8" w:color="0000EE"/>
            </w:tcBorders>
            <w:gridSpan w:val="10"/>
          </w:tcPr>
          <w:p>
            <w:pPr>
              <w:spacing w:after="0"/>
              <w:rPr>
                <w:rFonts w:ascii="Arial" w:cs="Arial" w:eastAsia="Arial" w:hAnsi="Arial"/>
                <w:sz w:val="14"/>
                <w:szCs w:val="14"/>
                <w:color w:val="0000EE"/>
                <w:w w:val="96"/>
              </w:rPr>
            </w:pPr>
            <w:hyperlink w:anchor="page52">
              <w:r>
                <w:rPr>
                  <w:rFonts w:ascii="Arial" w:cs="Arial" w:eastAsia="Arial" w:hAnsi="Arial"/>
                  <w:sz w:val="14"/>
                  <w:szCs w:val="14"/>
                  <w:color w:val="0000EE"/>
                  <w:w w:val="96"/>
                </w:rPr>
                <w:t>STOCKHOLDER PROPOSALS</w:t>
              </w:r>
            </w:hyperlink>
          </w:p>
        </w:tc>
        <w:tc>
          <w:tcPr>
            <w:tcW w:w="580" w:type="dxa"/>
            <w:vAlign w:val="bottom"/>
            <w:tcBorders>
              <w:top w:val="single" w:sz="8" w:color="0000EE"/>
            </w:tcBorders>
            <w:gridSpan w:val="10"/>
          </w:tcPr>
          <w:p>
            <w:pPr>
              <w:spacing w:after="0"/>
              <w:rPr>
                <w:sz w:val="17"/>
                <w:szCs w:val="17"/>
                <w:color w:val="auto"/>
              </w:rPr>
            </w:pPr>
          </w:p>
        </w:tc>
        <w:tc>
          <w:tcPr>
            <w:tcW w:w="5680" w:type="dxa"/>
            <w:vAlign w:val="bottom"/>
            <w:gridSpan w:val="17"/>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8200" w:type="dxa"/>
            <w:vAlign w:val="bottom"/>
            <w:gridSpan w:val="37"/>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STOCKHOLDERS SHARING THE SAME ADDRESS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96"/>
        </w:trPr>
        <w:tc>
          <w:tcPr>
            <w:tcW w:w="3240" w:type="dxa"/>
            <w:vAlign w:val="bottom"/>
            <w:tcBorders>
              <w:top w:val="single" w:sz="8" w:color="0000EE"/>
            </w:tcBorders>
            <w:gridSpan w:val="26"/>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OTHER MATTERS</w:t>
              </w:r>
            </w:hyperlink>
          </w:p>
        </w:tc>
        <w:tc>
          <w:tcPr>
            <w:tcW w:w="4960" w:type="dxa"/>
            <w:vAlign w:val="bottom"/>
            <w:gridSpan w:val="11"/>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692150</wp:posOffset>
            </wp:positionV>
            <wp:extent cx="1663065"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45 Sidney Street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Cambridge, Massachusetts 02139</w:t>
      </w:r>
    </w:p>
    <w:p>
      <w:pPr>
        <w:spacing w:after="0" w:line="19" w:lineRule="exact"/>
        <w:rPr>
          <w:sz w:val="20"/>
          <w:szCs w:val="20"/>
          <w:color w:val="auto"/>
        </w:rPr>
      </w:pPr>
    </w:p>
    <w:p>
      <w:pPr>
        <w:ind w:left="4380" w:hanging="382"/>
        <w:spacing w:after="0"/>
        <w:tabs>
          <w:tab w:leader="none" w:pos="4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374-7580</w:t>
      </w:r>
    </w:p>
    <w:p>
      <w:pPr>
        <w:spacing w:after="0" w:line="307" w:lineRule="exact"/>
        <w:rPr>
          <w:rFonts w:ascii="Arial" w:cs="Arial" w:eastAsia="Arial" w:hAnsi="Arial"/>
          <w:sz w:val="16"/>
          <w:szCs w:val="16"/>
          <w:b w:val="1"/>
          <w:bCs w:val="1"/>
          <w:color w:val="auto"/>
        </w:rPr>
      </w:pPr>
    </w:p>
    <w:p>
      <w:pPr>
        <w:ind w:left="37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-236220</wp:posOffset>
            </wp:positionV>
            <wp:extent cx="140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149225</wp:posOffset>
            </wp:positionV>
            <wp:extent cx="1405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ANNUAL MEETING OF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JUNE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80645</wp:posOffset>
            </wp:positionV>
            <wp:extent cx="1405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CONCERNING SOLICITATION AND VOTING</w:t>
      </w:r>
    </w:p>
    <w:p>
      <w:pPr>
        <w:spacing w:after="0" w:line="13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 xml:space="preserve">This proxy statement and the enclosed proxy card are being furnished in connection with the solicitation of proxies by the board of directors of Blueprint Medicines Corporation for use at the annual meeting of stockholders to be held online on Wednesday, June 2, 2021 at 4:00 p.m., Eastern Daylight Time, and at any adjournment thereof. The annual meeting will be held entirely online this year at </w:t>
      </w:r>
      <w:r>
        <w:rPr>
          <w:rFonts w:ascii="Arial" w:cs="Arial" w:eastAsia="Arial" w:hAnsi="Arial"/>
          <w:sz w:val="16"/>
          <w:szCs w:val="16"/>
          <w:i w:val="1"/>
          <w:iCs w:val="1"/>
          <w:color w:val="auto"/>
        </w:rPr>
        <w:t>http://www.virtualshareholdermeeting.com/BPMC2021</w:t>
      </w:r>
      <w:r>
        <w:rPr>
          <w:rFonts w:ascii="Arial" w:cs="Arial" w:eastAsia="Arial" w:hAnsi="Arial"/>
          <w:sz w:val="16"/>
          <w:szCs w:val="16"/>
          <w:color w:val="auto"/>
        </w:rPr>
        <w:t>. We encourage all stockholders to attend the annual meeting online. However, whether or not you plan to attend the annual meeting, we encourage you to read this proxy statement and submit your proxy or voting instructions as soon as possible. Additional details regarding attending the virtual annual meeting and voting at the meeting are provided below.</w:t>
      </w:r>
    </w:p>
    <w:p>
      <w:pPr>
        <w:spacing w:after="0" w:line="82" w:lineRule="exact"/>
        <w:rPr>
          <w:sz w:val="20"/>
          <w:szCs w:val="20"/>
          <w:color w:val="auto"/>
        </w:rPr>
      </w:pPr>
    </w:p>
    <w:p>
      <w:pPr>
        <w:jc w:val="both"/>
        <w:ind w:left="60" w:right="259" w:firstLine="648"/>
        <w:spacing w:after="0" w:line="305" w:lineRule="auto"/>
        <w:rPr>
          <w:sz w:val="20"/>
          <w:szCs w:val="20"/>
          <w:color w:val="auto"/>
        </w:rPr>
      </w:pPr>
      <w:r>
        <w:rPr>
          <w:rFonts w:ascii="Arial" w:cs="Arial" w:eastAsia="Arial" w:hAnsi="Arial"/>
          <w:sz w:val="15"/>
          <w:szCs w:val="15"/>
          <w:color w:val="auto"/>
        </w:rPr>
        <w:t>Unless otherwise stated, all references to “us,” “our,” “Blueprint,” “Blueprint Medicines,” “we,” the “Company” and similar designations refer to Blueprint Medicines Corporation and its consolidated subsidiaries. References to our website are inactive textual references only, and the contents of our website are not incorporated by reference into this proxy statement.</w:t>
      </w:r>
    </w:p>
    <w:p>
      <w:pPr>
        <w:spacing w:after="0" w:line="58" w:lineRule="exact"/>
        <w:rPr>
          <w:sz w:val="20"/>
          <w:szCs w:val="20"/>
          <w:color w:val="auto"/>
        </w:rPr>
      </w:pPr>
    </w:p>
    <w:p>
      <w:pPr>
        <w:jc w:val="both"/>
        <w:ind w:left="60" w:right="239" w:firstLine="648"/>
        <w:spacing w:after="0" w:line="273" w:lineRule="auto"/>
        <w:rPr>
          <w:sz w:val="20"/>
          <w:szCs w:val="20"/>
          <w:color w:val="auto"/>
        </w:rPr>
      </w:pPr>
      <w:r>
        <w:rPr>
          <w:rFonts w:ascii="Arial" w:cs="Arial" w:eastAsia="Arial" w:hAnsi="Arial"/>
          <w:sz w:val="16"/>
          <w:szCs w:val="16"/>
          <w:color w:val="auto"/>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2020 annual report to stockholders available to stockholders for the first time on or about April 21, 2021.</w:t>
      </w:r>
    </w:p>
    <w:p>
      <w:pPr>
        <w:spacing w:after="0" w:line="7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b w:val="1"/>
          <w:bCs w:val="1"/>
          <w:color w:val="auto"/>
        </w:rPr>
        <w:t xml:space="preserve">A copy of our Annual Report on Form 10-K for the fiscal year ended December 31, 2020, as filed with the Securities and Exchange Commission, or SEC, except for exhibits, will be furnished without charge to any stockholder upon written or oral request to Blueprint Medicines Corporation, 45 Sidney Street, Cambridge, Massachusetts 02139 or by calling 1-800-579-1639, by emailing </w:t>
      </w:r>
      <w:r>
        <w:rPr>
          <w:rFonts w:ascii="Arial" w:cs="Arial" w:eastAsia="Arial" w:hAnsi="Arial"/>
          <w:sz w:val="16"/>
          <w:szCs w:val="16"/>
          <w:b w:val="1"/>
          <w:bCs w:val="1"/>
          <w:i w:val="1"/>
          <w:iCs w:val="1"/>
          <w:color w:val="auto"/>
        </w:rPr>
        <w:t>sendmaterial@proxyvote.com</w:t>
      </w:r>
      <w:r>
        <w:rPr>
          <w:rFonts w:ascii="Arial" w:cs="Arial" w:eastAsia="Arial" w:hAnsi="Arial"/>
          <w:sz w:val="16"/>
          <w:szCs w:val="16"/>
          <w:b w:val="1"/>
          <w:bCs w:val="1"/>
          <w:color w:val="auto"/>
        </w:rPr>
        <w:t xml:space="preserve"> or by submitting a request over the Internet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This proxy statement and our Annual Report on Form 10-K for the fiscal year ended December 31, 2020 are also available on the SEC’s website at </w:t>
      </w:r>
      <w:r>
        <w:rPr>
          <w:rFonts w:ascii="Arial" w:cs="Arial" w:eastAsia="Arial" w:hAnsi="Arial"/>
          <w:sz w:val="16"/>
          <w:szCs w:val="16"/>
          <w:b w:val="1"/>
          <w:bCs w:val="1"/>
          <w:i w:val="1"/>
          <w:iCs w:val="1"/>
          <w:color w:val="auto"/>
        </w:rPr>
        <w:t xml:space="preserve">www.sec.gov </w:t>
      </w:r>
      <w:r>
        <w:rPr>
          <w:rFonts w:ascii="Arial" w:cs="Arial" w:eastAsia="Arial" w:hAnsi="Arial"/>
          <w:sz w:val="16"/>
          <w:szCs w:val="16"/>
          <w:b w:val="1"/>
          <w:bCs w:val="1"/>
          <w:color w:val="auto"/>
        </w:rPr>
        <w:t>and the “Investors &amp; Media —SEC Filings” section of our website, which is located at</w:t>
      </w:r>
      <w:r>
        <w:rPr>
          <w:rFonts w:ascii="Arial" w:cs="Arial" w:eastAsia="Arial" w:hAnsi="Arial"/>
          <w:sz w:val="16"/>
          <w:szCs w:val="16"/>
          <w:b w:val="1"/>
          <w:bCs w:val="1"/>
          <w:i w:val="1"/>
          <w:iCs w:val="1"/>
          <w:color w:val="auto"/>
        </w:rPr>
        <w:t xml:space="preserve"> http://ir.blueprintmedicines.com</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IMPORTANT INFORMATION ABOUT THE ANNUAL MEETING AND VOTING</w:t>
      </w:r>
    </w:p>
    <w:p>
      <w:pPr>
        <w:spacing w:after="0" w:line="140" w:lineRule="exact"/>
        <w:rPr>
          <w:sz w:val="20"/>
          <w:szCs w:val="20"/>
          <w:color w:val="auto"/>
        </w:rPr>
      </w:pPr>
    </w:p>
    <w:p>
      <w:pPr>
        <w:ind w:left="400" w:hanging="350"/>
        <w:spacing w:after="0"/>
        <w:tabs>
          <w:tab w:leader="none" w:pos="4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these proxy materials?</w:t>
      </w:r>
    </w:p>
    <w:p>
      <w:pPr>
        <w:spacing w:after="0" w:line="130" w:lineRule="exact"/>
        <w:rPr>
          <w:rFonts w:ascii="Arial" w:cs="Arial" w:eastAsia="Arial" w:hAnsi="Arial"/>
          <w:sz w:val="16"/>
          <w:szCs w:val="16"/>
          <w:b w:val="1"/>
          <w:bCs w:val="1"/>
          <w:color w:val="auto"/>
        </w:rPr>
      </w:pPr>
    </w:p>
    <w:p>
      <w:pPr>
        <w:ind w:left="380" w:right="139" w:hanging="330"/>
        <w:spacing w:after="0" w:line="318" w:lineRule="auto"/>
        <w:tabs>
          <w:tab w:leader="none" w:pos="373"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We have made these materials available to you on the Internet in connection with the solicitation of proxies for use at our 2021 annual meeting of stockholders to be held online on Wednesday, June 2, 2021 at 4:00 p.m., Eastern Daylight Time, at </w:t>
      </w:r>
      <w:r>
        <w:rPr>
          <w:rFonts w:ascii="Arial" w:cs="Arial" w:eastAsia="Arial" w:hAnsi="Arial"/>
          <w:sz w:val="14"/>
          <w:szCs w:val="14"/>
          <w:i w:val="1"/>
          <w:iCs w:val="1"/>
          <w:color w:val="auto"/>
        </w:rPr>
        <w:t>http://www.virtualshareholdermeeting.com/BPMC2021</w:t>
      </w:r>
      <w:r>
        <w:rPr>
          <w:rFonts w:ascii="Arial" w:cs="Arial" w:eastAsia="Arial" w:hAnsi="Arial"/>
          <w:sz w:val="14"/>
          <w:szCs w:val="14"/>
          <w:color w:val="auto"/>
        </w:rPr>
        <w:t>. As a holder of common stock, you are invited to attend the annual meeting</w:t>
      </w:r>
      <w:r>
        <w:rPr>
          <w:rFonts w:ascii="Arial" w:cs="Arial" w:eastAsia="Arial" w:hAnsi="Arial"/>
          <w:sz w:val="14"/>
          <w:szCs w:val="14"/>
          <w:i w:val="1"/>
          <w:iCs w:val="1"/>
          <w:color w:val="auto"/>
        </w:rPr>
        <w:t xml:space="preserve"> </w:t>
      </w:r>
      <w:r>
        <w:rPr>
          <w:rFonts w:ascii="Arial" w:cs="Arial" w:eastAsia="Arial" w:hAnsi="Arial"/>
          <w:sz w:val="14"/>
          <w:szCs w:val="14"/>
          <w:color w:val="auto"/>
        </w:rPr>
        <w:t>online and are requested to vote on the items of business described in this proxy statement. This proxy statement includes information that we are required to provide to you under SEC rules and that is designed to assist you in voting your shares.</w:t>
      </w:r>
    </w:p>
    <w:p>
      <w:pPr>
        <w:spacing w:after="0" w:line="49" w:lineRule="exact"/>
        <w:rPr>
          <w:rFonts w:ascii="Arial" w:cs="Arial" w:eastAsia="Arial" w:hAnsi="Arial"/>
          <w:sz w:val="14"/>
          <w:szCs w:val="14"/>
          <w:color w:val="auto"/>
        </w:rPr>
      </w:pPr>
    </w:p>
    <w:p>
      <w:pPr>
        <w:ind w:left="380" w:right="399" w:hanging="330"/>
        <w:spacing w:after="0" w:line="298" w:lineRule="auto"/>
        <w:tabs>
          <w:tab w:leader="none" w:pos="38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a notice in the mail regarding the Internet availability of proxy materials instead of a full set of proxy materials?</w:t>
      </w:r>
    </w:p>
    <w:p>
      <w:pPr>
        <w:spacing w:after="0" w:line="60" w:lineRule="exact"/>
        <w:rPr>
          <w:rFonts w:ascii="Arial" w:cs="Arial" w:eastAsia="Arial" w:hAnsi="Arial"/>
          <w:sz w:val="16"/>
          <w:szCs w:val="16"/>
          <w:b w:val="1"/>
          <w:bCs w:val="1"/>
          <w:color w:val="auto"/>
        </w:rPr>
      </w:pPr>
    </w:p>
    <w:p>
      <w:pPr>
        <w:ind w:left="380" w:right="119" w:hanging="330"/>
        <w:spacing w:after="0" w:line="305" w:lineRule="auto"/>
        <w:tabs>
          <w:tab w:leader="none" w:pos="376"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spacing w:after="0" w:line="53" w:lineRule="exact"/>
        <w:rPr>
          <w:rFonts w:ascii="Arial" w:cs="Arial" w:eastAsia="Arial" w:hAnsi="Arial"/>
          <w:sz w:val="15"/>
          <w:szCs w:val="15"/>
          <w:color w:val="auto"/>
        </w:rPr>
      </w:pPr>
    </w:p>
    <w:p>
      <w:pPr>
        <w:ind w:left="380" w:hanging="330"/>
        <w:spacing w:after="0"/>
        <w:tabs>
          <w:tab w:leader="none" w:pos="3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purpose of the annual meeting?</w:t>
      </w:r>
    </w:p>
    <w:p>
      <w:pPr>
        <w:spacing w:after="0" w:line="130" w:lineRule="exact"/>
        <w:rPr>
          <w:rFonts w:ascii="Arial" w:cs="Arial" w:eastAsia="Arial" w:hAnsi="Arial"/>
          <w:sz w:val="16"/>
          <w:szCs w:val="16"/>
          <w:b w:val="1"/>
          <w:bCs w:val="1"/>
          <w:color w:val="auto"/>
        </w:rPr>
      </w:pPr>
    </w:p>
    <w:p>
      <w:pPr>
        <w:ind w:left="360" w:hanging="310"/>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the annual meeting, stockholders will consider and vote on the following matters:</w:t>
      </w:r>
    </w:p>
    <w:p>
      <w:pPr>
        <w:spacing w:after="0" w:line="126" w:lineRule="exact"/>
        <w:rPr>
          <w:rFonts w:ascii="Arial" w:cs="Arial" w:eastAsia="Arial" w:hAnsi="Arial"/>
          <w:sz w:val="16"/>
          <w:szCs w:val="16"/>
          <w:color w:val="auto"/>
        </w:rPr>
      </w:pPr>
    </w:p>
    <w:p>
      <w:pPr>
        <w:ind w:left="1020" w:right="119" w:hanging="322"/>
        <w:spacing w:after="0" w:line="335"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4"/>
          <w:szCs w:val="14"/>
          <w:color w:val="auto"/>
        </w:rPr>
        <w:t>The election of two Class III directors nominated by our board of directors, each to serve for a three-year term expiring at the 2024 annual meeting of stockholders or until his or her successor has been duly elected and qualified (Proposal 1);</w:t>
      </w:r>
    </w:p>
    <w:p>
      <w:pPr>
        <w:spacing w:after="0" w:line="30" w:lineRule="exact"/>
        <w:rPr>
          <w:rFonts w:ascii="Arial" w:cs="Arial" w:eastAsia="Arial" w:hAnsi="Arial"/>
          <w:sz w:val="16"/>
          <w:szCs w:val="16"/>
          <w:color w:val="auto"/>
        </w:rPr>
      </w:pPr>
    </w:p>
    <w:p>
      <w:pPr>
        <w:ind w:left="1020" w:hanging="322"/>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6"/>
          <w:szCs w:val="16"/>
          <w:color w:val="auto"/>
        </w:rPr>
        <w:t>A non-binding, advisory vote on the compensation paid to our named executive officers (Proposal 2);</w:t>
      </w:r>
    </w:p>
    <w:p>
      <w:pPr>
        <w:spacing w:after="0" w:line="117" w:lineRule="exact"/>
        <w:rPr>
          <w:rFonts w:ascii="Arial" w:cs="Arial" w:eastAsia="Arial" w:hAnsi="Arial"/>
          <w:sz w:val="18"/>
          <w:szCs w:val="18"/>
          <w:color w:val="auto"/>
        </w:rPr>
      </w:pPr>
    </w:p>
    <w:p>
      <w:pPr>
        <w:ind w:left="1020" w:right="279" w:hanging="322"/>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6"/>
          <w:szCs w:val="16"/>
          <w:color w:val="auto"/>
        </w:rPr>
        <w:t>The ratification of the appointment of Ernst &amp; Young LLP as our independent registered public accounting firm for the fiscal year ending December 31, 2021 (Proposal 3); and</w:t>
      </w:r>
    </w:p>
    <w:p>
      <w:pPr>
        <w:spacing w:after="0" w:line="84" w:lineRule="exact"/>
        <w:rPr>
          <w:rFonts w:ascii="Arial" w:cs="Arial" w:eastAsia="Arial" w:hAnsi="Arial"/>
          <w:sz w:val="18"/>
          <w:szCs w:val="18"/>
          <w:color w:val="auto"/>
        </w:rPr>
      </w:pPr>
    </w:p>
    <w:p>
      <w:pPr>
        <w:ind w:left="1020" w:right="779" w:hanging="322"/>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6"/>
          <w:szCs w:val="16"/>
          <w:color w:val="auto"/>
        </w:rPr>
        <w:t>The transaction of any other business that may properly come before the annual meeting or any adjournment or postponement thereof.</w:t>
      </w:r>
    </w:p>
    <w:p>
      <w:pPr>
        <w:spacing w:after="0" w:line="94" w:lineRule="exact"/>
        <w:rPr>
          <w:rFonts w:ascii="Arial" w:cs="Arial" w:eastAsia="Arial" w:hAnsi="Arial"/>
          <w:sz w:val="18"/>
          <w:szCs w:val="18"/>
          <w:color w:val="auto"/>
        </w:rPr>
      </w:pPr>
    </w:p>
    <w:p>
      <w:pPr>
        <w:ind w:left="400" w:hanging="350"/>
        <w:spacing w:after="0"/>
        <w:tabs>
          <w:tab w:leader="none" w:pos="4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Who can vote at the annual meeting?</w:t>
      </w:r>
    </w:p>
    <w:p>
      <w:pPr>
        <w:spacing w:after="0" w:line="144" w:lineRule="exact"/>
        <w:rPr>
          <w:rFonts w:ascii="Arial" w:cs="Arial" w:eastAsia="Arial" w:hAnsi="Arial"/>
          <w:sz w:val="16"/>
          <w:szCs w:val="16"/>
          <w:b w:val="1"/>
          <w:bCs w:val="1"/>
          <w:color w:val="auto"/>
        </w:rPr>
      </w:pPr>
    </w:p>
    <w:p>
      <w:pPr>
        <w:ind w:left="380" w:right="179" w:hanging="330"/>
        <w:spacing w:after="0" w:line="278" w:lineRule="auto"/>
        <w:tabs>
          <w:tab w:leader="none" w:pos="38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be entitled to vote, you must have been a stockholder of record at the close of business on April 9, 2021, the record date for our annual meeting. As of the record date, there were 58,293,121 shares of our common stock outstanding and entitled to vote at the annual meeting.</w:t>
      </w:r>
    </w:p>
    <w:p>
      <w:pPr>
        <w:spacing w:after="0" w:line="85" w:lineRule="exact"/>
        <w:rPr>
          <w:rFonts w:ascii="Arial" w:cs="Arial" w:eastAsia="Arial" w:hAnsi="Arial"/>
          <w:sz w:val="16"/>
          <w:szCs w:val="16"/>
          <w:color w:val="auto"/>
        </w:rPr>
      </w:pPr>
    </w:p>
    <w:p>
      <w:pPr>
        <w:ind w:left="400" w:hanging="350"/>
        <w:spacing w:after="0"/>
        <w:tabs>
          <w:tab w:leader="none" w:pos="4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How many votes do I have?</w:t>
      </w:r>
    </w:p>
    <w:p>
      <w:pPr>
        <w:spacing w:after="0" w:line="130" w:lineRule="exact"/>
        <w:rPr>
          <w:rFonts w:ascii="Arial" w:cs="Arial" w:eastAsia="Arial" w:hAnsi="Arial"/>
          <w:sz w:val="16"/>
          <w:szCs w:val="16"/>
          <w:b w:val="1"/>
          <w:bCs w:val="1"/>
          <w:color w:val="auto"/>
        </w:rPr>
      </w:pPr>
    </w:p>
    <w:p>
      <w:pPr>
        <w:ind w:left="380" w:right="359" w:hanging="330"/>
        <w:spacing w:after="0" w:line="293" w:lineRule="auto"/>
        <w:tabs>
          <w:tab w:leader="none" w:pos="3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share of our common stock that you own as of the record date will entitle you to one vote on each matter considered at the annual meeting.</w:t>
      </w:r>
    </w:p>
    <w:p>
      <w:pPr>
        <w:spacing w:after="0" w:line="73" w:lineRule="exact"/>
        <w:rPr>
          <w:rFonts w:ascii="Arial" w:cs="Arial" w:eastAsia="Arial" w:hAnsi="Arial"/>
          <w:sz w:val="16"/>
          <w:szCs w:val="16"/>
          <w:color w:val="auto"/>
        </w:rPr>
      </w:pPr>
    </w:p>
    <w:p>
      <w:pPr>
        <w:ind w:left="400" w:hanging="350"/>
        <w:spacing w:after="0"/>
        <w:tabs>
          <w:tab w:leader="none" w:pos="4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How do I vote?</w:t>
      </w:r>
    </w:p>
    <w:p>
      <w:pPr>
        <w:spacing w:after="0" w:line="126" w:lineRule="exact"/>
        <w:rPr>
          <w:rFonts w:ascii="Arial" w:cs="Arial" w:eastAsia="Arial" w:hAnsi="Arial"/>
          <w:sz w:val="16"/>
          <w:szCs w:val="16"/>
          <w:b w:val="1"/>
          <w:bCs w:val="1"/>
          <w:color w:val="auto"/>
        </w:rPr>
      </w:pPr>
    </w:p>
    <w:p>
      <w:pPr>
        <w:ind w:left="380" w:right="139" w:hanging="330"/>
        <w:spacing w:after="0" w:line="281" w:lineRule="auto"/>
        <w:tabs>
          <w:tab w:leader="none" w:pos="375"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If you are the “record holder” of your shares, </w:t>
      </w:r>
      <w:r>
        <w:rPr>
          <w:rFonts w:ascii="Arial" w:cs="Arial" w:eastAsia="Arial" w:hAnsi="Arial"/>
          <w:sz w:val="16"/>
          <w:szCs w:val="16"/>
          <w:color w:val="auto"/>
        </w:rPr>
        <w:t>meaning that your shares are registered in your name in the records of our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agent, Computershare Trust Company, N.A., and not in the name of a bank, brokerage firm or other nominee, you may vote your shares as follows:</w:t>
      </w:r>
    </w:p>
    <w:p>
      <w:pPr>
        <w:spacing w:after="0" w:line="69" w:lineRule="exact"/>
        <w:rPr>
          <w:rFonts w:ascii="Arial" w:cs="Arial" w:eastAsia="Arial" w:hAnsi="Arial"/>
          <w:sz w:val="16"/>
          <w:szCs w:val="16"/>
          <w:color w:val="auto"/>
        </w:rPr>
      </w:pPr>
    </w:p>
    <w:p>
      <w:pPr>
        <w:ind w:left="1020" w:right="159" w:hanging="322"/>
        <w:spacing w:after="0" w:line="264"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6"/>
          <w:szCs w:val="16"/>
          <w:b w:val="1"/>
          <w:bCs w:val="1"/>
          <w:color w:val="auto"/>
        </w:rPr>
        <w:t xml:space="preserve">Over the Internet: </w:t>
      </w:r>
      <w:r>
        <w:rPr>
          <w:rFonts w:ascii="Arial" w:cs="Arial" w:eastAsia="Arial" w:hAnsi="Arial"/>
          <w:sz w:val="16"/>
          <w:szCs w:val="16"/>
          <w:color w:val="auto"/>
        </w:rPr>
        <w:t>To vote over the Internet, please go to the following website: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and follow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on that website for submitting your proxy electronically. 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Daylight Time, on June 1, 2021, the day before the annual meeting, for your proxy to be valid and your vote to count.</w:t>
      </w:r>
    </w:p>
    <w:p>
      <w:pPr>
        <w:spacing w:after="0" w:line="83" w:lineRule="exact"/>
        <w:rPr>
          <w:rFonts w:ascii="Arial" w:cs="Arial" w:eastAsia="Arial" w:hAnsi="Arial"/>
          <w:sz w:val="18"/>
          <w:szCs w:val="18"/>
          <w:color w:val="auto"/>
        </w:rPr>
      </w:pPr>
    </w:p>
    <w:p>
      <w:pPr>
        <w:ind w:left="1020" w:right="79" w:hanging="322"/>
        <w:spacing w:after="0" w:line="285" w:lineRule="auto"/>
        <w:tabs>
          <w:tab w:leader="none" w:pos="1020" w:val="left"/>
        </w:tabs>
        <w:numPr>
          <w:ilvl w:val="1"/>
          <w:numId w:val="19"/>
        </w:numPr>
        <w:rPr>
          <w:rFonts w:ascii="Arial" w:cs="Arial" w:eastAsia="Arial" w:hAnsi="Arial"/>
          <w:sz w:val="17"/>
          <w:szCs w:val="17"/>
          <w:color w:val="auto"/>
        </w:rPr>
      </w:pPr>
      <w:r>
        <w:rPr>
          <w:rFonts w:ascii="Arial" w:cs="Arial" w:eastAsia="Arial" w:hAnsi="Arial"/>
          <w:sz w:val="15"/>
          <w:szCs w:val="15"/>
          <w:b w:val="1"/>
          <w:bCs w:val="1"/>
          <w:color w:val="auto"/>
        </w:rPr>
        <w:t xml:space="preserve">By Telephone: </w:t>
      </w:r>
      <w:r>
        <w:rPr>
          <w:rFonts w:ascii="Arial" w:cs="Arial" w:eastAsia="Arial" w:hAnsi="Arial"/>
          <w:sz w:val="15"/>
          <w:szCs w:val="15"/>
          <w:color w:val="auto"/>
        </w:rPr>
        <w:t>To vote by telephone, please call 1-800-690-6903, and follow the instructions provided on the proxy card.</w:t>
      </w:r>
      <w:r>
        <w:rPr>
          <w:rFonts w:ascii="Arial" w:cs="Arial" w:eastAsia="Arial" w:hAnsi="Arial"/>
          <w:sz w:val="15"/>
          <w:szCs w:val="15"/>
          <w:b w:val="1"/>
          <w:bCs w:val="1"/>
          <w:color w:val="auto"/>
        </w:rPr>
        <w:t xml:space="preserve"> </w:t>
      </w:r>
      <w:r>
        <w:rPr>
          <w:rFonts w:ascii="Arial" w:cs="Arial" w:eastAsia="Arial" w:hAnsi="Arial"/>
          <w:sz w:val="15"/>
          <w:szCs w:val="15"/>
          <w:color w:val="auto"/>
        </w:rPr>
        <w:t>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1, 2021, the day before the annual meeting, for your proxy to be valid and your vote to count.</w:t>
      </w:r>
    </w:p>
    <w:p>
      <w:pPr>
        <w:spacing w:after="0" w:line="69" w:lineRule="exact"/>
        <w:rPr>
          <w:rFonts w:ascii="Arial" w:cs="Arial" w:eastAsia="Arial" w:hAnsi="Arial"/>
          <w:sz w:val="17"/>
          <w:szCs w:val="17"/>
          <w:color w:val="auto"/>
        </w:rPr>
      </w:pPr>
    </w:p>
    <w:p>
      <w:pPr>
        <w:ind w:left="1020" w:right="199" w:hanging="322"/>
        <w:spacing w:after="0" w:line="316"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4"/>
          <w:szCs w:val="14"/>
          <w:b w:val="1"/>
          <w:bCs w:val="1"/>
          <w:color w:val="auto"/>
        </w:rPr>
        <w:t xml:space="preserve">By Mail: </w:t>
      </w:r>
      <w:r>
        <w:rPr>
          <w:rFonts w:ascii="Arial" w:cs="Arial" w:eastAsia="Arial" w:hAnsi="Arial"/>
          <w:sz w:val="14"/>
          <w:szCs w:val="14"/>
          <w:color w:val="auto"/>
        </w:rPr>
        <w:t>To vote by mail, you must mark, sign and date the proxy card and then mail the proxy card in accordance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instructions on the proxy card. If you vote by mail, you do not need to vote over the Internet or by telephone. Broadridge Financial Solutions, Inc. must receive the proxy card not later than June 1, 2021, the day before the annual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right="79"/>
        <w:spacing w:after="0" w:line="278" w:lineRule="auto"/>
        <w:rPr>
          <w:sz w:val="20"/>
          <w:szCs w:val="20"/>
          <w:color w:val="auto"/>
        </w:rPr>
      </w:pPr>
      <w:r>
        <w:rPr>
          <w:rFonts w:ascii="Arial" w:cs="Arial" w:eastAsia="Arial" w:hAnsi="Arial"/>
          <w:sz w:val="16"/>
          <w:szCs w:val="16"/>
          <w:color w:val="auto"/>
        </w:rPr>
        <w:t>meeting, for your proxy to be valid and your vote to count. If you return your proxy card but do not specify how you want your shares voted on any particular matter, they will be voted in accordance with the recommendations of our board of directors.</w:t>
      </w:r>
    </w:p>
    <w:p>
      <w:pPr>
        <w:spacing w:after="0" w:line="72" w:lineRule="exact"/>
        <w:rPr>
          <w:sz w:val="20"/>
          <w:szCs w:val="20"/>
          <w:color w:val="auto"/>
        </w:rPr>
      </w:pPr>
    </w:p>
    <w:p>
      <w:pPr>
        <w:ind w:left="1020" w:right="99" w:hanging="322"/>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6"/>
          <w:szCs w:val="16"/>
          <w:b w:val="1"/>
          <w:bCs w:val="1"/>
          <w:color w:val="auto"/>
        </w:rPr>
        <w:t xml:space="preserve">During the Annual Meeting: </w:t>
      </w:r>
      <w:r>
        <w:rPr>
          <w:rFonts w:ascii="Arial" w:cs="Arial" w:eastAsia="Arial" w:hAnsi="Arial"/>
          <w:sz w:val="16"/>
          <w:szCs w:val="16"/>
          <w:color w:val="auto"/>
        </w:rPr>
        <w:t>You may vote during the annual meeting by going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http://www.virtualshareholdermeeting.com/BPMC2021 </w:t>
      </w:r>
      <w:r>
        <w:rPr>
          <w:rFonts w:ascii="Arial" w:cs="Arial" w:eastAsia="Arial" w:hAnsi="Arial"/>
          <w:sz w:val="16"/>
          <w:szCs w:val="16"/>
          <w:color w:val="auto"/>
        </w:rPr>
        <w:t>and following the instructions on that website for submitting your</w:t>
      </w:r>
      <w:r>
        <w:rPr>
          <w:rFonts w:ascii="Arial" w:cs="Arial" w:eastAsia="Arial" w:hAnsi="Arial"/>
          <w:sz w:val="16"/>
          <w:szCs w:val="16"/>
          <w:i w:val="1"/>
          <w:iCs w:val="1"/>
          <w:color w:val="auto"/>
        </w:rPr>
        <w:t xml:space="preserve"> </w:t>
      </w:r>
      <w:r>
        <w:rPr>
          <w:rFonts w:ascii="Arial" w:cs="Arial" w:eastAsia="Arial" w:hAnsi="Arial"/>
          <w:sz w:val="16"/>
          <w:szCs w:val="16"/>
          <w:color w:val="auto"/>
        </w:rPr>
        <w:t>vote. You will need the 16-digit control number included on your Notice. If you previously voted via the Internet (or by telephone or mail), you will not limit your right to vote online at the annual meeting.</w:t>
      </w:r>
    </w:p>
    <w:p>
      <w:pPr>
        <w:spacing w:after="0" w:line="83" w:lineRule="exact"/>
        <w:rPr>
          <w:sz w:val="20"/>
          <w:szCs w:val="20"/>
          <w:color w:val="auto"/>
        </w:rPr>
      </w:pPr>
    </w:p>
    <w:p>
      <w:pPr>
        <w:ind w:left="380" w:right="199"/>
        <w:spacing w:after="0" w:line="290" w:lineRule="auto"/>
        <w:rPr>
          <w:sz w:val="20"/>
          <w:szCs w:val="20"/>
          <w:color w:val="auto"/>
        </w:rPr>
      </w:pPr>
      <w:r>
        <w:rPr>
          <w:rFonts w:ascii="Arial" w:cs="Arial" w:eastAsia="Arial" w:hAnsi="Arial"/>
          <w:sz w:val="15"/>
          <w:szCs w:val="15"/>
          <w:b w:val="1"/>
          <w:bCs w:val="1"/>
          <w:color w:val="auto"/>
        </w:rPr>
        <w:t xml:space="preserve">If your shares are held in “street name,” </w:t>
      </w:r>
      <w:r>
        <w:rPr>
          <w:rFonts w:ascii="Arial" w:cs="Arial" w:eastAsia="Arial" w:hAnsi="Arial"/>
          <w:sz w:val="15"/>
          <w:szCs w:val="15"/>
          <w:color w:val="auto"/>
        </w:rPr>
        <w:t>meaning they are held for your account by an intermediary, such as a bank, brokerage</w:t>
      </w:r>
      <w:r>
        <w:rPr>
          <w:rFonts w:ascii="Arial" w:cs="Arial" w:eastAsia="Arial" w:hAnsi="Arial"/>
          <w:sz w:val="15"/>
          <w:szCs w:val="15"/>
          <w:b w:val="1"/>
          <w:bCs w:val="1"/>
          <w:color w:val="auto"/>
        </w:rPr>
        <w:t xml:space="preserve"> </w:t>
      </w:r>
      <w:r>
        <w:rPr>
          <w:rFonts w:ascii="Arial" w:cs="Arial" w:eastAsia="Arial" w:hAnsi="Arial"/>
          <w:sz w:val="15"/>
          <w:szCs w:val="15"/>
          <w:color w:val="auto"/>
        </w:rPr>
        <w:t>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spacing w:after="0" w:line="71" w:lineRule="exact"/>
        <w:rPr>
          <w:sz w:val="20"/>
          <w:szCs w:val="20"/>
          <w:color w:val="auto"/>
        </w:rPr>
      </w:pPr>
    </w:p>
    <w:p>
      <w:pPr>
        <w:ind w:left="380" w:right="99"/>
        <w:spacing w:after="0" w:line="297" w:lineRule="auto"/>
        <w:rPr>
          <w:sz w:val="20"/>
          <w:szCs w:val="20"/>
          <w:color w:val="auto"/>
        </w:rPr>
      </w:pPr>
      <w:r>
        <w:rPr>
          <w:rFonts w:ascii="Arial" w:cs="Arial" w:eastAsia="Arial" w:hAnsi="Arial"/>
          <w:sz w:val="15"/>
          <w:szCs w:val="15"/>
          <w:color w:val="auto"/>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3) is considered a discretionary item. Accordingly, your bank, brokerage firm or other nominee may vote your shares in its discretion with respect to that matter even if you do not give voting instructions on Proposal 3.</w:t>
      </w:r>
    </w:p>
    <w:p>
      <w:pPr>
        <w:spacing w:after="0" w:line="64" w:lineRule="exact"/>
        <w:rPr>
          <w:sz w:val="20"/>
          <w:szCs w:val="20"/>
          <w:color w:val="auto"/>
        </w:rPr>
      </w:pPr>
    </w:p>
    <w:p>
      <w:pPr>
        <w:ind w:left="380" w:right="199"/>
        <w:spacing w:after="0" w:line="268" w:lineRule="auto"/>
        <w:rPr>
          <w:sz w:val="20"/>
          <w:szCs w:val="20"/>
          <w:color w:val="auto"/>
        </w:rPr>
      </w:pPr>
      <w:r>
        <w:rPr>
          <w:rFonts w:ascii="Arial" w:cs="Arial" w:eastAsia="Arial" w:hAnsi="Arial"/>
          <w:sz w:val="16"/>
          <w:szCs w:val="16"/>
          <w:color w:val="auto"/>
        </w:rPr>
        <w:t>However, under applicable stock exchange rules that regulate voting by registered banks, brokerage firms or other nominees, the election of our nominees to serve as Class III directors (Proposal 1) and a non-binding, advisory vote on the compensation paid to our named executive officers (Proposal 2) is not considered to be a discretionary item. Accordingly, if you do not give your bank, brokerage firm or other nominee voting instructions on Proposals 1 or 2 they may not vote your shares with respect to this matter and your shares will be counted as “broker non-votes” with respect to the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spacing w:after="0" w:line="80" w:lineRule="exact"/>
        <w:rPr>
          <w:sz w:val="20"/>
          <w:szCs w:val="20"/>
          <w:color w:val="auto"/>
        </w:rPr>
      </w:pPr>
    </w:p>
    <w:p>
      <w:pPr>
        <w:ind w:left="380" w:right="79"/>
        <w:spacing w:after="0" w:line="271" w:lineRule="auto"/>
        <w:rPr>
          <w:sz w:val="20"/>
          <w:szCs w:val="20"/>
          <w:color w:val="auto"/>
        </w:rPr>
      </w:pPr>
      <w:r>
        <w:rPr>
          <w:rFonts w:ascii="Arial" w:cs="Arial" w:eastAsia="Arial" w:hAnsi="Arial"/>
          <w:sz w:val="16"/>
          <w:szCs w:val="16"/>
          <w:b w:val="1"/>
          <w:bCs w:val="1"/>
          <w:color w:val="auto"/>
        </w:rPr>
        <w:t xml:space="preserve">Regardless of whether your shares are held in street name, you are welcome to attend the annual meeting online. You may not vote shares held in street name at the annual meeting, however, unless you obtain a legal proxy, executed in your favor, from the holder of record (i.e., your bank, brokerage firm or other nominee). A legal proxy is </w:t>
      </w:r>
      <w:r>
        <w:rPr>
          <w:rFonts w:ascii="Arial" w:cs="Arial" w:eastAsia="Arial" w:hAnsi="Arial"/>
          <w:sz w:val="16"/>
          <w:szCs w:val="16"/>
          <w:b w:val="1"/>
          <w:bCs w:val="1"/>
          <w:i w:val="1"/>
          <w:iCs w:val="1"/>
          <w:color w:val="auto"/>
        </w:rPr>
        <w:t>not</w:t>
      </w:r>
      <w:r>
        <w:rPr>
          <w:rFonts w:ascii="Arial" w:cs="Arial" w:eastAsia="Arial" w:hAnsi="Arial"/>
          <w:sz w:val="16"/>
          <w:szCs w:val="16"/>
          <w:b w:val="1"/>
          <w:bCs w:val="1"/>
          <w:color w:val="auto"/>
        </w:rPr>
        <w:t xml:space="preserve"> the form of proxy included with this proxy statement. You will not be able to vote shares you hold in street name at the annual meeting unless you have a legal proxy from your bank, brokerage firm or other nominee issued in your name giving you the right to vote your shares.</w:t>
      </w:r>
    </w:p>
    <w:p>
      <w:pPr>
        <w:spacing w:after="0" w:line="90" w:lineRule="exact"/>
        <w:rPr>
          <w:sz w:val="20"/>
          <w:szCs w:val="20"/>
          <w:color w:val="auto"/>
        </w:rPr>
      </w:pPr>
    </w:p>
    <w:p>
      <w:pPr>
        <w:ind w:left="400" w:hanging="350"/>
        <w:spacing w:after="0"/>
        <w:tabs>
          <w:tab w:leader="none" w:pos="4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How do I attend the annual meeting online?</w:t>
      </w:r>
    </w:p>
    <w:p>
      <w:pPr>
        <w:spacing w:after="0" w:line="130" w:lineRule="exact"/>
        <w:rPr>
          <w:rFonts w:ascii="Arial" w:cs="Arial" w:eastAsia="Arial" w:hAnsi="Arial"/>
          <w:sz w:val="16"/>
          <w:szCs w:val="16"/>
          <w:b w:val="1"/>
          <w:bCs w:val="1"/>
          <w:color w:val="auto"/>
        </w:rPr>
      </w:pPr>
    </w:p>
    <w:p>
      <w:pPr>
        <w:ind w:left="380" w:right="219" w:hanging="330"/>
        <w:spacing w:after="0" w:line="303" w:lineRule="auto"/>
        <w:tabs>
          <w:tab w:leader="none" w:pos="3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Our 2021 annual meeting will be held entirely online due to the emerging public health impact of the COVID-19 pandemic and to support the health and well-being of our partners, employees, and stockholders. Stockholders of record as of April 9, 2021 will be able to attend and participate in the annual meeting by accessing </w:t>
      </w:r>
      <w:r>
        <w:rPr>
          <w:rFonts w:ascii="Arial" w:cs="Arial" w:eastAsia="Arial" w:hAnsi="Arial"/>
          <w:sz w:val="14"/>
          <w:szCs w:val="14"/>
          <w:i w:val="1"/>
          <w:iCs w:val="1"/>
          <w:color w:val="auto"/>
        </w:rPr>
        <w:t>http://www.virtualshareholdermeeting.com/BPMC2021</w:t>
      </w:r>
      <w:r>
        <w:rPr>
          <w:rFonts w:ascii="Arial" w:cs="Arial" w:eastAsia="Arial" w:hAnsi="Arial"/>
          <w:sz w:val="14"/>
          <w:szCs w:val="14"/>
          <w:color w:val="auto"/>
        </w:rPr>
        <w:t>. To join the annual meeting, you will need to have your 16-digit control number, which is included on your Notice and your proxy card.</w:t>
      </w:r>
    </w:p>
    <w:p>
      <w:pPr>
        <w:ind w:left="380" w:right="339"/>
        <w:spacing w:after="0" w:line="332" w:lineRule="auto"/>
        <w:rPr>
          <w:rFonts w:ascii="Arial" w:cs="Arial" w:eastAsia="Arial" w:hAnsi="Arial"/>
          <w:sz w:val="14"/>
          <w:szCs w:val="14"/>
          <w:color w:val="auto"/>
        </w:rPr>
      </w:pPr>
      <w:r>
        <w:rPr>
          <w:rFonts w:ascii="Arial" w:cs="Arial" w:eastAsia="Arial" w:hAnsi="Arial"/>
          <w:sz w:val="14"/>
          <w:szCs w:val="14"/>
          <w:color w:val="auto"/>
        </w:rPr>
        <w:t xml:space="preserve">Stockholders will also have the opportunity to submit questions during the annual meeting through </w:t>
      </w:r>
      <w:r>
        <w:rPr>
          <w:rFonts w:ascii="Arial" w:cs="Arial" w:eastAsia="Arial" w:hAnsi="Arial"/>
          <w:sz w:val="14"/>
          <w:szCs w:val="14"/>
          <w:i w:val="1"/>
          <w:iCs w:val="1"/>
          <w:color w:val="auto"/>
        </w:rPr>
        <w:t>http://www.virtualshareholdermeeting.com/BPMC2021</w:t>
      </w:r>
      <w:r>
        <w:rPr>
          <w:rFonts w:ascii="Arial" w:cs="Arial" w:eastAsia="Arial" w:hAnsi="Arial"/>
          <w:sz w:val="14"/>
          <w:szCs w:val="14"/>
          <w:color w:val="auto"/>
        </w:rPr>
        <w:t>. A technical support telephone number will be posted on the log-in page</w:t>
      </w:r>
      <w:r>
        <w:rPr>
          <w:rFonts w:ascii="Arial" w:cs="Arial" w:eastAsia="Arial" w:hAnsi="Arial"/>
          <w:sz w:val="14"/>
          <w:szCs w:val="14"/>
          <w:i w:val="1"/>
          <w:iCs w:val="1"/>
          <w:color w:val="auto"/>
        </w:rPr>
        <w:t xml:space="preserve"> </w:t>
      </w:r>
      <w:r>
        <w:rPr>
          <w:rFonts w:ascii="Arial" w:cs="Arial" w:eastAsia="Arial" w:hAnsi="Arial"/>
          <w:sz w:val="14"/>
          <w:szCs w:val="14"/>
          <w:color w:val="auto"/>
        </w:rPr>
        <w:t>that you can call if you encounter any difficulties accessing the virtual meeting during the check-in or during the meeting.</w:t>
      </w:r>
    </w:p>
    <w:p>
      <w:pPr>
        <w:spacing w:after="0" w:line="43" w:lineRule="exact"/>
        <w:rPr>
          <w:rFonts w:ascii="Arial" w:cs="Arial" w:eastAsia="Arial" w:hAnsi="Arial"/>
          <w:sz w:val="14"/>
          <w:szCs w:val="14"/>
          <w:color w:val="auto"/>
        </w:rPr>
      </w:pPr>
    </w:p>
    <w:p>
      <w:pPr>
        <w:ind w:left="380" w:right="279"/>
        <w:spacing w:after="0" w:line="293" w:lineRule="auto"/>
        <w:rPr>
          <w:rFonts w:ascii="Arial" w:cs="Arial" w:eastAsia="Arial" w:hAnsi="Arial"/>
          <w:sz w:val="14"/>
          <w:szCs w:val="14"/>
          <w:color w:val="auto"/>
        </w:rPr>
      </w:pPr>
      <w:r>
        <w:rPr>
          <w:rFonts w:ascii="Arial" w:cs="Arial" w:eastAsia="Arial" w:hAnsi="Arial"/>
          <w:sz w:val="16"/>
          <w:szCs w:val="16"/>
          <w:color w:val="auto"/>
        </w:rPr>
        <w:t>Even if you plan to attend the annual meeting online, we recommend that you also vote by proxy as described herein so that your vote will be counted if you decide not to attend the annual meeting.</w:t>
      </w:r>
    </w:p>
    <w:p>
      <w:pPr>
        <w:spacing w:after="0" w:line="59" w:lineRule="exact"/>
        <w:rPr>
          <w:rFonts w:ascii="Arial" w:cs="Arial" w:eastAsia="Arial" w:hAnsi="Arial"/>
          <w:sz w:val="14"/>
          <w:szCs w:val="14"/>
          <w:color w:val="auto"/>
        </w:rPr>
      </w:pPr>
    </w:p>
    <w:p>
      <w:pPr>
        <w:ind w:left="380" w:right="99"/>
        <w:spacing w:after="0" w:line="326" w:lineRule="auto"/>
        <w:rPr>
          <w:rFonts w:ascii="Arial" w:cs="Arial" w:eastAsia="Arial" w:hAnsi="Arial"/>
          <w:sz w:val="14"/>
          <w:szCs w:val="14"/>
          <w:color w:val="auto"/>
        </w:rPr>
      </w:pPr>
      <w:r>
        <w:rPr>
          <w:rFonts w:ascii="Arial" w:cs="Arial" w:eastAsia="Arial" w:hAnsi="Arial"/>
          <w:sz w:val="14"/>
          <w:szCs w:val="14"/>
          <w:b w:val="1"/>
          <w:bCs w:val="1"/>
          <w:color w:val="auto"/>
        </w:rPr>
        <w:t>Log in Instructions</w:t>
      </w:r>
      <w:r>
        <w:rPr>
          <w:rFonts w:ascii="Arial" w:cs="Arial" w:eastAsia="Arial" w:hAnsi="Arial"/>
          <w:sz w:val="14"/>
          <w:szCs w:val="14"/>
          <w:color w:val="auto"/>
        </w:rPr>
        <w:t>. To attend the online annual Meeting, log in at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http://www.virtualshareholdermeeting.com/BPMC2021</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will need their unique 16-digit control number, which appears on the Notice and the instructions that accompanied the proxy materials. In the event that you do not have a control number, please contact your broker, bank, or other nominee as soon as possible and no later than June 1, 2021, so that you can be provided with a control number and gain access to the meeting.</w:t>
      </w:r>
    </w:p>
    <w:p>
      <w:pPr>
        <w:spacing w:after="0" w:line="56" w:lineRule="exact"/>
        <w:rPr>
          <w:rFonts w:ascii="Arial" w:cs="Arial" w:eastAsia="Arial" w:hAnsi="Arial"/>
          <w:sz w:val="14"/>
          <w:szCs w:val="14"/>
          <w:color w:val="auto"/>
        </w:rPr>
      </w:pPr>
    </w:p>
    <w:p>
      <w:pPr>
        <w:ind w:left="400" w:hanging="350"/>
        <w:spacing w:after="0"/>
        <w:tabs>
          <w:tab w:leader="none" w:pos="4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Can I change my vote?</w:t>
      </w:r>
    </w:p>
    <w:p>
      <w:pPr>
        <w:spacing w:after="0" w:line="126" w:lineRule="exact"/>
        <w:rPr>
          <w:rFonts w:ascii="Arial" w:cs="Arial" w:eastAsia="Arial" w:hAnsi="Arial"/>
          <w:sz w:val="16"/>
          <w:szCs w:val="16"/>
          <w:b w:val="1"/>
          <w:bCs w:val="1"/>
          <w:color w:val="auto"/>
        </w:rPr>
      </w:pPr>
    </w:p>
    <w:p>
      <w:pPr>
        <w:ind w:left="380" w:right="79" w:hanging="330"/>
        <w:spacing w:after="0" w:line="298" w:lineRule="auto"/>
        <w:tabs>
          <w:tab w:leader="none" w:pos="375"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If your shares are registered directly in your name, </w:t>
      </w:r>
      <w:r>
        <w:rPr>
          <w:rFonts w:ascii="Arial" w:cs="Arial" w:eastAsia="Arial" w:hAnsi="Arial"/>
          <w:sz w:val="16"/>
          <w:szCs w:val="16"/>
          <w:color w:val="auto"/>
        </w:rPr>
        <w:t>you may revoke your proxy and change your vote at any time before the vote</w:t>
      </w:r>
      <w:r>
        <w:rPr>
          <w:rFonts w:ascii="Arial" w:cs="Arial" w:eastAsia="Arial" w:hAnsi="Arial"/>
          <w:sz w:val="16"/>
          <w:szCs w:val="16"/>
          <w:b w:val="1"/>
          <w:bCs w:val="1"/>
          <w:color w:val="auto"/>
        </w:rPr>
        <w:t xml:space="preserve"> </w:t>
      </w:r>
      <w:r>
        <w:rPr>
          <w:rFonts w:ascii="Arial" w:cs="Arial" w:eastAsia="Arial" w:hAnsi="Arial"/>
          <w:sz w:val="16"/>
          <w:szCs w:val="16"/>
          <w:color w:val="auto"/>
        </w:rPr>
        <w:t>is taken at the annual meeting. To do so, you must do one of the following:</w:t>
      </w:r>
    </w:p>
    <w:p>
      <w:pPr>
        <w:spacing w:after="0" w:line="60" w:lineRule="exact"/>
        <w:rPr>
          <w:rFonts w:ascii="Arial" w:cs="Arial" w:eastAsia="Arial" w:hAnsi="Arial"/>
          <w:sz w:val="16"/>
          <w:szCs w:val="16"/>
          <w:color w:val="auto"/>
        </w:rPr>
      </w:pPr>
    </w:p>
    <w:p>
      <w:pPr>
        <w:ind w:left="1020" w:hanging="322"/>
        <w:spacing w:after="0"/>
        <w:tabs>
          <w:tab w:leader="none" w:pos="1020" w:val="left"/>
        </w:tabs>
        <w:numPr>
          <w:ilvl w:val="1"/>
          <w:numId w:val="24"/>
        </w:numPr>
        <w:rPr>
          <w:rFonts w:ascii="Arial" w:cs="Arial" w:eastAsia="Arial" w:hAnsi="Arial"/>
          <w:sz w:val="17"/>
          <w:szCs w:val="17"/>
          <w:color w:val="auto"/>
        </w:rPr>
      </w:pPr>
      <w:r>
        <w:rPr>
          <w:rFonts w:ascii="Arial" w:cs="Arial" w:eastAsia="Arial" w:hAnsi="Arial"/>
          <w:sz w:val="15"/>
          <w:szCs w:val="15"/>
          <w:color w:val="auto"/>
        </w:rPr>
        <w:t>Vote over the Internet or by telephone as instructed above. Only your latest Internet or telephone vote is counted.</w:t>
      </w:r>
    </w:p>
    <w:p>
      <w:pPr>
        <w:spacing w:after="0" w:line="127" w:lineRule="exact"/>
        <w:rPr>
          <w:rFonts w:ascii="Arial" w:cs="Arial" w:eastAsia="Arial" w:hAnsi="Arial"/>
          <w:sz w:val="17"/>
          <w:szCs w:val="17"/>
          <w:color w:val="auto"/>
        </w:rPr>
      </w:pPr>
    </w:p>
    <w:p>
      <w:pPr>
        <w:ind w:left="1020" w:hanging="322"/>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6"/>
          <w:szCs w:val="16"/>
          <w:color w:val="auto"/>
        </w:rPr>
        <w:t>Sign and return a new proxy card. Only your latest dated and timely received proxy card will be counted.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right="199" w:hanging="322"/>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6"/>
          <w:szCs w:val="16"/>
          <w:color w:val="auto"/>
        </w:rPr>
        <w:t>Attend the annual meeting online and vote as instructed above. Attending the annual meeting will not alone revoke your Internet vote, telephone vote or proxy card submitted by mail, as the case may be.</w:t>
      </w:r>
    </w:p>
    <w:p>
      <w:pPr>
        <w:spacing w:after="0" w:line="83"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6"/>
          <w:szCs w:val="16"/>
          <w:color w:val="auto"/>
        </w:rPr>
        <w:t>Give our corporate secretary written notice before or at the meeting that you want to revoke your proxy.</w:t>
      </w:r>
    </w:p>
    <w:p>
      <w:pPr>
        <w:spacing w:after="0" w:line="114" w:lineRule="exact"/>
        <w:rPr>
          <w:sz w:val="20"/>
          <w:szCs w:val="20"/>
          <w:color w:val="auto"/>
        </w:rPr>
      </w:pPr>
    </w:p>
    <w:p>
      <w:pPr>
        <w:ind w:left="380" w:right="179"/>
        <w:spacing w:after="0" w:line="334" w:lineRule="auto"/>
        <w:rPr>
          <w:sz w:val="20"/>
          <w:szCs w:val="20"/>
          <w:color w:val="auto"/>
        </w:rPr>
      </w:pPr>
      <w:r>
        <w:rPr>
          <w:rFonts w:ascii="Arial" w:cs="Arial" w:eastAsia="Arial" w:hAnsi="Arial"/>
          <w:sz w:val="15"/>
          <w:szCs w:val="15"/>
          <w:b w:val="1"/>
          <w:bCs w:val="1"/>
          <w:color w:val="auto"/>
        </w:rPr>
        <w:t xml:space="preserve">If your shares are held in street name, </w:t>
      </w:r>
      <w:r>
        <w:rPr>
          <w:rFonts w:ascii="Arial" w:cs="Arial" w:eastAsia="Arial" w:hAnsi="Arial"/>
          <w:sz w:val="15"/>
          <w:szCs w:val="15"/>
          <w:color w:val="auto"/>
        </w:rPr>
        <w:t>you may submit new voting instructions by contacting your bank, brokerage firm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nominee. You may also vote at the annual meeting online if you obtain a legal proxy as described in the answer above.</w:t>
      </w:r>
    </w:p>
    <w:p>
      <w:pPr>
        <w:spacing w:after="0" w:line="46" w:lineRule="exact"/>
        <w:rPr>
          <w:sz w:val="20"/>
          <w:szCs w:val="20"/>
          <w:color w:val="auto"/>
        </w:rPr>
      </w:pPr>
    </w:p>
    <w:p>
      <w:pPr>
        <w:ind w:left="400" w:hanging="350"/>
        <w:spacing w:after="0"/>
        <w:tabs>
          <w:tab w:leader="none" w:pos="40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must be represented to have a quorum and hold the annual meeting?</w:t>
      </w:r>
    </w:p>
    <w:p>
      <w:pPr>
        <w:spacing w:after="0" w:line="130" w:lineRule="exact"/>
        <w:rPr>
          <w:rFonts w:ascii="Arial" w:cs="Arial" w:eastAsia="Arial" w:hAnsi="Arial"/>
          <w:sz w:val="16"/>
          <w:szCs w:val="16"/>
          <w:b w:val="1"/>
          <w:bCs w:val="1"/>
          <w:color w:val="auto"/>
        </w:rPr>
      </w:pPr>
    </w:p>
    <w:p>
      <w:pPr>
        <w:ind w:left="380" w:right="99" w:hanging="330"/>
        <w:spacing w:after="0" w:line="289" w:lineRule="auto"/>
        <w:tabs>
          <w:tab w:leader="none" w:pos="3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majority of our shares of common stock outstanding at the record date must be present or represented by proxy to hold the annual meeting. This is called a quorum. For purposes of determining whether a quorum exists, we count as present any shares that are voted over the Internet, by telephone, by completing and submitting a proxy by mail or that are represented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spacing w:after="0" w:line="71" w:lineRule="exact"/>
        <w:rPr>
          <w:rFonts w:ascii="Arial" w:cs="Arial" w:eastAsia="Arial" w:hAnsi="Arial"/>
          <w:sz w:val="15"/>
          <w:szCs w:val="15"/>
          <w:color w:val="auto"/>
        </w:rPr>
      </w:pPr>
    </w:p>
    <w:p>
      <w:pPr>
        <w:jc w:val="both"/>
        <w:ind w:left="380" w:right="239"/>
        <w:spacing w:after="0" w:line="278" w:lineRule="auto"/>
        <w:rPr>
          <w:rFonts w:ascii="Arial" w:cs="Arial" w:eastAsia="Arial" w:hAnsi="Arial"/>
          <w:sz w:val="15"/>
          <w:szCs w:val="15"/>
          <w:color w:val="auto"/>
        </w:rPr>
      </w:pPr>
      <w:r>
        <w:rPr>
          <w:rFonts w:ascii="Arial" w:cs="Arial" w:eastAsia="Arial" w:hAnsi="Arial"/>
          <w:sz w:val="16"/>
          <w:szCs w:val="16"/>
          <w:color w:val="auto"/>
        </w:rPr>
        <w:t>The presence at the annual meeting, online or by proxy, of holders representing a majority of our outstanding common stock as of the record date, April 9, 2021, or approximately 29,146,561 shares, constitutes a quorum at the meeting and permits us to conduct the business of the meeting.</w:t>
      </w:r>
    </w:p>
    <w:p>
      <w:pPr>
        <w:spacing w:after="0" w:line="72" w:lineRule="exact"/>
        <w:rPr>
          <w:rFonts w:ascii="Arial" w:cs="Arial" w:eastAsia="Arial" w:hAnsi="Arial"/>
          <w:sz w:val="15"/>
          <w:szCs w:val="15"/>
          <w:color w:val="auto"/>
        </w:rPr>
      </w:pPr>
    </w:p>
    <w:p>
      <w:pPr>
        <w:ind w:left="380" w:hanging="330"/>
        <w:spacing w:after="0"/>
        <w:tabs>
          <w:tab w:leader="none" w:pos="38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What vote is required to approve each matter and how are votes counted?</w:t>
      </w:r>
    </w:p>
    <w:p>
      <w:pPr>
        <w:spacing w:after="0" w:line="126" w:lineRule="exact"/>
        <w:rPr>
          <w:rFonts w:ascii="Arial" w:cs="Arial" w:eastAsia="Arial" w:hAnsi="Arial"/>
          <w:sz w:val="16"/>
          <w:szCs w:val="16"/>
          <w:b w:val="1"/>
          <w:bCs w:val="1"/>
          <w:color w:val="auto"/>
        </w:rPr>
      </w:pPr>
    </w:p>
    <w:p>
      <w:pPr>
        <w:ind w:left="360" w:hanging="310"/>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Proposal 1—Election of Class III Directors</w:t>
      </w:r>
    </w:p>
    <w:p>
      <w:pPr>
        <w:spacing w:after="0" w:line="130" w:lineRule="exact"/>
        <w:rPr>
          <w:rFonts w:ascii="Arial" w:cs="Arial" w:eastAsia="Arial" w:hAnsi="Arial"/>
          <w:sz w:val="16"/>
          <w:szCs w:val="16"/>
          <w:color w:val="auto"/>
        </w:rPr>
      </w:pPr>
    </w:p>
    <w:p>
      <w:pPr>
        <w:ind w:left="380" w:right="159"/>
        <w:spacing w:after="0" w:line="303" w:lineRule="auto"/>
        <w:rPr>
          <w:rFonts w:ascii="Arial" w:cs="Arial" w:eastAsia="Arial" w:hAnsi="Arial"/>
          <w:sz w:val="16"/>
          <w:szCs w:val="16"/>
          <w:color w:val="auto"/>
        </w:rPr>
      </w:pPr>
      <w:r>
        <w:rPr>
          <w:rFonts w:ascii="Arial" w:cs="Arial" w:eastAsia="Arial" w:hAnsi="Arial"/>
          <w:sz w:val="14"/>
          <w:szCs w:val="14"/>
          <w:color w:val="auto"/>
        </w:rPr>
        <w:t xml:space="preserve">The two nominees for director to receive the highest number of votes FOR election will be elected as directors. This is called a plurality. </w:t>
      </w:r>
      <w:r>
        <w:rPr>
          <w:rFonts w:ascii="Arial" w:cs="Arial" w:eastAsia="Arial" w:hAnsi="Arial"/>
          <w:sz w:val="14"/>
          <w:szCs w:val="14"/>
          <w:b w:val="1"/>
          <w:bCs w:val="1"/>
          <w:color w:val="auto"/>
        </w:rPr>
        <w:t>Proposal 1 is a non-discretionary matter.</w:t>
      </w:r>
      <w:r>
        <w:rPr>
          <w:rFonts w:ascii="Arial" w:cs="Arial" w:eastAsia="Arial" w:hAnsi="Arial"/>
          <w:sz w:val="14"/>
          <w:szCs w:val="14"/>
          <w:color w:val="auto"/>
        </w:rPr>
        <w:t xml:space="preserve"> Therefore, if your shares are held by your brokerage firm in street name and you do not timely provide voting instructions with respect to your shares, your brokerage firm cannot vote your shares on Proposal</w:t>
      </w:r>
    </w:p>
    <w:p>
      <w:pPr>
        <w:spacing w:after="0" w:line="1" w:lineRule="exact"/>
        <w:rPr>
          <w:rFonts w:ascii="Arial" w:cs="Arial" w:eastAsia="Arial" w:hAnsi="Arial"/>
          <w:sz w:val="16"/>
          <w:szCs w:val="16"/>
          <w:color w:val="auto"/>
        </w:rPr>
      </w:pPr>
    </w:p>
    <w:p>
      <w:pPr>
        <w:ind w:left="380" w:right="299" w:hanging="6"/>
        <w:spacing w:after="0" w:line="276" w:lineRule="auto"/>
        <w:tabs>
          <w:tab w:leader="none" w:pos="542" w:val="left"/>
        </w:tabs>
        <w:numPr>
          <w:ilvl w:val="1"/>
          <w:numId w:val="29"/>
        </w:numPr>
        <w:rPr>
          <w:rFonts w:ascii="Arial" w:cs="Arial" w:eastAsia="Arial" w:hAnsi="Arial"/>
          <w:sz w:val="16"/>
          <w:szCs w:val="16"/>
          <w:color w:val="auto"/>
        </w:rPr>
      </w:pPr>
      <w:r>
        <w:rPr>
          <w:rFonts w:ascii="Arial" w:cs="Arial" w:eastAsia="Arial" w:hAnsi="Arial"/>
          <w:sz w:val="16"/>
          <w:szCs w:val="16"/>
          <w:color w:val="auto"/>
        </w:rPr>
        <w:t>Shares held in street name by banks, brokerage firms or other nominees who indicate on their proxies that they do not have authority to vote the shares on Proposal 1 will not be counted as votes FOR or WITHHELD from any nominee. As a result, such “broker non-votes” will have no effect on the voting on Proposal 1. You may:</w:t>
      </w:r>
    </w:p>
    <w:p>
      <w:pPr>
        <w:spacing w:after="0" w:line="76" w:lineRule="exact"/>
        <w:rPr>
          <w:rFonts w:ascii="Arial" w:cs="Arial" w:eastAsia="Arial" w:hAnsi="Arial"/>
          <w:sz w:val="16"/>
          <w:szCs w:val="16"/>
          <w:color w:val="auto"/>
        </w:rPr>
      </w:pPr>
    </w:p>
    <w:p>
      <w:pPr>
        <w:ind w:left="1340" w:hanging="318"/>
        <w:spacing w:after="0"/>
        <w:tabs>
          <w:tab w:leader="none" w:pos="1340" w:val="left"/>
        </w:tabs>
        <w:numPr>
          <w:ilvl w:val="2"/>
          <w:numId w:val="29"/>
        </w:numPr>
        <w:rPr>
          <w:rFonts w:ascii="MS PGothic" w:cs="MS PGothic" w:eastAsia="MS PGothic" w:hAnsi="MS PGothic"/>
          <w:sz w:val="16"/>
          <w:szCs w:val="16"/>
          <w:color w:val="auto"/>
        </w:rPr>
      </w:pPr>
      <w:r>
        <w:rPr>
          <w:rFonts w:ascii="Arial" w:cs="Arial" w:eastAsia="Arial" w:hAnsi="Arial"/>
          <w:sz w:val="16"/>
          <w:szCs w:val="16"/>
          <w:color w:val="auto"/>
        </w:rPr>
        <w:t>vote FOR both nominees;</w:t>
      </w:r>
    </w:p>
    <w:p>
      <w:pPr>
        <w:spacing w:after="0" w:line="126" w:lineRule="exact"/>
        <w:rPr>
          <w:rFonts w:ascii="MS PGothic" w:cs="MS PGothic" w:eastAsia="MS PGothic" w:hAnsi="MS PGothic"/>
          <w:sz w:val="16"/>
          <w:szCs w:val="16"/>
          <w:color w:val="auto"/>
        </w:rPr>
      </w:pPr>
    </w:p>
    <w:p>
      <w:pPr>
        <w:ind w:left="1340" w:hanging="318"/>
        <w:spacing w:after="0"/>
        <w:tabs>
          <w:tab w:leader="none" w:pos="1340" w:val="left"/>
        </w:tabs>
        <w:numPr>
          <w:ilvl w:val="2"/>
          <w:numId w:val="29"/>
        </w:numPr>
        <w:rPr>
          <w:rFonts w:ascii="MS PGothic" w:cs="MS PGothic" w:eastAsia="MS PGothic" w:hAnsi="MS PGothic"/>
          <w:sz w:val="16"/>
          <w:szCs w:val="16"/>
          <w:color w:val="auto"/>
        </w:rPr>
      </w:pPr>
      <w:r>
        <w:rPr>
          <w:rFonts w:ascii="Arial" w:cs="Arial" w:eastAsia="Arial" w:hAnsi="Arial"/>
          <w:sz w:val="16"/>
          <w:szCs w:val="16"/>
          <w:color w:val="auto"/>
        </w:rPr>
        <w:t>vote FOR one nominee and WITHHOLD your vote from the other nominee; or</w:t>
      </w:r>
    </w:p>
    <w:p>
      <w:pPr>
        <w:spacing w:after="0" w:line="126" w:lineRule="exact"/>
        <w:rPr>
          <w:rFonts w:ascii="MS PGothic" w:cs="MS PGothic" w:eastAsia="MS PGothic" w:hAnsi="MS PGothic"/>
          <w:sz w:val="16"/>
          <w:szCs w:val="16"/>
          <w:color w:val="auto"/>
        </w:rPr>
      </w:pPr>
    </w:p>
    <w:p>
      <w:pPr>
        <w:ind w:left="1340" w:hanging="318"/>
        <w:spacing w:after="0"/>
        <w:tabs>
          <w:tab w:leader="none" w:pos="1340" w:val="left"/>
        </w:tabs>
        <w:numPr>
          <w:ilvl w:val="2"/>
          <w:numId w:val="29"/>
        </w:numPr>
        <w:rPr>
          <w:rFonts w:ascii="MS PGothic" w:cs="MS PGothic" w:eastAsia="MS PGothic" w:hAnsi="MS PGothic"/>
          <w:sz w:val="16"/>
          <w:szCs w:val="16"/>
          <w:color w:val="auto"/>
        </w:rPr>
      </w:pPr>
      <w:r>
        <w:rPr>
          <w:rFonts w:ascii="Arial" w:cs="Arial" w:eastAsia="Arial" w:hAnsi="Arial"/>
          <w:sz w:val="16"/>
          <w:szCs w:val="16"/>
          <w:color w:val="auto"/>
        </w:rPr>
        <w:t>WITHHOLD your vote from both nominees.</w:t>
      </w:r>
    </w:p>
    <w:p>
      <w:pPr>
        <w:spacing w:after="0" w:line="127" w:lineRule="exact"/>
        <w:rPr>
          <w:sz w:val="20"/>
          <w:szCs w:val="20"/>
          <w:color w:val="auto"/>
        </w:rPr>
      </w:pPr>
    </w:p>
    <w:p>
      <w:pPr>
        <w:ind w:left="380" w:right="279"/>
        <w:spacing w:after="0" w:line="402" w:lineRule="auto"/>
        <w:rPr>
          <w:sz w:val="20"/>
          <w:szCs w:val="20"/>
          <w:color w:val="auto"/>
        </w:rPr>
      </w:pPr>
      <w:r>
        <w:rPr>
          <w:rFonts w:ascii="Arial" w:cs="Arial" w:eastAsia="Arial" w:hAnsi="Arial"/>
          <w:sz w:val="16"/>
          <w:szCs w:val="16"/>
          <w:color w:val="auto"/>
        </w:rPr>
        <w:t xml:space="preserve">Votes that are withheld will not be included in the vote tally for the election of directors and will not affect the results of the vote. </w:t>
      </w:r>
      <w:r>
        <w:rPr>
          <w:rFonts w:ascii="Arial" w:cs="Arial" w:eastAsia="Arial" w:hAnsi="Arial"/>
          <w:sz w:val="16"/>
          <w:szCs w:val="16"/>
          <w:b w:val="1"/>
          <w:bCs w:val="1"/>
          <w:color w:val="auto"/>
        </w:rPr>
        <w:t>Proposal 2— Non-Binding Advisory Vote on the Compensation Paid to Named Executive Officers</w:t>
      </w:r>
    </w:p>
    <w:p>
      <w:pPr>
        <w:spacing w:after="0" w:line="1" w:lineRule="exact"/>
        <w:rPr>
          <w:sz w:val="20"/>
          <w:szCs w:val="20"/>
          <w:color w:val="auto"/>
        </w:rPr>
      </w:pPr>
    </w:p>
    <w:p>
      <w:pPr>
        <w:ind w:left="380" w:right="79"/>
        <w:spacing w:after="0" w:line="269" w:lineRule="auto"/>
        <w:rPr>
          <w:sz w:val="20"/>
          <w:szCs w:val="20"/>
          <w:color w:val="auto"/>
        </w:rPr>
      </w:pPr>
      <w:r>
        <w:rPr>
          <w:rFonts w:ascii="Arial" w:cs="Arial" w:eastAsia="Arial" w:hAnsi="Arial"/>
          <w:sz w:val="16"/>
          <w:szCs w:val="16"/>
          <w:color w:val="auto"/>
        </w:rPr>
        <w:t xml:space="preserve">To approve Proposal 2, holders of a majority of the votes cast on the matter must vote FOR the proposal. </w:t>
      </w:r>
      <w:r>
        <w:rPr>
          <w:rFonts w:ascii="Arial" w:cs="Arial" w:eastAsia="Arial" w:hAnsi="Arial"/>
          <w:sz w:val="16"/>
          <w:szCs w:val="16"/>
          <w:b w:val="1"/>
          <w:bCs w:val="1"/>
          <w:color w:val="auto"/>
        </w:rPr>
        <w:t xml:space="preserve">Proposal 2 is a non-discretionary matter. </w:t>
      </w:r>
      <w:r>
        <w:rPr>
          <w:rFonts w:ascii="Arial" w:cs="Arial" w:eastAsia="Arial" w:hAnsi="Arial"/>
          <w:sz w:val="16"/>
          <w:szCs w:val="16"/>
          <w:color w:val="auto"/>
        </w:rPr>
        <w:t>Therefore, if your shares are held by your brokerage firm in street name and you do not timely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voting instructions with respect to your shares, your brokerage firm cannot vote your shares on Proposal 2. If you ABSTAIN from voting on Proposal 2, your shares will not be voted FOR or AGAINST the proposal and will also not be counted as votes cast or shares voting on the proposal. As a result, such “broker non-votes” and abstentions will have no effect on the voting on Proposal 2. Proposal 2 is non-binding. Because this vote is advisory and not binding on us or our board in any way, our board may decide that it is in our and our stockholders’ best interests to compensate our named executive officers in an amount or manner that differs from that which is approved by our stockholders.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Proposal 3—Ratification of the Appointment of Independent Registered Public Accounting Firm</w:t>
      </w:r>
    </w:p>
    <w:p>
      <w:pPr>
        <w:spacing w:after="0" w:line="127" w:lineRule="exact"/>
        <w:rPr>
          <w:sz w:val="20"/>
          <w:szCs w:val="20"/>
          <w:color w:val="auto"/>
        </w:rPr>
      </w:pPr>
    </w:p>
    <w:p>
      <w:pPr>
        <w:ind w:left="380" w:right="119"/>
        <w:spacing w:after="0" w:line="294" w:lineRule="auto"/>
        <w:rPr>
          <w:sz w:val="20"/>
          <w:szCs w:val="20"/>
          <w:color w:val="auto"/>
        </w:rPr>
      </w:pPr>
      <w:r>
        <w:rPr>
          <w:rFonts w:ascii="Arial" w:cs="Arial" w:eastAsia="Arial" w:hAnsi="Arial"/>
          <w:sz w:val="15"/>
          <w:szCs w:val="15"/>
          <w:color w:val="auto"/>
        </w:rPr>
        <w:t xml:space="preserve">To approve Proposal 3, holders of a majority of the votes cast on the matter must vote FOR the proposal. </w:t>
      </w:r>
      <w:r>
        <w:rPr>
          <w:rFonts w:ascii="Arial" w:cs="Arial" w:eastAsia="Arial" w:hAnsi="Arial"/>
          <w:sz w:val="15"/>
          <w:szCs w:val="15"/>
          <w:b w:val="1"/>
          <w:bCs w:val="1"/>
          <w:color w:val="auto"/>
        </w:rPr>
        <w:t>Proposal 3 is considered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a routine matter. </w:t>
      </w:r>
      <w:r>
        <w:rPr>
          <w:rFonts w:ascii="Arial" w:cs="Arial" w:eastAsia="Arial" w:hAnsi="Arial"/>
          <w:sz w:val="15"/>
          <w:szCs w:val="15"/>
          <w:color w:val="auto"/>
        </w:rPr>
        <w:t>If your shares are held by your brokerage firm in street name and you do not provide voting instructions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your shares, your brokerage firm may vote your unvoted shares on Proposal 3. If you ABSTAIN from voting on Proposal 3, your shares will not be voted FOR or AGAINST the proposal and will also not be counted as votes cast or shares voting on the proposal. As a result, voting to ABSTAIN will have no effect on the outcome of Proposal 3.</w:t>
      </w:r>
    </w:p>
    <w:p>
      <w:pPr>
        <w:spacing w:after="0" w:line="68" w:lineRule="exact"/>
        <w:rPr>
          <w:sz w:val="20"/>
          <w:szCs w:val="20"/>
          <w:color w:val="auto"/>
        </w:rPr>
      </w:pPr>
    </w:p>
    <w:p>
      <w:pPr>
        <w:ind w:left="380" w:right="79"/>
        <w:spacing w:after="0" w:line="324" w:lineRule="auto"/>
        <w:rPr>
          <w:sz w:val="20"/>
          <w:szCs w:val="20"/>
          <w:color w:val="auto"/>
        </w:rPr>
      </w:pPr>
      <w:r>
        <w:rPr>
          <w:rFonts w:ascii="Arial" w:cs="Arial" w:eastAsia="Arial" w:hAnsi="Arial"/>
          <w:sz w:val="14"/>
          <w:szCs w:val="14"/>
          <w:color w:val="auto"/>
        </w:rPr>
        <w:t>Although stockholder approval of our audit committee’s appointment of Ernst &amp; Young LLP as our independent registered public accounting firm for the fiscal year ending December 31, 2021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ending December 31, 2021.</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30"/>
        <w:spacing w:after="0"/>
        <w:tabs>
          <w:tab w:leader="none" w:pos="3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Who will count the vote?</w:t>
      </w:r>
    </w:p>
    <w:p>
      <w:pPr>
        <w:spacing w:after="0" w:line="130" w:lineRule="exact"/>
        <w:rPr>
          <w:rFonts w:ascii="Arial" w:cs="Arial" w:eastAsia="Arial" w:hAnsi="Arial"/>
          <w:sz w:val="16"/>
          <w:szCs w:val="16"/>
          <w:b w:val="1"/>
          <w:bCs w:val="1"/>
          <w:color w:val="auto"/>
        </w:rPr>
      </w:pPr>
    </w:p>
    <w:p>
      <w:pPr>
        <w:ind w:left="360" w:hanging="310"/>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votes will be counted, tabulated and certified by Broadridge Financial Solutions, Inc.</w:t>
      </w:r>
    </w:p>
    <w:p>
      <w:pPr>
        <w:spacing w:after="0" w:line="122" w:lineRule="exact"/>
        <w:rPr>
          <w:rFonts w:ascii="Arial" w:cs="Arial" w:eastAsia="Arial" w:hAnsi="Arial"/>
          <w:sz w:val="16"/>
          <w:szCs w:val="16"/>
          <w:color w:val="auto"/>
        </w:rPr>
      </w:pPr>
    </w:p>
    <w:p>
      <w:pPr>
        <w:ind w:left="380" w:hanging="330"/>
        <w:spacing w:after="0"/>
        <w:tabs>
          <w:tab w:leader="none" w:pos="3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board of directors recommend that I vote on the proposals?</w:t>
      </w:r>
    </w:p>
    <w:p>
      <w:pPr>
        <w:spacing w:after="0" w:line="130" w:lineRule="exact"/>
        <w:rPr>
          <w:rFonts w:ascii="Arial" w:cs="Arial" w:eastAsia="Arial" w:hAnsi="Arial"/>
          <w:sz w:val="16"/>
          <w:szCs w:val="16"/>
          <w:b w:val="1"/>
          <w:bCs w:val="1"/>
          <w:color w:val="auto"/>
        </w:rPr>
      </w:pPr>
    </w:p>
    <w:p>
      <w:pPr>
        <w:ind w:left="380" w:hanging="330"/>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board of directors recommends that you vote:</w:t>
      </w:r>
    </w:p>
    <w:p>
      <w:pPr>
        <w:spacing w:after="0" w:line="122"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both nominees to serve as Class III directors, each for a three-year term; and</w:t>
      </w:r>
    </w:p>
    <w:p>
      <w:pPr>
        <w:spacing w:after="0" w:line="12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named executive officers; and</w:t>
      </w:r>
    </w:p>
    <w:p>
      <w:pPr>
        <w:spacing w:after="0" w:line="126" w:lineRule="exact"/>
        <w:rPr>
          <w:rFonts w:ascii="Arial" w:cs="Arial" w:eastAsia="Arial" w:hAnsi="Arial"/>
          <w:sz w:val="16"/>
          <w:szCs w:val="16"/>
          <w:color w:val="auto"/>
        </w:rPr>
      </w:pPr>
    </w:p>
    <w:p>
      <w:pPr>
        <w:ind w:left="380" w:right="219"/>
        <w:spacing w:after="0" w:line="298" w:lineRule="auto"/>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Ernst &amp; Young LLP as our independent registered public accounting firm for the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ending December 31, 2021.</w:t>
      </w:r>
    </w:p>
    <w:p>
      <w:pPr>
        <w:spacing w:after="0" w:line="56" w:lineRule="exact"/>
        <w:rPr>
          <w:rFonts w:ascii="Arial" w:cs="Arial" w:eastAsia="Arial" w:hAnsi="Arial"/>
          <w:sz w:val="16"/>
          <w:szCs w:val="16"/>
          <w:color w:val="auto"/>
        </w:rPr>
      </w:pPr>
    </w:p>
    <w:p>
      <w:pPr>
        <w:ind w:left="380" w:hanging="330"/>
        <w:spacing w:after="0"/>
        <w:tabs>
          <w:tab w:leader="none" w:pos="3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Are there other matters to be voted on at the annual meeting?</w:t>
      </w:r>
    </w:p>
    <w:p>
      <w:pPr>
        <w:spacing w:after="0" w:line="130" w:lineRule="exact"/>
        <w:rPr>
          <w:rFonts w:ascii="Arial" w:cs="Arial" w:eastAsia="Arial" w:hAnsi="Arial"/>
          <w:sz w:val="16"/>
          <w:szCs w:val="16"/>
          <w:b w:val="1"/>
          <w:bCs w:val="1"/>
          <w:color w:val="auto"/>
        </w:rPr>
      </w:pPr>
    </w:p>
    <w:p>
      <w:pPr>
        <w:ind w:left="380" w:right="159" w:hanging="330"/>
        <w:spacing w:after="0" w:line="297" w:lineRule="auto"/>
        <w:tabs>
          <w:tab w:leader="none" w:pos="373"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do not know of any matters that may come before the annual meeting other than the election of our Class III directors, the approval of the compensation of our named executive officers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spacing w:after="0" w:line="60" w:lineRule="exact"/>
        <w:rPr>
          <w:rFonts w:ascii="Arial" w:cs="Arial" w:eastAsia="Arial" w:hAnsi="Arial"/>
          <w:sz w:val="15"/>
          <w:szCs w:val="15"/>
          <w:color w:val="auto"/>
        </w:rPr>
      </w:pPr>
    </w:p>
    <w:p>
      <w:pPr>
        <w:ind w:left="380" w:hanging="330"/>
        <w:spacing w:after="0"/>
        <w:tabs>
          <w:tab w:leader="none" w:pos="3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Where can I find the voting results?</w:t>
      </w:r>
    </w:p>
    <w:p>
      <w:pPr>
        <w:spacing w:after="0" w:line="130" w:lineRule="exact"/>
        <w:rPr>
          <w:rFonts w:ascii="Arial" w:cs="Arial" w:eastAsia="Arial" w:hAnsi="Arial"/>
          <w:sz w:val="16"/>
          <w:szCs w:val="16"/>
          <w:b w:val="1"/>
          <w:bCs w:val="1"/>
          <w:color w:val="auto"/>
        </w:rPr>
      </w:pPr>
    </w:p>
    <w:p>
      <w:pPr>
        <w:ind w:left="380" w:right="399" w:hanging="330"/>
        <w:spacing w:after="0" w:line="293" w:lineRule="auto"/>
        <w:tabs>
          <w:tab w:leader="none" w:pos="373"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plan to announce preliminary voting results at the annual meeting and will report final voting results in a Current Report on Form 8-K filed with the SEC within four business days following the end of our annual meeting.</w:t>
      </w:r>
    </w:p>
    <w:p>
      <w:pPr>
        <w:spacing w:after="0" w:line="59" w:lineRule="exact"/>
        <w:rPr>
          <w:rFonts w:ascii="Arial" w:cs="Arial" w:eastAsia="Arial" w:hAnsi="Arial"/>
          <w:sz w:val="16"/>
          <w:szCs w:val="16"/>
          <w:color w:val="auto"/>
        </w:rPr>
      </w:pPr>
    </w:p>
    <w:p>
      <w:pPr>
        <w:ind w:left="380" w:hanging="330"/>
        <w:spacing w:after="0"/>
        <w:tabs>
          <w:tab w:leader="none" w:pos="3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costs of soliciting these proxies?</w:t>
      </w:r>
    </w:p>
    <w:p>
      <w:pPr>
        <w:spacing w:after="0" w:line="130" w:lineRule="exact"/>
        <w:rPr>
          <w:rFonts w:ascii="Arial" w:cs="Arial" w:eastAsia="Arial" w:hAnsi="Arial"/>
          <w:sz w:val="16"/>
          <w:szCs w:val="16"/>
          <w:b w:val="1"/>
          <w:bCs w:val="1"/>
          <w:color w:val="auto"/>
        </w:rPr>
      </w:pPr>
    </w:p>
    <w:p>
      <w:pPr>
        <w:ind w:left="380" w:right="79" w:hanging="330"/>
        <w:spacing w:after="0" w:line="273" w:lineRule="auto"/>
        <w:tabs>
          <w:tab w:leader="none" w:pos="373"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spacing w:after="0" w:line="76" w:lineRule="exact"/>
        <w:rPr>
          <w:rFonts w:ascii="Arial" w:cs="Arial" w:eastAsia="Arial" w:hAnsi="Arial"/>
          <w:sz w:val="16"/>
          <w:szCs w:val="16"/>
          <w:color w:val="auto"/>
        </w:rPr>
      </w:pPr>
    </w:p>
    <w:p>
      <w:pPr>
        <w:ind w:left="380" w:hanging="330"/>
        <w:spacing w:after="0"/>
        <w:tabs>
          <w:tab w:leader="none" w:pos="3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Whom should I contact if I have any additional questions?</w:t>
      </w:r>
    </w:p>
    <w:p>
      <w:pPr>
        <w:spacing w:after="0" w:line="130" w:lineRule="exact"/>
        <w:rPr>
          <w:rFonts w:ascii="Arial" w:cs="Arial" w:eastAsia="Arial" w:hAnsi="Arial"/>
          <w:sz w:val="16"/>
          <w:szCs w:val="16"/>
          <w:b w:val="1"/>
          <w:bCs w:val="1"/>
          <w:color w:val="auto"/>
        </w:rPr>
      </w:pPr>
    </w:p>
    <w:p>
      <w:pPr>
        <w:ind w:left="380" w:right="379" w:hanging="330"/>
        <w:spacing w:after="0" w:line="278" w:lineRule="auto"/>
        <w:tabs>
          <w:tab w:leader="none" w:pos="3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you hold your shares directly or have additional questions about the annual meeting, please contact us at Blueprint Medicines Corporation, 45 Sidney Street, Cambridge, Massachusetts 02139, Attn: Investor Relations, telephone: (617) 714-6674, e-mail: ir@blueprintmedicines.com.</w:t>
      </w:r>
    </w:p>
    <w:p>
      <w:pPr>
        <w:spacing w:after="0" w:line="76" w:lineRule="exact"/>
        <w:rPr>
          <w:rFonts w:ascii="Arial" w:cs="Arial" w:eastAsia="Arial" w:hAnsi="Arial"/>
          <w:sz w:val="16"/>
          <w:szCs w:val="16"/>
          <w:color w:val="auto"/>
        </w:rPr>
      </w:pPr>
    </w:p>
    <w:p>
      <w:pPr>
        <w:ind w:left="380" w:right="319"/>
        <w:spacing w:after="0" w:line="293" w:lineRule="auto"/>
        <w:rPr>
          <w:rFonts w:ascii="Arial" w:cs="Arial" w:eastAsia="Arial" w:hAnsi="Arial"/>
          <w:sz w:val="16"/>
          <w:szCs w:val="16"/>
          <w:color w:val="auto"/>
        </w:rPr>
      </w:pPr>
      <w:r>
        <w:rPr>
          <w:rFonts w:ascii="Arial" w:cs="Arial" w:eastAsia="Arial" w:hAnsi="Arial"/>
          <w:sz w:val="16"/>
          <w:szCs w:val="16"/>
          <w:color w:val="auto"/>
        </w:rPr>
        <w:t>If your shares are held in street name, please call the telephone number provided on your voting instruction form or contact your bank, brokerage firm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1 — ELECTION OF DIRECTORS</w:t>
      </w:r>
    </w:p>
    <w:p>
      <w:pPr>
        <w:spacing w:after="0" w:line="131" w:lineRule="exact"/>
        <w:rPr>
          <w:sz w:val="20"/>
          <w:szCs w:val="20"/>
          <w:color w:val="auto"/>
        </w:rPr>
      </w:pPr>
    </w:p>
    <w:p>
      <w:pPr>
        <w:jc w:val="both"/>
        <w:ind w:left="60" w:right="59" w:firstLine="648"/>
        <w:spacing w:after="0" w:line="297" w:lineRule="auto"/>
        <w:rPr>
          <w:sz w:val="20"/>
          <w:szCs w:val="20"/>
          <w:color w:val="auto"/>
        </w:rPr>
      </w:pPr>
      <w:r>
        <w:rPr>
          <w:rFonts w:ascii="Arial" w:cs="Arial" w:eastAsia="Arial" w:hAnsi="Arial"/>
          <w:sz w:val="15"/>
          <w:szCs w:val="15"/>
          <w:color w:val="auto"/>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spacing w:after="0" w:line="64"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5"/>
          <w:szCs w:val="15"/>
          <w:color w:val="auto"/>
        </w:rPr>
        <w:t>The term of office of our Class III directors, Daniel S. Lynch, George D. Demetri, M.D. and Lynn Seely, M.D., will expire at the 2021 annual meeting of stockholders. The nominees for Class III directors for election at the 2021 annual meeting of stockholders are Drs. Demetri and Seely. On April 16, 2021, Mr. Lynch notified us that he will not stand for reelection as a director at the 2021 annual meeting of stockholders due to his other professional commitments and demands on his time, and his service on our board of directors will therefore end at the 2021 annual meeting of stockholders. Mr. Lynch’s decision did not result from any disagreement with us on any matter relating to our operations, policies or practices. If either of Drs. Demetri and Seely are elected at the 2021 annual meeting of stockholders, such individual will be elected to serve for a three-year term that will expire at our 2024 annual meeting of stockholders and until such individual’s successor is elected and qualified.</w:t>
      </w:r>
    </w:p>
    <w:p>
      <w:pPr>
        <w:spacing w:after="0" w:line="72" w:lineRule="exact"/>
        <w:rPr>
          <w:sz w:val="20"/>
          <w:szCs w:val="20"/>
          <w:color w:val="auto"/>
        </w:rPr>
      </w:pPr>
    </w:p>
    <w:p>
      <w:pPr>
        <w:ind w:left="60" w:right="219" w:firstLine="648"/>
        <w:spacing w:after="0" w:line="278" w:lineRule="auto"/>
        <w:rPr>
          <w:sz w:val="20"/>
          <w:szCs w:val="20"/>
          <w:color w:val="auto"/>
        </w:rPr>
      </w:pPr>
      <w:r>
        <w:rPr>
          <w:rFonts w:ascii="Arial" w:cs="Arial" w:eastAsia="Arial" w:hAnsi="Arial"/>
          <w:sz w:val="16"/>
          <w:szCs w:val="16"/>
          <w:color w:val="auto"/>
        </w:rPr>
        <w:t>If no contrary indication is made, proxies in the accompanying form will be voted for Drs. Demetri and Seely or, in the event that either of Drs. Demetri and Seely is not a candidate or is unable to serve as a director at the time of the election (which is not currently expected), for any nominee who is designated by our board of directors to fill the vacancy.</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Information Regarding Directors</w:t>
      </w:r>
    </w:p>
    <w:p>
      <w:pPr>
        <w:spacing w:after="0" w:line="131"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5"/>
          <w:szCs w:val="15"/>
          <w:color w:val="auto"/>
        </w:rPr>
        <w:t>Set forth below are the names and certain information for each member of our board of directors, including the nominees for election as Class III directors, as of March 31, 2021. The information presented includes each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board of directors to conclude that he or she should serve as a director. In addition, we believe that all of our directors and nominees possess the attributes or characteristics described in “—Director Nomination Process” the nominating and corporate governance committee expects of each director.</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127" w:lineRule="exact"/>
        <w:rPr>
          <w:sz w:val="20"/>
          <w:szCs w:val="20"/>
          <w:color w:val="auto"/>
        </w:rPr>
      </w:pPr>
    </w:p>
    <w:p>
      <w:pPr>
        <w:ind w:left="60" w:right="219" w:firstLine="648"/>
        <w:spacing w:after="0" w:line="369" w:lineRule="auto"/>
        <w:rPr>
          <w:sz w:val="20"/>
          <w:szCs w:val="20"/>
          <w:color w:val="auto"/>
        </w:rPr>
      </w:pPr>
      <w:r>
        <w:rPr>
          <w:rFonts w:ascii="Arial" w:cs="Arial" w:eastAsia="Arial" w:hAnsi="Arial"/>
          <w:sz w:val="14"/>
          <w:szCs w:val="14"/>
          <w:color w:val="auto"/>
        </w:rPr>
        <w:t>Other than Mr. Coats and Drs. Goldberg and Seely, each of our directors was initially elected pursuant to a stockholders agreement that we entered into with the holders of our preferred stock, which terminated upon the closing of our initial public offering.</w:t>
      </w:r>
    </w:p>
    <w:p>
      <w:pPr>
        <w:spacing w:after="0" w:line="1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4"/>
                <w:szCs w:val="14"/>
                <w:color w:val="auto"/>
              </w:rPr>
            </w:pPr>
          </w:p>
        </w:tc>
        <w:tc>
          <w:tcPr>
            <w:tcW w:w="4900" w:type="dxa"/>
            <w:vAlign w:val="bottom"/>
          </w:tcPr>
          <w:p>
            <w:pPr>
              <w:ind w:left="21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Class I Directors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Jeffrey W. Albers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5080" w:type="dxa"/>
            <w:vAlign w:val="bottom"/>
            <w:gridSpan w:val="2"/>
          </w:tcPr>
          <w:p>
            <w:pPr>
              <w:ind w:left="180"/>
              <w:spacing w:after="0"/>
              <w:rPr>
                <w:sz w:val="20"/>
                <w:szCs w:val="20"/>
                <w:color w:val="auto"/>
              </w:rPr>
            </w:pPr>
            <w:r>
              <w:rPr>
                <w:rFonts w:ascii="Arial" w:cs="Arial" w:eastAsia="Arial" w:hAnsi="Arial"/>
                <w:sz w:val="16"/>
                <w:szCs w:val="16"/>
                <w:color w:val="auto"/>
              </w:rPr>
              <w:t>President and Chief Executive Officer,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Goldberg, M.D. (1)(4)</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Nicholas Lydon, Ph.D. (3)(4)</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5080" w:type="dxa"/>
            <w:vAlign w:val="bottom"/>
            <w:gridSpan w:val="2"/>
          </w:tcPr>
          <w:p>
            <w:pPr>
              <w:ind w:left="18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i w:val="1"/>
                <w:iCs w:val="1"/>
                <w:color w:val="auto"/>
              </w:rPr>
              <w:t>Class II Directors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Alexis Borisy (4)</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Charles A. Rowland, Jr. (1)(2)</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5080" w:type="dxa"/>
            <w:vAlign w:val="bottom"/>
            <w:gridSpan w:val="2"/>
          </w:tcPr>
          <w:p>
            <w:pPr>
              <w:ind w:left="18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Lonnel Coats (1)(3)</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Class III Directors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Daniel S. Lynch (2)</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5080" w:type="dxa"/>
            <w:vAlign w:val="bottom"/>
            <w:gridSpan w:val="2"/>
          </w:tcPr>
          <w:p>
            <w:pPr>
              <w:ind w:left="180"/>
              <w:spacing w:after="0"/>
              <w:rPr>
                <w:sz w:val="20"/>
                <w:szCs w:val="20"/>
                <w:color w:val="auto"/>
              </w:rPr>
            </w:pPr>
            <w:r>
              <w:rPr>
                <w:rFonts w:ascii="Arial" w:cs="Arial" w:eastAsia="Arial" w:hAnsi="Arial"/>
                <w:sz w:val="16"/>
                <w:szCs w:val="16"/>
                <w:color w:val="auto"/>
              </w:rPr>
              <w:t>Chairman of the Board,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George D. Demetri, M.D. (3)(4)</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Lynn Seely, M.D. (2)(4)</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5080" w:type="dxa"/>
            <w:vAlign w:val="bottom"/>
            <w:gridSpan w:val="2"/>
          </w:tcPr>
          <w:p>
            <w:pPr>
              <w:ind w:left="18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9" w:lineRule="exact"/>
        <w:rPr>
          <w:sz w:val="20"/>
          <w:szCs w:val="20"/>
          <w:color w:val="auto"/>
        </w:rPr>
      </w:pPr>
    </w:p>
    <w:p>
      <w:pPr>
        <w:ind w:left="380" w:hanging="330"/>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80" w:hanging="330"/>
        <w:spacing w:after="0" w:line="22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380" w:hanging="330"/>
        <w:spacing w:after="0" w:line="22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380" w:hanging="330"/>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Member of the research and development committee.</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Class III Director Nominees — For a Three-Year Term Expiring at the 2024 Annual Meeting of Stockholders</w:t>
      </w:r>
    </w:p>
    <w:p>
      <w:pPr>
        <w:spacing w:after="0" w:line="127"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5"/>
          <w:szCs w:val="15"/>
          <w:b w:val="1"/>
          <w:bCs w:val="1"/>
          <w:i w:val="1"/>
          <w:iCs w:val="1"/>
          <w:color w:val="auto"/>
        </w:rPr>
        <w:t xml:space="preserve">George D. Demetri, M.D., FASCO </w:t>
      </w:r>
      <w:r>
        <w:rPr>
          <w:rFonts w:ascii="Arial" w:cs="Arial" w:eastAsia="Arial" w:hAnsi="Arial"/>
          <w:sz w:val="15"/>
          <w:szCs w:val="15"/>
          <w:color w:val="auto"/>
        </w:rPr>
        <w:t>has served as a member of our board of directors since December 2014. Since 1989,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 Demetri has served on the faculty of the Dana-Farber Cancer Institute, or DFCI, and Harvard Medical School, where he is a Professor of Medicine and serves as a co-director of the Ludwig Center at Harvard. At DFCI, Dr. Demetri is the senior vice president for Experimental Therapeutics, as well as an associate director for clinical sciences at the NCI-designated Dana-Farber/Harvard Comprehensive Cancer Center Consortium. Dr. Demetri’s research and clinical interests have centered on mechanism-based drug</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79"/>
        <w:spacing w:after="0" w:line="286" w:lineRule="auto"/>
        <w:rPr>
          <w:sz w:val="20"/>
          <w:szCs w:val="20"/>
          <w:color w:val="auto"/>
        </w:rPr>
      </w:pPr>
      <w:r>
        <w:rPr>
          <w:rFonts w:ascii="Arial" w:cs="Arial" w:eastAsia="Arial" w:hAnsi="Arial"/>
          <w:sz w:val="15"/>
          <w:szCs w:val="15"/>
          <w:color w:val="auto"/>
        </w:rPr>
        <w:t>development for solid tumors, with an emphasis on molecularly-defined subsets of sarcomas such as gastrointestinal stromal tumors. Dr. Demetri has contributed to the development of several new drugs for sarcomas and other malignancies, including imatinib, sunitinib, dasatinib, trabectedin, everolimus, pazopanib and regorafenib. He was also a member of the scientific advisory board for Plexxikon Inc. and helped to develop the mutant BRAF inhibitor, vemurafenib. In addition, Dr. Demetri has served as a member of the board of directors of Translate Bio since July 2019. Dr. Demetri also previously served as a member of the board of directors and organization and compensation committee of Merrimack Pharmaceuticals, Inc. between December 2017 and October 2019. Dr. Demetri serves as chair of the Science Policy and Government Affairs Committee for the American Association for Cancer Research as well as several other scientific and editorial advisory boards. Dr. Demetri received an A.B. in biochemistry from Harvard College and an M.D. from Stanford University School of Medicine. We believe that Dr. Demetri’s more than 25 years of experience as an oncologist and his significant leadership experience on various national and international scientific and company advisory boards qualifies him to serve as a member of our board of directors.</w:t>
      </w:r>
    </w:p>
    <w:p>
      <w:pPr>
        <w:spacing w:after="0" w:line="7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5"/>
          <w:szCs w:val="15"/>
          <w:b w:val="1"/>
          <w:bCs w:val="1"/>
          <w:i w:val="1"/>
          <w:iCs w:val="1"/>
          <w:color w:val="auto"/>
        </w:rPr>
        <w:t xml:space="preserve">Lynn Seely, M.D. </w:t>
      </w:r>
      <w:r>
        <w:rPr>
          <w:rFonts w:ascii="Arial" w:cs="Arial" w:eastAsia="Arial" w:hAnsi="Arial"/>
          <w:sz w:val="15"/>
          <w:szCs w:val="15"/>
          <w:color w:val="auto"/>
        </w:rPr>
        <w:t>has served as a member of our board of directors since April 2016. Between June 2016 and January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 Seely served as the chief executive officer and a member of the Board of Directors of Myovant Sciences, Inc., or Myovant, a biopharmaceutical company focused on redefining care for women and for men by developing and commercializing innovative therapies such as ORGOVYX (relugolix) approved for men with advanced prostate cancer. Prior to joining Myovant, Dr. Seely served as chief medical officer at Medivation, Inc. from March 2005 until October 2015. In this role, Dr. Seely led the development of XTANDI (enzalutamide) from the first-in-human clinical trial through global approvals for men with castration-resistant prostate cancer. Dr. Seely received a B.A. in journalism from the University of Oklahoma and an M.D. from the University of Oklahoma College of Medicine. She completed her residency and served as chief resident in internal medicine at Yale-New Haven Hospital, and she completed her fellowship in endocrinology and metabolism at the University of California, San Diego. We believe Dr. Seely is qualified to serve on our board of directors due to her extensive healthcare and life sciences experience.</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Class III Director — Term Expiring at the 2021 Annual Meeting of Stockholders</w:t>
      </w:r>
    </w:p>
    <w:p>
      <w:pPr>
        <w:spacing w:after="0" w:line="127" w:lineRule="exact"/>
        <w:rPr>
          <w:sz w:val="20"/>
          <w:szCs w:val="20"/>
          <w:color w:val="auto"/>
        </w:rPr>
      </w:pPr>
    </w:p>
    <w:p>
      <w:pPr>
        <w:ind w:left="60" w:right="79" w:firstLine="648"/>
        <w:spacing w:after="0" w:line="302" w:lineRule="auto"/>
        <w:rPr>
          <w:sz w:val="20"/>
          <w:szCs w:val="20"/>
          <w:color w:val="auto"/>
        </w:rPr>
      </w:pPr>
      <w:r>
        <w:rPr>
          <w:rFonts w:ascii="Arial" w:cs="Arial" w:eastAsia="Arial" w:hAnsi="Arial"/>
          <w:sz w:val="14"/>
          <w:szCs w:val="14"/>
          <w:b w:val="1"/>
          <w:bCs w:val="1"/>
          <w:i w:val="1"/>
          <w:iCs w:val="1"/>
          <w:color w:val="auto"/>
        </w:rPr>
        <w:t xml:space="preserve">Daniel S. Lynch </w:t>
      </w:r>
      <w:r>
        <w:rPr>
          <w:rFonts w:ascii="Arial" w:cs="Arial" w:eastAsia="Arial" w:hAnsi="Arial"/>
          <w:sz w:val="14"/>
          <w:szCs w:val="14"/>
          <w:color w:val="auto"/>
        </w:rPr>
        <w:t>has served as chairman of our board of directors since September 2012. Mr. Lynch served as a venture partner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 Third Rock from May 2013 to December 2016 and served as an entrepreneur-in-residence at Third Rock from May 2011 to May 2013 and interim chief executive officer of Surface Oncology, Inc., or Surface Oncology, from September 2017 to January 2018. He has served as the chairman of the board of directors of Sesen Bio since December 2013, a member of the board of directors of Translate Bio, Inc., or Translate Bio, since June 2012 (including as chairman of the board of directors since March 2015), the chairman of the board of directors of bluebird bio, Inc. since May 2011, and a member of the board of directors of Alpha Omega since January 2021. In addition, Mr. Lynch has served as the chairman of the board of directors of SpringWorks Therapeutics, Inc. since August 2019, as the executive chairman from August 2017 to August 2019, and as the interim chief executive officer between February 2018 and July 2018. Mr. Lynch also served as chairman of the board of directors and chairman of the compensation committee of Surface Oncology between December 2016 and April 2021. Mr. Lynch served as a member of the board of directors of BIND from October 2012 to July 2016.</w:t>
      </w:r>
    </w:p>
    <w:p>
      <w:pPr>
        <w:spacing w:after="0" w:line="3" w:lineRule="exact"/>
        <w:rPr>
          <w:sz w:val="20"/>
          <w:szCs w:val="20"/>
          <w:color w:val="auto"/>
        </w:rPr>
      </w:pPr>
    </w:p>
    <w:p>
      <w:pPr>
        <w:ind w:left="60" w:right="219"/>
        <w:spacing w:after="0" w:line="302" w:lineRule="auto"/>
        <w:rPr>
          <w:sz w:val="20"/>
          <w:szCs w:val="20"/>
          <w:color w:val="auto"/>
        </w:rPr>
      </w:pPr>
      <w:r>
        <w:rPr>
          <w:rFonts w:ascii="Arial" w:cs="Arial" w:eastAsia="Arial" w:hAnsi="Arial"/>
          <w:sz w:val="15"/>
          <w:szCs w:val="15"/>
          <w:color w:val="auto"/>
        </w:rPr>
        <w:t>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Class I Directors — Term Expiring at the 2022 Annual Meeting of Stockholders</w:t>
      </w:r>
    </w:p>
    <w:p>
      <w:pPr>
        <w:spacing w:after="0" w:line="127" w:lineRule="exact"/>
        <w:rPr>
          <w:sz w:val="20"/>
          <w:szCs w:val="20"/>
          <w:color w:val="auto"/>
        </w:rPr>
      </w:pPr>
    </w:p>
    <w:p>
      <w:pPr>
        <w:ind w:left="60" w:right="179" w:firstLine="648"/>
        <w:spacing w:after="0" w:line="309" w:lineRule="auto"/>
        <w:rPr>
          <w:sz w:val="20"/>
          <w:szCs w:val="20"/>
          <w:color w:val="auto"/>
        </w:rPr>
      </w:pPr>
      <w:r>
        <w:rPr>
          <w:rFonts w:ascii="Arial" w:cs="Arial" w:eastAsia="Arial" w:hAnsi="Arial"/>
          <w:sz w:val="14"/>
          <w:szCs w:val="14"/>
          <w:b w:val="1"/>
          <w:bCs w:val="1"/>
          <w:i w:val="1"/>
          <w:iCs w:val="1"/>
          <w:color w:val="auto"/>
        </w:rPr>
        <w:t xml:space="preserve">Jeffrey W. Albers </w:t>
      </w:r>
      <w:r>
        <w:rPr>
          <w:rFonts w:ascii="Arial" w:cs="Arial" w:eastAsia="Arial" w:hAnsi="Arial"/>
          <w:sz w:val="14"/>
          <w:szCs w:val="14"/>
          <w:color w:val="auto"/>
        </w:rPr>
        <w:t>has served as our president and chief executive officer and a member of our board of directors since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July 2014. In addition, Mr. Albers has served on the board of directors since July 2017 and is currently serving on the compensation committee of Magenta Therapeutics, Inc. Mr. Albers also has served on the board of directors since September 2020 and is currently serving on the compensation committee of Kymera Therapeutics, Inc. Mr. Albers has over 15 years of experience in leadership roles in the biopharmaceutical industry. Prior to joining us, from January 2012 to April 2014, he was president of Algeta ASA, or Algeta, a Norwegian biopharmaceutical company, where he was a member of the management team and oversaw the U.S. commercial and business functions. Prior to Algeta, from July 2005 to November 2011, Mr. Albers was at Genzyme Corporation, or Genzyme, a biotechnology company that is now a wholly-owned subsidiary of Sanofi S.A., most recently as vice president of the U.S. hematology and oncology business unit. Mr. Albers received a B.S. from Indiana University and an M.B.A. and a J.D. from Georgetown University. We believe that Mr. Albers’ leadership in the life sciences industry qualifies him to serve on our board of directors.</w:t>
      </w:r>
    </w:p>
    <w:p>
      <w:pPr>
        <w:spacing w:after="0" w:line="60" w:lineRule="exact"/>
        <w:rPr>
          <w:sz w:val="20"/>
          <w:szCs w:val="20"/>
          <w:color w:val="auto"/>
        </w:rPr>
      </w:pPr>
    </w:p>
    <w:p>
      <w:pPr>
        <w:ind w:left="60" w:right="79" w:firstLine="648"/>
        <w:spacing w:after="0" w:line="309" w:lineRule="auto"/>
        <w:rPr>
          <w:sz w:val="20"/>
          <w:szCs w:val="20"/>
          <w:color w:val="auto"/>
        </w:rPr>
      </w:pPr>
      <w:r>
        <w:rPr>
          <w:rFonts w:ascii="Arial" w:cs="Arial" w:eastAsia="Arial" w:hAnsi="Arial"/>
          <w:sz w:val="14"/>
          <w:szCs w:val="14"/>
          <w:b w:val="1"/>
          <w:bCs w:val="1"/>
          <w:i w:val="1"/>
          <w:iCs w:val="1"/>
          <w:color w:val="auto"/>
        </w:rPr>
        <w:t xml:space="preserve">Mark Goldberg, M.D. </w:t>
      </w:r>
      <w:r>
        <w:rPr>
          <w:rFonts w:ascii="Arial" w:cs="Arial" w:eastAsia="Arial" w:hAnsi="Arial"/>
          <w:sz w:val="14"/>
          <w:szCs w:val="14"/>
          <w:color w:val="auto"/>
        </w:rPr>
        <w:t>has served as a member of our board of directors since June 2015. Dr. Goldberg has served as a member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board of directors of ImmunoGen, Inc. since November 2011, including currently serving as a member of its compensation committee and its governance and nomination committee, a member of the board of directors of GlycoMimetics, Inc. since July 2014, currently serving as chair of its governance and nomination committee and a member of its compensation committee , and a member of the board of directors of Idera Pharmaceuticals, Inc. since March 2014, currently serving on its audit committee and scientific committee. Dr. Goldberg served in various executive capacities of increasing responsibility at Synageva BioPharma Corp., or Synageva, a biopharmaceutical company, from 2011 to 2014, including as executive vice president, medical and regulatory strategy from January to October 2014. From October 2014 through the acquisition of Synageva by Alexion Pharmaceuticals, Inc. in 2015, Dr. Goldberg, while no longer an officer, remained employed by Synageva contributing to medical and regulatory strategy. Prior to joining Synageva, Dr. Goldberg served in various management capacities of increasing responsibility at Genzyme from</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99"/>
        <w:spacing w:after="0" w:line="285" w:lineRule="auto"/>
        <w:rPr>
          <w:sz w:val="20"/>
          <w:szCs w:val="20"/>
          <w:color w:val="auto"/>
        </w:rPr>
      </w:pPr>
      <w:r>
        <w:rPr>
          <w:rFonts w:ascii="Arial" w:cs="Arial" w:eastAsia="Arial" w:hAnsi="Arial"/>
          <w:sz w:val="15"/>
          <w:szCs w:val="15"/>
          <w:color w:val="auto"/>
        </w:rPr>
        <w:t>November 1996 to July 2011, including as senior vice president, clinical development and global therapeutic head, oncology, genetic health, and as chairman of Genzyme’s early product development board. Prior to joining Genzyme, Dr. Goldberg was a full-time staff physician at Brigham and Women’s Hospital and the Dana-Farber Cancer Institute and he still has an appointment at Brigham and Women’s Hospital. He served as a member of the board of directors of Audentes Therapeutics, Inc. between December 2017 and its acquisition by Astellas Pharma Inc. in January 2020, and from April 2015 until December 2017 was a member of the board of directors of aTyr Pharma, Inc. Dr. Goldberg is a part-time Associate Professor of Medicine at Harvard Medical School. From 2015 to 2018 he served as acting chief medical officer of CANbridge Life Sciences Ltd. From 2010 to 2017, Dr. Goldberg served on the board of directors of the New England Division of the American Cancer Society. Since December 2017, he has been on the eastern New England Board of the American Cancer Society serving as the chair from December 2017 until April 2020, and since January 2019 has been a member of the national board of directors of the American Cancer Society currently serving on the audit committee and chair of the mission outcomes committee. Dr. Goldberg received an A.B. in biochemistry and molecular biology from Harvard College and an M.D. from Harvard Medical School. We believe Dr. Goldberg is qualified to serve on our board of directors due to his extensive healthcare and regulatory experience.</w:t>
      </w:r>
    </w:p>
    <w:p>
      <w:pPr>
        <w:spacing w:after="0" w:line="78"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5"/>
          <w:szCs w:val="15"/>
          <w:b w:val="1"/>
          <w:bCs w:val="1"/>
          <w:i w:val="1"/>
          <w:iCs w:val="1"/>
          <w:color w:val="auto"/>
        </w:rPr>
        <w:t xml:space="preserve">Nicholas Lydon, Ph.D., FRS </w:t>
      </w:r>
      <w:r>
        <w:rPr>
          <w:rFonts w:ascii="Arial" w:cs="Arial" w:eastAsia="Arial" w:hAnsi="Arial"/>
          <w:sz w:val="15"/>
          <w:szCs w:val="15"/>
          <w:color w:val="auto"/>
        </w:rPr>
        <w:t>is a scientific founder of Blueprint Medicines and has served as a member of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since April 2011. Dr. Lydon is a co-founder and chairman of Recludix Pharma Inc. and has served as a member of its board of directors and as a scientific advisor since 2019. Dr. Lydon is a member of VB Therapeutics LLC, which he co-founded in 2019. In addition, Dr. Lydon currently serves as the manager of Staurus Biopharma, LLC, a privately held biopharmaceutical company that he co-founded. Dr. Lydon is a co-founder of AnaptysBio Inc. and served as a scientific advisor and member of its board of directors between 2006 and 2019. From 2003 to 2009, Dr. Lydon served as a scientific advisor and member of the board of directors of Ambit Biosciences Corp., a biopharmaceutical company. From 2000 to 2002, Dr. Lydon served as vice president, small molecule drug discovery, at Amgen, Inc., or Amgen. Prior to joining Amgen, Dr. Lydon founded Kinetix Pharmaceuticals, Inc., or Kinetix, a biotechnology company focused on the discovery and development of selective protein kinase inhibitors, which was acquired by Amgen in 2000, and served as Kinetix’s chief executive officer and as a member of its board of directors. Prior to founding Kinetix, Dr. Lydon worked for Ciba-Giegy AG (now Novartis AG) where he was responsible for the tyrosine protein kinase program, including the discovery and preclinical development of imatinib. Dr. Lydon, has been awarded the Lasker-DeBakey Clinical Medical Research Award, the Kettering Price from the General Motors Cancer Research Foundation and the Japan Prize for his role in the development of imatinib. Dr. Lydon received a B.S. in biochemistry and zoology from the University of Leeds, England, and received a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Class II Directors — Term Expiring at the 2023 Annual Meeting of Stockholders</w:t>
      </w:r>
    </w:p>
    <w:p>
      <w:pPr>
        <w:spacing w:after="0" w:line="127"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5"/>
          <w:szCs w:val="15"/>
          <w:b w:val="1"/>
          <w:bCs w:val="1"/>
          <w:i w:val="1"/>
          <w:iCs w:val="1"/>
          <w:color w:val="auto"/>
        </w:rPr>
        <w:t xml:space="preserve">Alexis Borisy </w:t>
      </w:r>
      <w:r>
        <w:rPr>
          <w:rFonts w:ascii="Arial" w:cs="Arial" w:eastAsia="Arial" w:hAnsi="Arial"/>
          <w:sz w:val="15"/>
          <w:szCs w:val="15"/>
          <w:color w:val="auto"/>
        </w:rPr>
        <w:t>has served as a member of our board of directors since April 2011. Mr. Borisy co-founded Blueprint Medicines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served as our interim chief executive officer from May 2013 through July 2014. Mr. Borisy is the chairman, chief executive officer and co-founder of EQRx Inc. Mr. Borisy was most recently a partner at Third Rock Ventures, or Third Rock, a life sciences venture capital firm focused on the formation, development and strategy of new companies. Mr. Borisy currently serves as chairman on the board of directors of Relay Therapeutics, Inc., and serves on the board of directors of the following privately held biopharmaceutical companies: Celsius Therapeutics, Inc., and Tango Therapeutics, Inc. In addition, Mr. Borisy serves on the board of directors for Revolution Medicines, Inc. and Magenta Therapeutics, Inc., publicly traded biopharmaceutical companies. From November 2013 to March 2018, Mr. Borisy served as a member of the board of directors of Editas Medicine, Inc. From 2007 to 2012, Mr. Borisy served as chairman of FORMA Therapeutics, Inc., a biopharmaceutical company focused on discovering and developing medicines in cancer and other genetically-driven diseases. Mr. Borisy co-founded Foundation Medicine, Inc., or Foundation Medicine, where he served as its interim chief executive officer from 2009 to 2011 and served as a member of its board of directors from 2009 until its acquisition by Roche, including as chairman of Foundation Medicine’s board of directors from 2011 to February 2017. In 2000, Mr. Borisy founded CombinatoRx, Inc. and served as its chief executive officer and on its board of directors from 2000 to 2009. Mr. Borisy received an A.B. in chemistry from the University of Chicago and an A.M. from Harvard University. We believe Mr. Borisy’s detailed knowledge of our company and long tenure with us, having served as one of our founders, along with his experience working with and serving on the boards of directors of life sciences companies and his experience working in the venture capital industry qualifies him to serve on our board of directors.</w:t>
      </w:r>
    </w:p>
    <w:p>
      <w:pPr>
        <w:spacing w:after="0" w:line="81" w:lineRule="exact"/>
        <w:rPr>
          <w:sz w:val="20"/>
          <w:szCs w:val="20"/>
          <w:color w:val="auto"/>
        </w:rPr>
      </w:pPr>
    </w:p>
    <w:p>
      <w:pPr>
        <w:ind w:left="60" w:right="199" w:firstLine="648"/>
        <w:spacing w:after="0" w:line="310" w:lineRule="auto"/>
        <w:rPr>
          <w:sz w:val="20"/>
          <w:szCs w:val="20"/>
          <w:color w:val="auto"/>
        </w:rPr>
      </w:pPr>
      <w:r>
        <w:rPr>
          <w:rFonts w:ascii="Arial" w:cs="Arial" w:eastAsia="Arial" w:hAnsi="Arial"/>
          <w:sz w:val="14"/>
          <w:szCs w:val="14"/>
          <w:b w:val="1"/>
          <w:bCs w:val="1"/>
          <w:i w:val="1"/>
          <w:iCs w:val="1"/>
          <w:color w:val="auto"/>
        </w:rPr>
        <w:t xml:space="preserve">Charles A. Rowland, Jr., MBA </w:t>
      </w:r>
      <w:r>
        <w:rPr>
          <w:rFonts w:ascii="Arial" w:cs="Arial" w:eastAsia="Arial" w:hAnsi="Arial"/>
          <w:sz w:val="14"/>
          <w:szCs w:val="14"/>
          <w:color w:val="auto"/>
        </w:rPr>
        <w:t>has served as a member of our board of directors since March 2015. From April 2016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February 2017, Mr. Rowland served as president and chief executive officer of Aurinia Pharmaceuticals Inc., or Aurinia, and as a member of the board of directors of Aurinia from July 2014 to February 2017. Mr. Rowland previously served as vice president and chief financial officer of ViroPharma Incorporated, or ViroPharma, an international biopharmaceutical company, from October 2008 until it was acquired by Shire plc in January 2014. Prior to joining ViroPharma, from 2006 to 2008, Mr. Rowland served as executive vice president and chief financial officer, as well as the interim co-chief executive officer, for Endo Pharmaceuticals Inc., a specialty pharmaceutical company with a primary focus in pain management. Mr. Rowland previously held positions of increasing responsibility at the following biopharmaceutical companies: Biovail Pharmaceuticals, Inc., Breakaway Technologies, Inc., Pharmacia Corporation, Novartis AG and Bristol-Myers Squibb Co. Mr. Rowland has served as a member of the board of directors and chairman</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79"/>
        <w:spacing w:after="0" w:line="302" w:lineRule="auto"/>
        <w:rPr>
          <w:sz w:val="20"/>
          <w:szCs w:val="20"/>
          <w:color w:val="auto"/>
        </w:rPr>
      </w:pPr>
      <w:r>
        <w:rPr>
          <w:rFonts w:ascii="Arial" w:cs="Arial" w:eastAsia="Arial" w:hAnsi="Arial"/>
          <w:sz w:val="14"/>
          <w:szCs w:val="14"/>
          <w:color w:val="auto"/>
        </w:rPr>
        <w:t>of the audit committee and compensation committee of Orchard Therapeutics plc since June 2018, as a member of the board of directors, chairman of the compensation committee and member of the audit committee of Viking Therapeutics, Inc. since July 2017 and as a member of the board of directors and chairman of the audit committee and compensation committee of Nabriva Therapeutics, AG, a biotechnology company based in Dublin, Ireland, since January 2015. In addition, Mr. Rowland currently serves on the board of directors and as chairman of the audit committee of Generation Bio. Mr. Rowland has also previously served as a member of the board of directors of Idenix Pharmaceuticals, Inc., Vitae Pharmaceuticals, Inc. and BIND Therapeutics, Inc. Mr. Rowland received a B.S. in Accounting from Saint Joseph’s University and an M.B.A. with a finance concentration from Rutgers University. We believe that</w:t>
      </w:r>
    </w:p>
    <w:p>
      <w:pPr>
        <w:spacing w:after="0" w:line="3"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Mr. Rowland’s extensive professional experience as a chief financial executive in the biotechnology and pharmaceutical industries and his experience serving as a director of various publicly traded biotechnology companies qualifies him to serve as a member of our board of directors.</w:t>
      </w:r>
    </w:p>
    <w:p>
      <w:pPr>
        <w:spacing w:after="0" w:line="77" w:lineRule="exact"/>
        <w:rPr>
          <w:sz w:val="20"/>
          <w:szCs w:val="20"/>
          <w:color w:val="auto"/>
        </w:rPr>
      </w:pPr>
    </w:p>
    <w:p>
      <w:pPr>
        <w:ind w:left="60" w:right="119" w:firstLine="648"/>
        <w:spacing w:after="0" w:line="302" w:lineRule="auto"/>
        <w:rPr>
          <w:sz w:val="20"/>
          <w:szCs w:val="20"/>
          <w:color w:val="auto"/>
        </w:rPr>
      </w:pPr>
      <w:r>
        <w:rPr>
          <w:rFonts w:ascii="Arial" w:cs="Arial" w:eastAsia="Arial" w:hAnsi="Arial"/>
          <w:sz w:val="14"/>
          <w:szCs w:val="14"/>
          <w:b w:val="1"/>
          <w:bCs w:val="1"/>
          <w:i w:val="1"/>
          <w:iCs w:val="1"/>
          <w:color w:val="auto"/>
        </w:rPr>
        <w:t xml:space="preserve">Lonnel Coats </w:t>
      </w:r>
      <w:r>
        <w:rPr>
          <w:rFonts w:ascii="Arial" w:cs="Arial" w:eastAsia="Arial" w:hAnsi="Arial"/>
          <w:sz w:val="14"/>
          <w:szCs w:val="14"/>
          <w:color w:val="auto"/>
        </w:rPr>
        <w:t>has served as a member of our board of directors since February 2016. Since July 2014, Mr. Coats has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president and chief executive officer and a member of the board of directors of Lexicon Pharmaceuticals, Inc., a biopharmaceutical company with a mission of pioneering medicines that transform patients’ lives in a range of diseases including neuropathic pain, heart failure, diabetes, and metabolism. Prior to joining Lexicon, from 1996 through June 2014, Mr. Coats served in a series of leadership positions at Eisai Inc. and Eisai Corporation of North America, U.S. subsidiaries of Tokyo-based Eisai Co., Ltd., including as chief executive officer of Eisai Inc. from 2010 to June 2014 and as president and chief operating officer of Eisai Inc. from 2004 to 2010.</w:t>
      </w:r>
    </w:p>
    <w:p>
      <w:pPr>
        <w:spacing w:after="0" w:line="3" w:lineRule="exact"/>
        <w:rPr>
          <w:sz w:val="20"/>
          <w:szCs w:val="20"/>
          <w:color w:val="auto"/>
        </w:rPr>
      </w:pPr>
    </w:p>
    <w:p>
      <w:pPr>
        <w:ind w:left="60" w:right="339"/>
        <w:spacing w:after="0" w:line="295" w:lineRule="auto"/>
        <w:rPr>
          <w:sz w:val="20"/>
          <w:szCs w:val="20"/>
          <w:color w:val="auto"/>
        </w:rPr>
      </w:pPr>
      <w:r>
        <w:rPr>
          <w:rFonts w:ascii="Arial" w:cs="Arial" w:eastAsia="Arial" w:hAnsi="Arial"/>
          <w:sz w:val="15"/>
          <w:szCs w:val="15"/>
          <w:color w:val="auto"/>
        </w:rPr>
        <w:t>Mr. Coats also previously held a variety of sales and management positions at Janssen Pharmaceuticals, Inc., a division of Johnson &amp; Johnson, from 1988 to 1996. Mr. Coats received a B.S. from Oakland University. We believe that Mr. Coats’ extensive professional experience in the biotechnology industry, including developing and commercializing pharmaceutical products and managing pharmaceutical marketing and sales efforts, qualifies him to serve as a member of our board of directors.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Recommendation of the Board of Directors</w:t>
      </w:r>
    </w:p>
    <w:p>
      <w:pPr>
        <w:spacing w:after="0" w:line="127" w:lineRule="exact"/>
        <w:rPr>
          <w:sz w:val="20"/>
          <w:szCs w:val="20"/>
          <w:color w:val="auto"/>
        </w:rPr>
      </w:pPr>
    </w:p>
    <w:p>
      <w:pPr>
        <w:ind w:left="60" w:right="359" w:firstLine="648"/>
        <w:spacing w:after="0" w:line="298" w:lineRule="auto"/>
        <w:rPr>
          <w:sz w:val="20"/>
          <w:szCs w:val="20"/>
          <w:color w:val="auto"/>
        </w:rPr>
      </w:pPr>
      <w:r>
        <w:rPr>
          <w:rFonts w:ascii="Arial" w:cs="Arial" w:eastAsia="Arial" w:hAnsi="Arial"/>
          <w:sz w:val="16"/>
          <w:szCs w:val="16"/>
          <w:b w:val="1"/>
          <w:bCs w:val="1"/>
          <w:color w:val="auto"/>
        </w:rPr>
        <w:t>OUR BOARD OF DIRECTORS RECOMMENDS THAT STOCKHOLDERS VOTE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color w:val="auto"/>
        </w:rPr>
        <w:t>” THE ELECTION OF GEORGE D. DEMETRI, M.D. AND LYNN SEELY, M.D. TO SERVE AS CLASS III DIRECTORS.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GOVERNANCE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General</w:t>
      </w:r>
    </w:p>
    <w:p>
      <w:pPr>
        <w:spacing w:after="0" w:line="131" w:lineRule="exact"/>
        <w:rPr>
          <w:sz w:val="20"/>
          <w:szCs w:val="20"/>
          <w:color w:val="auto"/>
        </w:rPr>
      </w:pPr>
    </w:p>
    <w:p>
      <w:pPr>
        <w:ind w:left="60" w:right="179" w:firstLine="648"/>
        <w:spacing w:after="0" w:line="315" w:lineRule="auto"/>
        <w:rPr>
          <w:sz w:val="20"/>
          <w:szCs w:val="20"/>
          <w:color w:val="auto"/>
        </w:rPr>
      </w:pPr>
      <w:r>
        <w:rPr>
          <w:rFonts w:ascii="Arial" w:cs="Arial" w:eastAsia="Arial" w:hAnsi="Arial"/>
          <w:sz w:val="14"/>
          <w:szCs w:val="14"/>
          <w:color w:val="auto"/>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Complete copies of our corporate governance guidelines, committee charters and code of conduct are available on the “Investors &amp; Media — Corporate Governance” section of our website, which is located at </w:t>
      </w:r>
      <w:r>
        <w:rPr>
          <w:rFonts w:ascii="Arial" w:cs="Arial" w:eastAsia="Arial" w:hAnsi="Arial"/>
          <w:sz w:val="14"/>
          <w:szCs w:val="14"/>
          <w:i w:val="1"/>
          <w:iCs w:val="1"/>
          <w:color w:val="auto"/>
        </w:rPr>
        <w:t>http://ir.blueprintmedicines.com</w:t>
      </w:r>
      <w:r>
        <w:rPr>
          <w:rFonts w:ascii="Arial" w:cs="Arial" w:eastAsia="Arial" w:hAnsi="Arial"/>
          <w:sz w:val="14"/>
          <w:szCs w:val="14"/>
          <w:color w:val="auto"/>
        </w:rPr>
        <w:t>. Alternatively, you can request a copy of any of these documents by contacting us at Blueprint Medicines Corporation, 45 Sidney Street, Cambridge, Massachusetts 02139, Attn: Investor Relations, telephone: (617) 714-6674, e-mail: ir@blueprintmedicines.com.</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Code of Business Conduct and Ethics and Corporate Governance Guidelines</w:t>
      </w:r>
    </w:p>
    <w:p>
      <w:pPr>
        <w:spacing w:after="0" w:line="13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 xml:space="preserve">Our board of directors has adopted a written code of business conduct and ethics, as amended, that applies to our directors, officers and employees, including our principal executive officer, principal financial officer, principal accounting officer or controller, or persons performing similar functions. A copy of the code of business conduct and ethics is available on the “Investors &amp; Media — Corporate Governance” section of our website, which is located at </w:t>
      </w:r>
      <w:r>
        <w:rPr>
          <w:rFonts w:ascii="Arial" w:cs="Arial" w:eastAsia="Arial" w:hAnsi="Arial"/>
          <w:sz w:val="16"/>
          <w:szCs w:val="16"/>
          <w:i w:val="1"/>
          <w:iCs w:val="1"/>
          <w:color w:val="auto"/>
        </w:rPr>
        <w:t>http://ir.blueprintmedicines.com</w:t>
      </w:r>
      <w:r>
        <w:rPr>
          <w:rFonts w:ascii="Arial" w:cs="Arial" w:eastAsia="Arial" w:hAnsi="Arial"/>
          <w:sz w:val="16"/>
          <w:szCs w:val="16"/>
          <w:color w:val="auto"/>
        </w:rPr>
        <w:t>. We intend to disclose on our website any amendments to, or waivers from, the code of business conduct and ethics that are required to be disclosed pursuant to the disclosure requirements of Item 5.05 of Form 8-K.</w:t>
      </w:r>
    </w:p>
    <w:p>
      <w:pPr>
        <w:spacing w:after="0" w:line="86" w:lineRule="exact"/>
        <w:rPr>
          <w:sz w:val="20"/>
          <w:szCs w:val="20"/>
          <w:color w:val="auto"/>
        </w:rPr>
      </w:pPr>
    </w:p>
    <w:p>
      <w:pPr>
        <w:ind w:left="60" w:right="319" w:firstLine="648"/>
        <w:spacing w:after="0" w:line="273" w:lineRule="auto"/>
        <w:rPr>
          <w:sz w:val="20"/>
          <w:szCs w:val="20"/>
          <w:color w:val="auto"/>
        </w:rPr>
      </w:pPr>
      <w:r>
        <w:rPr>
          <w:rFonts w:ascii="Arial" w:cs="Arial" w:eastAsia="Arial" w:hAnsi="Arial"/>
          <w:sz w:val="16"/>
          <w:szCs w:val="16"/>
          <w:color w:val="auto"/>
        </w:rPr>
        <w:t xml:space="preserve">Our board of directors has also adopted corporate governance guidelines to assist in the exercise of its duties and responsibilities and to serve the best interests of our company and our stockholders. A copy of the corporate governance guidelines is available on the “Investors &amp; Media — Corporate Governance” section of our website, which is located at </w:t>
      </w:r>
      <w:r>
        <w:rPr>
          <w:rFonts w:ascii="Arial" w:cs="Arial" w:eastAsia="Arial" w:hAnsi="Arial"/>
          <w:sz w:val="16"/>
          <w:szCs w:val="16"/>
          <w:i w:val="1"/>
          <w:iCs w:val="1"/>
          <w:color w:val="auto"/>
        </w:rPr>
        <w:t>http://ir.blueprintmedicines.com</w:t>
      </w:r>
      <w:r>
        <w:rPr>
          <w:rFonts w:ascii="Arial" w:cs="Arial" w:eastAsia="Arial" w:hAnsi="Arial"/>
          <w:sz w:val="16"/>
          <w:szCs w:val="16"/>
          <w:color w:val="auto"/>
        </w:rPr>
        <w:t>.</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Board Leadership Structure and Risk Oversight</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Board Leadership Structure</w:t>
      </w:r>
    </w:p>
    <w:p>
      <w:pPr>
        <w:spacing w:after="0" w:line="127" w:lineRule="exact"/>
        <w:rPr>
          <w:sz w:val="20"/>
          <w:szCs w:val="20"/>
          <w:color w:val="auto"/>
        </w:rPr>
      </w:pPr>
    </w:p>
    <w:p>
      <w:pPr>
        <w:ind w:left="60" w:right="279" w:firstLine="648"/>
        <w:spacing w:after="0" w:line="297" w:lineRule="auto"/>
        <w:rPr>
          <w:sz w:val="20"/>
          <w:szCs w:val="20"/>
          <w:color w:val="auto"/>
        </w:rPr>
      </w:pPr>
      <w:r>
        <w:rPr>
          <w:rFonts w:ascii="Arial" w:cs="Arial" w:eastAsia="Arial" w:hAnsi="Arial"/>
          <w:sz w:val="15"/>
          <w:szCs w:val="15"/>
          <w:color w:val="auto"/>
        </w:rPr>
        <w:t>To date, we have separated the positions of chairman and chief executive officer and have not appointed a lead independent director. Currently, Mr. Albers serves as our president and chief executive officer and Mr. Lynch serves as chairman of the board of directors. In connection with Mr. Lynch’s departure from our board of directors, following our annual meeting Mr. Albers will assume the role of chairman of the board of directors and Dr. Seely will be appointed our lead independent director.</w:t>
      </w:r>
    </w:p>
    <w:p>
      <w:pPr>
        <w:spacing w:after="0" w:line="64"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6"/>
          <w:szCs w:val="16"/>
          <w:color w:val="auto"/>
        </w:rPr>
        <w:t>Mr. Albers possesses detailed and first-hand knowledge of the issues, opportunities, and challenges facing our business, making him well-suited to be responsible for setting the strategic direction for our company and the day-to-day leadership and performance of our company, while also presiding over meetings of, and overseeing, our board of directors. Additionally, the appointment of Dr. Seely as lead independent director will provide an effective independent voice in our leadership structure, encouraging objective oversight of management’s performance and enhancing the effectiveness of the board of directors as a whole. As lead independent director, Dr. Seely will preside over meetings of our independent directors, serve as a liaison between our chairman of the board and the independent directors and perform such additional duties as our board of directors may otherwise determine and delegate.</w:t>
      </w:r>
    </w:p>
    <w:p>
      <w:pPr>
        <w:spacing w:after="0" w:line="84"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6"/>
          <w:szCs w:val="16"/>
          <w:color w:val="auto"/>
        </w:rPr>
        <w:t>Further, our board of directors has four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Meanwhile, the extensive company-specific experience and expertise of Mr. Albers, together with the outside experience, oversight and expertise of our independent directors, allows for differing perspectives and roles regarding strategy development that benefit our stockholders.</w:t>
      </w:r>
    </w:p>
    <w:p>
      <w:pPr>
        <w:spacing w:after="0" w:line="86" w:lineRule="exact"/>
        <w:rPr>
          <w:sz w:val="20"/>
          <w:szCs w:val="20"/>
          <w:color w:val="auto"/>
        </w:rPr>
      </w:pPr>
    </w:p>
    <w:p>
      <w:pPr>
        <w:ind w:left="60" w:right="199" w:firstLine="648"/>
        <w:spacing w:after="0" w:line="278" w:lineRule="auto"/>
        <w:rPr>
          <w:sz w:val="20"/>
          <w:szCs w:val="20"/>
          <w:color w:val="auto"/>
        </w:rPr>
      </w:pPr>
      <w:r>
        <w:rPr>
          <w:rFonts w:ascii="Arial" w:cs="Arial" w:eastAsia="Arial" w:hAnsi="Arial"/>
          <w:sz w:val="16"/>
          <w:szCs w:val="16"/>
          <w:color w:val="auto"/>
        </w:rPr>
        <w:t>This structure will enable Mr. Albers to act as the key link between our board of directors and other members of management and enhances our ability to communicate our strategy clearly and consistently to our investors, employees, and partners. We and our board of directors continue to review the leadership of the board on a regular basis.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Risk Oversight</w:t>
      </w:r>
    </w:p>
    <w:p>
      <w:pPr>
        <w:spacing w:after="0" w:line="127" w:lineRule="exact"/>
        <w:rPr>
          <w:sz w:val="20"/>
          <w:szCs w:val="20"/>
          <w:color w:val="auto"/>
        </w:rPr>
      </w:pPr>
    </w:p>
    <w:p>
      <w:pPr>
        <w:ind w:left="60" w:right="99" w:firstLine="648"/>
        <w:spacing w:after="0" w:line="318" w:lineRule="auto"/>
        <w:rPr>
          <w:sz w:val="20"/>
          <w:szCs w:val="20"/>
          <w:color w:val="auto"/>
        </w:rPr>
      </w:pPr>
      <w:r>
        <w:rPr>
          <w:rFonts w:ascii="Arial" w:cs="Arial" w:eastAsia="Arial" w:hAnsi="Arial"/>
          <w:sz w:val="14"/>
          <w:szCs w:val="14"/>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54" w:lineRule="exact"/>
        <w:rPr>
          <w:sz w:val="20"/>
          <w:szCs w:val="20"/>
          <w:color w:val="auto"/>
        </w:rPr>
      </w:pPr>
    </w:p>
    <w:p>
      <w:pPr>
        <w:ind w:left="60" w:right="199" w:firstLine="648"/>
        <w:spacing w:after="0" w:line="324" w:lineRule="auto"/>
        <w:rPr>
          <w:sz w:val="20"/>
          <w:szCs w:val="20"/>
          <w:color w:val="auto"/>
        </w:rPr>
      </w:pPr>
      <w:r>
        <w:rPr>
          <w:rFonts w:ascii="Arial" w:cs="Arial" w:eastAsia="Arial" w:hAnsi="Arial"/>
          <w:sz w:val="14"/>
          <w:szCs w:val="14"/>
          <w:color w:val="auto"/>
        </w:rPr>
        <w:t>Each committee of our board of directors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419"/>
        <w:spacing w:after="0" w:line="273" w:lineRule="auto"/>
        <w:rPr>
          <w:sz w:val="20"/>
          <w:szCs w:val="20"/>
          <w:color w:val="auto"/>
        </w:rPr>
      </w:pPr>
      <w:r>
        <w:rPr>
          <w:rFonts w:ascii="Arial" w:cs="Arial" w:eastAsia="Arial" w:hAnsi="Arial"/>
          <w:sz w:val="16"/>
          <w:szCs w:val="16"/>
          <w:color w:val="auto"/>
        </w:rPr>
        <w:t>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Board Determination of Independence</w:t>
      </w:r>
    </w:p>
    <w:p>
      <w:pPr>
        <w:spacing w:after="0" w:line="131"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5"/>
          <w:szCs w:val="15"/>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Listing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committee of the board of directors,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81"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5"/>
          <w:szCs w:val="15"/>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Jeffrey W. Albers, is an “independent director” as defined under Rule 5605(a)(2) of the Nasdaq Listing Rules. Mr. Albers is not an independent director under Rule 5605(a)(2) because he is our president and chief executive officer. Our board of directors also determined that Charles A. Rowland, Jr., Lonnel Coats and Mark Goldberg, who comprise our audit committee, Daniel S. Lynch, Charles A. Rowland, Jr. and Lynn Seely, who comprise our compensation committee, and George D. Demetri, Lonnel Coats and Nicholas Lydon, who comprise our nominating and corporate governance committee, satisfy the independence standards for such committees established by the SEC and the Nasdaq Listing Rules, as applicable, including in the case of all members of the audit committee, the independence requirements contemplated by Rule 10A-3 under the Exchange Act and in the case of all members of the compensation committee, the independence requirements contemplated by Rule 10C-1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Board of Director Meetings and Attendance</w:t>
      </w:r>
    </w:p>
    <w:p>
      <w:pPr>
        <w:spacing w:after="0" w:line="131" w:lineRule="exact"/>
        <w:rPr>
          <w:sz w:val="20"/>
          <w:szCs w:val="20"/>
          <w:color w:val="auto"/>
        </w:rPr>
      </w:pPr>
    </w:p>
    <w:p>
      <w:pPr>
        <w:ind w:left="60" w:right="299" w:firstLine="648"/>
        <w:spacing w:after="0" w:line="273" w:lineRule="auto"/>
        <w:rPr>
          <w:sz w:val="20"/>
          <w:szCs w:val="20"/>
          <w:color w:val="auto"/>
        </w:rPr>
      </w:pPr>
      <w:r>
        <w:rPr>
          <w:rFonts w:ascii="Arial" w:cs="Arial" w:eastAsia="Arial" w:hAnsi="Arial"/>
          <w:sz w:val="16"/>
          <w:szCs w:val="16"/>
          <w:color w:val="auto"/>
        </w:rPr>
        <w:t>Our board of directors held ten meetings and acted by unanimous written consent four times during the year ended December 31, 2020. During the year ended December 31, 2020, each of the directors then in office attended at least 75% of the aggregate of the number of board of director meetings and the number of meetings held by all committees of the board of directors on which such director then served.</w:t>
      </w:r>
    </w:p>
    <w:p>
      <w:pPr>
        <w:spacing w:after="0" w:line="81"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our annual meeting, we encourage all of our directors to attend. All members of our board of directors who were then directors attended our 2020 annual meeting of stockholders, or 2020 Annual Meeting.</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Communicating with the Board of Directors</w:t>
      </w:r>
    </w:p>
    <w:p>
      <w:pPr>
        <w:spacing w:after="0" w:line="131" w:lineRule="exact"/>
        <w:rPr>
          <w:sz w:val="20"/>
          <w:szCs w:val="20"/>
          <w:color w:val="auto"/>
        </w:rPr>
      </w:pPr>
    </w:p>
    <w:p>
      <w:pPr>
        <w:ind w:left="60" w:right="279" w:firstLine="648"/>
        <w:spacing w:after="0" w:line="305" w:lineRule="auto"/>
        <w:rPr>
          <w:sz w:val="20"/>
          <w:szCs w:val="20"/>
          <w:color w:val="auto"/>
        </w:rPr>
      </w:pPr>
      <w:r>
        <w:rPr>
          <w:rFonts w:ascii="Arial" w:cs="Arial" w:eastAsia="Arial" w:hAnsi="Arial"/>
          <w:sz w:val="15"/>
          <w:szCs w:val="15"/>
          <w:color w:val="auto"/>
        </w:rPr>
        <w:t>Our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58" w:lineRule="exact"/>
        <w:rPr>
          <w:sz w:val="20"/>
          <w:szCs w:val="20"/>
          <w:color w:val="auto"/>
        </w:rPr>
      </w:pPr>
    </w:p>
    <w:p>
      <w:pPr>
        <w:ind w:left="60" w:right="299" w:firstLine="648"/>
        <w:spacing w:after="0" w:line="273" w:lineRule="auto"/>
        <w:rPr>
          <w:sz w:val="20"/>
          <w:szCs w:val="20"/>
          <w:color w:val="auto"/>
        </w:rPr>
      </w:pPr>
      <w:r>
        <w:rPr>
          <w:rFonts w:ascii="Arial" w:cs="Arial" w:eastAsia="Arial" w:hAnsi="Arial"/>
          <w:sz w:val="16"/>
          <w:szCs w:val="16"/>
          <w:color w:val="auto"/>
        </w:rPr>
        <w:t>Stockholders who wish to send communications on any topic to our board of directors (or any individual director) should address such communications to Blueprint Medicines Corporation, Attention: Board of Directors, 45 Sidney Street, Cambridge, Massachusetts 02139. Upon receipt of such communications, the correspondence will be directed to the appropriate person, including individual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 of the Board of Directors</w:t>
      </w:r>
    </w:p>
    <w:p>
      <w:pPr>
        <w:spacing w:after="0" w:line="131"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6"/>
          <w:szCs w:val="16"/>
          <w:color w:val="auto"/>
        </w:rPr>
        <w:t xml:space="preserve">We have established an audit committee, a compensation committee, a nominating and corporate governance committee and a research and development committee. Each of these committees operates under a charter that has been approved by our board of directors. A copy of each committee’s charter can be found under the “Investors &amp; Media — Corporate Governance” section of our website, which is located at </w:t>
      </w:r>
      <w:r>
        <w:rPr>
          <w:rFonts w:ascii="Arial" w:cs="Arial" w:eastAsia="Arial" w:hAnsi="Arial"/>
          <w:sz w:val="16"/>
          <w:szCs w:val="16"/>
          <w:i w:val="1"/>
          <w:iCs w:val="1"/>
          <w:color w:val="auto"/>
        </w:rPr>
        <w:t>http://ir.blueprintmedicines.com</w:t>
      </w:r>
      <w:r>
        <w:rPr>
          <w:rFonts w:ascii="Arial" w:cs="Arial" w:eastAsia="Arial" w:hAnsi="Arial"/>
          <w:sz w:val="16"/>
          <w:szCs w:val="16"/>
          <w:color w:val="auto"/>
        </w:rPr>
        <w: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audit committee’s responsibilities include:</w:t>
      </w:r>
    </w:p>
    <w:p>
      <w:pPr>
        <w:spacing w:after="0" w:line="127" w:lineRule="exact"/>
        <w:rPr>
          <w:sz w:val="20"/>
          <w:szCs w:val="20"/>
          <w:color w:val="auto"/>
        </w:rPr>
      </w:pPr>
    </w:p>
    <w:p>
      <w:pPr>
        <w:ind w:left="1340" w:right="379" w:hanging="318"/>
        <w:spacing w:after="0" w:line="263"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appointing, approving the compensation of, and assessing the independence of our independent registered public accounting firm;</w:t>
      </w:r>
    </w:p>
    <w:p>
      <w:pPr>
        <w:spacing w:after="0" w:line="84" w:lineRule="exact"/>
        <w:rPr>
          <w:rFonts w:ascii="Arial" w:cs="Arial" w:eastAsia="Arial" w:hAnsi="Arial"/>
          <w:sz w:val="18"/>
          <w:szCs w:val="18"/>
          <w:color w:val="auto"/>
        </w:rPr>
      </w:pPr>
    </w:p>
    <w:p>
      <w:pPr>
        <w:ind w:left="1340" w:right="399" w:hanging="318"/>
        <w:spacing w:after="0" w:line="263"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pre-approving auditing and permissible non-audit services, and the terms of such services, to be provided by our independent registered public accounting firm;</w:t>
      </w:r>
    </w:p>
    <w:p>
      <w:pPr>
        <w:spacing w:after="0" w:line="84" w:lineRule="exact"/>
        <w:rPr>
          <w:rFonts w:ascii="Arial" w:cs="Arial" w:eastAsia="Arial" w:hAnsi="Arial"/>
          <w:sz w:val="18"/>
          <w:szCs w:val="18"/>
          <w:color w:val="auto"/>
        </w:rPr>
      </w:pPr>
    </w:p>
    <w:p>
      <w:pPr>
        <w:ind w:left="1340" w:right="919" w:hanging="318"/>
        <w:spacing w:after="0" w:line="263"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reviewing the overall audit plan with our independent registered public accounting firm and members of management responsible for preparing our financial statements;</w:t>
      </w:r>
    </w:p>
    <w:p>
      <w:pPr>
        <w:spacing w:after="0" w:line="84" w:lineRule="exact"/>
        <w:rPr>
          <w:rFonts w:ascii="Arial" w:cs="Arial" w:eastAsia="Arial" w:hAnsi="Arial"/>
          <w:sz w:val="18"/>
          <w:szCs w:val="18"/>
          <w:color w:val="auto"/>
        </w:rPr>
      </w:pPr>
    </w:p>
    <w:p>
      <w:pPr>
        <w:ind w:left="1340" w:right="119" w:hanging="318"/>
        <w:spacing w:after="0" w:line="335" w:lineRule="auto"/>
        <w:tabs>
          <w:tab w:leader="none" w:pos="1340" w:val="left"/>
        </w:tabs>
        <w:numPr>
          <w:ilvl w:val="0"/>
          <w:numId w:val="43"/>
        </w:numPr>
        <w:rPr>
          <w:rFonts w:ascii="Arial" w:cs="Arial" w:eastAsia="Arial" w:hAnsi="Arial"/>
          <w:sz w:val="16"/>
          <w:szCs w:val="16"/>
          <w:color w:val="auto"/>
        </w:rPr>
      </w:pPr>
      <w:r>
        <w:rPr>
          <w:rFonts w:ascii="Arial" w:cs="Arial" w:eastAsia="Arial" w:hAnsi="Arial"/>
          <w:sz w:val="14"/>
          <w:szCs w:val="14"/>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30" w:lineRule="exact"/>
        <w:rPr>
          <w:rFonts w:ascii="Arial" w:cs="Arial" w:eastAsia="Arial" w:hAnsi="Arial"/>
          <w:sz w:val="16"/>
          <w:szCs w:val="16"/>
          <w:color w:val="auto"/>
        </w:rPr>
      </w:pPr>
    </w:p>
    <w:p>
      <w:pPr>
        <w:ind w:left="1340" w:hanging="318"/>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coordinating the oversight and reviewing the adequacy of our internal control over financial reporting;</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3"/>
        </w:numPr>
        <w:rPr>
          <w:rFonts w:ascii="Arial" w:cs="Arial" w:eastAsia="Arial" w:hAnsi="Arial"/>
          <w:sz w:val="17"/>
          <w:szCs w:val="17"/>
          <w:color w:val="auto"/>
        </w:rPr>
      </w:pPr>
      <w:r>
        <w:rPr>
          <w:rFonts w:ascii="Arial" w:cs="Arial" w:eastAsia="Arial" w:hAnsi="Arial"/>
          <w:sz w:val="15"/>
          <w:szCs w:val="15"/>
          <w:color w:val="auto"/>
        </w:rPr>
        <w:t>establishing policies and procedures for the receipt and retention of accounting-related complaints and concerns;</w:t>
      </w:r>
    </w:p>
    <w:p>
      <w:pPr>
        <w:spacing w:after="0" w:line="128" w:lineRule="exact"/>
        <w:rPr>
          <w:rFonts w:ascii="Arial" w:cs="Arial" w:eastAsia="Arial" w:hAnsi="Arial"/>
          <w:sz w:val="17"/>
          <w:szCs w:val="17"/>
          <w:color w:val="auto"/>
        </w:rPr>
      </w:pPr>
    </w:p>
    <w:p>
      <w:pPr>
        <w:ind w:left="1340" w:right="239" w:hanging="318"/>
        <w:spacing w:after="0" w:line="262"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87" w:lineRule="exact"/>
        <w:rPr>
          <w:rFonts w:ascii="Arial" w:cs="Arial" w:eastAsia="Arial" w:hAnsi="Arial"/>
          <w:sz w:val="18"/>
          <w:szCs w:val="18"/>
          <w:color w:val="auto"/>
        </w:rPr>
      </w:pPr>
    </w:p>
    <w:p>
      <w:pPr>
        <w:ind w:left="1340" w:hanging="318"/>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approving all Quarterly Reports on Form 10-Q;</w:t>
      </w:r>
    </w:p>
    <w:p>
      <w:pPr>
        <w:spacing w:after="0" w:line="117" w:lineRule="exact"/>
        <w:rPr>
          <w:rFonts w:ascii="Arial" w:cs="Arial" w:eastAsia="Arial" w:hAnsi="Arial"/>
          <w:sz w:val="18"/>
          <w:szCs w:val="18"/>
          <w:color w:val="auto"/>
        </w:rPr>
      </w:pPr>
    </w:p>
    <w:p>
      <w:pPr>
        <w:ind w:left="1340" w:right="319" w:hanging="318"/>
        <w:spacing w:after="0" w:line="263"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and accounting matters;</w:t>
      </w:r>
    </w:p>
    <w:p>
      <w:pPr>
        <w:spacing w:after="0" w:line="83" w:lineRule="exact"/>
        <w:rPr>
          <w:rFonts w:ascii="Arial" w:cs="Arial" w:eastAsia="Arial" w:hAnsi="Arial"/>
          <w:sz w:val="18"/>
          <w:szCs w:val="18"/>
          <w:color w:val="auto"/>
        </w:rPr>
      </w:pPr>
    </w:p>
    <w:p>
      <w:pPr>
        <w:ind w:left="1340" w:hanging="318"/>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preparing the audit committee report required by SEC rules to be included in our annual proxy statement;</w:t>
      </w:r>
    </w:p>
    <w:p>
      <w:pPr>
        <w:spacing w:after="0" w:line="117" w:lineRule="exact"/>
        <w:rPr>
          <w:rFonts w:ascii="Arial" w:cs="Arial" w:eastAsia="Arial" w:hAnsi="Arial"/>
          <w:sz w:val="18"/>
          <w:szCs w:val="18"/>
          <w:color w:val="auto"/>
        </w:rPr>
      </w:pPr>
    </w:p>
    <w:p>
      <w:pPr>
        <w:ind w:left="1340" w:right="919" w:hanging="318"/>
        <w:spacing w:after="0" w:line="263"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reviewing all related party transactions for potential conflict of interest situations and approving all such transactions; and</w:t>
      </w:r>
    </w:p>
    <w:p>
      <w:pPr>
        <w:spacing w:after="0" w:line="83" w:lineRule="exact"/>
        <w:rPr>
          <w:rFonts w:ascii="Arial" w:cs="Arial" w:eastAsia="Arial" w:hAnsi="Arial"/>
          <w:sz w:val="18"/>
          <w:szCs w:val="18"/>
          <w:color w:val="auto"/>
        </w:rPr>
      </w:pPr>
    </w:p>
    <w:p>
      <w:pPr>
        <w:ind w:left="1340" w:hanging="318"/>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reviewing quarterly earnings releases as well as any other press releases containing financial information.</w:t>
      </w:r>
    </w:p>
    <w:p>
      <w:pPr>
        <w:spacing w:after="0" w:line="118" w:lineRule="exact"/>
        <w:rPr>
          <w:sz w:val="20"/>
          <w:szCs w:val="20"/>
          <w:color w:val="auto"/>
        </w:rPr>
      </w:pPr>
    </w:p>
    <w:p>
      <w:pPr>
        <w:ind w:left="60" w:right="159" w:firstLine="648"/>
        <w:spacing w:after="0" w:line="335" w:lineRule="auto"/>
        <w:rPr>
          <w:sz w:val="20"/>
          <w:szCs w:val="20"/>
          <w:color w:val="auto"/>
        </w:rPr>
      </w:pPr>
      <w:r>
        <w:rPr>
          <w:rFonts w:ascii="Arial" w:cs="Arial" w:eastAsia="Arial" w:hAnsi="Arial"/>
          <w:sz w:val="14"/>
          <w:szCs w:val="14"/>
          <w:color w:val="auto"/>
        </w:rPr>
        <w:t>The members of our audit committee are Charles A. Rowland, Jr., Lonnel Coats and Mark Goldberg. Mr. Rowland serves as chair of the audit committee. Our board of directors has determined that Mr. Rowland qualifies as an “audit committee financial expert” within the meaning of applicable SEC rules. The audit committee held five meetings during the year ended December 31, 2020.</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compensation committee’s responsibilities include:</w:t>
      </w:r>
    </w:p>
    <w:p>
      <w:pPr>
        <w:spacing w:after="0" w:line="127" w:lineRule="exact"/>
        <w:rPr>
          <w:sz w:val="20"/>
          <w:szCs w:val="20"/>
          <w:color w:val="auto"/>
        </w:rPr>
      </w:pPr>
    </w:p>
    <w:p>
      <w:pPr>
        <w:ind w:left="1340" w:right="79" w:hanging="318"/>
        <w:spacing w:after="0" w:line="263" w:lineRule="auto"/>
        <w:tabs>
          <w:tab w:leader="none" w:pos="13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annually reviewing and approving corporate goals and objectives relevant to the compensation of our chief executive officer;</w:t>
      </w:r>
    </w:p>
    <w:p>
      <w:pPr>
        <w:spacing w:after="0" w:line="84" w:lineRule="exact"/>
        <w:rPr>
          <w:rFonts w:ascii="Arial" w:cs="Arial" w:eastAsia="Arial" w:hAnsi="Arial"/>
          <w:sz w:val="18"/>
          <w:szCs w:val="18"/>
          <w:color w:val="auto"/>
        </w:rPr>
      </w:pPr>
    </w:p>
    <w:p>
      <w:pPr>
        <w:ind w:left="1340" w:right="679" w:hanging="318"/>
        <w:spacing w:after="0" w:line="263" w:lineRule="auto"/>
        <w:tabs>
          <w:tab w:leader="none" w:pos="13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evaluating the performance of our chief executive officer in light of such corporate goals and objectives and determining the compensation of our chief executive officer;</w:t>
      </w:r>
    </w:p>
    <w:p>
      <w:pPr>
        <w:spacing w:after="0" w:line="83" w:lineRule="exact"/>
        <w:rPr>
          <w:rFonts w:ascii="Arial" w:cs="Arial" w:eastAsia="Arial" w:hAnsi="Arial"/>
          <w:sz w:val="18"/>
          <w:szCs w:val="18"/>
          <w:color w:val="auto"/>
        </w:rPr>
      </w:pPr>
    </w:p>
    <w:p>
      <w:pPr>
        <w:ind w:left="1340" w:hanging="318"/>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reviewing and approving the compensation of our other executive officers;</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reviewing and establishing our overall management compensation, philosophy and policy;</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overseeing and administering our compensation and similar plans;</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reviewing and approving our policies and procedures for the grant of equity-based awards;</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4"/>
        </w:numPr>
        <w:rPr>
          <w:rFonts w:ascii="Arial" w:cs="Arial" w:eastAsia="Arial" w:hAnsi="Arial"/>
          <w:sz w:val="17"/>
          <w:szCs w:val="17"/>
          <w:color w:val="auto"/>
        </w:rPr>
      </w:pPr>
      <w:r>
        <w:rPr>
          <w:rFonts w:ascii="Arial" w:cs="Arial" w:eastAsia="Arial" w:hAnsi="Arial"/>
          <w:sz w:val="15"/>
          <w:szCs w:val="15"/>
          <w:color w:val="auto"/>
        </w:rPr>
        <w:t>reviewing and making recommendations to the board of directors with respect to director compensation;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40" w:right="259" w:hanging="318"/>
        <w:spacing w:after="0" w:line="263" w:lineRule="auto"/>
        <w:tabs>
          <w:tab w:leader="none" w:pos="1340" w:val="left"/>
        </w:tabs>
        <w:numPr>
          <w:ilvl w:val="0"/>
          <w:numId w:val="45"/>
        </w:numPr>
        <w:rPr>
          <w:rFonts w:ascii="Arial" w:cs="Arial" w:eastAsia="Arial" w:hAnsi="Arial"/>
          <w:sz w:val="18"/>
          <w:szCs w:val="18"/>
          <w:color w:val="auto"/>
        </w:rPr>
      </w:pPr>
      <w:r>
        <w:rPr>
          <w:rFonts w:ascii="Arial" w:cs="Arial" w:eastAsia="Arial" w:hAnsi="Arial"/>
          <w:sz w:val="16"/>
          <w:szCs w:val="16"/>
          <w:color w:val="auto"/>
        </w:rPr>
        <w:t>reviewing and discussing with management the compensation discussion and analysis to be included in our annual proxy statement or Annual Report on Form 10-K.</w:t>
      </w:r>
    </w:p>
    <w:p>
      <w:pPr>
        <w:spacing w:after="0" w:line="8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The members of our compensation committee are Daniel S. Lynch, Charles A. Rowland, Jr. and Lynn Seely. Mr. Lynch, who will not be standing for re-election as a director at the annual meeting, will remain the chair and a member of the compensation committee until our 2021 annual meeting. Our board of directors selected Dr. Seely to succeed Mr. Lynch as chair of the compensation committee following the annual meeting. The compensation committee held seven meetings and acted by unanimous written consent ten times during the year ended December 31, 2020.</w:t>
      </w:r>
    </w:p>
    <w:p>
      <w:pPr>
        <w:spacing w:after="0" w:line="82" w:lineRule="exact"/>
        <w:rPr>
          <w:sz w:val="20"/>
          <w:szCs w:val="20"/>
          <w:color w:val="auto"/>
        </w:rPr>
      </w:pPr>
    </w:p>
    <w:p>
      <w:pPr>
        <w:jc w:val="both"/>
        <w:ind w:left="60" w:right="139" w:firstLine="648"/>
        <w:spacing w:after="0" w:line="305" w:lineRule="auto"/>
        <w:rPr>
          <w:sz w:val="20"/>
          <w:szCs w:val="20"/>
          <w:color w:val="auto"/>
        </w:rPr>
      </w:pPr>
      <w:r>
        <w:rPr>
          <w:rFonts w:ascii="Arial" w:cs="Arial" w:eastAsia="Arial" w:hAnsi="Arial"/>
          <w:sz w:val="15"/>
          <w:szCs w:val="15"/>
          <w:color w:val="auto"/>
        </w:rPr>
        <w:t>The compensation committee may delegate its authority to our chief executive officer to grant certain equity awards to certain individuals, and our compensation committee has delegated such authority to Mr. Albers with respect to certain equity awards. For more information, please see “Compensation Discussion and Analysis—Overview of Executive Compensation Process.”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nominating and corporate governance committee’s responsibilities include:</w:t>
      </w:r>
    </w:p>
    <w:p>
      <w:pPr>
        <w:spacing w:after="0" w:line="126" w:lineRule="exact"/>
        <w:rPr>
          <w:sz w:val="20"/>
          <w:szCs w:val="20"/>
          <w:color w:val="auto"/>
        </w:rPr>
      </w:pPr>
    </w:p>
    <w:p>
      <w:pPr>
        <w:ind w:left="1340" w:hanging="318"/>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6"/>
          <w:szCs w:val="16"/>
          <w:color w:val="auto"/>
        </w:rPr>
        <w:t>developing and recommending to the board of directors criteria for board and committee membership;</w:t>
      </w:r>
    </w:p>
    <w:p>
      <w:pPr>
        <w:spacing w:after="0" w:line="117" w:lineRule="exact"/>
        <w:rPr>
          <w:rFonts w:ascii="Arial" w:cs="Arial" w:eastAsia="Arial" w:hAnsi="Arial"/>
          <w:sz w:val="18"/>
          <w:szCs w:val="18"/>
          <w:color w:val="auto"/>
        </w:rPr>
      </w:pPr>
    </w:p>
    <w:p>
      <w:pPr>
        <w:ind w:left="1340" w:right="959" w:hanging="318"/>
        <w:spacing w:after="0" w:line="263"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83" w:lineRule="exact"/>
        <w:rPr>
          <w:rFonts w:ascii="Arial" w:cs="Arial" w:eastAsia="Arial" w:hAnsi="Arial"/>
          <w:sz w:val="18"/>
          <w:szCs w:val="18"/>
          <w:color w:val="auto"/>
        </w:rPr>
      </w:pPr>
    </w:p>
    <w:p>
      <w:pPr>
        <w:ind w:left="1340" w:hanging="318"/>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6"/>
          <w:szCs w:val="16"/>
          <w:color w:val="auto"/>
        </w:rPr>
        <w:t>identifying individuals qualified to become members of the board of directors;</w:t>
      </w:r>
    </w:p>
    <w:p>
      <w:pPr>
        <w:spacing w:after="0" w:line="117" w:lineRule="exact"/>
        <w:rPr>
          <w:rFonts w:ascii="Arial" w:cs="Arial" w:eastAsia="Arial" w:hAnsi="Arial"/>
          <w:sz w:val="18"/>
          <w:szCs w:val="18"/>
          <w:color w:val="auto"/>
        </w:rPr>
      </w:pPr>
    </w:p>
    <w:p>
      <w:pPr>
        <w:ind w:left="1340" w:right="479" w:hanging="318"/>
        <w:spacing w:after="0" w:line="263"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6"/>
          <w:szCs w:val="16"/>
          <w:color w:val="auto"/>
        </w:rPr>
        <w:t>recommending to the board of directors the persons to be nominated for election as directors and to each of the board’s committees;</w:t>
      </w:r>
    </w:p>
    <w:p>
      <w:pPr>
        <w:spacing w:after="0" w:line="83" w:lineRule="exact"/>
        <w:rPr>
          <w:rFonts w:ascii="Arial" w:cs="Arial" w:eastAsia="Arial" w:hAnsi="Arial"/>
          <w:sz w:val="18"/>
          <w:szCs w:val="18"/>
          <w:color w:val="auto"/>
        </w:rPr>
      </w:pPr>
    </w:p>
    <w:p>
      <w:pPr>
        <w:ind w:left="1340" w:hanging="318"/>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6"/>
          <w:szCs w:val="16"/>
          <w:color w:val="auto"/>
        </w:rPr>
        <w:t>developing and recommending to the board of directors a set of corporate governance guidelines; and</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6"/>
          <w:szCs w:val="16"/>
          <w:color w:val="auto"/>
        </w:rPr>
        <w:t>overseeing the evaluation of the board of directors and management.</w:t>
      </w:r>
    </w:p>
    <w:p>
      <w:pPr>
        <w:spacing w:after="0" w:line="118" w:lineRule="exact"/>
        <w:rPr>
          <w:sz w:val="20"/>
          <w:szCs w:val="20"/>
          <w:color w:val="auto"/>
        </w:rPr>
      </w:pPr>
    </w:p>
    <w:p>
      <w:pPr>
        <w:ind w:left="60" w:right="259" w:firstLine="648"/>
        <w:spacing w:after="0" w:line="278" w:lineRule="auto"/>
        <w:rPr>
          <w:sz w:val="20"/>
          <w:szCs w:val="20"/>
          <w:color w:val="auto"/>
        </w:rPr>
      </w:pPr>
      <w:r>
        <w:rPr>
          <w:rFonts w:ascii="Arial" w:cs="Arial" w:eastAsia="Arial" w:hAnsi="Arial"/>
          <w:sz w:val="16"/>
          <w:szCs w:val="16"/>
          <w:color w:val="auto"/>
        </w:rPr>
        <w:t>The members of our nominating and corporate governance committee are George D. Demetri, Lonnel Coats and Nicholas Lydon. Dr. Demetri serves as chair of the nominating and corporate governance committee. The nominating and corporate governance committee held two meetings during the year ended December 31, 2020.</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Research and Development Committee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research and development committee’s responsibilities include providing:</w:t>
      </w:r>
    </w:p>
    <w:p>
      <w:pPr>
        <w:spacing w:after="0" w:line="127" w:lineRule="exact"/>
        <w:rPr>
          <w:sz w:val="20"/>
          <w:szCs w:val="20"/>
          <w:color w:val="auto"/>
        </w:rPr>
      </w:pPr>
    </w:p>
    <w:p>
      <w:pPr>
        <w:ind w:left="1340" w:right="439" w:hanging="318"/>
        <w:spacing w:after="0" w:line="263"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a general oversight function regarding pre-clinical and clinical decision-making through a series of semi-annual pipeline reviews and in-depth assessments of select project strategies and plans;</w:t>
      </w:r>
    </w:p>
    <w:p>
      <w:pPr>
        <w:spacing w:after="0" w:line="84" w:lineRule="exact"/>
        <w:rPr>
          <w:rFonts w:ascii="Arial" w:cs="Arial" w:eastAsia="Arial" w:hAnsi="Arial"/>
          <w:sz w:val="18"/>
          <w:szCs w:val="18"/>
          <w:color w:val="auto"/>
        </w:rPr>
      </w:pPr>
    </w:p>
    <w:p>
      <w:pPr>
        <w:ind w:left="1340" w:right="79" w:hanging="318"/>
        <w:spacing w:after="0" w:line="263"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recommendations regarding key molecules in our discovery and development pipelines through reports and select in-depth project reviews;</w:t>
      </w:r>
    </w:p>
    <w:p>
      <w:pPr>
        <w:spacing w:after="0" w:line="84" w:lineRule="exact"/>
        <w:rPr>
          <w:rFonts w:ascii="Arial" w:cs="Arial" w:eastAsia="Arial" w:hAnsi="Arial"/>
          <w:sz w:val="18"/>
          <w:szCs w:val="18"/>
          <w:color w:val="auto"/>
        </w:rPr>
      </w:pPr>
    </w:p>
    <w:p>
      <w:pPr>
        <w:ind w:left="1340" w:right="219" w:hanging="318"/>
        <w:spacing w:after="0" w:line="335" w:lineRule="auto"/>
        <w:tabs>
          <w:tab w:leader="none" w:pos="1340" w:val="left"/>
        </w:tabs>
        <w:numPr>
          <w:ilvl w:val="0"/>
          <w:numId w:val="47"/>
        </w:numPr>
        <w:rPr>
          <w:rFonts w:ascii="Arial" w:cs="Arial" w:eastAsia="Arial" w:hAnsi="Arial"/>
          <w:sz w:val="16"/>
          <w:szCs w:val="16"/>
          <w:color w:val="auto"/>
        </w:rPr>
      </w:pPr>
      <w:r>
        <w:rPr>
          <w:rFonts w:ascii="Arial" w:cs="Arial" w:eastAsia="Arial" w:hAnsi="Arial"/>
          <w:sz w:val="14"/>
          <w:szCs w:val="14"/>
          <w:color w:val="auto"/>
        </w:rPr>
        <w:t>recommendations regarding our pipeline/portfolio balance from a scientific and clinical perspective, including new molecular entity versus new indication balance, mechanism balance, target balance and general risk balance;</w:t>
      </w:r>
    </w:p>
    <w:p>
      <w:pPr>
        <w:spacing w:after="0" w:line="31" w:lineRule="exact"/>
        <w:rPr>
          <w:rFonts w:ascii="Arial" w:cs="Arial" w:eastAsia="Arial" w:hAnsi="Arial"/>
          <w:sz w:val="16"/>
          <w:szCs w:val="16"/>
          <w:color w:val="auto"/>
        </w:rPr>
      </w:pPr>
    </w:p>
    <w:p>
      <w:pPr>
        <w:ind w:left="1340" w:hanging="318"/>
        <w:spacing w:after="0"/>
        <w:tabs>
          <w:tab w:leader="none" w:pos="1340" w:val="left"/>
        </w:tabs>
        <w:numPr>
          <w:ilvl w:val="0"/>
          <w:numId w:val="47"/>
        </w:numPr>
        <w:rPr>
          <w:rFonts w:ascii="Arial" w:cs="Arial" w:eastAsia="Arial" w:hAnsi="Arial"/>
          <w:sz w:val="17"/>
          <w:szCs w:val="17"/>
          <w:color w:val="auto"/>
        </w:rPr>
      </w:pPr>
      <w:r>
        <w:rPr>
          <w:rFonts w:ascii="Arial" w:cs="Arial" w:eastAsia="Arial" w:hAnsi="Arial"/>
          <w:sz w:val="15"/>
          <w:szCs w:val="15"/>
          <w:color w:val="auto"/>
        </w:rPr>
        <w:t>recommendations regarding key discovery and development strategies to align with our business needs; and</w:t>
      </w:r>
    </w:p>
    <w:p>
      <w:pPr>
        <w:spacing w:after="0" w:line="127" w:lineRule="exact"/>
        <w:rPr>
          <w:rFonts w:ascii="Arial" w:cs="Arial" w:eastAsia="Arial" w:hAnsi="Arial"/>
          <w:sz w:val="17"/>
          <w:szCs w:val="17"/>
          <w:color w:val="auto"/>
        </w:rPr>
      </w:pPr>
    </w:p>
    <w:p>
      <w:pPr>
        <w:ind w:left="1340" w:hanging="318"/>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feedback to the board of directors and to our research and development group.</w:t>
      </w:r>
    </w:p>
    <w:p>
      <w:pPr>
        <w:spacing w:after="0" w:line="118" w:lineRule="exact"/>
        <w:rPr>
          <w:sz w:val="20"/>
          <w:szCs w:val="20"/>
          <w:color w:val="auto"/>
        </w:rPr>
      </w:pPr>
    </w:p>
    <w:p>
      <w:pPr>
        <w:ind w:left="60" w:right="519" w:firstLine="648"/>
        <w:spacing w:after="0" w:line="278" w:lineRule="auto"/>
        <w:rPr>
          <w:sz w:val="20"/>
          <w:szCs w:val="20"/>
          <w:color w:val="auto"/>
        </w:rPr>
      </w:pPr>
      <w:r>
        <w:rPr>
          <w:rFonts w:ascii="Arial" w:cs="Arial" w:eastAsia="Arial" w:hAnsi="Arial"/>
          <w:sz w:val="16"/>
          <w:szCs w:val="16"/>
          <w:color w:val="auto"/>
        </w:rPr>
        <w:t>The members of our research and development committee are Nicholas Lydon, Alexis Borisy, George D. Demetri, Mark Goldberg and Lynn Seely. Dr. Lydon serves as chair of the research and development committee. The research and development committee held two meetings during the year ended December 31, 2020.</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Director Nomination Process</w:t>
      </w:r>
    </w:p>
    <w:p>
      <w:pPr>
        <w:spacing w:after="0" w:line="131" w:lineRule="exact"/>
        <w:rPr>
          <w:sz w:val="20"/>
          <w:szCs w:val="20"/>
          <w:color w:val="auto"/>
        </w:rPr>
      </w:pPr>
    </w:p>
    <w:p>
      <w:pPr>
        <w:ind w:left="60" w:right="259" w:firstLine="648"/>
        <w:spacing w:after="0" w:line="273"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Criteria and Diversity</w:t>
      </w:r>
    </w:p>
    <w:p>
      <w:pPr>
        <w:spacing w:after="0" w:line="127" w:lineRule="exact"/>
        <w:rPr>
          <w:sz w:val="20"/>
          <w:szCs w:val="20"/>
          <w:color w:val="auto"/>
        </w:rPr>
      </w:pPr>
    </w:p>
    <w:p>
      <w:pPr>
        <w:jc w:val="both"/>
        <w:ind w:left="60" w:right="119" w:firstLine="648"/>
        <w:spacing w:after="0" w:line="335" w:lineRule="auto"/>
        <w:rPr>
          <w:sz w:val="20"/>
          <w:szCs w:val="20"/>
          <w:color w:val="auto"/>
        </w:rPr>
      </w:pPr>
      <w:r>
        <w:rPr>
          <w:rFonts w:ascii="Arial" w:cs="Arial" w:eastAsia="Arial" w:hAnsi="Arial"/>
          <w:sz w:val="14"/>
          <w:szCs w:val="14"/>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19"/>
        <w:spacing w:after="0" w:line="273" w:lineRule="auto"/>
        <w:rPr>
          <w:sz w:val="20"/>
          <w:szCs w:val="20"/>
          <w:color w:val="auto"/>
        </w:rPr>
      </w:pPr>
      <w:r>
        <w:rPr>
          <w:rFonts w:ascii="Arial" w:cs="Arial" w:eastAsia="Arial" w:hAnsi="Arial"/>
          <w:sz w:val="16"/>
          <w:szCs w:val="16"/>
          <w:color w:val="auto"/>
        </w:rPr>
        <w:t>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spacing w:after="0" w:line="81"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5"/>
          <w:szCs w:val="15"/>
          <w:color w:val="auto"/>
        </w:rPr>
        <w:t>The director biographies on pages 6 to 9 of this proxy statement indicate each nominee’s experience, qualifications, attributes and skills that led our nominating and corporate governance committee and our board of directors to conclude such individual should continue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68"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5"/>
          <w:szCs w:val="15"/>
          <w:color w:val="auto"/>
        </w:rPr>
        <w:t>The nominating and corporate governance committee board are committed to equity, diversity and inclusion. We believe that our board of directors, taken as a whole, should embody a diverse set of skills, experiences and backgrounds. While our nominating and corporate governance committee does not assign any particular weighting of diversity or any other characteristic, the committee and our board of directors take diversity into consideration, including with respect to gender, race and national origin, in evaluating nominees and directors. Our nominating and corporate governance committee’s and our board of directors’ priority in selecting board members is identification of persons who will further the interests of our stockholders.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Stockholder Nominations</w:t>
      </w:r>
    </w:p>
    <w:p>
      <w:pPr>
        <w:spacing w:after="0" w:line="127" w:lineRule="exact"/>
        <w:rPr>
          <w:sz w:val="20"/>
          <w:szCs w:val="20"/>
          <w:color w:val="auto"/>
        </w:rPr>
      </w:pPr>
    </w:p>
    <w:p>
      <w:pPr>
        <w:ind w:left="60" w:right="279" w:firstLine="648"/>
        <w:spacing w:after="0" w:line="303" w:lineRule="auto"/>
        <w:rPr>
          <w:sz w:val="20"/>
          <w:szCs w:val="20"/>
          <w:color w:val="auto"/>
        </w:rPr>
      </w:pPr>
      <w:r>
        <w:rPr>
          <w:rFonts w:ascii="Arial" w:cs="Arial" w:eastAsia="Arial" w:hAnsi="Arial"/>
          <w:sz w:val="14"/>
          <w:szCs w:val="14"/>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w:t>
      </w:r>
    </w:p>
    <w:p>
      <w:pPr>
        <w:spacing w:after="0" w:line="2" w:lineRule="exact"/>
        <w:rPr>
          <w:sz w:val="20"/>
          <w:szCs w:val="20"/>
          <w:color w:val="auto"/>
        </w:rPr>
      </w:pPr>
    </w:p>
    <w:p>
      <w:pPr>
        <w:ind w:left="60" w:right="139"/>
        <w:spacing w:after="0" w:line="314" w:lineRule="auto"/>
        <w:rPr>
          <w:sz w:val="20"/>
          <w:szCs w:val="20"/>
          <w:color w:val="auto"/>
        </w:rPr>
      </w:pPr>
      <w:r>
        <w:rPr>
          <w:rFonts w:ascii="Arial" w:cs="Arial" w:eastAsia="Arial" w:hAnsi="Arial"/>
          <w:sz w:val="14"/>
          <w:szCs w:val="14"/>
          <w:color w:val="auto"/>
        </w:rPr>
        <w:t>5% of our common stock for at least a year as of the date such recommendation is made, to Blueprint Medicines Corporation, Attention: Nominating and Corporate Governance Committee, 45 Sidney Street,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w:t>
      </w:r>
    </w:p>
    <w:p>
      <w:pPr>
        <w:spacing w:after="0" w:line="55" w:lineRule="exact"/>
        <w:rPr>
          <w:sz w:val="20"/>
          <w:szCs w:val="20"/>
          <w:color w:val="auto"/>
        </w:rPr>
      </w:pPr>
    </w:p>
    <w:p>
      <w:pPr>
        <w:ind w:left="60" w:right="739" w:firstLine="648"/>
        <w:spacing w:after="0" w:line="278" w:lineRule="auto"/>
        <w:rPr>
          <w:sz w:val="20"/>
          <w:szCs w:val="20"/>
          <w:color w:val="auto"/>
        </w:rPr>
      </w:pPr>
      <w:r>
        <w:rPr>
          <w:rFonts w:ascii="Arial" w:cs="Arial" w:eastAsia="Arial" w:hAnsi="Arial"/>
          <w:sz w:val="16"/>
          <w:szCs w:val="16"/>
          <w:color w:val="auto"/>
        </w:rPr>
        <w:t>Stockholders also have the right under our bylaws to directly nominate director candidates, without any action or recommendation on the part of the nominating and corporate governance committee or our board of directors, by following the procedures set forth under “Stockholder Proposals.”</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Our Corporate Social Responsibility Efforts</w:t>
      </w:r>
    </w:p>
    <w:p>
      <w:pPr>
        <w:spacing w:after="0" w:line="131" w:lineRule="exact"/>
        <w:rPr>
          <w:sz w:val="20"/>
          <w:szCs w:val="20"/>
          <w:color w:val="auto"/>
        </w:rPr>
      </w:pPr>
    </w:p>
    <w:p>
      <w:pPr>
        <w:ind w:left="60" w:right="439" w:firstLine="648"/>
        <w:spacing w:after="0" w:line="305" w:lineRule="auto"/>
        <w:rPr>
          <w:sz w:val="20"/>
          <w:szCs w:val="20"/>
          <w:color w:val="auto"/>
        </w:rPr>
      </w:pPr>
      <w:r>
        <w:rPr>
          <w:rFonts w:ascii="Arial" w:cs="Arial" w:eastAsia="Arial" w:hAnsi="Arial"/>
          <w:sz w:val="15"/>
          <w:szCs w:val="15"/>
          <w:color w:val="auto"/>
        </w:rPr>
        <w:t>At Blueprint Medicines, we believe that when we work together, the impact of our collective efforts can make a profound impact on patients, our employees and the communities where we live and work. We understand the importance of expanding our corporate citizenship and are committed to making a meaningful difference by leading with our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137160</wp:posOffset>
            </wp:positionV>
            <wp:extent cx="685800" cy="694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6940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137160</wp:posOffset>
            </wp:positionV>
            <wp:extent cx="4080510" cy="702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8051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1540" w:type="dxa"/>
            <w:vAlign w:val="bottom"/>
            <w:shd w:val="clear" w:color="auto" w:fill="FEFEFE"/>
          </w:tcPr>
          <w:p>
            <w:pPr>
              <w:jc w:val="center"/>
              <w:spacing w:after="0"/>
              <w:rPr>
                <w:sz w:val="20"/>
                <w:szCs w:val="20"/>
                <w:color w:val="auto"/>
              </w:rPr>
            </w:pPr>
            <w:r>
              <w:rPr>
                <w:rFonts w:ascii="Arial" w:cs="Arial" w:eastAsia="Arial" w:hAnsi="Arial"/>
                <w:sz w:val="16"/>
                <w:szCs w:val="16"/>
                <w:color w:val="006E96"/>
                <w:highlight w:val="white"/>
                <w:w w:val="88"/>
              </w:rPr>
              <w:t>PAT I E N T S F I R S T</w:t>
            </w:r>
          </w:p>
        </w:tc>
        <w:tc>
          <w:tcPr>
            <w:tcW w:w="2100" w:type="dxa"/>
            <w:vAlign w:val="bottom"/>
          </w:tcPr>
          <w:p>
            <w:pPr>
              <w:jc w:val="center"/>
              <w:spacing w:after="0"/>
              <w:rPr>
                <w:sz w:val="20"/>
                <w:szCs w:val="20"/>
                <w:color w:val="auto"/>
              </w:rPr>
            </w:pPr>
            <w:r>
              <w:rPr>
                <w:rFonts w:ascii="Arial" w:cs="Arial" w:eastAsia="Arial" w:hAnsi="Arial"/>
                <w:sz w:val="16"/>
                <w:szCs w:val="16"/>
                <w:color w:val="006E96"/>
                <w:w w:val="83"/>
              </w:rPr>
              <w:t>T H O U G H T F U L N E S S</w:t>
            </w:r>
          </w:p>
        </w:tc>
        <w:tc>
          <w:tcPr>
            <w:tcW w:w="1720" w:type="dxa"/>
            <w:vAlign w:val="bottom"/>
          </w:tcPr>
          <w:p>
            <w:pPr>
              <w:jc w:val="center"/>
              <w:spacing w:after="0"/>
              <w:rPr>
                <w:sz w:val="20"/>
                <w:szCs w:val="20"/>
                <w:color w:val="auto"/>
              </w:rPr>
            </w:pPr>
            <w:r>
              <w:rPr>
                <w:rFonts w:ascii="Arial" w:cs="Arial" w:eastAsia="Arial" w:hAnsi="Arial"/>
                <w:sz w:val="16"/>
                <w:szCs w:val="16"/>
                <w:color w:val="006E96"/>
                <w:w w:val="86"/>
              </w:rPr>
              <w:t>U R G E N C Y</w:t>
            </w:r>
          </w:p>
        </w:tc>
        <w:tc>
          <w:tcPr>
            <w:tcW w:w="1780" w:type="dxa"/>
            <w:vAlign w:val="bottom"/>
          </w:tcPr>
          <w:p>
            <w:pPr>
              <w:jc w:val="center"/>
              <w:spacing w:after="0"/>
              <w:rPr>
                <w:sz w:val="20"/>
                <w:szCs w:val="20"/>
                <w:color w:val="auto"/>
              </w:rPr>
            </w:pPr>
            <w:r>
              <w:rPr>
                <w:rFonts w:ascii="Arial" w:cs="Arial" w:eastAsia="Arial" w:hAnsi="Arial"/>
                <w:sz w:val="16"/>
                <w:szCs w:val="16"/>
                <w:color w:val="006E96"/>
                <w:w w:val="84"/>
              </w:rPr>
              <w:t>T R U S T</w:t>
            </w:r>
          </w:p>
        </w:tc>
        <w:tc>
          <w:tcPr>
            <w:tcW w:w="1460" w:type="dxa"/>
            <w:vAlign w:val="bottom"/>
          </w:tcPr>
          <w:p>
            <w:pPr>
              <w:jc w:val="center"/>
              <w:ind w:left="79"/>
              <w:spacing w:after="0"/>
              <w:rPr>
                <w:sz w:val="20"/>
                <w:szCs w:val="20"/>
                <w:color w:val="auto"/>
              </w:rPr>
            </w:pPr>
            <w:r>
              <w:rPr>
                <w:rFonts w:ascii="Arial" w:cs="Arial" w:eastAsia="Arial" w:hAnsi="Arial"/>
                <w:sz w:val="16"/>
                <w:szCs w:val="16"/>
                <w:color w:val="006E96"/>
                <w:w w:val="85"/>
              </w:rPr>
              <w:t>O P T I M I S M</w:t>
            </w:r>
          </w:p>
        </w:tc>
        <w:tc>
          <w:tcPr>
            <w:tcW w:w="0" w:type="dxa"/>
            <w:vAlign w:val="bottom"/>
          </w:tcPr>
          <w:p>
            <w:pPr>
              <w:spacing w:after="0"/>
              <w:rPr>
                <w:sz w:val="1"/>
                <w:szCs w:val="1"/>
                <w:color w:val="auto"/>
              </w:rPr>
            </w:pPr>
          </w:p>
        </w:tc>
      </w:tr>
      <w:tr>
        <w:trPr>
          <w:trHeight w:val="301"/>
        </w:trPr>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We maintain intense</w:t>
            </w:r>
          </w:p>
        </w:tc>
        <w:tc>
          <w:tcPr>
            <w:tcW w:w="2100" w:type="dxa"/>
            <w:vAlign w:val="bottom"/>
          </w:tcPr>
          <w:p>
            <w:pPr>
              <w:jc w:val="center"/>
              <w:spacing w:after="0"/>
              <w:rPr>
                <w:sz w:val="20"/>
                <w:szCs w:val="20"/>
                <w:color w:val="auto"/>
              </w:rPr>
            </w:pPr>
            <w:r>
              <w:rPr>
                <w:rFonts w:ascii="Arial" w:cs="Arial" w:eastAsia="Arial" w:hAnsi="Arial"/>
                <w:sz w:val="16"/>
                <w:szCs w:val="16"/>
                <w:color w:val="auto"/>
                <w:w w:val="91"/>
              </w:rPr>
              <w:t>We explore creative</w:t>
            </w:r>
          </w:p>
        </w:tc>
        <w:tc>
          <w:tcPr>
            <w:tcW w:w="1720" w:type="dxa"/>
            <w:vAlign w:val="bottom"/>
          </w:tcPr>
          <w:p>
            <w:pPr>
              <w:jc w:val="center"/>
              <w:spacing w:after="0"/>
              <w:rPr>
                <w:sz w:val="20"/>
                <w:szCs w:val="20"/>
                <w:color w:val="auto"/>
              </w:rPr>
            </w:pPr>
            <w:r>
              <w:rPr>
                <w:rFonts w:ascii="Arial" w:cs="Arial" w:eastAsia="Arial" w:hAnsi="Arial"/>
                <w:sz w:val="16"/>
                <w:szCs w:val="16"/>
                <w:color w:val="auto"/>
                <w:w w:val="90"/>
              </w:rPr>
              <w:t>We solve complex</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Through collaboration</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87"/>
              </w:rPr>
              <w:t>We pursue</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focus on improving</w:t>
            </w:r>
          </w:p>
        </w:tc>
        <w:tc>
          <w:tcPr>
            <w:tcW w:w="2100" w:type="dxa"/>
            <w:vAlign w:val="bottom"/>
          </w:tcPr>
          <w:p>
            <w:pPr>
              <w:jc w:val="center"/>
              <w:spacing w:after="0"/>
              <w:rPr>
                <w:sz w:val="20"/>
                <w:szCs w:val="20"/>
                <w:color w:val="auto"/>
              </w:rPr>
            </w:pPr>
            <w:r>
              <w:rPr>
                <w:rFonts w:ascii="Arial" w:cs="Arial" w:eastAsia="Arial" w:hAnsi="Arial"/>
                <w:sz w:val="16"/>
                <w:szCs w:val="16"/>
                <w:color w:val="auto"/>
                <w:w w:val="89"/>
              </w:rPr>
              <w:t>approaches, daring to make</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problems rapidly, with</w:t>
            </w:r>
          </w:p>
        </w:tc>
        <w:tc>
          <w:tcPr>
            <w:tcW w:w="1780" w:type="dxa"/>
            <w:vAlign w:val="bottom"/>
          </w:tcPr>
          <w:p>
            <w:pPr>
              <w:jc w:val="center"/>
              <w:spacing w:after="0"/>
              <w:rPr>
                <w:sz w:val="20"/>
                <w:szCs w:val="20"/>
                <w:color w:val="auto"/>
              </w:rPr>
            </w:pPr>
            <w:r>
              <w:rPr>
                <w:rFonts w:ascii="Arial" w:cs="Arial" w:eastAsia="Arial" w:hAnsi="Arial"/>
                <w:sz w:val="16"/>
                <w:szCs w:val="16"/>
                <w:color w:val="auto"/>
                <w:w w:val="91"/>
              </w:rPr>
              <w:t>and cooperation, we</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w w:val="92"/>
              </w:rPr>
              <w:t>transformative</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patients’ lives</w:t>
            </w:r>
          </w:p>
        </w:tc>
        <w:tc>
          <w:tcPr>
            <w:tcW w:w="2100" w:type="dxa"/>
            <w:vAlign w:val="bottom"/>
          </w:tcPr>
          <w:p>
            <w:pPr>
              <w:jc w:val="center"/>
              <w:spacing w:after="0"/>
              <w:rPr>
                <w:sz w:val="20"/>
                <w:szCs w:val="20"/>
                <w:color w:val="auto"/>
              </w:rPr>
            </w:pPr>
            <w:r>
              <w:rPr>
                <w:rFonts w:ascii="Arial" w:cs="Arial" w:eastAsia="Arial" w:hAnsi="Arial"/>
                <w:sz w:val="16"/>
                <w:szCs w:val="16"/>
                <w:color w:val="auto"/>
                <w:w w:val="94"/>
              </w:rPr>
              <w:t>well-thought-out decisions</w:t>
            </w:r>
          </w:p>
        </w:tc>
        <w:tc>
          <w:tcPr>
            <w:tcW w:w="1720" w:type="dxa"/>
            <w:vAlign w:val="bottom"/>
          </w:tcPr>
          <w:p>
            <w:pPr>
              <w:jc w:val="center"/>
              <w:spacing w:after="0"/>
              <w:rPr>
                <w:sz w:val="20"/>
                <w:szCs w:val="20"/>
                <w:color w:val="auto"/>
              </w:rPr>
            </w:pPr>
            <w:r>
              <w:rPr>
                <w:rFonts w:ascii="Arial" w:cs="Arial" w:eastAsia="Arial" w:hAnsi="Arial"/>
                <w:sz w:val="16"/>
                <w:szCs w:val="16"/>
                <w:color w:val="auto"/>
                <w:w w:val="88"/>
              </w:rPr>
              <w:t>attention and care</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build and maintain a</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w w:val="90"/>
              </w:rPr>
              <w:t>therapies that we</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1"/>
              </w:rPr>
              <w:t>and owning the outcomes</w:t>
            </w:r>
          </w:p>
        </w:tc>
        <w:tc>
          <w:tcPr>
            <w:tcW w:w="17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cohesive team that has</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w w:val="93"/>
              </w:rPr>
              <w:t>believe will make a</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1"/>
              </w:rPr>
              <w:t>mutual respect of</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w w:val="93"/>
              </w:rPr>
              <w:t>difference</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6"/>
              </w:rPr>
              <w:t>different viewpoints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Patients and families</w:t>
            </w:r>
          </w:p>
        </w:tc>
        <w:tc>
          <w:tcPr>
            <w:tcW w:w="2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and talents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6"/>
          <w:szCs w:val="16"/>
          <w:color w:val="auto"/>
        </w:rPr>
        <w:t>Putting patients first is our primary core value, and we are committed to providing patients with support and access to our therapies. To better support patients and to bring meaningful therapies to the community, we engage with and support patients through a broad range of activities such as our advisory patient council, which helps us incorporate the patient voice throughout the drug development process, the creation and distribution of patient education programs and resources which drive awareness and learning of cancer and rare disease, and our work with patient advocacy organizations supporting their ability to impact communities globally. Through our patient assistance program, YourBlueprint™, we support patient access through the treatment journey. In addition, we provide global pre-approval access programs for eligible patients.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Human Capital Management and Corporate Culture</w:t>
      </w:r>
    </w:p>
    <w:p>
      <w:pPr>
        <w:spacing w:after="0" w:line="127"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5"/>
          <w:szCs w:val="15"/>
          <w:color w:val="auto"/>
        </w:rPr>
        <w:t>We are committed to creating an environment where employees feel empowered to do their best work for patients. We promote a culture of transparency, curiosity and diversity where our employees are encouraged to live by our core values. We provide our employees with robust compensation packages, including competitive base pay, incentive compensation and equity programs, and provide a broad range of benefits, including 401(k) plan (pension outside the U.S.), healthcare and insurance benefits, paid time off, paid family and medical leave, flexible work schedules, and various innovative health and wellness programs. In addition, we are committed to the professional development of our employees, who can take advantage of various learning opportunities, such as our mentorship program, focus on stretch assignments, lunch &amp; learn and skill builder accelerator programs as well as various training programs. We also have career development programs focusing on communities of color, women and the LGBTQ+ community.</w:t>
      </w:r>
    </w:p>
    <w:p>
      <w:pPr>
        <w:spacing w:after="0" w:line="167"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6"/>
          <w:szCs w:val="16"/>
          <w:color w:val="auto"/>
        </w:rPr>
        <w:t>At Blueprint Medicines, we support efforts to promote equity, diversity and inclusion, or ED&amp;I, through activities and programs that increase understanding and celebrate the diversity of our employees and the communities we serve, including employee educational programs such as an annual storytelling event, anti-bias and other trainings. Through our employee-led ED&amp;I committees, we seek to spark dialogue, broaden perspective, strengthen connection and elicit action.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Environmental Sustainability</w:t>
      </w:r>
    </w:p>
    <w:p>
      <w:pPr>
        <w:spacing w:after="0" w:line="127"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6"/>
          <w:szCs w:val="16"/>
          <w:color w:val="auto"/>
        </w:rPr>
        <w:t>Blueprint Medicines is committed to operating our business in a sustainable manner and limiting our environmental impacts. Our Green Team coordinates internal educational seminars to raise awareness and provide resources on environmental issues. We have also sponsored waste reduction programs including composting and recycling efforts. We provide commuter benefits, including bike-to-work and public transportation subsidies, to help reduce carbon emissions.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OFFICERS</w:t>
      </w:r>
    </w:p>
    <w:p>
      <w:pPr>
        <w:spacing w:after="0" w:line="13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Certain information regarding our executive officers who are not also directors, as of March 31, 2021, is set forth below.</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492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196"/>
        </w:trPr>
        <w:tc>
          <w:tcPr>
            <w:tcW w:w="20" w:type="dxa"/>
            <w:vAlign w:val="bottom"/>
          </w:tcPr>
          <w:p>
            <w:pPr>
              <w:spacing w:after="0"/>
              <w:rPr>
                <w:sz w:val="17"/>
                <w:szCs w:val="17"/>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Debra Durso-Bumpus</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51</w:t>
            </w:r>
          </w:p>
        </w:tc>
        <w:tc>
          <w:tcPr>
            <w:tcW w:w="180" w:type="dxa"/>
            <w:vAlign w:val="bottom"/>
          </w:tcPr>
          <w:p>
            <w:pPr>
              <w:spacing w:after="0"/>
              <w:rPr>
                <w:sz w:val="17"/>
                <w:szCs w:val="17"/>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Chief People Officer</w:t>
            </w: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Kathryn Haviland</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8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Chief Operating Officer</w:t>
            </w:r>
          </w:p>
        </w:tc>
      </w:tr>
      <w:tr>
        <w:trPr>
          <w:trHeight w:val="203"/>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6"/>
                <w:szCs w:val="16"/>
                <w:color w:val="auto"/>
              </w:rPr>
              <w:t>Becker Hewes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18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Chief Medical Officer</w:t>
            </w: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Ariel Hurley</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18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Vice President, Finance and Controller</w:t>
            </w:r>
          </w:p>
        </w:tc>
      </w:tr>
      <w:tr>
        <w:trPr>
          <w:trHeight w:val="203"/>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6"/>
                <w:szCs w:val="16"/>
                <w:color w:val="auto"/>
              </w:rPr>
              <w:t>Michael Landsittel</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8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Tracey L. McCain, Esq.</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c>
          <w:tcPr>
            <w:tcW w:w="18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Chief Legal and Compliance Officer</w:t>
            </w:r>
          </w:p>
        </w:tc>
      </w:tr>
      <w:tr>
        <w:trPr>
          <w:trHeight w:val="203"/>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6"/>
                <w:szCs w:val="16"/>
                <w:color w:val="auto"/>
              </w:rPr>
              <w:t>Christopher K. Murray, Ph.D.</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8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Senior Vice President, Technical Operations</w:t>
            </w: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Fouad Namouni, M.D.</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8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President, Research and Development</w:t>
            </w:r>
          </w:p>
        </w:tc>
      </w:tr>
      <w:tr>
        <w:trPr>
          <w:trHeight w:val="206"/>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6"/>
                <w:szCs w:val="16"/>
                <w:color w:val="auto"/>
              </w:rPr>
              <w:t>Christina Rossi</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8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Chief Commercial Officer</w:t>
            </w:r>
          </w:p>
        </w:tc>
      </w:tr>
    </w:tbl>
    <w:p>
      <w:pPr>
        <w:spacing w:after="0" w:line="310"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4"/>
          <w:szCs w:val="14"/>
          <w:b w:val="1"/>
          <w:bCs w:val="1"/>
          <w:i w:val="1"/>
          <w:iCs w:val="1"/>
          <w:color w:val="auto"/>
        </w:rPr>
        <w:t xml:space="preserve">Debra Durso-Bumpus </w:t>
      </w:r>
      <w:r>
        <w:rPr>
          <w:rFonts w:ascii="Arial" w:cs="Arial" w:eastAsia="Arial" w:hAnsi="Arial"/>
          <w:sz w:val="14"/>
          <w:szCs w:val="14"/>
          <w:color w:val="auto"/>
        </w:rPr>
        <w:t>has served as our chief people officer since February 2020. She has been with us since April 2015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our senior vice president, human resources. With more than fifteen years of experience focused on leading business’s through expediential growth and complexity, building organizational capabilities, and shaping high performance culture, Ms. Durso-Bumpus has operated in a number of leadership positions. Prior to joining our company, she served as the interim head of human resources at Cubist Pharmaceuticals, where she was appointed to lead the post-merger human resource integration following the acquisition of Cubist by Merck &amp; Co., from January 2015 to April 2015. Between April 2009 and the acquisition, Ms. Durso-Bumpus served as the global head for talent management and organizational development at Cubist, where she was primarily responsible for building talent and leadership strength and depth while managing growth on a global scale to create a cohesive and highly differentiated culture. Ms. Durso-Bumpus serves as a member of the board of directors for the Massachusetts Biotechnology Education Foundation, a nonprofit organization committed to supporting science and biotechnology education in Massachusetts through school programs, workforce training and lifelong learning. Ms. Durso-Bumpus received a B.S. in business management from Bentley University.</w:t>
      </w:r>
    </w:p>
    <w:p>
      <w:pPr>
        <w:spacing w:after="0" w:line="63"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5"/>
          <w:szCs w:val="15"/>
          <w:b w:val="1"/>
          <w:bCs w:val="1"/>
          <w:i w:val="1"/>
          <w:iCs w:val="1"/>
          <w:color w:val="auto"/>
        </w:rPr>
        <w:t xml:space="preserve">Kathryn Haviland </w:t>
      </w:r>
      <w:r>
        <w:rPr>
          <w:rFonts w:ascii="Arial" w:cs="Arial" w:eastAsia="Arial" w:hAnsi="Arial"/>
          <w:sz w:val="15"/>
          <w:szCs w:val="15"/>
          <w:color w:val="auto"/>
        </w:rPr>
        <w:t>has served as our chief operating officer since January 2019. Ms. Haviland previously served as our chief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officer from January 2016 to January 2019. Prior to joining us, Ms. Haviland served as vice president, rare diseases and oncology program leadership at Idera Pharmaceuticals, Inc. from April 2014 to December 2015, as head of commercial development at Sarepta Therapeutics, Inc. from June 2012 to April 2014, as Executive Director of Commercial Development at PTC Therapeutics, Inc. from April 2007 to June 2012 and held various corporate development and project management roles at Genzyme from July 2005 to April 2007. Ms. Haviland currently serves as a member of the board of directors and audit and compensation committee of Fulcrum Therapeutics, Inc. Ms. Haviland received a B.A. from Wesleyan University with a double major in biochemistry/molecular biology and economics and an M.B.A. from Harvard Business School.</w:t>
      </w:r>
    </w:p>
    <w:p>
      <w:pPr>
        <w:spacing w:after="0" w:line="72" w:lineRule="exact"/>
        <w:rPr>
          <w:sz w:val="20"/>
          <w:szCs w:val="20"/>
          <w:color w:val="auto"/>
        </w:rPr>
      </w:pPr>
    </w:p>
    <w:p>
      <w:pPr>
        <w:ind w:left="60" w:right="239" w:firstLine="648"/>
        <w:spacing w:after="0" w:line="267" w:lineRule="auto"/>
        <w:rPr>
          <w:sz w:val="20"/>
          <w:szCs w:val="20"/>
          <w:color w:val="auto"/>
        </w:rPr>
      </w:pPr>
      <w:r>
        <w:rPr>
          <w:rFonts w:ascii="Arial" w:cs="Arial" w:eastAsia="Arial" w:hAnsi="Arial"/>
          <w:sz w:val="16"/>
          <w:szCs w:val="16"/>
          <w:b w:val="1"/>
          <w:bCs w:val="1"/>
          <w:i w:val="1"/>
          <w:iCs w:val="1"/>
          <w:color w:val="auto"/>
        </w:rPr>
        <w:t xml:space="preserve">Becker Hewes </w:t>
      </w:r>
      <w:r>
        <w:rPr>
          <w:rFonts w:ascii="Arial" w:cs="Arial" w:eastAsia="Arial" w:hAnsi="Arial"/>
          <w:sz w:val="16"/>
          <w:szCs w:val="16"/>
          <w:color w:val="auto"/>
        </w:rPr>
        <w:t>has served as chief medical officer since January 2021. Dr. Hewes previously served as our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clinical development from May 2020 to January 2021. Prior to joining us, he served as chief medical officer of Repertoire Immune Medicines, Inc. from February 2017 to May 2020, where he built their multidisciplinary clinical and biomarker team and advanced its immuno-oncology programs into clinical development. From June 2013 to February 2017, Dr. Hewes served as executive director of translational clinical oncology at the Novartis Institutes for BioMedical Research where he led clinical development and translational medicine teams. Prior to joining Novartis, he worked at AstraZeneca PLC, Genzyme Corporation and Wyeth Pharmaceuticals where he led registration programs. Dr. Hewes brings 20 years of industry and clinical experience in oncology and hematology to our company. Dr. Hewes holds an M.D. from the Georgetown University of Medicine and a B.S. from Vanderbilt University.</w:t>
      </w:r>
    </w:p>
    <w:p>
      <w:pPr>
        <w:spacing w:after="0" w:line="8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b w:val="1"/>
          <w:bCs w:val="1"/>
          <w:i w:val="1"/>
          <w:iCs w:val="1"/>
          <w:color w:val="auto"/>
        </w:rPr>
        <w:t xml:space="preserve">Ariel Hurley </w:t>
      </w:r>
      <w:r>
        <w:rPr>
          <w:rFonts w:ascii="Arial" w:cs="Arial" w:eastAsia="Arial" w:hAnsi="Arial"/>
          <w:sz w:val="16"/>
          <w:szCs w:val="16"/>
          <w:color w:val="auto"/>
        </w:rPr>
        <w:t>has served as our vice president, finance and controller since February 2019. Ms. Hurley previously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Director, Controller from January 2016 to December 2018 and as our Director, Controller from September 2014 to December 2015. Prior to joining us, Ms. Hurley served in various accounting and finance roles at Millennium Pharmaceuticals, Inc. (now a wholly-owned subsidiary of Takeda Pharmaceutical Company Limited) from December 2005 to September 2014. Ms. Hurley began her career at Deloitte &amp; Touche, LLP. She earned her certified public accountant license in Massachusetts. Ms. Hurley received a B.S. in accounting from Providence College.</w:t>
      </w:r>
    </w:p>
    <w:p>
      <w:pPr>
        <w:spacing w:after="0" w:line="86"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5"/>
          <w:szCs w:val="15"/>
          <w:b w:val="1"/>
          <w:bCs w:val="1"/>
          <w:i w:val="1"/>
          <w:iCs w:val="1"/>
          <w:color w:val="auto"/>
        </w:rPr>
        <w:t xml:space="preserve">Michael Landsittel </w:t>
      </w:r>
      <w:r>
        <w:rPr>
          <w:rFonts w:ascii="Arial" w:cs="Arial" w:eastAsia="Arial" w:hAnsi="Arial"/>
          <w:sz w:val="15"/>
          <w:szCs w:val="15"/>
          <w:color w:val="auto"/>
        </w:rPr>
        <w:t>has served as our chief financial officer since January 2019. Mr. Landsittel previously served as our vice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finance from February 2016 to January 2019 and as our senior director, finance from September 2014 to February 2016. Prior to joining our company, Mr. Landsittel served as senior director, finance at Algeta from October 2012 to July 2014, as director, finance at Infinity Pharmaceuticals, Inc. from March 2012 to October 2012 and held various business development and strategic planning roles of increasing responsibility at Genzyme from August 2002 to March 2012. Mr. Landsittel began his career at Arthur Andersen LLP, and he earned his certified public accountant license in Illinois. Mr. Landsittel received a B.B.A from the University of Michigan and an M.B.A. from the Tuck School of Business at Dartmouth College.</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5"/>
          <w:szCs w:val="15"/>
          <w:b w:val="1"/>
          <w:bCs w:val="1"/>
          <w:i w:val="1"/>
          <w:iCs w:val="1"/>
          <w:color w:val="auto"/>
        </w:rPr>
        <w:t xml:space="preserve">Tracey L. McCain, Esq. </w:t>
      </w:r>
      <w:r>
        <w:rPr>
          <w:rFonts w:ascii="Arial" w:cs="Arial" w:eastAsia="Arial" w:hAnsi="Arial"/>
          <w:sz w:val="15"/>
          <w:szCs w:val="15"/>
          <w:color w:val="auto"/>
        </w:rPr>
        <w:t>has served as our executive vice president and chief legal officer since September 2016 and as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compliance officer since June 2017. Prior to joining us, from January 2016 to September 2016, Ms. McCain served as senior vice president and head of legal of Sanofi Genzyme, a global business unit of Sanofi. Ms. McCain held roles of increasing responsibility after joining Genzyme Corporation, or Genzyme, in May 1997, including becoming its general counsel after Genzyme was acquired by Sanofi in 2011. In her capacity as senior vice president and general counsel of Genzyme from May 2011 to December 2015, she oversaw all aspects of its legal department in the United States and Europe, including general corporate, commercial and intellectual property matters. Prior to joining Genzyme, Ms. McCain was an associate at the law firm Palmer &amp; Dodge LLP. Ms. McCain has served as a member of the board of directors of Kiniksa Pharmaceuticals, Ltd. since 2018. Ms. McCain holds a B.A. from the University of Pennsylvania with a major in political science and a J.D. from Columbia University School of Law.</w:t>
      </w:r>
    </w:p>
    <w:p>
      <w:pPr>
        <w:spacing w:after="0" w:line="74" w:lineRule="exact"/>
        <w:rPr>
          <w:sz w:val="20"/>
          <w:szCs w:val="20"/>
          <w:color w:val="auto"/>
        </w:rPr>
      </w:pPr>
    </w:p>
    <w:p>
      <w:pPr>
        <w:ind w:left="60" w:right="199" w:firstLine="648"/>
        <w:spacing w:after="0" w:line="267" w:lineRule="auto"/>
        <w:rPr>
          <w:sz w:val="20"/>
          <w:szCs w:val="20"/>
          <w:color w:val="auto"/>
        </w:rPr>
      </w:pPr>
      <w:r>
        <w:rPr>
          <w:rFonts w:ascii="Arial" w:cs="Arial" w:eastAsia="Arial" w:hAnsi="Arial"/>
          <w:sz w:val="16"/>
          <w:szCs w:val="16"/>
          <w:b w:val="1"/>
          <w:bCs w:val="1"/>
          <w:i w:val="1"/>
          <w:iCs w:val="1"/>
          <w:color w:val="auto"/>
        </w:rPr>
        <w:t xml:space="preserve">Christopher K. Murray, Ph.D. </w:t>
      </w:r>
      <w:r>
        <w:rPr>
          <w:rFonts w:ascii="Arial" w:cs="Arial" w:eastAsia="Arial" w:hAnsi="Arial"/>
          <w:sz w:val="16"/>
          <w:szCs w:val="16"/>
          <w:color w:val="auto"/>
        </w:rPr>
        <w:t>has served as our senior vice president, technical operations since October 2017. Prior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joining us, from January 2014 to May 2017, Dr. Murray served as vice president, technical operations at ARIAD Pharmaceuticals, Inc., or ARIAD. In this role, Dr. Murray oversaw all aspects of commercial and clinical manufacturing, supply chain and logistics, process development, quality control and analytical chemistry for ARIAD’s approved products and product candidates, including Iclusig® (ponatinib) and Alunbrig® (brigatinib). From 2004 to December 2013, 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 Dr. Murray holds a B.S. from Hope College with a major in chemistry and a Ph.D. in chemistry from the University of Chicago.</w:t>
      </w:r>
    </w:p>
    <w:p>
      <w:pPr>
        <w:spacing w:after="0" w:line="88"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5"/>
          <w:szCs w:val="15"/>
          <w:b w:val="1"/>
          <w:bCs w:val="1"/>
          <w:i w:val="1"/>
          <w:iCs w:val="1"/>
          <w:color w:val="auto"/>
        </w:rPr>
        <w:t xml:space="preserve">Fouad Namouni, M.D. </w:t>
      </w:r>
      <w:r>
        <w:rPr>
          <w:rFonts w:ascii="Arial" w:cs="Arial" w:eastAsia="Arial" w:hAnsi="Arial"/>
          <w:sz w:val="15"/>
          <w:szCs w:val="15"/>
          <w:color w:val="auto"/>
        </w:rPr>
        <w:t>has served as our president, research and development, since September 2020. Prior to joining us, Dr.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Namouni served in leadership roles at Bristol-Myers Squibb since 1999. Most recently, he served as senior vice president and head of oncology development from August 2016 to April 2020 with the responsibility for driving product development plans across a portfolio of drug candidates. Previously, Dr. Namouni served as head of global medical affairs from September 2015 to September 2017 and head of development for Opdivo (nivolumab) and Yervoy (ipilimumab) from January 2011 to September 2015. Dr. Namouni has served as a member of the board of directors of Aprea Therapeutics since June 2020. Dr. Namouni brings more than 20 years of oncology and cancer immunotherapy drug development expertise. He holds an M.D. from the University of Annaba Medical School in Algeria and a Pediatrics degree from Université Rene Descartes in Paris, France. Additionally, Dr. Namouni has received a Pediatric Oncology and Hematology degree and a M.S. in clinical and experimental pharmacology from Université Paris-Sud in France.</w:t>
      </w:r>
    </w:p>
    <w:p>
      <w:pPr>
        <w:spacing w:after="0" w:line="74" w:lineRule="exact"/>
        <w:rPr>
          <w:sz w:val="20"/>
          <w:szCs w:val="20"/>
          <w:color w:val="auto"/>
        </w:rPr>
      </w:pPr>
    </w:p>
    <w:p>
      <w:pPr>
        <w:ind w:left="60" w:right="159" w:firstLine="648"/>
        <w:spacing w:after="0" w:line="310" w:lineRule="auto"/>
        <w:rPr>
          <w:sz w:val="20"/>
          <w:szCs w:val="20"/>
          <w:color w:val="auto"/>
        </w:rPr>
      </w:pPr>
      <w:r>
        <w:rPr>
          <w:rFonts w:ascii="Arial" w:cs="Arial" w:eastAsia="Arial" w:hAnsi="Arial"/>
          <w:sz w:val="14"/>
          <w:szCs w:val="14"/>
          <w:b w:val="1"/>
          <w:bCs w:val="1"/>
          <w:i w:val="1"/>
          <w:iCs w:val="1"/>
          <w:color w:val="auto"/>
        </w:rPr>
        <w:t xml:space="preserve">Christina Rossi </w:t>
      </w:r>
      <w:r>
        <w:rPr>
          <w:rFonts w:ascii="Arial" w:cs="Arial" w:eastAsia="Arial" w:hAnsi="Arial"/>
          <w:sz w:val="14"/>
          <w:szCs w:val="14"/>
          <w:color w:val="auto"/>
        </w:rPr>
        <w:t>has served as our chief commercial officer since October 2018. Prior to joining us, from January 2015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October 2018, Ms. Rossi served as the Multiple Sclerosis business unit head, North America, at Sanofi Genzyme. In this role, she was responsible for all aspects of the financial performance of Sanofi Genzyme’s multiple sclerosis franchise and increased market share for existing products, led the launch of new therapies and optimized operations to accelerate patient access. Previously, Ms. Rossi served as vice president, Multiple Sclerosis Sales at Sanofi Genzyme form May 2014 to December 2015 and vice president, Multiple Sclerosis Patient and Provider Services at Sanofi Genzyme from June 2012 to May 2014. Prior to joining Sanofi Genzyme, Ms. Rossi served in various roles at Biogen, Inc., including head, commercial strategy for Eidetica Biopharma GmbH, Biogen’s biosimilar-focused venture, and U.S. brand leader for TYSABRI® (natalizumab). In addition, Ms. Rossi consulted in the healthcare practice at the Boston Consulting Group. Ms. Rossi holds a B.S. in biology, cum laude, from Duke University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1" w:lineRule="exact"/>
        <w:rPr>
          <w:sz w:val="20"/>
          <w:szCs w:val="20"/>
          <w:color w:val="auto"/>
        </w:rPr>
      </w:pPr>
    </w:p>
    <w:p>
      <w:pPr>
        <w:ind w:left="60" w:right="239" w:firstLine="648"/>
        <w:spacing w:after="0" w:line="313" w:lineRule="auto"/>
        <w:rPr>
          <w:sz w:val="20"/>
          <w:szCs w:val="20"/>
          <w:color w:val="auto"/>
        </w:rPr>
      </w:pPr>
      <w:r>
        <w:rPr>
          <w:rFonts w:ascii="Arial" w:cs="Arial" w:eastAsia="Arial" w:hAnsi="Arial"/>
          <w:sz w:val="14"/>
          <w:szCs w:val="14"/>
          <w:color w:val="auto"/>
        </w:rPr>
        <w:t>Our compensation committee is responsible for reviewing and approving, or recommending for approval by the board of directors, the compensation of our named executive officers, including base salary, cash and equity incentive compensation levels, severance arrangements, change-in-control benefits and other forms of executive compensation. This committee is also responsible for evaluating our company’s performance against its goals and making related recommendations to our board of directors, assessing the performance of our named executive officers, and ensuring our compensation program is aligned with the objectives described below and competitive with those of other companies in our industry that compete with us for talent. This section discusses the principles underlying our compensation committee’s policies and decisions with respect to the compensation of our named executive officers.</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2020, our named executive officers were as follows:</w:t>
      </w:r>
    </w:p>
    <w:p>
      <w:pPr>
        <w:spacing w:after="0" w:line="126" w:lineRule="exact"/>
        <w:rPr>
          <w:sz w:val="20"/>
          <w:szCs w:val="20"/>
          <w:color w:val="auto"/>
        </w:rPr>
      </w:pPr>
    </w:p>
    <w:p>
      <w:pPr>
        <w:ind w:left="1340" w:hanging="318"/>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6"/>
          <w:szCs w:val="16"/>
          <w:color w:val="auto"/>
        </w:rPr>
        <w:t>Jeffrey W. Albers, our president and chief executive officer;</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6"/>
          <w:szCs w:val="16"/>
          <w:color w:val="auto"/>
        </w:rPr>
        <w:t>Michael Landsittel, our chief financial officer;</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6"/>
          <w:szCs w:val="16"/>
          <w:color w:val="auto"/>
        </w:rPr>
        <w:t>Fouad Namouni, M.D., our president, research and development;</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6"/>
          <w:szCs w:val="16"/>
          <w:color w:val="auto"/>
        </w:rPr>
        <w:t>Kathryn Haviland, our chief operating office; and</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6"/>
          <w:szCs w:val="16"/>
          <w:color w:val="auto"/>
        </w:rPr>
        <w:t>Tracey L. McCain, Esq., our chief legal and compliance officer.</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Executive Summary</w:t>
      </w:r>
    </w:p>
    <w:p>
      <w:pPr>
        <w:spacing w:after="0" w:line="12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5"/>
          <w:szCs w:val="15"/>
          <w:color w:val="auto"/>
        </w:rPr>
        <w:t>We are a global precision therapy company that is inventing transformative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are delivering our approved medicines, AYVAKIT™/AYVAKYT® (avapritinib) and GAVRETO™ (pralsetinib), to patients in the U.S. and Europe, and we are globally advancing multiple programs for genomically defined cancers, systemic mastocytosis, and cancer immunotherapy. Our drug discovery approach combines our deep understanding of kinase biology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71" w:lineRule="exact"/>
        <w:rPr>
          <w:sz w:val="20"/>
          <w:szCs w:val="20"/>
          <w:color w:val="auto"/>
        </w:rPr>
      </w:pPr>
    </w:p>
    <w:p>
      <w:pPr>
        <w:ind w:left="60" w:right="279" w:firstLine="648"/>
        <w:spacing w:after="0" w:line="297" w:lineRule="auto"/>
        <w:rPr>
          <w:sz w:val="20"/>
          <w:szCs w:val="20"/>
          <w:color w:val="auto"/>
        </w:rPr>
      </w:pPr>
      <w:r>
        <w:rPr>
          <w:rFonts w:ascii="Arial" w:cs="Arial" w:eastAsia="Arial" w:hAnsi="Arial"/>
          <w:sz w:val="15"/>
          <w:szCs w:val="15"/>
          <w:color w:val="auto"/>
        </w:rPr>
        <w:t>In 2020, as a fully-integrated, global precision therapy company focused on discovering, developing and commercializing a portfolio of precision therapies, we made substantial progress towards our vision to bring life-changing precision therapies to as many patients with cancer and hematologic disorders as possible. We achieved a number of significant milestones in 2020, including the following, towards our corporate goals described below in this Compensation Discussion and Analysis section.</w:t>
      </w:r>
    </w:p>
    <w:p>
      <w:pPr>
        <w:spacing w:after="0" w:line="64" w:lineRule="exact"/>
        <w:rPr>
          <w:sz w:val="20"/>
          <w:szCs w:val="20"/>
          <w:color w:val="auto"/>
        </w:rPr>
      </w:pPr>
    </w:p>
    <w:p>
      <w:pPr>
        <w:ind w:left="1020" w:hanging="322"/>
        <w:spacing w:after="0"/>
        <w:tabs>
          <w:tab w:leader="none" w:pos="1020" w:val="left"/>
        </w:tabs>
        <w:numPr>
          <w:ilvl w:val="0"/>
          <w:numId w:val="49"/>
        </w:numPr>
        <w:rPr>
          <w:rFonts w:ascii="Arial" w:cs="Arial" w:eastAsia="Arial" w:hAnsi="Arial"/>
          <w:sz w:val="14"/>
          <w:szCs w:val="14"/>
          <w:color w:val="auto"/>
        </w:rPr>
      </w:pPr>
      <w:r>
        <w:rPr>
          <w:rFonts w:ascii="Arial" w:cs="Arial" w:eastAsia="Arial" w:hAnsi="Arial"/>
          <w:sz w:val="14"/>
          <w:szCs w:val="14"/>
          <w:b w:val="1"/>
          <w:bCs w:val="1"/>
          <w:i w:val="1"/>
          <w:iCs w:val="1"/>
          <w:color w:val="auto"/>
        </w:rPr>
        <w:t>Build a fully-integrated global company enabling patients to easily and quickly access our transformative therapies</w:t>
      </w:r>
    </w:p>
    <w:p>
      <w:pPr>
        <w:spacing w:after="0" w:line="149" w:lineRule="exact"/>
        <w:rPr>
          <w:rFonts w:ascii="Arial" w:cs="Arial" w:eastAsia="Arial" w:hAnsi="Arial"/>
          <w:sz w:val="14"/>
          <w:szCs w:val="14"/>
          <w:color w:val="auto"/>
        </w:rPr>
      </w:pPr>
    </w:p>
    <w:p>
      <w:pPr>
        <w:ind w:left="1340" w:right="239" w:hanging="318"/>
        <w:spacing w:after="0" w:line="262" w:lineRule="auto"/>
        <w:tabs>
          <w:tab w:leader="none" w:pos="1340" w:val="left"/>
        </w:tabs>
        <w:numPr>
          <w:ilvl w:val="1"/>
          <w:numId w:val="49"/>
        </w:numPr>
        <w:rPr>
          <w:rFonts w:ascii="Arial" w:cs="Arial" w:eastAsia="Arial" w:hAnsi="Arial"/>
          <w:sz w:val="18"/>
          <w:szCs w:val="18"/>
          <w:color w:val="auto"/>
        </w:rPr>
      </w:pPr>
      <w:r>
        <w:rPr>
          <w:rFonts w:ascii="Arial" w:cs="Arial" w:eastAsia="Arial" w:hAnsi="Arial"/>
          <w:sz w:val="16"/>
          <w:szCs w:val="16"/>
          <w:color w:val="auto"/>
        </w:rPr>
        <w:t>In January 2020, we received U.S. Food and Drug Administration, or FDA, approval of AYVAKIT™ (avapritinib) for the treatment of adults with unresectable or metastatic gastrointestinal stromal tumor, or GIST, harboring a PDGFRA exon 18 mutation, including PDGFRA D842V mutations, and launched AYVAKIT in the U.S for the approved indication.</w:t>
      </w:r>
    </w:p>
    <w:p>
      <w:pPr>
        <w:spacing w:after="0" w:line="89" w:lineRule="exact"/>
        <w:rPr>
          <w:rFonts w:ascii="Arial" w:cs="Arial" w:eastAsia="Arial" w:hAnsi="Arial"/>
          <w:sz w:val="18"/>
          <w:szCs w:val="18"/>
          <w:color w:val="auto"/>
        </w:rPr>
      </w:pPr>
    </w:p>
    <w:p>
      <w:pPr>
        <w:ind w:left="1340" w:right="139" w:hanging="318"/>
        <w:spacing w:after="0" w:line="262" w:lineRule="auto"/>
        <w:tabs>
          <w:tab w:leader="none" w:pos="1340" w:val="left"/>
        </w:tabs>
        <w:numPr>
          <w:ilvl w:val="1"/>
          <w:numId w:val="49"/>
        </w:numPr>
        <w:rPr>
          <w:rFonts w:ascii="Arial" w:cs="Arial" w:eastAsia="Arial" w:hAnsi="Arial"/>
          <w:sz w:val="18"/>
          <w:szCs w:val="18"/>
          <w:color w:val="auto"/>
        </w:rPr>
      </w:pPr>
      <w:r>
        <w:rPr>
          <w:rFonts w:ascii="Arial" w:cs="Arial" w:eastAsia="Arial" w:hAnsi="Arial"/>
          <w:sz w:val="16"/>
          <w:szCs w:val="16"/>
          <w:color w:val="auto"/>
        </w:rPr>
        <w:t>In September 2020, we received conditional marketing authorization from European Commission, or EC, for avapritinib under the brand name AYVAKYT as a monotherapy for the treatment of adult patients with unresectable or metastatic GIST harboring the PDGFRA D842V mutation and initiated the first commercial launch following EC approval in Germany.</w:t>
      </w:r>
    </w:p>
    <w:p>
      <w:pPr>
        <w:spacing w:after="0" w:line="89" w:lineRule="exact"/>
        <w:rPr>
          <w:rFonts w:ascii="Arial" w:cs="Arial" w:eastAsia="Arial" w:hAnsi="Arial"/>
          <w:sz w:val="18"/>
          <w:szCs w:val="18"/>
          <w:color w:val="auto"/>
        </w:rPr>
      </w:pPr>
    </w:p>
    <w:p>
      <w:pPr>
        <w:ind w:left="1340" w:right="179" w:hanging="318"/>
        <w:spacing w:after="0" w:line="262" w:lineRule="auto"/>
        <w:tabs>
          <w:tab w:leader="none" w:pos="1340" w:val="left"/>
        </w:tabs>
        <w:numPr>
          <w:ilvl w:val="1"/>
          <w:numId w:val="49"/>
        </w:numPr>
        <w:rPr>
          <w:rFonts w:ascii="Arial" w:cs="Arial" w:eastAsia="Arial" w:hAnsi="Arial"/>
          <w:sz w:val="18"/>
          <w:szCs w:val="18"/>
          <w:color w:val="auto"/>
        </w:rPr>
      </w:pPr>
      <w:r>
        <w:rPr>
          <w:rFonts w:ascii="Arial" w:cs="Arial" w:eastAsia="Arial" w:hAnsi="Arial"/>
          <w:sz w:val="16"/>
          <w:szCs w:val="16"/>
          <w:color w:val="auto"/>
        </w:rPr>
        <w:t>In January 2020, we reported positive top-line data from the ARROW trial in RET fusion-positive non-small cell lung cancer, or NSCLC, and initiated the submission of a new drug application, or NDA, to the FDA for pralsetinib for the treatment of RET fusion-positive NSCLC.</w:t>
      </w:r>
    </w:p>
    <w:p>
      <w:pPr>
        <w:spacing w:after="0" w:line="87" w:lineRule="exact"/>
        <w:rPr>
          <w:rFonts w:ascii="Arial" w:cs="Arial" w:eastAsia="Arial" w:hAnsi="Arial"/>
          <w:sz w:val="18"/>
          <w:szCs w:val="18"/>
          <w:color w:val="auto"/>
        </w:rPr>
      </w:pPr>
    </w:p>
    <w:p>
      <w:pPr>
        <w:ind w:left="1340" w:right="139" w:hanging="318"/>
        <w:spacing w:after="0" w:line="262" w:lineRule="auto"/>
        <w:tabs>
          <w:tab w:leader="none" w:pos="1340" w:val="left"/>
        </w:tabs>
        <w:numPr>
          <w:ilvl w:val="1"/>
          <w:numId w:val="49"/>
        </w:numPr>
        <w:rPr>
          <w:rFonts w:ascii="Arial" w:cs="Arial" w:eastAsia="Arial" w:hAnsi="Arial"/>
          <w:sz w:val="18"/>
          <w:szCs w:val="18"/>
          <w:color w:val="auto"/>
        </w:rPr>
      </w:pPr>
      <w:r>
        <w:rPr>
          <w:rFonts w:ascii="Arial" w:cs="Arial" w:eastAsia="Arial" w:hAnsi="Arial"/>
          <w:sz w:val="16"/>
          <w:szCs w:val="16"/>
          <w:color w:val="auto"/>
        </w:rPr>
        <w:t>In September 2020, we received accelerated approval in the U.S. under the brand name GAVRETO™(pralsetinib) for the treatment of adult patients with metastatic RET fusion-positive NSCLC as detected by an FDA approved test and launched GAVRETO in the U.S. for the approved indication.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40" w:right="259" w:hanging="318"/>
        <w:spacing w:after="0" w:line="286" w:lineRule="auto"/>
        <w:tabs>
          <w:tab w:leader="none" w:pos="1340" w:val="left"/>
        </w:tabs>
        <w:numPr>
          <w:ilvl w:val="1"/>
          <w:numId w:val="50"/>
        </w:numPr>
        <w:rPr>
          <w:rFonts w:ascii="Arial" w:cs="Arial" w:eastAsia="Arial" w:hAnsi="Arial"/>
          <w:sz w:val="17"/>
          <w:szCs w:val="17"/>
          <w:color w:val="auto"/>
        </w:rPr>
      </w:pPr>
      <w:r>
        <w:rPr>
          <w:rFonts w:ascii="Arial" w:cs="Arial" w:eastAsia="Arial" w:hAnsi="Arial"/>
          <w:sz w:val="15"/>
          <w:szCs w:val="15"/>
          <w:color w:val="auto"/>
        </w:rPr>
        <w:t>In the second quarter of 2020, we reported positive top-line data in RET-altered thyroid cancers, including RET-mutant medullary thyroid cancer, or MTC. We subsequently announced the submission of an NDA to the FDA for pralsetinib for the treatment of RET-positive thyroid cancers and MTC in July 2020.</w:t>
      </w:r>
    </w:p>
    <w:p>
      <w:pPr>
        <w:spacing w:after="0" w:line="71" w:lineRule="exact"/>
        <w:rPr>
          <w:rFonts w:ascii="Arial" w:cs="Arial" w:eastAsia="Arial" w:hAnsi="Arial"/>
          <w:sz w:val="17"/>
          <w:szCs w:val="17"/>
          <w:color w:val="auto"/>
        </w:rPr>
      </w:pPr>
    </w:p>
    <w:p>
      <w:pPr>
        <w:ind w:left="1340" w:right="99" w:hanging="318"/>
        <w:spacing w:after="0" w:line="296" w:lineRule="auto"/>
        <w:tabs>
          <w:tab w:leader="none" w:pos="1340" w:val="left"/>
        </w:tabs>
        <w:numPr>
          <w:ilvl w:val="1"/>
          <w:numId w:val="50"/>
        </w:numPr>
        <w:rPr>
          <w:rFonts w:ascii="Arial" w:cs="Arial" w:eastAsia="Arial" w:hAnsi="Arial"/>
          <w:sz w:val="17"/>
          <w:szCs w:val="17"/>
          <w:color w:val="auto"/>
        </w:rPr>
      </w:pPr>
      <w:r>
        <w:rPr>
          <w:rFonts w:ascii="Arial" w:cs="Arial" w:eastAsia="Arial" w:hAnsi="Arial"/>
          <w:sz w:val="15"/>
          <w:szCs w:val="15"/>
          <w:color w:val="auto"/>
        </w:rPr>
        <w:t>In December 2020, we received accelerated approval for GAVRETO in the U.S for the treatment of patients 12 years of age and older with advanced or metastatic RET-mutant MTC and RET fusion-positive thyroid cancer.</w:t>
      </w:r>
    </w:p>
    <w:p>
      <w:pPr>
        <w:spacing w:after="0" w:line="59" w:lineRule="exact"/>
        <w:rPr>
          <w:rFonts w:ascii="Arial" w:cs="Arial" w:eastAsia="Arial" w:hAnsi="Arial"/>
          <w:sz w:val="17"/>
          <w:szCs w:val="17"/>
          <w:color w:val="auto"/>
        </w:rPr>
      </w:pPr>
    </w:p>
    <w:p>
      <w:pPr>
        <w:ind w:left="1340" w:right="179" w:hanging="318"/>
        <w:spacing w:after="0" w:line="26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6"/>
          <w:szCs w:val="16"/>
          <w:color w:val="auto"/>
        </w:rPr>
        <w:t>In May 2020, we announced that the European Medicines Agency, or EMA, validated our Marketing Authorization Application, or MAA, for pralsetinib for the treatment of RET fusion-positive NSCLC.</w:t>
      </w:r>
    </w:p>
    <w:p>
      <w:pPr>
        <w:spacing w:after="0" w:line="84" w:lineRule="exact"/>
        <w:rPr>
          <w:rFonts w:ascii="Arial" w:cs="Arial" w:eastAsia="Arial" w:hAnsi="Arial"/>
          <w:sz w:val="18"/>
          <w:szCs w:val="18"/>
          <w:color w:val="auto"/>
        </w:rPr>
      </w:pPr>
    </w:p>
    <w:p>
      <w:pPr>
        <w:ind w:left="1340" w:right="719" w:hanging="318"/>
        <w:spacing w:after="0" w:line="26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6"/>
          <w:szCs w:val="16"/>
          <w:color w:val="auto"/>
        </w:rPr>
        <w:t>In September 2020, we reported positive top-line results from the EXPLORER and PATHFINDER trials of avapritinib in patients with advanced systemic mastocytosis, or SM.</w:t>
      </w:r>
    </w:p>
    <w:p>
      <w:pPr>
        <w:spacing w:after="0" w:line="84" w:lineRule="exact"/>
        <w:rPr>
          <w:rFonts w:ascii="Arial" w:cs="Arial" w:eastAsia="Arial" w:hAnsi="Arial"/>
          <w:sz w:val="18"/>
          <w:szCs w:val="18"/>
          <w:color w:val="auto"/>
        </w:rPr>
      </w:pPr>
    </w:p>
    <w:p>
      <w:pPr>
        <w:jc w:val="both"/>
        <w:ind w:left="1340" w:right="159" w:hanging="318"/>
        <w:spacing w:after="0" w:line="262"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6"/>
          <w:szCs w:val="16"/>
          <w:color w:val="auto"/>
        </w:rPr>
        <w:t>In December 2020, we submitted a supplemental NDA to the FDA for avapritinib for the treatment of adult patients with advanced SM. The NDA was accepted by the FDA in February 2021with a Prescription Drug User Fee Act, or PDUFA, action date of June 16, 2021.</w:t>
      </w:r>
    </w:p>
    <w:p>
      <w:pPr>
        <w:spacing w:after="0" w:line="87" w:lineRule="exact"/>
        <w:rPr>
          <w:rFonts w:ascii="Arial" w:cs="Arial" w:eastAsia="Arial" w:hAnsi="Arial"/>
          <w:sz w:val="18"/>
          <w:szCs w:val="18"/>
          <w:color w:val="auto"/>
        </w:rPr>
      </w:pPr>
    </w:p>
    <w:p>
      <w:pPr>
        <w:ind w:left="1340" w:right="279" w:hanging="318"/>
        <w:spacing w:after="0" w:line="26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6"/>
          <w:szCs w:val="16"/>
          <w:color w:val="auto"/>
        </w:rPr>
        <w:t>The FDA granted breakthrough therapy designation to avapritinib for the treatment of moderate to severe indolent SM, which encompasses the majority of patients with SM.</w:t>
      </w:r>
    </w:p>
    <w:p>
      <w:pPr>
        <w:spacing w:after="0" w:line="84" w:lineRule="exact"/>
        <w:rPr>
          <w:rFonts w:ascii="Arial" w:cs="Arial" w:eastAsia="Arial" w:hAnsi="Arial"/>
          <w:sz w:val="18"/>
          <w:szCs w:val="18"/>
          <w:color w:val="auto"/>
        </w:rPr>
      </w:pPr>
    </w:p>
    <w:p>
      <w:pPr>
        <w:jc w:val="both"/>
        <w:ind w:left="1340" w:right="79" w:hanging="318"/>
        <w:spacing w:after="0" w:line="286" w:lineRule="auto"/>
        <w:tabs>
          <w:tab w:leader="none" w:pos="1340" w:val="left"/>
        </w:tabs>
        <w:numPr>
          <w:ilvl w:val="1"/>
          <w:numId w:val="50"/>
        </w:numPr>
        <w:rPr>
          <w:rFonts w:ascii="Arial" w:cs="Arial" w:eastAsia="Arial" w:hAnsi="Arial"/>
          <w:sz w:val="17"/>
          <w:szCs w:val="17"/>
          <w:color w:val="auto"/>
        </w:rPr>
      </w:pPr>
      <w:r>
        <w:rPr>
          <w:rFonts w:ascii="Arial" w:cs="Arial" w:eastAsia="Arial" w:hAnsi="Arial"/>
          <w:sz w:val="15"/>
          <w:szCs w:val="15"/>
          <w:color w:val="auto"/>
        </w:rPr>
        <w:t>In the first quarter of 2020, we submitted an investigational new drug, or IND, application to the FDA for BLU-263, a next-generation KIT inhibitor, for the treatment of patients with indolent SM. We initiated a Phase 1 trial in healthy volunteers in June 2020 and reported positive top-line results in the first quarter of 2021.</w:t>
      </w:r>
    </w:p>
    <w:p>
      <w:pPr>
        <w:spacing w:after="0" w:line="71" w:lineRule="exact"/>
        <w:rPr>
          <w:rFonts w:ascii="Arial" w:cs="Arial" w:eastAsia="Arial" w:hAnsi="Arial"/>
          <w:sz w:val="17"/>
          <w:szCs w:val="17"/>
          <w:color w:val="auto"/>
        </w:rPr>
      </w:pPr>
    </w:p>
    <w:p>
      <w:pPr>
        <w:ind w:left="1340" w:right="479" w:hanging="318"/>
        <w:spacing w:after="0" w:line="26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6"/>
          <w:szCs w:val="16"/>
          <w:color w:val="auto"/>
        </w:rPr>
        <w:t>We maintained our clinical supply of our drugs and drug candidates and established commercial supply for our approved drugs in 2020, leading to multiple successful commercial launches globally.</w:t>
      </w:r>
    </w:p>
    <w:p>
      <w:pPr>
        <w:spacing w:after="0" w:line="84" w:lineRule="exact"/>
        <w:rPr>
          <w:rFonts w:ascii="Arial" w:cs="Arial" w:eastAsia="Arial" w:hAnsi="Arial"/>
          <w:sz w:val="18"/>
          <w:szCs w:val="18"/>
          <w:color w:val="auto"/>
        </w:rPr>
      </w:pPr>
    </w:p>
    <w:p>
      <w:pPr>
        <w:ind w:left="1020" w:hanging="322"/>
        <w:spacing w:after="0"/>
        <w:tabs>
          <w:tab w:leader="none" w:pos="1020" w:val="left"/>
        </w:tabs>
        <w:numPr>
          <w:ilvl w:val="0"/>
          <w:numId w:val="50"/>
        </w:numPr>
        <w:rPr>
          <w:rFonts w:ascii="Arial" w:cs="Arial" w:eastAsia="Arial" w:hAnsi="Arial"/>
          <w:sz w:val="14"/>
          <w:szCs w:val="14"/>
          <w:color w:val="auto"/>
        </w:rPr>
      </w:pPr>
      <w:r>
        <w:rPr>
          <w:rFonts w:ascii="Arial" w:cs="Arial" w:eastAsia="Arial" w:hAnsi="Arial"/>
          <w:sz w:val="14"/>
          <w:szCs w:val="14"/>
          <w:b w:val="1"/>
          <w:bCs w:val="1"/>
          <w:i w:val="1"/>
          <w:iCs w:val="1"/>
          <w:color w:val="auto"/>
        </w:rPr>
        <w:t>Leverage our culture of thoughtfulness and urgency to expand and deepen our pipeline and external engagements</w:t>
      </w:r>
    </w:p>
    <w:p>
      <w:pPr>
        <w:spacing w:after="0" w:line="149" w:lineRule="exact"/>
        <w:rPr>
          <w:rFonts w:ascii="Arial" w:cs="Arial" w:eastAsia="Arial" w:hAnsi="Arial"/>
          <w:sz w:val="14"/>
          <w:szCs w:val="14"/>
          <w:color w:val="auto"/>
        </w:rPr>
      </w:pPr>
    </w:p>
    <w:p>
      <w:pPr>
        <w:ind w:left="1340" w:right="159" w:hanging="318"/>
        <w:spacing w:after="0" w:line="286" w:lineRule="auto"/>
        <w:tabs>
          <w:tab w:leader="none" w:pos="1340" w:val="left"/>
        </w:tabs>
        <w:numPr>
          <w:ilvl w:val="1"/>
          <w:numId w:val="50"/>
        </w:numPr>
        <w:rPr>
          <w:rFonts w:ascii="Arial" w:cs="Arial" w:eastAsia="Arial" w:hAnsi="Arial"/>
          <w:sz w:val="17"/>
          <w:szCs w:val="17"/>
          <w:color w:val="auto"/>
        </w:rPr>
      </w:pPr>
      <w:r>
        <w:rPr>
          <w:rFonts w:ascii="Arial" w:cs="Arial" w:eastAsia="Arial" w:hAnsi="Arial"/>
          <w:sz w:val="15"/>
          <w:szCs w:val="15"/>
          <w:color w:val="auto"/>
        </w:rPr>
        <w:t>In January 2020, we announced the nomination of a development candidate, BLU-945, for the treatment of resistant EGFR-positive triple-mutant NSCLC. In September 2020, we reported preclinical proof-of-concept data for BLU-945 at the European Society of Medical Oncology, or ESMO, Virtual Congress 2020.</w:t>
      </w:r>
    </w:p>
    <w:p>
      <w:pPr>
        <w:spacing w:after="0" w:line="71" w:lineRule="exact"/>
        <w:rPr>
          <w:rFonts w:ascii="Arial" w:cs="Arial" w:eastAsia="Arial" w:hAnsi="Arial"/>
          <w:sz w:val="17"/>
          <w:szCs w:val="17"/>
          <w:color w:val="auto"/>
        </w:rPr>
      </w:pPr>
    </w:p>
    <w:p>
      <w:pPr>
        <w:ind w:left="1340" w:right="219" w:hanging="318"/>
        <w:spacing w:after="0" w:line="262"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6"/>
          <w:szCs w:val="16"/>
          <w:color w:val="auto"/>
        </w:rPr>
        <w:t>In the fourth quarter of 2020, we nominated two development candidates: BLU-701, for the treatment of resistant EGFR-positive double double-mutant NSCLC; and a development candidate targeting MAP4K1, a kinase believed to play a role in T-cell regulation.</w:t>
      </w:r>
    </w:p>
    <w:p>
      <w:pPr>
        <w:spacing w:after="0" w:line="87" w:lineRule="exact"/>
        <w:rPr>
          <w:rFonts w:ascii="Arial" w:cs="Arial" w:eastAsia="Arial" w:hAnsi="Arial"/>
          <w:sz w:val="18"/>
          <w:szCs w:val="18"/>
          <w:color w:val="auto"/>
        </w:rPr>
      </w:pPr>
    </w:p>
    <w:p>
      <w:pPr>
        <w:ind w:left="1340" w:right="119" w:hanging="318"/>
        <w:spacing w:after="0" w:line="286" w:lineRule="auto"/>
        <w:tabs>
          <w:tab w:leader="none" w:pos="1340" w:val="left"/>
        </w:tabs>
        <w:numPr>
          <w:ilvl w:val="1"/>
          <w:numId w:val="50"/>
        </w:numPr>
        <w:rPr>
          <w:rFonts w:ascii="Arial" w:cs="Arial" w:eastAsia="Arial" w:hAnsi="Arial"/>
          <w:sz w:val="17"/>
          <w:szCs w:val="17"/>
          <w:color w:val="auto"/>
        </w:rPr>
      </w:pPr>
      <w:r>
        <w:rPr>
          <w:rFonts w:ascii="Arial" w:cs="Arial" w:eastAsia="Arial" w:hAnsi="Arial"/>
          <w:sz w:val="15"/>
          <w:szCs w:val="15"/>
          <w:color w:val="auto"/>
        </w:rPr>
        <w:t>Throughout 2020, we supported presentations by our scientists and partners at multiple major medical meetings as well as submissions to and publication with various medical journals. We also engaged with key opinion leaders and external advisors to seek their insights and incorporate the learnings into to our business strategy.</w:t>
      </w:r>
    </w:p>
    <w:p>
      <w:pPr>
        <w:spacing w:after="0" w:line="71" w:lineRule="exact"/>
        <w:rPr>
          <w:rFonts w:ascii="Arial" w:cs="Arial" w:eastAsia="Arial" w:hAnsi="Arial"/>
          <w:sz w:val="17"/>
          <w:szCs w:val="17"/>
          <w:color w:val="auto"/>
        </w:rPr>
      </w:pPr>
    </w:p>
    <w:p>
      <w:pPr>
        <w:ind w:left="1340" w:right="179" w:hanging="318"/>
        <w:spacing w:after="0" w:line="335" w:lineRule="auto"/>
        <w:tabs>
          <w:tab w:leader="none" w:pos="1340" w:val="left"/>
        </w:tabs>
        <w:numPr>
          <w:ilvl w:val="1"/>
          <w:numId w:val="50"/>
        </w:numPr>
        <w:rPr>
          <w:rFonts w:ascii="Arial" w:cs="Arial" w:eastAsia="Arial" w:hAnsi="Arial"/>
          <w:sz w:val="16"/>
          <w:szCs w:val="16"/>
          <w:color w:val="auto"/>
        </w:rPr>
      </w:pPr>
      <w:r>
        <w:rPr>
          <w:rFonts w:ascii="Arial" w:cs="Arial" w:eastAsia="Arial" w:hAnsi="Arial"/>
          <w:sz w:val="14"/>
          <w:szCs w:val="14"/>
          <w:color w:val="auto"/>
        </w:rPr>
        <w:t>We continued to evaluate and explore business development opportunities. In July 2020, we announced a global collaboration with Roche and Genentech, a member of the Roche Group, to develop and commercialize pralsetinib.</w:t>
      </w:r>
    </w:p>
    <w:p>
      <w:pPr>
        <w:spacing w:after="0" w:line="31" w:lineRule="exact"/>
        <w:rPr>
          <w:rFonts w:ascii="Arial" w:cs="Arial" w:eastAsia="Arial" w:hAnsi="Arial"/>
          <w:sz w:val="16"/>
          <w:szCs w:val="16"/>
          <w:color w:val="auto"/>
        </w:rPr>
      </w:pPr>
    </w:p>
    <w:p>
      <w:pPr>
        <w:ind w:left="1020" w:right="139" w:hanging="322"/>
        <w:spacing w:after="0" w:line="293"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Operate with a focus on strong cultural and financial health and integrity to best enable our efforts to bring Blueprint Medicines therapies to patients in need</w:t>
      </w:r>
    </w:p>
    <w:p>
      <w:pPr>
        <w:spacing w:after="0" w:line="63" w:lineRule="exact"/>
        <w:rPr>
          <w:rFonts w:ascii="Arial" w:cs="Arial" w:eastAsia="Arial" w:hAnsi="Arial"/>
          <w:sz w:val="16"/>
          <w:szCs w:val="16"/>
          <w:color w:val="auto"/>
        </w:rPr>
      </w:pPr>
    </w:p>
    <w:p>
      <w:pPr>
        <w:ind w:left="1340" w:hanging="318"/>
        <w:spacing w:after="0"/>
        <w:tabs>
          <w:tab w:leader="none" w:pos="1340" w:val="left"/>
        </w:tabs>
        <w:numPr>
          <w:ilvl w:val="1"/>
          <w:numId w:val="50"/>
        </w:numPr>
        <w:rPr>
          <w:rFonts w:ascii="Arial" w:cs="Arial" w:eastAsia="Arial" w:hAnsi="Arial"/>
          <w:sz w:val="18"/>
          <w:szCs w:val="18"/>
          <w:color w:val="auto"/>
        </w:rPr>
      </w:pPr>
      <w:r>
        <w:rPr>
          <w:rFonts w:ascii="Arial" w:cs="Arial" w:eastAsia="Arial" w:hAnsi="Arial"/>
          <w:sz w:val="16"/>
          <w:szCs w:val="16"/>
          <w:color w:val="auto"/>
        </w:rPr>
        <w:t>In 2020, we recorded $22.1 million in net product revenue and $771.6 million in collaboration revenue.</w:t>
      </w:r>
    </w:p>
    <w:p>
      <w:pPr>
        <w:spacing w:after="0" w:line="117" w:lineRule="exact"/>
        <w:rPr>
          <w:rFonts w:ascii="Arial" w:cs="Arial" w:eastAsia="Arial" w:hAnsi="Arial"/>
          <w:sz w:val="18"/>
          <w:szCs w:val="18"/>
          <w:color w:val="auto"/>
        </w:rPr>
      </w:pPr>
    </w:p>
    <w:p>
      <w:pPr>
        <w:ind w:left="1340" w:right="179" w:hanging="318"/>
        <w:spacing w:after="0" w:line="296" w:lineRule="auto"/>
        <w:tabs>
          <w:tab w:leader="none" w:pos="1340" w:val="left"/>
        </w:tabs>
        <w:numPr>
          <w:ilvl w:val="1"/>
          <w:numId w:val="50"/>
        </w:numPr>
        <w:rPr>
          <w:rFonts w:ascii="Arial" w:cs="Arial" w:eastAsia="Arial" w:hAnsi="Arial"/>
          <w:sz w:val="17"/>
          <w:szCs w:val="17"/>
          <w:color w:val="auto"/>
        </w:rPr>
      </w:pPr>
      <w:r>
        <w:rPr>
          <w:rFonts w:ascii="Arial" w:cs="Arial" w:eastAsia="Arial" w:hAnsi="Arial"/>
          <w:sz w:val="15"/>
          <w:szCs w:val="15"/>
          <w:color w:val="auto"/>
        </w:rPr>
        <w:t>We completed an underwritten public offering in January 2020 with net proceeds of $308.4 million, and sold shares of common stock under our ATM facility for net proceeds of $194.7 million in the year ended 2020.</w:t>
      </w:r>
    </w:p>
    <w:p>
      <w:pPr>
        <w:spacing w:after="0" w:line="59" w:lineRule="exact"/>
        <w:rPr>
          <w:rFonts w:ascii="Arial" w:cs="Arial" w:eastAsia="Arial" w:hAnsi="Arial"/>
          <w:sz w:val="17"/>
          <w:szCs w:val="17"/>
          <w:color w:val="auto"/>
        </w:rPr>
      </w:pPr>
    </w:p>
    <w:p>
      <w:pPr>
        <w:ind w:left="1340" w:hanging="318"/>
        <w:spacing w:after="0"/>
        <w:tabs>
          <w:tab w:leader="none" w:pos="1340" w:val="left"/>
        </w:tabs>
        <w:numPr>
          <w:ilvl w:val="1"/>
          <w:numId w:val="50"/>
        </w:numPr>
        <w:rPr>
          <w:rFonts w:ascii="Arial" w:cs="Arial" w:eastAsia="Arial" w:hAnsi="Arial"/>
          <w:sz w:val="17"/>
          <w:szCs w:val="17"/>
          <w:color w:val="auto"/>
        </w:rPr>
      </w:pPr>
      <w:r>
        <w:rPr>
          <w:rFonts w:ascii="Arial" w:cs="Arial" w:eastAsia="Arial" w:hAnsi="Arial"/>
          <w:sz w:val="15"/>
          <w:szCs w:val="15"/>
          <w:color w:val="auto"/>
        </w:rPr>
        <w:t>As of December 31, 2020, we had cash, cash equivalents and marketable securities of approximately $1.5 billion.</w:t>
      </w:r>
    </w:p>
    <w:p>
      <w:pPr>
        <w:spacing w:after="0" w:line="128" w:lineRule="exact"/>
        <w:rPr>
          <w:rFonts w:ascii="Arial" w:cs="Arial" w:eastAsia="Arial" w:hAnsi="Arial"/>
          <w:sz w:val="17"/>
          <w:szCs w:val="17"/>
          <w:color w:val="auto"/>
        </w:rPr>
      </w:pPr>
    </w:p>
    <w:p>
      <w:pPr>
        <w:ind w:left="1340" w:right="239" w:hanging="318"/>
        <w:spacing w:after="0" w:line="26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6"/>
          <w:szCs w:val="16"/>
          <w:color w:val="auto"/>
        </w:rPr>
        <w:t>We maintained a high employee engagement rate based on survey results and a turnover rate that was significantly below the industry average.</w:t>
      </w:r>
    </w:p>
    <w:p>
      <w:pPr>
        <w:spacing w:after="0" w:line="85" w:lineRule="exact"/>
        <w:rPr>
          <w:sz w:val="20"/>
          <w:szCs w:val="20"/>
          <w:color w:val="auto"/>
        </w:rPr>
      </w:pPr>
    </w:p>
    <w:p>
      <w:pPr>
        <w:ind w:left="60" w:right="259" w:firstLine="648"/>
        <w:spacing w:after="0" w:line="273" w:lineRule="auto"/>
        <w:rPr>
          <w:sz w:val="20"/>
          <w:szCs w:val="20"/>
          <w:color w:val="auto"/>
        </w:rPr>
      </w:pPr>
      <w:r>
        <w:rPr>
          <w:rFonts w:ascii="Arial" w:cs="Arial" w:eastAsia="Arial" w:hAnsi="Arial"/>
          <w:sz w:val="16"/>
          <w:szCs w:val="16"/>
          <w:color w:val="auto"/>
        </w:rPr>
        <w:t>We made these advancement despite the operational challenges and disruptions brought by COVID-19. Our executive and management teams moved quickly to implement business continuity plans to advance our pipeline of targeted therapies as quickly as possible, while making the health and safety of our employees and their families, healthcare providers, patients and communities a top priority.</w:t>
      </w:r>
    </w:p>
    <w:p>
      <w:pPr>
        <w:spacing w:after="0" w:line="81" w:lineRule="exact"/>
        <w:rPr>
          <w:sz w:val="20"/>
          <w:szCs w:val="20"/>
          <w:color w:val="auto"/>
        </w:rPr>
      </w:pPr>
    </w:p>
    <w:p>
      <w:pPr>
        <w:ind w:left="60" w:right="239" w:firstLine="648"/>
        <w:spacing w:after="0" w:line="335" w:lineRule="auto"/>
        <w:rPr>
          <w:sz w:val="20"/>
          <w:szCs w:val="20"/>
          <w:color w:val="auto"/>
        </w:rPr>
      </w:pPr>
      <w:r>
        <w:rPr>
          <w:rFonts w:ascii="Arial" w:cs="Arial" w:eastAsia="Arial" w:hAnsi="Arial"/>
          <w:sz w:val="14"/>
          <w:szCs w:val="14"/>
          <w:color w:val="auto"/>
        </w:rPr>
        <w:t>As described in more detail below, based on the significant advances that we made on our 2020 corporate performance goals (including the overachievement on some goals balanced against the underachievement of others), upon the recommendation of our compensation committee, our board of directors determined that we achieved our 2020 corporate performance goals at 130.0%.</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0" w:right="199" w:firstLine="648"/>
        <w:spacing w:after="0" w:line="305" w:lineRule="auto"/>
        <w:rPr>
          <w:sz w:val="20"/>
          <w:szCs w:val="20"/>
          <w:color w:val="auto"/>
        </w:rPr>
      </w:pPr>
      <w:r>
        <w:rPr>
          <w:rFonts w:ascii="Arial" w:cs="Arial" w:eastAsia="Arial" w:hAnsi="Arial"/>
          <w:sz w:val="15"/>
          <w:szCs w:val="15"/>
          <w:color w:val="auto"/>
        </w:rPr>
        <w:t>Our compensation committee seeks to ensure that our compensation program is aligned with the interests of our stockholders and our business goals and that the total compensation paid to each of our named executive officers is fair, reasonable and competitive. As described in more detail below, key elements of our compensation program include the following:</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4"/>
                <w:szCs w:val="14"/>
                <w:color w:val="auto"/>
              </w:rPr>
            </w:pPr>
          </w:p>
        </w:tc>
        <w:tc>
          <w:tcPr>
            <w:tcW w:w="31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Purpose</w:t>
            </w:r>
          </w:p>
        </w:tc>
        <w:tc>
          <w:tcPr>
            <w:tcW w:w="200" w:type="dxa"/>
            <w:vAlign w:val="bottom"/>
          </w:tcPr>
          <w:p>
            <w:pPr>
              <w:spacing w:after="0"/>
              <w:rPr>
                <w:sz w:val="14"/>
                <w:szCs w:val="14"/>
                <w:color w:val="auto"/>
              </w:rPr>
            </w:pPr>
          </w:p>
        </w:tc>
        <w:tc>
          <w:tcPr>
            <w:tcW w:w="31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Features</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Element</w:t>
            </w:r>
          </w:p>
        </w:tc>
        <w:tc>
          <w:tcPr>
            <w:tcW w:w="200" w:type="dxa"/>
            <w:vAlign w:val="bottom"/>
          </w:tcPr>
          <w:p>
            <w:pPr>
              <w:spacing w:after="0"/>
              <w:rPr>
                <w:sz w:val="14"/>
                <w:szCs w:val="14"/>
                <w:color w:val="auto"/>
              </w:rPr>
            </w:pPr>
          </w:p>
        </w:tc>
        <w:tc>
          <w:tcPr>
            <w:tcW w:w="31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40" w:type="dxa"/>
            <w:vAlign w:val="bottom"/>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85"/>
              </w:rPr>
              <w:t>Base salary</w:t>
            </w: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 attract, motivate and retain superior</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Fixed component of pay to provide financial</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executive talent.</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6"/>
              </w:rPr>
              <w:t>stability, based on responsibilities, experience,</w:t>
            </w:r>
          </w:p>
        </w:tc>
        <w:tc>
          <w:tcPr>
            <w:tcW w:w="0" w:type="dxa"/>
            <w:vAlign w:val="bottom"/>
          </w:tcPr>
          <w:p>
            <w:pPr>
              <w:spacing w:after="0"/>
              <w:rPr>
                <w:sz w:val="1"/>
                <w:szCs w:val="1"/>
                <w:color w:val="auto"/>
              </w:rPr>
            </w:pPr>
          </w:p>
        </w:tc>
      </w:tr>
      <w:tr>
        <w:trPr>
          <w:trHeight w:val="212"/>
        </w:trPr>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3"/>
              </w:rPr>
              <w:t>individual contributions and peer company data.</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40" w:type="dxa"/>
            <w:vAlign w:val="bottom"/>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89"/>
              </w:rPr>
              <w:t>Annual performance-</w:t>
            </w: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5"/>
              </w:rPr>
              <w:t>To provide incentives that motivate and reward</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Variable component of pay based on annual</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i w:val="1"/>
                <w:iCs w:val="1"/>
                <w:color w:val="auto"/>
              </w:rPr>
              <w:t>based cash incentive</w:t>
            </w: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the achievement of performance goals that</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quantitative and qualitative achievement of</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jc w:val="right"/>
              <w:ind w:right="461"/>
              <w:spacing w:after="0"/>
              <w:rPr>
                <w:sz w:val="20"/>
                <w:szCs w:val="20"/>
                <w:color w:val="auto"/>
              </w:rPr>
            </w:pPr>
            <w:r>
              <w:rPr>
                <w:rFonts w:ascii="Arial" w:cs="Arial" w:eastAsia="Arial" w:hAnsi="Arial"/>
                <w:sz w:val="16"/>
                <w:szCs w:val="16"/>
                <w:b w:val="1"/>
                <w:bCs w:val="1"/>
                <w:i w:val="1"/>
                <w:iCs w:val="1"/>
                <w:color w:val="auto"/>
              </w:rPr>
              <w:t>compensation</w:t>
            </w: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directly correlate to the enhancement of</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3"/>
              </w:rPr>
              <w:t>corporate performance goals and, in the case of</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stockholder value, as well as to facilitate</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4"/>
              </w:rPr>
              <w:t>executive officers other than our chief executive</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executive retention.</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officer, the achievement of individual</w:t>
            </w:r>
          </w:p>
        </w:tc>
        <w:tc>
          <w:tcPr>
            <w:tcW w:w="0" w:type="dxa"/>
            <w:vAlign w:val="bottom"/>
          </w:tcPr>
          <w:p>
            <w:pPr>
              <w:spacing w:after="0"/>
              <w:rPr>
                <w:sz w:val="1"/>
                <w:szCs w:val="1"/>
                <w:color w:val="auto"/>
              </w:rPr>
            </w:pPr>
          </w:p>
        </w:tc>
      </w:tr>
      <w:tr>
        <w:trPr>
          <w:trHeight w:val="212"/>
        </w:trPr>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40" w:type="dxa"/>
            <w:vAlign w:val="bottom"/>
            <w:shd w:val="clear" w:color="auto" w:fill="CCEEFF"/>
          </w:tcPr>
          <w:p>
            <w:pPr>
              <w:jc w:val="right"/>
              <w:ind w:right="481"/>
              <w:spacing w:after="0"/>
              <w:rPr>
                <w:sz w:val="20"/>
                <w:szCs w:val="20"/>
                <w:color w:val="auto"/>
              </w:rPr>
            </w:pPr>
            <w:r>
              <w:rPr>
                <w:rFonts w:ascii="Arial" w:cs="Arial" w:eastAsia="Arial" w:hAnsi="Arial"/>
                <w:sz w:val="16"/>
                <w:szCs w:val="16"/>
                <w:b w:val="1"/>
                <w:bCs w:val="1"/>
                <w:i w:val="1"/>
                <w:iCs w:val="1"/>
                <w:color w:val="auto"/>
              </w:rPr>
              <w:t>Equity incentive</w:t>
            </w: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 align executives’ interests with those of</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Long-term compensation in the form of stock</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jc w:val="right"/>
              <w:ind w:right="461"/>
              <w:spacing w:after="0"/>
              <w:rPr>
                <w:sz w:val="20"/>
                <w:szCs w:val="20"/>
                <w:color w:val="auto"/>
              </w:rPr>
            </w:pPr>
            <w:r>
              <w:rPr>
                <w:rFonts w:ascii="Arial" w:cs="Arial" w:eastAsia="Arial" w:hAnsi="Arial"/>
                <w:sz w:val="16"/>
                <w:szCs w:val="16"/>
                <w:b w:val="1"/>
                <w:bCs w:val="1"/>
                <w:i w:val="1"/>
                <w:iCs w:val="1"/>
                <w:color w:val="auto"/>
              </w:rPr>
              <w:t>compensation</w:t>
            </w: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stockholders through long-term incentives</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options and restricted stock units, which</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linked to the achievement of specific</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6"/>
              </w:rPr>
              <w:t>provides incentives for employee retention and</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performance, which we believe serves to</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seeks to align executive and stockholder</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3"/>
              </w:rPr>
              <w:t>enhance short- and long-term value creation for</w:t>
            </w:r>
          </w:p>
        </w:tc>
        <w:tc>
          <w:tcPr>
            <w:tcW w:w="3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interests.</w:t>
            </w:r>
          </w:p>
        </w:tc>
        <w:tc>
          <w:tcPr>
            <w:tcW w:w="0" w:type="dxa"/>
            <w:vAlign w:val="bottom"/>
          </w:tcPr>
          <w:p>
            <w:pPr>
              <w:spacing w:after="0"/>
              <w:rPr>
                <w:sz w:val="1"/>
                <w:szCs w:val="1"/>
                <w:color w:val="auto"/>
              </w:rPr>
            </w:pPr>
          </w:p>
        </w:tc>
      </w:tr>
      <w:tr>
        <w:trPr>
          <w:trHeight w:val="212"/>
        </w:trPr>
        <w:tc>
          <w:tcPr>
            <w:tcW w:w="214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our stockholders.</w:t>
            </w:r>
          </w:p>
        </w:tc>
        <w:tc>
          <w:tcPr>
            <w:tcW w:w="2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60" w:right="339" w:firstLine="648"/>
        <w:spacing w:after="0" w:line="278" w:lineRule="auto"/>
        <w:rPr>
          <w:sz w:val="20"/>
          <w:szCs w:val="20"/>
          <w:color w:val="auto"/>
        </w:rPr>
      </w:pPr>
      <w:r>
        <w:rPr>
          <w:rFonts w:ascii="Arial" w:cs="Arial" w:eastAsia="Arial" w:hAnsi="Arial"/>
          <w:sz w:val="16"/>
          <w:szCs w:val="16"/>
          <w:color w:val="auto"/>
        </w:rPr>
        <w:t>In addition to our direct compensation elements, the following features of our compensation program are designed to align with stockholder interests and market best practices while being able to achieve our stated objectives and philosophy and support our ambitious business goals: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6350</wp:posOffset>
            </wp:positionV>
            <wp:extent cx="28975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96" w:lineRule="exact"/>
        <w:rPr>
          <w:sz w:val="20"/>
          <w:szCs w:val="20"/>
          <w:color w:val="auto"/>
        </w:rPr>
      </w:pPr>
    </w:p>
    <w:p>
      <w:pPr>
        <w:ind w:left="180" w:hanging="10"/>
        <w:spacing w:after="0" w:line="293" w:lineRule="auto"/>
        <w:tabs>
          <w:tab w:leader="none" w:pos="369" w:val="left"/>
        </w:tabs>
        <w:numPr>
          <w:ilvl w:val="0"/>
          <w:numId w:val="51"/>
        </w:numPr>
        <w:rPr>
          <w:rFonts w:ascii="MS PGothic" w:cs="MS PGothic" w:eastAsia="MS PGothic" w:hAnsi="MS PGothic"/>
          <w:sz w:val="16"/>
          <w:szCs w:val="16"/>
          <w:color w:val="auto"/>
        </w:rPr>
      </w:pPr>
      <w:r>
        <w:rPr>
          <w:rFonts w:ascii="Arial" w:cs="Arial" w:eastAsia="Arial" w:hAnsi="Arial"/>
          <w:sz w:val="16"/>
          <w:szCs w:val="16"/>
          <w:color w:val="auto"/>
        </w:rPr>
        <w:t>Maintain an industry-specific and size-appropriate peer group for benchmarking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81"/>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5114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ind w:left="-2" w:right="359" w:firstLine="2"/>
        <w:spacing w:after="0" w:line="293" w:lineRule="auto"/>
        <w:tabs>
          <w:tab w:leader="none" w:pos="187"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Allow hedging or pledging without pre-approval by the Audit Committee</w:t>
      </w:r>
    </w:p>
    <w:p>
      <w:pPr>
        <w:spacing w:after="0" w:line="158" w:lineRule="exact"/>
        <w:rPr>
          <w:sz w:val="20"/>
          <w:szCs w:val="20"/>
          <w:color w:val="auto"/>
        </w:rPr>
      </w:pPr>
    </w:p>
    <w:p>
      <w:pPr>
        <w:sectPr>
          <w:pgSz w:w="11900" w:h="16838" w:orient="portrait"/>
          <w:cols w:equalWidth="0" w:num="2">
            <w:col w:w="4600" w:space="282"/>
            <w:col w:w="4137"/>
          </w:cols>
          <w:pgMar w:left="1440" w:top="517" w:right="1440" w:bottom="1440" w:gutter="0" w:footer="0" w:header="0"/>
          <w:type w:val="continuous"/>
        </w:sectPr>
      </w:pPr>
    </w:p>
    <w:p>
      <w:pPr>
        <w:ind w:left="360" w:hanging="190"/>
        <w:spacing w:after="0"/>
        <w:tabs>
          <w:tab w:leader="none" w:pos="360"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Target compensation based on market norms</w:t>
      </w:r>
    </w:p>
    <w:p>
      <w:pPr>
        <w:spacing w:after="0" w:line="221" w:lineRule="exact"/>
        <w:rPr>
          <w:rFonts w:ascii="MS PGothic" w:cs="MS PGothic" w:eastAsia="MS PGothic" w:hAnsi="MS PGothic"/>
          <w:sz w:val="16"/>
          <w:szCs w:val="16"/>
          <w:color w:val="auto"/>
        </w:rPr>
      </w:pPr>
    </w:p>
    <w:p>
      <w:pPr>
        <w:ind w:left="180" w:right="40" w:hanging="10"/>
        <w:spacing w:after="0" w:line="293" w:lineRule="auto"/>
        <w:tabs>
          <w:tab w:leader="none" w:pos="36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Deliver executive compensation primarily through variable, at-risk incentive pay</w:t>
      </w:r>
    </w:p>
    <w:p>
      <w:pPr>
        <w:spacing w:after="0" w:line="158" w:lineRule="exact"/>
        <w:rPr>
          <w:rFonts w:ascii="MS PGothic" w:cs="MS PGothic" w:eastAsia="MS PGothic" w:hAnsi="MS PGothic"/>
          <w:sz w:val="16"/>
          <w:szCs w:val="16"/>
          <w:color w:val="auto"/>
        </w:rPr>
      </w:pPr>
    </w:p>
    <w:p>
      <w:pPr>
        <w:ind w:left="360" w:hanging="190"/>
        <w:spacing w:after="0"/>
        <w:tabs>
          <w:tab w:leader="none" w:pos="360"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Set challenging corporate performance goals</w:t>
      </w:r>
    </w:p>
    <w:p>
      <w:pPr>
        <w:spacing w:after="0" w:line="200" w:lineRule="exact"/>
        <w:rPr>
          <w:rFonts w:ascii="MS PGothic" w:cs="MS PGothic" w:eastAsia="MS PGothic" w:hAnsi="MS PGothic"/>
          <w:sz w:val="16"/>
          <w:szCs w:val="16"/>
          <w:color w:val="auto"/>
        </w:rPr>
      </w:pPr>
    </w:p>
    <w:p>
      <w:pPr>
        <w:spacing w:after="0" w:line="223" w:lineRule="exact"/>
        <w:rPr>
          <w:rFonts w:ascii="MS PGothic" w:cs="MS PGothic" w:eastAsia="MS PGothic" w:hAnsi="MS PGothic"/>
          <w:sz w:val="16"/>
          <w:szCs w:val="16"/>
          <w:color w:val="auto"/>
        </w:rPr>
      </w:pPr>
    </w:p>
    <w:p>
      <w:pPr>
        <w:ind w:left="180" w:right="860" w:hanging="10"/>
        <w:spacing w:after="0" w:line="293" w:lineRule="auto"/>
        <w:tabs>
          <w:tab w:leader="none" w:pos="36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Consult with an independent compensation advisor on compensation levels and practices</w:t>
      </w:r>
    </w:p>
    <w:p>
      <w:pPr>
        <w:spacing w:after="0" w:line="158" w:lineRule="exact"/>
        <w:rPr>
          <w:rFonts w:ascii="MS PGothic" w:cs="MS PGothic" w:eastAsia="MS PGothic" w:hAnsi="MS PGothic"/>
          <w:sz w:val="16"/>
          <w:szCs w:val="16"/>
          <w:color w:val="auto"/>
        </w:rPr>
      </w:pPr>
    </w:p>
    <w:p>
      <w:pPr>
        <w:ind w:left="180" w:hanging="10"/>
        <w:spacing w:after="0" w:line="293" w:lineRule="auto"/>
        <w:tabs>
          <w:tab w:leader="none" w:pos="36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Offer market-competitive benefits for executives that are consistent with the rest of our employees</w:t>
      </w:r>
    </w:p>
    <w:p>
      <w:pPr>
        <w:spacing w:after="0" w:line="158" w:lineRule="exact"/>
        <w:rPr>
          <w:rFonts w:ascii="MS PGothic" w:cs="MS PGothic" w:eastAsia="MS PGothic" w:hAnsi="MS PGothic"/>
          <w:sz w:val="16"/>
          <w:szCs w:val="16"/>
          <w:color w:val="auto"/>
        </w:rPr>
      </w:pPr>
    </w:p>
    <w:p>
      <w:pPr>
        <w:ind w:left="180" w:right="140" w:hanging="10"/>
        <w:spacing w:after="0" w:line="293" w:lineRule="auto"/>
        <w:tabs>
          <w:tab w:leader="none" w:pos="36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Use double trigger change-in-control protection for our executive officers</w:t>
      </w:r>
    </w:p>
    <w:p>
      <w:pPr>
        <w:spacing w:after="0" w:line="158" w:lineRule="exact"/>
        <w:rPr>
          <w:rFonts w:ascii="MS PGothic" w:cs="MS PGothic" w:eastAsia="MS PGothic" w:hAnsi="MS PGothic"/>
          <w:sz w:val="16"/>
          <w:szCs w:val="16"/>
          <w:color w:val="auto"/>
        </w:rPr>
      </w:pPr>
    </w:p>
    <w:p>
      <w:pPr>
        <w:ind w:left="180" w:right="160" w:hanging="10"/>
        <w:spacing w:after="0" w:line="293" w:lineRule="auto"/>
        <w:tabs>
          <w:tab w:leader="none" w:pos="36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Cap annual cash incentive program payouts at 150% of the target payout level</w:t>
      </w:r>
    </w:p>
    <w:p>
      <w:pPr>
        <w:spacing w:after="0" w:line="158" w:lineRule="exact"/>
        <w:rPr>
          <w:rFonts w:ascii="MS PGothic" w:cs="MS PGothic" w:eastAsia="MS PGothic" w:hAnsi="MS PGothic"/>
          <w:sz w:val="16"/>
          <w:szCs w:val="16"/>
          <w:color w:val="auto"/>
        </w:rPr>
      </w:pPr>
    </w:p>
    <w:p>
      <w:pPr>
        <w:ind w:left="180" w:right="300" w:hanging="10"/>
        <w:spacing w:after="0" w:line="293" w:lineRule="auto"/>
        <w:tabs>
          <w:tab w:leader="none" w:pos="36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Maintain a clawback policy covering cash and equity incentive compensation paid to our executive officers</w:t>
      </w:r>
    </w:p>
    <w:p>
      <w:pPr>
        <w:spacing w:after="0" w:line="158" w:lineRule="exact"/>
        <w:rPr>
          <w:rFonts w:ascii="MS PGothic" w:cs="MS PGothic" w:eastAsia="MS PGothic" w:hAnsi="MS PGothic"/>
          <w:sz w:val="16"/>
          <w:szCs w:val="16"/>
          <w:color w:val="auto"/>
        </w:rPr>
      </w:pPr>
    </w:p>
    <w:p>
      <w:pPr>
        <w:ind w:left="180" w:right="200" w:hanging="10"/>
        <w:spacing w:after="0" w:line="293" w:lineRule="auto"/>
        <w:tabs>
          <w:tab w:leader="none" w:pos="36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Maintain an equity ownership policy for non-employee directors and our executive officers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Compensation Objectives and Philosophy</w:t>
      </w:r>
    </w:p>
    <w:p>
      <w:pPr>
        <w:spacing w:after="0" w:line="20" w:lineRule="exact"/>
        <w:rPr>
          <w:sz w:val="20"/>
          <w:szCs w:val="20"/>
          <w:color w:val="auto"/>
        </w:rPr>
      </w:pPr>
      <w:r>
        <w:rPr>
          <w:sz w:val="20"/>
          <w:szCs w:val="20"/>
          <w:color w:val="auto"/>
        </w:rPr>
        <w:br w:type="column"/>
      </w:r>
    </w:p>
    <w:p>
      <w:pPr>
        <w:ind w:left="198" w:hanging="198"/>
        <w:spacing w:after="0"/>
        <w:tabs>
          <w:tab w:leader="none" w:pos="198" w:val="left"/>
        </w:tabs>
        <w:numPr>
          <w:ilvl w:val="0"/>
          <w:numId w:val="54"/>
        </w:numPr>
        <w:rPr>
          <w:rFonts w:ascii="MS PGothic" w:cs="MS PGothic" w:eastAsia="MS PGothic" w:hAnsi="MS PGothic"/>
          <w:sz w:val="14"/>
          <w:szCs w:val="14"/>
          <w:color w:val="auto"/>
        </w:rPr>
      </w:pPr>
      <w:r>
        <w:rPr>
          <w:rFonts w:ascii="Arial" w:cs="Arial" w:eastAsia="Arial" w:hAnsi="Arial"/>
          <w:sz w:val="14"/>
          <w:szCs w:val="14"/>
          <w:color w:val="auto"/>
        </w:rPr>
        <w:t>Re-price stock options without prior stockholder approval</w:t>
      </w:r>
    </w:p>
    <w:p>
      <w:pPr>
        <w:spacing w:after="0" w:line="244" w:lineRule="exact"/>
        <w:rPr>
          <w:rFonts w:ascii="MS PGothic" w:cs="MS PGothic" w:eastAsia="MS PGothic" w:hAnsi="MS PGothic"/>
          <w:sz w:val="14"/>
          <w:szCs w:val="14"/>
          <w:color w:val="auto"/>
        </w:rPr>
      </w:pPr>
    </w:p>
    <w:p>
      <w:pPr>
        <w:ind w:left="198" w:hanging="198"/>
        <w:spacing w:after="0"/>
        <w:tabs>
          <w:tab w:leader="none" w:pos="198" w:val="left"/>
        </w:tabs>
        <w:numPr>
          <w:ilvl w:val="0"/>
          <w:numId w:val="54"/>
        </w:numPr>
        <w:rPr>
          <w:rFonts w:ascii="MS PGothic" w:cs="MS PGothic" w:eastAsia="MS PGothic" w:hAnsi="MS PGothic"/>
          <w:sz w:val="15"/>
          <w:szCs w:val="15"/>
          <w:color w:val="auto"/>
        </w:rPr>
      </w:pPr>
      <w:r>
        <w:rPr>
          <w:rFonts w:ascii="Arial" w:cs="Arial" w:eastAsia="Arial" w:hAnsi="Arial"/>
          <w:sz w:val="15"/>
          <w:szCs w:val="15"/>
          <w:color w:val="auto"/>
        </w:rPr>
        <w:t>Provide significant perquisites to our executive officers</w:t>
      </w:r>
    </w:p>
    <w:p>
      <w:pPr>
        <w:spacing w:after="0" w:line="200" w:lineRule="exact"/>
        <w:rPr>
          <w:rFonts w:ascii="MS PGothic" w:cs="MS PGothic" w:eastAsia="MS PGothic" w:hAnsi="MS PGothic"/>
          <w:sz w:val="15"/>
          <w:szCs w:val="15"/>
          <w:color w:val="auto"/>
        </w:rPr>
      </w:pPr>
    </w:p>
    <w:p>
      <w:pPr>
        <w:spacing w:after="0" w:line="235" w:lineRule="exact"/>
        <w:rPr>
          <w:rFonts w:ascii="MS PGothic" w:cs="MS PGothic" w:eastAsia="MS PGothic" w:hAnsi="MS PGothic"/>
          <w:sz w:val="15"/>
          <w:szCs w:val="15"/>
          <w:color w:val="auto"/>
        </w:rPr>
      </w:pPr>
    </w:p>
    <w:p>
      <w:pPr>
        <w:ind w:left="-2" w:right="279" w:firstLine="2"/>
        <w:spacing w:after="0" w:line="369" w:lineRule="auto"/>
        <w:tabs>
          <w:tab w:leader="none" w:pos="187" w:val="left"/>
        </w:tabs>
        <w:numPr>
          <w:ilvl w:val="0"/>
          <w:numId w:val="54"/>
        </w:numPr>
        <w:rPr>
          <w:rFonts w:ascii="MS PGothic" w:cs="MS PGothic" w:eastAsia="MS PGothic" w:hAnsi="MS PGothic"/>
          <w:sz w:val="14"/>
          <w:szCs w:val="14"/>
          <w:color w:val="auto"/>
        </w:rPr>
      </w:pPr>
      <w:r>
        <w:rPr>
          <w:rFonts w:ascii="Arial" w:cs="Arial" w:eastAsia="Arial" w:hAnsi="Arial"/>
          <w:sz w:val="14"/>
          <w:szCs w:val="14"/>
          <w:color w:val="auto"/>
        </w:rPr>
        <w:t>Provide supplemental executive retirement plans or special health and welfare benefits to our executive officers</w:t>
      </w:r>
    </w:p>
    <w:p>
      <w:pPr>
        <w:spacing w:after="0" w:line="112" w:lineRule="exact"/>
        <w:rPr>
          <w:rFonts w:ascii="MS PGothic" w:cs="MS PGothic" w:eastAsia="MS PGothic" w:hAnsi="MS PGothic"/>
          <w:sz w:val="14"/>
          <w:szCs w:val="14"/>
          <w:color w:val="auto"/>
        </w:rPr>
      </w:pPr>
    </w:p>
    <w:p>
      <w:pPr>
        <w:ind w:left="-2" w:right="239" w:firstLine="2"/>
        <w:spacing w:after="0" w:line="293" w:lineRule="auto"/>
        <w:tabs>
          <w:tab w:leader="none" w:pos="187" w:val="left"/>
        </w:tabs>
        <w:numPr>
          <w:ilvl w:val="0"/>
          <w:numId w:val="54"/>
        </w:numPr>
        <w:rPr>
          <w:rFonts w:ascii="MS PGothic" w:cs="MS PGothic" w:eastAsia="MS PGothic" w:hAnsi="MS PGothic"/>
          <w:sz w:val="16"/>
          <w:szCs w:val="16"/>
          <w:color w:val="auto"/>
        </w:rPr>
      </w:pPr>
      <w:r>
        <w:rPr>
          <w:rFonts w:ascii="Arial" w:cs="Arial" w:eastAsia="Arial" w:hAnsi="Arial"/>
          <w:sz w:val="16"/>
          <w:szCs w:val="16"/>
          <w:color w:val="auto"/>
        </w:rPr>
        <w:t>Provide tax gross-up payments for any change-of-control payments</w:t>
      </w:r>
    </w:p>
    <w:p>
      <w:pPr>
        <w:spacing w:after="0" w:line="3520" w:lineRule="exact"/>
        <w:rPr>
          <w:sz w:val="20"/>
          <w:szCs w:val="20"/>
          <w:color w:val="auto"/>
        </w:rPr>
      </w:pPr>
    </w:p>
    <w:p>
      <w:pPr>
        <w:sectPr>
          <w:pgSz w:w="11900" w:h="16838" w:orient="portrait"/>
          <w:cols w:equalWidth="0" w:num="2">
            <w:col w:w="4740" w:space="142"/>
            <w:col w:w="4137"/>
          </w:cols>
          <w:pgMar w:left="1440" w:top="517" w:right="1440" w:bottom="1440" w:gutter="0" w:footer="0" w:header="0"/>
          <w:type w:val="continuous"/>
        </w:sectPr>
      </w:pPr>
    </w:p>
    <w:p>
      <w:pPr>
        <w:ind w:left="60" w:right="159" w:firstLine="648"/>
        <w:spacing w:after="0" w:line="278" w:lineRule="auto"/>
        <w:rPr>
          <w:sz w:val="20"/>
          <w:szCs w:val="20"/>
          <w:color w:val="auto"/>
        </w:rPr>
      </w:pPr>
      <w:r>
        <w:rPr>
          <w:rFonts w:ascii="Arial" w:cs="Arial" w:eastAsia="Arial" w:hAnsi="Arial"/>
          <w:sz w:val="16"/>
          <w:szCs w:val="16"/>
          <w:color w:val="auto"/>
        </w:rPr>
        <w:t>Our compensation committee believes that the most effective compensation program is one that rewards value creation for stockholders and progress towards achieving our mission and that promotes company performance. The objectives of our compensation program are to:</w:t>
      </w:r>
    </w:p>
    <w:p>
      <w:pPr>
        <w:spacing w:after="0" w:line="76" w:lineRule="exact"/>
        <w:rPr>
          <w:sz w:val="20"/>
          <w:szCs w:val="20"/>
          <w:color w:val="auto"/>
        </w:rPr>
      </w:pPr>
    </w:p>
    <w:p>
      <w:pPr>
        <w:ind w:left="1340" w:hanging="318"/>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6"/>
          <w:szCs w:val="16"/>
          <w:color w:val="auto"/>
        </w:rPr>
        <w:t>attract, motivate and retain superior executive talent;</w:t>
      </w:r>
    </w:p>
    <w:p>
      <w:pPr>
        <w:spacing w:after="0" w:line="117" w:lineRule="exact"/>
        <w:rPr>
          <w:rFonts w:ascii="Arial" w:cs="Arial" w:eastAsia="Arial" w:hAnsi="Arial"/>
          <w:sz w:val="18"/>
          <w:szCs w:val="18"/>
          <w:color w:val="auto"/>
        </w:rPr>
      </w:pPr>
    </w:p>
    <w:p>
      <w:pPr>
        <w:ind w:left="1340" w:right="479" w:hanging="318"/>
        <w:spacing w:after="0" w:line="263" w:lineRule="auto"/>
        <w:tabs>
          <w:tab w:leader="none" w:pos="1340" w:val="left"/>
        </w:tabs>
        <w:numPr>
          <w:ilvl w:val="0"/>
          <w:numId w:val="55"/>
        </w:numPr>
        <w:rPr>
          <w:rFonts w:ascii="Arial" w:cs="Arial" w:eastAsia="Arial" w:hAnsi="Arial"/>
          <w:sz w:val="18"/>
          <w:szCs w:val="18"/>
          <w:color w:val="auto"/>
        </w:rPr>
      </w:pPr>
      <w:r>
        <w:rPr>
          <w:rFonts w:ascii="Arial" w:cs="Arial" w:eastAsia="Arial" w:hAnsi="Arial"/>
          <w:sz w:val="16"/>
          <w:szCs w:val="16"/>
          <w:color w:val="auto"/>
        </w:rPr>
        <w:t>provide incentives that motivate and reward the achievement of performance goals that directly correlate to the enhancement of stockholder value, as well as to facilitate executive retention; and</w:t>
      </w:r>
    </w:p>
    <w:p>
      <w:pPr>
        <w:spacing w:after="0" w:line="84" w:lineRule="exact"/>
        <w:rPr>
          <w:rFonts w:ascii="Arial" w:cs="Arial" w:eastAsia="Arial" w:hAnsi="Arial"/>
          <w:sz w:val="18"/>
          <w:szCs w:val="18"/>
          <w:color w:val="auto"/>
        </w:rPr>
      </w:pPr>
    </w:p>
    <w:p>
      <w:pPr>
        <w:ind w:left="1340" w:right="339" w:hanging="318"/>
        <w:spacing w:after="0" w:line="262" w:lineRule="auto"/>
        <w:tabs>
          <w:tab w:leader="none" w:pos="1340" w:val="left"/>
        </w:tabs>
        <w:numPr>
          <w:ilvl w:val="0"/>
          <w:numId w:val="55"/>
        </w:numPr>
        <w:rPr>
          <w:rFonts w:ascii="Arial" w:cs="Arial" w:eastAsia="Arial" w:hAnsi="Arial"/>
          <w:sz w:val="18"/>
          <w:szCs w:val="18"/>
          <w:color w:val="auto"/>
        </w:rPr>
      </w:pPr>
      <w:r>
        <w:rPr>
          <w:rFonts w:ascii="Arial" w:cs="Arial" w:eastAsia="Arial" w:hAnsi="Arial"/>
          <w:sz w:val="16"/>
          <w:szCs w:val="16"/>
          <w:color w:val="auto"/>
        </w:rPr>
        <w:t>align executives’ interests with those of stockholders through long-term incentives linked to the performance and appreciation of the stock price of our company, which we believe serves to enhance short- and long-term value creation for our stockholders.</w:t>
      </w:r>
    </w:p>
    <w:p>
      <w:pPr>
        <w:spacing w:after="0" w:line="88" w:lineRule="exact"/>
        <w:rPr>
          <w:sz w:val="20"/>
          <w:szCs w:val="20"/>
          <w:color w:val="auto"/>
        </w:rPr>
      </w:pPr>
    </w:p>
    <w:p>
      <w:pPr>
        <w:ind w:left="60" w:right="139" w:firstLine="648"/>
        <w:spacing w:after="0" w:line="278" w:lineRule="auto"/>
        <w:rPr>
          <w:sz w:val="20"/>
          <w:szCs w:val="20"/>
          <w:color w:val="auto"/>
        </w:rPr>
      </w:pPr>
      <w:r>
        <w:rPr>
          <w:rFonts w:ascii="Arial" w:cs="Arial" w:eastAsia="Arial" w:hAnsi="Arial"/>
          <w:sz w:val="16"/>
          <w:szCs w:val="16"/>
          <w:color w:val="auto"/>
        </w:rPr>
        <w:t>To achieve its objectives, our compensation committee evaluates our executive compensation program with the goal of setting total compensation at levels that align with our culture, total rewards strategy, size and life stage. Specifically, our compensation committee targets key elements of our compensation programs as follows:</w:t>
      </w:r>
    </w:p>
    <w:p>
      <w:pPr>
        <w:spacing w:after="0" w:line="76" w:lineRule="exact"/>
        <w:rPr>
          <w:sz w:val="20"/>
          <w:szCs w:val="20"/>
          <w:color w:val="auto"/>
        </w:rPr>
      </w:pPr>
    </w:p>
    <w:p>
      <w:pPr>
        <w:ind w:left="1340" w:right="159" w:hanging="318"/>
        <w:spacing w:after="0" w:line="236" w:lineRule="auto"/>
        <w:tabs>
          <w:tab w:leader="none" w:pos="1340" w:val="left"/>
        </w:tabs>
        <w:numPr>
          <w:ilvl w:val="0"/>
          <w:numId w:val="5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Base salaries: </w:t>
      </w:r>
      <w:r>
        <w:rPr>
          <w:rFonts w:ascii="Arial" w:cs="Arial" w:eastAsia="Arial" w:hAnsi="Arial"/>
          <w:sz w:val="16"/>
          <w:szCs w:val="16"/>
          <w:color w:val="auto"/>
        </w:rPr>
        <w:t>Our compensation committee generally targets base salaries at the 50</w:t>
      </w:r>
      <w:r>
        <w:rPr>
          <w:rFonts w:ascii="Arial" w:cs="Arial" w:eastAsia="Arial" w:hAnsi="Arial"/>
          <w:sz w:val="24"/>
          <w:szCs w:val="24"/>
          <w:color w:val="auto"/>
          <w:vertAlign w:val="superscript"/>
        </w:rPr>
        <w:t>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percentile of our peer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discussed below, and seeks to ensure that such salaries reflect each executive’s level of experience, performance and responsibility and that such levels are competitive with those of other companies in our industry and region that compete with us for executive talent.</w:t>
      </w:r>
    </w:p>
    <w:p>
      <w:pPr>
        <w:spacing w:after="0" w:line="104" w:lineRule="exact"/>
        <w:rPr>
          <w:rFonts w:ascii="Arial" w:cs="Arial" w:eastAsia="Arial" w:hAnsi="Arial"/>
          <w:sz w:val="18"/>
          <w:szCs w:val="18"/>
          <w:color w:val="auto"/>
        </w:rPr>
      </w:pPr>
    </w:p>
    <w:p>
      <w:pPr>
        <w:ind w:left="1340" w:right="119" w:hanging="318"/>
        <w:spacing w:after="0" w:line="309" w:lineRule="auto"/>
        <w:tabs>
          <w:tab w:leader="none" w:pos="1340" w:val="left"/>
        </w:tabs>
        <w:numPr>
          <w:ilvl w:val="0"/>
          <w:numId w:val="56"/>
        </w:numPr>
        <w:rPr>
          <w:rFonts w:ascii="Arial" w:cs="Arial" w:eastAsia="Arial" w:hAnsi="Arial"/>
          <w:sz w:val="16"/>
          <w:szCs w:val="16"/>
          <w:color w:val="auto"/>
        </w:rPr>
      </w:pPr>
      <w:r>
        <w:rPr>
          <w:rFonts w:ascii="Arial" w:cs="Arial" w:eastAsia="Arial" w:hAnsi="Arial"/>
          <w:sz w:val="14"/>
          <w:szCs w:val="14"/>
          <w:b w:val="1"/>
          <w:bCs w:val="1"/>
          <w:i w:val="1"/>
          <w:iCs w:val="1"/>
          <w:color w:val="auto"/>
        </w:rPr>
        <w:t xml:space="preserve">Annual performance-based cash incentive compensation: </w:t>
      </w:r>
      <w:r>
        <w:rPr>
          <w:rFonts w:ascii="Arial" w:cs="Arial" w:eastAsia="Arial" w:hAnsi="Arial"/>
          <w:sz w:val="14"/>
          <w:szCs w:val="14"/>
          <w:color w:val="auto"/>
        </w:rPr>
        <w:t>Our compensation program links a substantial portion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named executive officers’ compensation to the achievement of scientific, business, organizational and operational goals such as our commercialization activities; progress in our clinical trials and research programs; key research and development achievements; maintaining the strong financial health of the company, including</w:t>
      </w:r>
    </w:p>
    <w:p>
      <w:pPr>
        <w:sectPr>
          <w:pgSz w:w="11900" w:h="16838" w:orient="portrait"/>
          <w:cols w:equalWidth="0" w:num="1">
            <w:col w:w="9019"/>
          </w:cols>
          <w:pgMar w:left="1440" w:top="517" w:right="1440" w:bottom="1440" w:gutter="0" w:footer="0" w:header="0"/>
          <w:type w:val="continuous"/>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40" w:right="99"/>
        <w:spacing w:after="0" w:line="241" w:lineRule="auto"/>
        <w:rPr>
          <w:sz w:val="20"/>
          <w:szCs w:val="20"/>
          <w:color w:val="auto"/>
        </w:rPr>
      </w:pPr>
      <w:r>
        <w:rPr>
          <w:rFonts w:ascii="Arial" w:cs="Arial" w:eastAsia="Arial" w:hAnsi="Arial"/>
          <w:sz w:val="16"/>
          <w:szCs w:val="16"/>
          <w:color w:val="auto"/>
        </w:rPr>
        <w:t>implementation of appropriate financing strategies; maintaining and establishing key strategic relationships; addition and development of internal competencies, including retention of high-performing employees; and achievement of desired financial metrics. Our compensation committee targets annual performance-based cash incentive compensation at the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of our peer group and caps annual cash incentive program payouts in any given year at 150% of the target payout level.</w:t>
      </w:r>
    </w:p>
    <w:p>
      <w:pPr>
        <w:spacing w:after="0" w:line="104" w:lineRule="exact"/>
        <w:rPr>
          <w:sz w:val="20"/>
          <w:szCs w:val="20"/>
          <w:color w:val="auto"/>
        </w:rPr>
      </w:pPr>
    </w:p>
    <w:p>
      <w:pPr>
        <w:ind w:left="1340" w:right="99" w:hanging="318"/>
        <w:spacing w:after="0" w:line="280" w:lineRule="auto"/>
        <w:tabs>
          <w:tab w:leader="none" w:pos="1340" w:val="left"/>
        </w:tabs>
        <w:numPr>
          <w:ilvl w:val="0"/>
          <w:numId w:val="57"/>
        </w:numPr>
        <w:rPr>
          <w:rFonts w:ascii="Arial" w:cs="Arial" w:eastAsia="Arial" w:hAnsi="Arial"/>
          <w:sz w:val="17"/>
          <w:szCs w:val="17"/>
          <w:color w:val="auto"/>
        </w:rPr>
      </w:pPr>
      <w:r>
        <w:rPr>
          <w:rFonts w:ascii="Arial" w:cs="Arial" w:eastAsia="Arial" w:hAnsi="Arial"/>
          <w:sz w:val="15"/>
          <w:szCs w:val="15"/>
          <w:b w:val="1"/>
          <w:bCs w:val="1"/>
          <w:i w:val="1"/>
          <w:iCs w:val="1"/>
          <w:color w:val="auto"/>
        </w:rPr>
        <w:t xml:space="preserve">Equity incentive compensation: </w:t>
      </w:r>
      <w:r>
        <w:rPr>
          <w:rFonts w:ascii="Arial" w:cs="Arial" w:eastAsia="Arial" w:hAnsi="Arial"/>
          <w:sz w:val="15"/>
          <w:szCs w:val="15"/>
          <w:color w:val="auto"/>
        </w:rPr>
        <w:t>In addition, we provide a significant portion of our executive compensation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form of stock options and restricted stock units, or RSUs, that vest over time, which we believe helps to retain our executives and aligns their interests with those of our stockholders by allowing them to participate in the longer term success of our company as reflected in the appreciation of our stock price. When determining equity incentive compensation for our named executive officers, our compensation committee considers a host of factors in comparison to our named peers, including the following: annual long-term incentive target values, annual equity awards expressed as a percent of total shares outstanding, total annual and cumulative dilution, the retentive value of outstanding awards and total equity ownership and the equity compensation practices of other companies in our industry that compete with us for talent. Given the dynamic biopharmaceutical market, the compensation committee does not overemphasize any one perspective. Rather, the committee takes a holistic perspective, further considering the factors enumerated above, the achievement of company goals and how that impacts total shareholder return, when determining actual award levels for the named executive officers, which the committee generally targets at the 65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our peer group.</w:t>
      </w:r>
    </w:p>
    <w:p>
      <w:pPr>
        <w:spacing w:after="0" w:line="10" w:lineRule="exact"/>
        <w:rPr>
          <w:sz w:val="20"/>
          <w:szCs w:val="20"/>
          <w:color w:val="auto"/>
        </w:rPr>
      </w:pPr>
    </w:p>
    <w:p>
      <w:pPr>
        <w:ind w:left="60" w:right="239" w:firstLine="648"/>
        <w:spacing w:after="0" w:line="285" w:lineRule="auto"/>
        <w:rPr>
          <w:sz w:val="20"/>
          <w:szCs w:val="20"/>
          <w:color w:val="auto"/>
        </w:rPr>
      </w:pPr>
      <w:r>
        <w:rPr>
          <w:rFonts w:ascii="Arial" w:cs="Arial" w:eastAsia="Arial" w:hAnsi="Arial"/>
          <w:sz w:val="15"/>
          <w:szCs w:val="15"/>
          <w:color w:val="auto"/>
        </w:rPr>
        <w:t>We believe that targeting overall compensation in this manner is necessary and appropriate in order to attract and retain the quality of talent we need to successfully grow our business, achieve our challenging goals, sustain strong performance, and seek to ensure that compensation levels are competitive with those of other companies against which we compete for talent. In addition, we believe this approach to overall compensation creates a strong alignment with shareholder value and encourages long-term value creation. However, any given individual employee’s compensation may vary from the targeted pay framework, based on the unique responsibilities and requirements of his or her position, his or her experience and other qualifications, internal parity relative to similar positions within the company, and individual or company performance relative to performance goals and the peer group to ensure appropriate pay-for-performance alignment. While we do not have a formal or informal policy for allocating between long-term and short-term compensation, between cash and non-cash compensation or among different forms of non-cash compensation, we generally strive to provide our named executive officers with a balance of short-term and long-term incentives to encourage consistently strong performance.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Annual Say-on-Pay Vote on Executive Compensation</w:t>
      </w:r>
    </w:p>
    <w:p>
      <w:pPr>
        <w:spacing w:after="0" w:line="12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The compensation committee considered the results of the non-binding, stockholder advisory votes on the compensation of our named executive officers conducted at the 2020 Annual Meeting, commonly referred to as a “say-on-pay” vote. As reported in our current report on Form 8-K, filed with the SEC on June 26, 2020, approximately 98.0% of the votes cast on the proposal expressed support for the compensation program offered to our named executive officers as disclosed in last year’s proxy statement. The compensation committee appreciated this support and believes it indicates that our stockholders are supportive of the current executive compensation structure and policies. As such, the committee made no changes to our executive compensation program as a result of the say-on-pay vote.</w:t>
      </w:r>
    </w:p>
    <w:p>
      <w:pPr>
        <w:spacing w:after="0" w:line="82"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5"/>
          <w:szCs w:val="15"/>
          <w:color w:val="auto"/>
        </w:rPr>
        <w:t>Further, our board of directors has elected to conduct the say-on-pay vote annually, thereby giving our stockholders the opportunity to provide feedback on the compensation of our named executive officers each year. We will be conducting our annual say-on-pay vote as described in Proposal 2 of this proxy statement at our 2021 annual meeting of stockholders. Our board of directors and our compensation committee will consider the outcome of the say-on-pay vote, as well as feedback received throughout the year, when making compensation decisions for our named executive officers in the future. Following our 2021 annual meeting, the next say-on-pay vote will be held at the 2022 Annual Meeting of Stockholders.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Overview of Executive Compensation Process</w:t>
      </w:r>
    </w:p>
    <w:p>
      <w:pPr>
        <w:spacing w:after="0" w:line="127" w:lineRule="exact"/>
        <w:rPr>
          <w:sz w:val="20"/>
          <w:szCs w:val="20"/>
          <w:color w:val="auto"/>
        </w:rPr>
      </w:pPr>
    </w:p>
    <w:p>
      <w:pPr>
        <w:ind w:left="60" w:right="179" w:firstLine="648"/>
        <w:spacing w:after="0" w:line="288" w:lineRule="auto"/>
        <w:rPr>
          <w:sz w:val="20"/>
          <w:szCs w:val="20"/>
          <w:color w:val="auto"/>
        </w:rPr>
      </w:pPr>
      <w:r>
        <w:rPr>
          <w:rFonts w:ascii="Arial" w:cs="Arial" w:eastAsia="Arial" w:hAnsi="Arial"/>
          <w:sz w:val="15"/>
          <w:szCs w:val="15"/>
          <w:color w:val="auto"/>
        </w:rPr>
        <w:t>As a part of determining named executive officer performance and compensation, our compensation committee receives recommendations from our chief executive officer, other than with respect to his own compensation and performance. Our chief executive officer’s performance is evaluated and approved directly by the compensation committee, taking into account input from our board of directors. Evaluations of each of our named executives is based on our overall corporate performance against annual goals that are approved by the board of directors at the beginning of each year and, in the case of executive officers other than our chief executive officer, the achievement of individual goals, as discussed in more detail below. The evaluation of our chief executive officer is based solely on our corporate performance goals, in recognition of his overall responsibility for our corporate performance and to incentivize him to drive the execution of our strategic plans and achievement of our corporate goals.</w:t>
      </w:r>
    </w:p>
    <w:p>
      <w:pPr>
        <w:spacing w:after="0" w:line="72" w:lineRule="exact"/>
        <w:rPr>
          <w:sz w:val="20"/>
          <w:szCs w:val="20"/>
          <w:color w:val="auto"/>
        </w:rPr>
      </w:pPr>
    </w:p>
    <w:p>
      <w:pPr>
        <w:ind w:left="60" w:right="79" w:firstLine="648"/>
        <w:spacing w:after="0" w:line="297" w:lineRule="auto"/>
        <w:rPr>
          <w:sz w:val="20"/>
          <w:szCs w:val="20"/>
          <w:color w:val="auto"/>
        </w:rPr>
      </w:pPr>
      <w:r>
        <w:rPr>
          <w:rFonts w:ascii="Arial" w:cs="Arial" w:eastAsia="Arial" w:hAnsi="Arial"/>
          <w:sz w:val="15"/>
          <w:szCs w:val="15"/>
          <w:color w:val="auto"/>
        </w:rPr>
        <w:t>The compensation committee has the sole authority to retain, at our expense, one or more third-party compensation consultants to assist the compensation committee in performing its responsibilities. The compensation committee may terminate the services of the consultant if the compensation committee deems it appropriate. In 2020, the compensation committee utilized the services of Radford, part of the Rewards Solutions practice of Aon plc, to assist it in fulfilling its responsibilities. Radford was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319"/>
        <w:spacing w:after="0" w:line="278" w:lineRule="auto"/>
        <w:rPr>
          <w:sz w:val="20"/>
          <w:szCs w:val="20"/>
          <w:color w:val="auto"/>
        </w:rPr>
      </w:pPr>
      <w:r>
        <w:rPr>
          <w:rFonts w:ascii="Arial" w:cs="Arial" w:eastAsia="Arial" w:hAnsi="Arial"/>
          <w:sz w:val="16"/>
          <w:szCs w:val="16"/>
          <w:color w:val="auto"/>
        </w:rPr>
        <w:t>retained exclusively by the compensation committee and has not been retained by management to perform any work for the company other than projects performed at the direction of the compensation committee. Radford provides analysis and recommendations regarding:</w:t>
      </w:r>
    </w:p>
    <w:p>
      <w:pPr>
        <w:spacing w:after="0" w:line="76" w:lineRule="exact"/>
        <w:rPr>
          <w:sz w:val="20"/>
          <w:szCs w:val="20"/>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6"/>
          <w:szCs w:val="16"/>
          <w:color w:val="auto"/>
        </w:rPr>
        <w:t>trends and emerging topics with respect to executive compensation;</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6"/>
          <w:szCs w:val="16"/>
          <w:color w:val="auto"/>
        </w:rPr>
        <w:t>peer group selection for executive compensation benchmarking;</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6"/>
          <w:szCs w:val="16"/>
          <w:color w:val="auto"/>
        </w:rPr>
        <w:t>compensation practices of our peer group, including executive severance arrangements;</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6"/>
          <w:szCs w:val="16"/>
          <w:color w:val="auto"/>
        </w:rPr>
        <w:t>compensation philosophy and programs for executives and broad-based employees;</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6"/>
          <w:szCs w:val="16"/>
          <w:color w:val="auto"/>
        </w:rPr>
        <w:t>stock utilization and other metrics; and</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6"/>
          <w:szCs w:val="16"/>
          <w:color w:val="auto"/>
        </w:rPr>
        <w:t>board of directors compensation.</w:t>
      </w:r>
    </w:p>
    <w:p>
      <w:pPr>
        <w:spacing w:after="0" w:line="118"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5"/>
          <w:szCs w:val="15"/>
          <w:color w:val="auto"/>
        </w:rPr>
        <w:t>In addition, we subscribe to Radford’s various global annual and specialized life sciences and general industry surveys on an ongoing basis. Radford advised the compensation committee on all of the principal aspects of executive compensation, including executive new hire compensation arrangements. Radford consultants attend meetings of the compensation committee, including executive sessions in which executive compensation issues are discussed, when requested to do so. Radford reports to the compensation committee and not to management, although it meets with management for purposes of gathering information for its analyses and recommendations. The compensation committee annually evaluates its engagement of compensation consultants, and selected Radford to advise with respect to compensation matters based on Radford’s industry experience and reputation, which our compensation committee concluded give Radford useful context and knowledge to advise it. The compensation committee has assessed the independence of Radford pursuant to SEC and Nasdaq rules and concluded that no conflict of interest exists that would prevent Radford from independently representing the compensation committee.</w:t>
      </w:r>
    </w:p>
    <w:p>
      <w:pPr>
        <w:spacing w:after="0" w:line="70"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Annual base salaries for the year, and annual performance-based cash incentives and equity incentive awards for all employees for the prior year are generally determined in the first quarter of the year based on company and individual performance of the prior year, as well as other factors, including compensation trends in the biopharmaceutical industry and among our benchmark peers. In February 2020, the compensation committee approved 2020 base salaries (other than Dr. Namouni, who joined the company in September 2020), 2020 target award opportunities, 2019 annual cash incentive payouts, 2020 annual equity awards for each of our named executive officers, including our chief executive officer. With respect to our chief executive officer, the compensation committee reviewed his performance and presented its assessment to our board of directors prior to the compensation committee approving the 2020 base salary, 2020 target award opportunity and 2019 annual cash incentive, annual stock option and RSU awards for our chief executive officer.</w:t>
      </w:r>
    </w:p>
    <w:p>
      <w:pPr>
        <w:spacing w:after="0" w:line="88" w:lineRule="exact"/>
        <w:rPr>
          <w:sz w:val="20"/>
          <w:szCs w:val="20"/>
          <w:color w:val="auto"/>
        </w:rPr>
      </w:pPr>
    </w:p>
    <w:p>
      <w:pPr>
        <w:jc w:val="both"/>
        <w:ind w:left="60" w:right="199" w:firstLine="648"/>
        <w:spacing w:after="0" w:line="293" w:lineRule="auto"/>
        <w:rPr>
          <w:sz w:val="20"/>
          <w:szCs w:val="20"/>
          <w:color w:val="auto"/>
        </w:rPr>
      </w:pPr>
      <w:r>
        <w:rPr>
          <w:rFonts w:ascii="Arial" w:cs="Arial" w:eastAsia="Arial" w:hAnsi="Arial"/>
          <w:sz w:val="15"/>
          <w:szCs w:val="15"/>
          <w:color w:val="auto"/>
        </w:rPr>
        <w:t>In February 2021, the compensation committee approved 2021 base salaries, 2021 target award opportunities, 2020 annual cash incentive payouts and 2021 annual equity awards for each of our named executive officers, including our chief executive officer. With respect to our chief executive officer, the compensation committee reviewed his performance and presented its assessment to our board of directors prior to the compensation committee approving the 2021 base salary, 2021 target award opportunity and 2020 annual cash incentive and annual equity awards for our chief executive officer.</w:t>
      </w:r>
    </w:p>
    <w:p>
      <w:pPr>
        <w:spacing w:after="0" w:line="68" w:lineRule="exact"/>
        <w:rPr>
          <w:sz w:val="20"/>
          <w:szCs w:val="20"/>
          <w:color w:val="auto"/>
        </w:rPr>
      </w:pPr>
    </w:p>
    <w:p>
      <w:pPr>
        <w:ind w:left="60" w:right="419" w:firstLine="648"/>
        <w:spacing w:after="0" w:line="271" w:lineRule="auto"/>
        <w:rPr>
          <w:sz w:val="20"/>
          <w:szCs w:val="20"/>
          <w:color w:val="auto"/>
        </w:rPr>
      </w:pPr>
      <w:r>
        <w:rPr>
          <w:rFonts w:ascii="Arial" w:cs="Arial" w:eastAsia="Arial" w:hAnsi="Arial"/>
          <w:sz w:val="16"/>
          <w:szCs w:val="16"/>
          <w:color w:val="auto"/>
        </w:rPr>
        <w:t>In 2020, equity awards were comprised solely of stock option grants and RSUs granted under our 2015 Stock Option and Incentive Plan, or the 2015 Plan, and our 2020 Inducement Plan, or the 2020 Plan. All new full-time employees are granted equity awards when they start employment with us, which typically consists of a combination of stock options and RSUs. In addition, all continuing employees are eligible for equity awards consisting of stock option and RSU awards annually based on performance and upon promotions to positions of greater responsibility.</w:t>
      </w:r>
    </w:p>
    <w:p>
      <w:pPr>
        <w:spacing w:after="0" w:line="82" w:lineRule="exact"/>
        <w:rPr>
          <w:sz w:val="20"/>
          <w:szCs w:val="20"/>
          <w:color w:val="auto"/>
        </w:rPr>
      </w:pPr>
    </w:p>
    <w:p>
      <w:pPr>
        <w:ind w:left="60" w:right="139" w:firstLine="648"/>
        <w:spacing w:after="0" w:line="307" w:lineRule="auto"/>
        <w:rPr>
          <w:sz w:val="20"/>
          <w:szCs w:val="20"/>
          <w:color w:val="auto"/>
        </w:rPr>
      </w:pPr>
      <w:r>
        <w:rPr>
          <w:rFonts w:ascii="Arial" w:cs="Arial" w:eastAsia="Arial" w:hAnsi="Arial"/>
          <w:sz w:val="14"/>
          <w:szCs w:val="14"/>
          <w:color w:val="auto"/>
        </w:rPr>
        <w:t>Our compensation committee has delegated authority to Mr. Albers, our chief executive officer, to make equity awards under our 2015 Plan to any new hire, or replacement or substitute hire of the company or its subsidiaries and existing employees of the company or any of its subsidiaries in connection with promotions, employee recognition or exceptional performance, in each case, subject to certain limitations. In particular, our chief executive officer is not authorized to grant equity awards (i) to an employee who is a senior vice president (or above) or a direct report to the chief executive officer; (ii) to an employee who is an officer or director of the company or its subsidiaries and is subject to Section 16 of the Exchange Act; (iii) to an employee who is at the time of grant, or who is anticipated to become during the term of the applicable equity award, a “covered employee”, as defined in Section 162(m)(3) of the Internal Revenue Code; (iv) to himself; or (v) to any other person that our board of directors or compensation committee, respectively, may from time to time designate in writing as not being eligible to receive equity awards under the authority delegated to the chief executive officer. In addition, the number of shares underlying any equity awards granted by our chief executive officer must be within the range specified by our compensation committee for these awards, and the aggregate number of shares underlying equity awards that our chief executive officer may grant in any one calendar year or to any person in any one calendar year must be within specified limits established by our compensation committee. The exercise price of stock options must be equal to the closing price of our common stock on the Nasdaq Global Select Market on the date of grant, and all equity awards must have vesting terms consistent with those approved by our compensation committee. In addition, Mr. Albers is required to maintain 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list of equity awards granted pursuant to such delegated authority and periodically report to our compensation committee regarding such awards.</w:t>
      </w:r>
    </w:p>
    <w:p>
      <w:pPr>
        <w:spacing w:after="0" w:line="64"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With respect to any equity awards granted by our chief executive officer to new hires, Mr. Albers approves the awards in connection with such hires and provides that the awards are to be granted to the new hires on the first day of the calendar month following the date of such new hires’ first date of regular employment. With respect to any equity awards granted by our chief executive officer to employees in connection with mid-year promotions, Mr. Albers approves the awards in connection with such promotions and provides that the awards are to be granted on July 1 of the applicable year.</w:t>
      </w:r>
    </w:p>
    <w:p>
      <w:pPr>
        <w:spacing w:after="0" w:line="82" w:lineRule="exact"/>
        <w:rPr>
          <w:sz w:val="20"/>
          <w:szCs w:val="20"/>
          <w:color w:val="auto"/>
        </w:rPr>
      </w:pPr>
    </w:p>
    <w:p>
      <w:pPr>
        <w:jc w:val="both"/>
        <w:ind w:left="60" w:right="359" w:firstLine="648"/>
        <w:spacing w:after="0" w:line="278" w:lineRule="auto"/>
        <w:rPr>
          <w:sz w:val="20"/>
          <w:szCs w:val="20"/>
          <w:color w:val="auto"/>
        </w:rPr>
      </w:pPr>
      <w:r>
        <w:rPr>
          <w:rFonts w:ascii="Arial" w:cs="Arial" w:eastAsia="Arial" w:hAnsi="Arial"/>
          <w:sz w:val="16"/>
          <w:szCs w:val="16"/>
          <w:color w:val="auto"/>
        </w:rPr>
        <w:t>Notwithstanding the delegation of authority to our chief executive officer to grant certain equity awards in connection with new-hires and promotions, our compensation committee approves all equity awards that are a) granted under the 2020 Plan and b) in connection with annual promotions as part of our annual compensation review process.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Defining and Comparing Compensation to Market Benchmarks</w:t>
      </w:r>
    </w:p>
    <w:p>
      <w:pPr>
        <w:spacing w:after="0" w:line="127" w:lineRule="exact"/>
        <w:rPr>
          <w:sz w:val="20"/>
          <w:szCs w:val="20"/>
          <w:color w:val="auto"/>
        </w:rPr>
      </w:pPr>
    </w:p>
    <w:p>
      <w:pPr>
        <w:ind w:left="60" w:right="79" w:firstLine="648"/>
        <w:spacing w:after="0" w:line="278" w:lineRule="auto"/>
        <w:rPr>
          <w:sz w:val="20"/>
          <w:szCs w:val="20"/>
          <w:color w:val="auto"/>
        </w:rPr>
      </w:pPr>
      <w:r>
        <w:rPr>
          <w:rFonts w:ascii="Arial" w:cs="Arial" w:eastAsia="Arial" w:hAnsi="Arial"/>
          <w:sz w:val="16"/>
          <w:szCs w:val="16"/>
          <w:color w:val="auto"/>
        </w:rPr>
        <w:t>In evaluating the total compensation of our named executive officers, our compensation committee, using information provided by Radford, establishes a peer group of publicly traded companies in the biopharmaceutical and biotechnology industries that is selected based on a balance of the following criteria:</w:t>
      </w:r>
    </w:p>
    <w:p>
      <w:pPr>
        <w:spacing w:after="0" w:line="76" w:lineRule="exact"/>
        <w:rPr>
          <w:sz w:val="20"/>
          <w:szCs w:val="20"/>
          <w:color w:val="auto"/>
        </w:rPr>
      </w:pPr>
    </w:p>
    <w:p>
      <w:pPr>
        <w:ind w:left="1340" w:right="99" w:hanging="318"/>
        <w:spacing w:after="0" w:line="263"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6"/>
          <w:szCs w:val="16"/>
          <w:color w:val="auto"/>
        </w:rPr>
        <w:t>companies whose number of employees, stage of development, revenue and market capitalization are similar, though not necessarily identical, to ours;</w:t>
      </w:r>
    </w:p>
    <w:p>
      <w:pPr>
        <w:spacing w:after="0" w:line="83" w:lineRule="exact"/>
        <w:rPr>
          <w:rFonts w:ascii="Arial" w:cs="Arial" w:eastAsia="Arial" w:hAnsi="Arial"/>
          <w:sz w:val="18"/>
          <w:szCs w:val="18"/>
          <w:color w:val="auto"/>
        </w:rPr>
      </w:pPr>
    </w:p>
    <w:p>
      <w:pPr>
        <w:ind w:left="1340" w:hanging="318"/>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6"/>
          <w:szCs w:val="16"/>
          <w:color w:val="auto"/>
        </w:rPr>
        <w:t>companies with similar executive positions to ours;</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6"/>
          <w:szCs w:val="16"/>
          <w:color w:val="auto"/>
        </w:rPr>
        <w:t>companies against which we believe that we compete for executive talent; and</w:t>
      </w:r>
    </w:p>
    <w:p>
      <w:pPr>
        <w:spacing w:after="0" w:line="117" w:lineRule="exact"/>
        <w:rPr>
          <w:rFonts w:ascii="Arial" w:cs="Arial" w:eastAsia="Arial" w:hAnsi="Arial"/>
          <w:sz w:val="18"/>
          <w:szCs w:val="18"/>
          <w:color w:val="auto"/>
        </w:rPr>
      </w:pPr>
    </w:p>
    <w:p>
      <w:pPr>
        <w:ind w:left="1340" w:right="779" w:hanging="318"/>
        <w:spacing w:after="0" w:line="263"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6"/>
          <w:szCs w:val="16"/>
          <w:color w:val="auto"/>
        </w:rPr>
        <w:t>public companies based in the United States whose compensation and financial data are available in proxy statements or through widely available compensation surveys.</w:t>
      </w:r>
    </w:p>
    <w:p>
      <w:pPr>
        <w:spacing w:after="0" w:line="85" w:lineRule="exact"/>
        <w:rPr>
          <w:sz w:val="20"/>
          <w:szCs w:val="20"/>
          <w:color w:val="auto"/>
        </w:rPr>
      </w:pPr>
    </w:p>
    <w:p>
      <w:pPr>
        <w:ind w:left="60" w:right="659" w:firstLine="648"/>
        <w:spacing w:after="0" w:line="293" w:lineRule="auto"/>
        <w:rPr>
          <w:sz w:val="20"/>
          <w:szCs w:val="20"/>
          <w:color w:val="auto"/>
        </w:rPr>
      </w:pPr>
      <w:r>
        <w:rPr>
          <w:rFonts w:ascii="Arial" w:cs="Arial" w:eastAsia="Arial" w:hAnsi="Arial"/>
          <w:sz w:val="16"/>
          <w:szCs w:val="16"/>
          <w:color w:val="auto"/>
        </w:rPr>
        <w:t>Based on these criteria, our peer group for 2020, referred to as our 2020 peer group, as approved by our compensation committee, was comprised of the following 17 companies:</w:t>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ACADIA Pharmaceuticals Inc.</w:t>
            </w:r>
          </w:p>
        </w:tc>
        <w:tc>
          <w:tcPr>
            <w:tcW w:w="3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bluebird bio, Inc.</w:t>
            </w:r>
          </w:p>
        </w:tc>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Sage Therapeutics, Inc.</w:t>
            </w: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Acceleron Pharma Inc.</w:t>
            </w:r>
          </w:p>
        </w:tc>
        <w:tc>
          <w:tcPr>
            <w:tcW w:w="3120" w:type="dxa"/>
            <w:vAlign w:val="bottom"/>
          </w:tcPr>
          <w:p>
            <w:pPr>
              <w:ind w:left="680"/>
              <w:spacing w:after="0"/>
              <w:rPr>
                <w:sz w:val="20"/>
                <w:szCs w:val="20"/>
                <w:color w:val="auto"/>
              </w:rPr>
            </w:pPr>
            <w:r>
              <w:rPr>
                <w:rFonts w:ascii="Arial" w:cs="Arial" w:eastAsia="Arial" w:hAnsi="Arial"/>
                <w:sz w:val="16"/>
                <w:szCs w:val="16"/>
                <w:color w:val="auto"/>
              </w:rPr>
              <w:t>FibroGen, Inc.</w:t>
            </w:r>
          </w:p>
        </w:tc>
        <w:tc>
          <w:tcPr>
            <w:tcW w:w="3080" w:type="dxa"/>
            <w:vAlign w:val="bottom"/>
          </w:tcPr>
          <w:p>
            <w:pPr>
              <w:ind w:left="380"/>
              <w:spacing w:after="0"/>
              <w:rPr>
                <w:sz w:val="20"/>
                <w:szCs w:val="20"/>
                <w:color w:val="auto"/>
              </w:rPr>
            </w:pPr>
            <w:r>
              <w:rPr>
                <w:rFonts w:ascii="Arial" w:cs="Arial" w:eastAsia="Arial" w:hAnsi="Arial"/>
                <w:sz w:val="16"/>
                <w:szCs w:val="16"/>
                <w:color w:val="auto"/>
              </w:rPr>
              <w:t>Sangamo Therapeutics, Inc.</w:t>
            </w:r>
          </w:p>
        </w:tc>
      </w:tr>
      <w:tr>
        <w:trPr>
          <w:trHeight w:val="226"/>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Agios Pharmaceuticals, Inc.</w:t>
            </w:r>
          </w:p>
        </w:tc>
        <w:tc>
          <w:tcPr>
            <w:tcW w:w="3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Global Blood Therapeutics, Inc.</w:t>
            </w:r>
          </w:p>
        </w:tc>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Sarepta Therapeutics, Inc.</w:t>
            </w: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Alnylam Pharmaceuticals, Inc.</w:t>
            </w:r>
          </w:p>
        </w:tc>
        <w:tc>
          <w:tcPr>
            <w:tcW w:w="3120" w:type="dxa"/>
            <w:vAlign w:val="bottom"/>
          </w:tcPr>
          <w:p>
            <w:pPr>
              <w:ind w:left="680"/>
              <w:spacing w:after="0"/>
              <w:rPr>
                <w:sz w:val="20"/>
                <w:szCs w:val="20"/>
                <w:color w:val="auto"/>
              </w:rPr>
            </w:pPr>
            <w:r>
              <w:rPr>
                <w:rFonts w:ascii="Arial" w:cs="Arial" w:eastAsia="Arial" w:hAnsi="Arial"/>
                <w:sz w:val="16"/>
                <w:szCs w:val="16"/>
                <w:color w:val="auto"/>
              </w:rPr>
              <w:t>Immunomedics, Inc.</w:t>
            </w:r>
          </w:p>
        </w:tc>
        <w:tc>
          <w:tcPr>
            <w:tcW w:w="3080" w:type="dxa"/>
            <w:vAlign w:val="bottom"/>
          </w:tcPr>
          <w:p>
            <w:pPr>
              <w:ind w:left="380"/>
              <w:spacing w:after="0"/>
              <w:rPr>
                <w:sz w:val="20"/>
                <w:szCs w:val="20"/>
                <w:color w:val="auto"/>
              </w:rPr>
            </w:pPr>
            <w:r>
              <w:rPr>
                <w:rFonts w:ascii="Arial" w:cs="Arial" w:eastAsia="Arial" w:hAnsi="Arial"/>
                <w:sz w:val="16"/>
                <w:szCs w:val="16"/>
                <w:color w:val="auto"/>
              </w:rPr>
              <w:t>Ultragenyx Pharmaceutical Inc.</w:t>
            </w:r>
          </w:p>
        </w:tc>
      </w:tr>
      <w:tr>
        <w:trPr>
          <w:trHeight w:val="226"/>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Amarin Corporation plc</w:t>
            </w:r>
          </w:p>
        </w:tc>
        <w:tc>
          <w:tcPr>
            <w:tcW w:w="3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Intercept Pharmaceuticals, Inc.</w:t>
            </w:r>
          </w:p>
        </w:tc>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Xencor, Inc.</w:t>
            </w: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Amicus Therapeutics, Inc.</w:t>
            </w:r>
          </w:p>
        </w:tc>
        <w:tc>
          <w:tcPr>
            <w:tcW w:w="3120" w:type="dxa"/>
            <w:vAlign w:val="bottom"/>
          </w:tcPr>
          <w:p>
            <w:pPr>
              <w:ind w:left="680"/>
              <w:spacing w:after="0"/>
              <w:rPr>
                <w:sz w:val="20"/>
                <w:szCs w:val="20"/>
                <w:color w:val="auto"/>
              </w:rPr>
            </w:pPr>
            <w:r>
              <w:rPr>
                <w:rFonts w:ascii="Arial" w:cs="Arial" w:eastAsia="Arial" w:hAnsi="Arial"/>
                <w:sz w:val="16"/>
                <w:szCs w:val="16"/>
                <w:color w:val="auto"/>
              </w:rPr>
              <w:t>Nektar Therapeutics</w:t>
            </w:r>
          </w:p>
        </w:tc>
        <w:tc>
          <w:tcPr>
            <w:tcW w:w="3080" w:type="dxa"/>
            <w:vAlign w:val="bottom"/>
          </w:tcPr>
          <w:p>
            <w:pPr>
              <w:spacing w:after="0"/>
              <w:rPr>
                <w:sz w:val="17"/>
                <w:szCs w:val="17"/>
                <w:color w:val="auto"/>
              </w:rPr>
            </w:pPr>
          </w:p>
        </w:tc>
      </w:tr>
    </w:tbl>
    <w:p>
      <w:pPr>
        <w:spacing w:after="0" w:line="216" w:lineRule="exact"/>
        <w:rPr>
          <w:sz w:val="20"/>
          <w:szCs w:val="20"/>
          <w:color w:val="auto"/>
        </w:rPr>
      </w:pPr>
    </w:p>
    <w:p>
      <w:pPr>
        <w:ind w:left="60" w:right="79" w:firstLine="648"/>
        <w:spacing w:after="0" w:line="310" w:lineRule="auto"/>
        <w:rPr>
          <w:sz w:val="20"/>
          <w:szCs w:val="20"/>
          <w:color w:val="auto"/>
        </w:rPr>
      </w:pPr>
      <w:r>
        <w:rPr>
          <w:rFonts w:ascii="Arial" w:cs="Arial" w:eastAsia="Arial" w:hAnsi="Arial"/>
          <w:sz w:val="14"/>
          <w:szCs w:val="14"/>
          <w:color w:val="auto"/>
        </w:rPr>
        <w:t>The compensation committee believes the compensation practices of our peer group provide us with appropriate compensation benchmarks for evaluating the compensation of our named executive officers. Such information provides a solid reference point for making decisions and useful context. Notwithstanding the similarities of our peer group to Blueprint Medicines,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committee vary from its historic compensation practices or deviate from its general compensation philosophy under certain circumstances. We believe that the compensation practices of our 2020 peer group provided us with appropriate compensation benchmarks for evaluating the compensation of our named executive officers during 2020.</w:t>
      </w:r>
    </w:p>
    <w:p>
      <w:pPr>
        <w:spacing w:after="0" w:line="59" w:lineRule="exact"/>
        <w:rPr>
          <w:sz w:val="20"/>
          <w:szCs w:val="20"/>
          <w:color w:val="auto"/>
        </w:rPr>
      </w:pPr>
    </w:p>
    <w:p>
      <w:pPr>
        <w:ind w:left="60" w:right="339" w:firstLine="648"/>
        <w:spacing w:after="0" w:line="324" w:lineRule="auto"/>
        <w:rPr>
          <w:sz w:val="20"/>
          <w:szCs w:val="20"/>
          <w:color w:val="auto"/>
        </w:rPr>
      </w:pPr>
      <w:r>
        <w:rPr>
          <w:rFonts w:ascii="Arial" w:cs="Arial" w:eastAsia="Arial" w:hAnsi="Arial"/>
          <w:sz w:val="14"/>
          <w:szCs w:val="14"/>
          <w:color w:val="auto"/>
        </w:rPr>
        <w:t>For purposes of compensation for 2021, our compensation committee, with the advice of Radford, examined our 2020 peer group in light of our continued growth throughout 2020, which we anticipate to continue in 2021, the stage of commercialization and development of our approved drug and clinical programs and changes in our market capitalization. With reference to market capitalization, therapeutic area, stage of development, number of employees and other key business metrics, as well as whether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companies in our 2020 peer group suffered any clinical setbacks or experienced reduced growth, our compensation committee approved the following 20 companies as our 2021 peer group:</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ACADIA Pharmaceuticals Inc.</w:t>
            </w:r>
          </w:p>
        </w:tc>
        <w:tc>
          <w:tcPr>
            <w:tcW w:w="3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Biohaven Pharmaceutical Holding</w:t>
            </w:r>
          </w:p>
        </w:tc>
        <w:tc>
          <w:tcPr>
            <w:tcW w:w="3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Intercept Pharmaceuticals, Inc.</w:t>
            </w:r>
          </w:p>
        </w:tc>
      </w:tr>
      <w:tr>
        <w:trPr>
          <w:trHeight w:val="212"/>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Company Ltd. *</w:t>
            </w:r>
          </w:p>
        </w:tc>
        <w:tc>
          <w:tcPr>
            <w:tcW w:w="30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Acceleron Pharma Inc.</w:t>
            </w:r>
          </w:p>
        </w:tc>
        <w:tc>
          <w:tcPr>
            <w:tcW w:w="3060" w:type="dxa"/>
            <w:vAlign w:val="bottom"/>
          </w:tcPr>
          <w:p>
            <w:pPr>
              <w:ind w:left="540"/>
              <w:spacing w:after="0"/>
              <w:rPr>
                <w:sz w:val="20"/>
                <w:szCs w:val="20"/>
                <w:color w:val="auto"/>
              </w:rPr>
            </w:pPr>
            <w:r>
              <w:rPr>
                <w:rFonts w:ascii="Arial" w:cs="Arial" w:eastAsia="Arial" w:hAnsi="Arial"/>
                <w:sz w:val="16"/>
                <w:szCs w:val="16"/>
                <w:color w:val="auto"/>
              </w:rPr>
              <w:t>bluebird bio, Inc.</w:t>
            </w:r>
          </w:p>
        </w:tc>
        <w:tc>
          <w:tcPr>
            <w:tcW w:w="3000" w:type="dxa"/>
            <w:vAlign w:val="bottom"/>
          </w:tcPr>
          <w:p>
            <w:pPr>
              <w:ind w:left="300"/>
              <w:spacing w:after="0"/>
              <w:rPr>
                <w:sz w:val="20"/>
                <w:szCs w:val="20"/>
                <w:color w:val="auto"/>
              </w:rPr>
            </w:pPr>
            <w:r>
              <w:rPr>
                <w:rFonts w:ascii="Arial" w:cs="Arial" w:eastAsia="Arial" w:hAnsi="Arial"/>
                <w:sz w:val="16"/>
                <w:szCs w:val="16"/>
                <w:color w:val="auto"/>
              </w:rPr>
              <w:t>Nektar Therapeutics</w:t>
            </w:r>
          </w:p>
        </w:tc>
      </w:tr>
      <w:tr>
        <w:trPr>
          <w:trHeight w:val="203"/>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Agios Pharmaceuticals, Inc.</w:t>
            </w:r>
          </w:p>
        </w:tc>
        <w:tc>
          <w:tcPr>
            <w:tcW w:w="3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Deciphera Pharmaceuticals, Inc. *</w:t>
            </w:r>
          </w:p>
        </w:tc>
        <w:tc>
          <w:tcPr>
            <w:tcW w:w="3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Sage Therapeutics, Inc.</w:t>
            </w:r>
          </w:p>
        </w:tc>
      </w:tr>
      <w:tr>
        <w:trPr>
          <w:trHeight w:val="203"/>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Alkermes, Inc. *</w:t>
            </w:r>
          </w:p>
        </w:tc>
        <w:tc>
          <w:tcPr>
            <w:tcW w:w="3060" w:type="dxa"/>
            <w:vAlign w:val="bottom"/>
          </w:tcPr>
          <w:p>
            <w:pPr>
              <w:ind w:left="540"/>
              <w:spacing w:after="0"/>
              <w:rPr>
                <w:sz w:val="20"/>
                <w:szCs w:val="20"/>
                <w:color w:val="auto"/>
              </w:rPr>
            </w:pPr>
            <w:r>
              <w:rPr>
                <w:rFonts w:ascii="Arial" w:cs="Arial" w:eastAsia="Arial" w:hAnsi="Arial"/>
                <w:sz w:val="16"/>
                <w:szCs w:val="16"/>
                <w:color w:val="auto"/>
              </w:rPr>
              <w:t>Exelixis, Inc. *</w:t>
            </w:r>
          </w:p>
        </w:tc>
        <w:tc>
          <w:tcPr>
            <w:tcW w:w="3000" w:type="dxa"/>
            <w:vAlign w:val="bottom"/>
          </w:tcPr>
          <w:p>
            <w:pPr>
              <w:ind w:left="300"/>
              <w:spacing w:after="0"/>
              <w:rPr>
                <w:sz w:val="20"/>
                <w:szCs w:val="20"/>
                <w:color w:val="auto"/>
              </w:rPr>
            </w:pPr>
            <w:r>
              <w:rPr>
                <w:rFonts w:ascii="Arial" w:cs="Arial" w:eastAsia="Arial" w:hAnsi="Arial"/>
                <w:sz w:val="16"/>
                <w:szCs w:val="16"/>
                <w:color w:val="auto"/>
              </w:rPr>
              <w:t>Sarepta Therapeutics, Inc.</w:t>
            </w:r>
          </w:p>
        </w:tc>
      </w:tr>
      <w:tr>
        <w:trPr>
          <w:trHeight w:val="203"/>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Alnylam Pharmaceuticals, Inc.</w:t>
            </w:r>
          </w:p>
        </w:tc>
        <w:tc>
          <w:tcPr>
            <w:tcW w:w="3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FibroGen, Inc.</w:t>
            </w:r>
          </w:p>
        </w:tc>
        <w:tc>
          <w:tcPr>
            <w:tcW w:w="3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Seagen Inc. *</w:t>
            </w:r>
          </w:p>
        </w:tc>
      </w:tr>
      <w:tr>
        <w:trPr>
          <w:trHeight w:val="203"/>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Amarin Corporation plc</w:t>
            </w:r>
          </w:p>
        </w:tc>
        <w:tc>
          <w:tcPr>
            <w:tcW w:w="3060" w:type="dxa"/>
            <w:vAlign w:val="bottom"/>
          </w:tcPr>
          <w:p>
            <w:pPr>
              <w:ind w:left="540"/>
              <w:spacing w:after="0"/>
              <w:rPr>
                <w:sz w:val="20"/>
                <w:szCs w:val="20"/>
                <w:color w:val="auto"/>
              </w:rPr>
            </w:pPr>
            <w:r>
              <w:rPr>
                <w:rFonts w:ascii="Arial" w:cs="Arial" w:eastAsia="Arial" w:hAnsi="Arial"/>
                <w:sz w:val="16"/>
                <w:szCs w:val="16"/>
                <w:color w:val="auto"/>
              </w:rPr>
              <w:t>Global Blood Therapeutics, Inc.</w:t>
            </w:r>
          </w:p>
        </w:tc>
        <w:tc>
          <w:tcPr>
            <w:tcW w:w="3000" w:type="dxa"/>
            <w:vAlign w:val="bottom"/>
          </w:tcPr>
          <w:p>
            <w:pPr>
              <w:ind w:left="300"/>
              <w:spacing w:after="0"/>
              <w:rPr>
                <w:sz w:val="20"/>
                <w:szCs w:val="20"/>
                <w:color w:val="auto"/>
              </w:rPr>
            </w:pPr>
            <w:r>
              <w:rPr>
                <w:rFonts w:ascii="Arial" w:cs="Arial" w:eastAsia="Arial" w:hAnsi="Arial"/>
                <w:sz w:val="16"/>
                <w:szCs w:val="16"/>
                <w:color w:val="auto"/>
              </w:rPr>
              <w:t>Ultragenyx Pharmaceutical Inc.</w:t>
            </w:r>
          </w:p>
        </w:tc>
      </w:tr>
      <w:tr>
        <w:trPr>
          <w:trHeight w:val="203"/>
        </w:trPr>
        <w:tc>
          <w:tcPr>
            <w:tcW w:w="20" w:type="dxa"/>
            <w:vAlign w:val="bottom"/>
          </w:tcPr>
          <w:p>
            <w:pPr>
              <w:spacing w:after="0"/>
              <w:rPr>
                <w:sz w:val="17"/>
                <w:szCs w:val="17"/>
                <w:color w:val="auto"/>
              </w:rPr>
            </w:pPr>
          </w:p>
        </w:tc>
        <w:tc>
          <w:tcPr>
            <w:tcW w:w="284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Amicus Therapeutics, Inc.</w:t>
            </w:r>
          </w:p>
        </w:tc>
        <w:tc>
          <w:tcPr>
            <w:tcW w:w="3060" w:type="dxa"/>
            <w:vAlign w:val="bottom"/>
            <w:shd w:val="clear" w:color="auto" w:fill="CCECFF"/>
          </w:tcPr>
          <w:p>
            <w:pPr>
              <w:ind w:left="540"/>
              <w:spacing w:after="0"/>
              <w:rPr>
                <w:sz w:val="20"/>
                <w:szCs w:val="20"/>
                <w:color w:val="auto"/>
              </w:rPr>
            </w:pPr>
            <w:r>
              <w:rPr>
                <w:rFonts w:ascii="Arial" w:cs="Arial" w:eastAsia="Arial" w:hAnsi="Arial"/>
                <w:sz w:val="16"/>
                <w:szCs w:val="16"/>
                <w:color w:val="auto"/>
              </w:rPr>
              <w:t>Immunomedics, Inc.</w:t>
            </w:r>
          </w:p>
        </w:tc>
        <w:tc>
          <w:tcPr>
            <w:tcW w:w="3000" w:type="dxa"/>
            <w:vAlign w:val="bottom"/>
            <w:shd w:val="clear" w:color="auto" w:fill="CCECFF"/>
          </w:tcPr>
          <w:p>
            <w:pPr>
              <w:spacing w:after="0"/>
              <w:rPr>
                <w:sz w:val="17"/>
                <w:szCs w:val="17"/>
                <w:color w:val="auto"/>
              </w:rPr>
            </w:pPr>
          </w:p>
        </w:tc>
      </w:tr>
      <w:tr>
        <w:trPr>
          <w:trHeight w:val="108"/>
        </w:trPr>
        <w:tc>
          <w:tcPr>
            <w:tcW w:w="2240" w:type="dxa"/>
            <w:vAlign w:val="bottom"/>
            <w:tcBorders>
              <w:bottom w:val="single" w:sz="8" w:color="auto"/>
            </w:tcBorders>
            <w:gridSpan w:val="2"/>
          </w:tcPr>
          <w:p>
            <w:pPr>
              <w:spacing w:after="0"/>
              <w:rPr>
                <w:sz w:val="9"/>
                <w:szCs w:val="9"/>
                <w:color w:val="auto"/>
              </w:rPr>
            </w:pPr>
          </w:p>
        </w:tc>
        <w:tc>
          <w:tcPr>
            <w:tcW w:w="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000" w:type="dxa"/>
            <w:vAlign w:val="bottom"/>
          </w:tcPr>
          <w:p>
            <w:pPr>
              <w:spacing w:after="0"/>
              <w:rPr>
                <w:sz w:val="9"/>
                <w:szCs w:val="9"/>
                <w:color w:val="auto"/>
              </w:rPr>
            </w:pPr>
          </w:p>
        </w:tc>
      </w:tr>
      <w:tr>
        <w:trPr>
          <w:trHeight w:val="271"/>
        </w:trPr>
        <w:tc>
          <w:tcPr>
            <w:tcW w:w="2860" w:type="dxa"/>
            <w:vAlign w:val="bottom"/>
            <w:gridSpan w:val="3"/>
          </w:tcPr>
          <w:p>
            <w:pPr>
              <w:ind w:left="20"/>
              <w:spacing w:after="0"/>
              <w:rPr>
                <w:sz w:val="20"/>
                <w:szCs w:val="20"/>
                <w:color w:val="auto"/>
              </w:rPr>
            </w:pPr>
            <w:r>
              <w:rPr>
                <w:rFonts w:ascii="Arial" w:cs="Arial" w:eastAsia="Arial" w:hAnsi="Arial"/>
                <w:sz w:val="16"/>
                <w:szCs w:val="16"/>
                <w:color w:val="auto"/>
              </w:rPr>
              <w:t>*  addition to 2021 peer group</w:t>
            </w:r>
          </w:p>
        </w:tc>
        <w:tc>
          <w:tcPr>
            <w:tcW w:w="3060" w:type="dxa"/>
            <w:vAlign w:val="bottom"/>
          </w:tcPr>
          <w:p>
            <w:pPr>
              <w:spacing w:after="0"/>
              <w:rPr>
                <w:sz w:val="23"/>
                <w:szCs w:val="23"/>
                <w:color w:val="auto"/>
              </w:rPr>
            </w:pPr>
          </w:p>
        </w:tc>
        <w:tc>
          <w:tcPr>
            <w:tcW w:w="3000" w:type="dxa"/>
            <w:vAlign w:val="bottom"/>
          </w:tcPr>
          <w:p>
            <w:pPr>
              <w:spacing w:after="0"/>
              <w:rPr>
                <w:sz w:val="23"/>
                <w:szCs w:val="23"/>
                <w:color w:val="auto"/>
              </w:rPr>
            </w:pPr>
          </w:p>
        </w:tc>
      </w:tr>
      <w:tr>
        <w:trPr>
          <w:trHeight w:val="311"/>
        </w:trPr>
        <w:tc>
          <w:tcPr>
            <w:tcW w:w="286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Executive Compensation Elements</w:t>
            </w:r>
          </w:p>
        </w:tc>
        <w:tc>
          <w:tcPr>
            <w:tcW w:w="306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10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5"/>
          <w:szCs w:val="15"/>
          <w:color w:val="auto"/>
        </w:rPr>
        <w:t>The primary elements of our executive compensation program are base salary, annual performance-based cash incentives and equity incentive awards. Our compensation committee uses sound judgment to allocate long-term and short-term compensation for our named executive officers, in alignment with our pay-for-performance philosophy and the long-term interests of stockholders. After reviewing information provided by our compensation consultant and other relevant data, our compensation committee exercises its judgment to determine what it believes to be the appropriate level and mix of the various compensation components. We generally strive to provide our named executive officers with a balance of short-term and long-term incentives to encourage consistently strong performance. Ultimately, the objective in allocating between long-term and currently paid compensation is to ensure adequate base compensation to attract and retain talent, while providing incentives to maximize long-term value for our company and our stockholders. Therefore, we provide cash compensation in the form of base salary to meet competitive salary norms and reward performance on an annual basis and in the form of incentive compensation to incent and reward performance based on specific annual goals. To further focus our executives on longer-term performance, we rely upon equity-based awards that vest over a meaningful period of time, thereby reinforcing stockholder value creation.</w:t>
      </w:r>
    </w:p>
    <w:p>
      <w:pPr>
        <w:spacing w:after="0" w:line="71" w:lineRule="exact"/>
        <w:rPr>
          <w:sz w:val="20"/>
          <w:szCs w:val="20"/>
          <w:color w:val="auto"/>
        </w:rPr>
      </w:pPr>
    </w:p>
    <w:p>
      <w:pPr>
        <w:ind w:left="60" w:right="59" w:firstLine="648"/>
        <w:spacing w:after="0" w:line="309" w:lineRule="auto"/>
        <w:rPr>
          <w:sz w:val="20"/>
          <w:szCs w:val="20"/>
          <w:color w:val="auto"/>
        </w:rPr>
      </w:pPr>
      <w:r>
        <w:rPr>
          <w:rFonts w:ascii="Arial" w:cs="Arial" w:eastAsia="Arial" w:hAnsi="Arial"/>
          <w:sz w:val="14"/>
          <w:szCs w:val="14"/>
          <w:color w:val="auto"/>
        </w:rPr>
        <w:t>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employee stock purchase plan. Finally, we offer our executives severance benefits upon an involuntary or constructive termination, as we believe such post-employment compensation protections are appropriate in light of similar benefits available to executive officers at companies in our peer group. We also offer our executives additional severance benefits in connection with change-in-control situations.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Base Salary</w:t>
      </w:r>
    </w:p>
    <w:p>
      <w:pPr>
        <w:spacing w:after="0" w:line="127"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5"/>
          <w:szCs w:val="15"/>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the need for adjustment of the base salaries of our executive officers (other than our chief executive officer), and our compensation committee reviews and evaluates, without input from our chief executive officer, the need for adjustment of the base salary of our chief executive officer, in each case,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spacing w:after="0" w:line="74" w:lineRule="exact"/>
        <w:rPr>
          <w:sz w:val="20"/>
          <w:szCs w:val="20"/>
          <w:color w:val="auto"/>
        </w:rPr>
      </w:pPr>
    </w:p>
    <w:p>
      <w:pPr>
        <w:ind w:left="60" w:right="119" w:firstLine="648"/>
        <w:spacing w:after="0" w:line="335" w:lineRule="auto"/>
        <w:rPr>
          <w:sz w:val="20"/>
          <w:szCs w:val="20"/>
          <w:color w:val="auto"/>
        </w:rPr>
      </w:pPr>
      <w:r>
        <w:rPr>
          <w:rFonts w:ascii="Arial" w:cs="Arial" w:eastAsia="Arial" w:hAnsi="Arial"/>
          <w:sz w:val="14"/>
          <w:szCs w:val="14"/>
          <w:color w:val="auto"/>
        </w:rPr>
        <w:t>In February 2020, our compensation committee approved salary increases for each of our named executive officers (other than Dr. Namouni, who joined the company in September 2020) based on a review of market data provided by Radford, the current compensation levels of our named executive officers, the company’s performance against the 2019 corporate performance goals and,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399"/>
        <w:spacing w:after="0" w:line="369" w:lineRule="auto"/>
        <w:rPr>
          <w:sz w:val="20"/>
          <w:szCs w:val="20"/>
          <w:color w:val="auto"/>
        </w:rPr>
      </w:pPr>
      <w:r>
        <w:rPr>
          <w:rFonts w:ascii="Arial" w:cs="Arial" w:eastAsia="Arial" w:hAnsi="Arial"/>
          <w:sz w:val="14"/>
          <w:szCs w:val="14"/>
          <w:color w:val="auto"/>
        </w:rPr>
        <w:t>in the case of executive officers other than our chief executive officer, each executive officer’s achievement of individual goals. The table below sets forth the adjustments to base salary, in dollars and as a percentage, for each of our named executive officers: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Increase (%)</w:t>
            </w:r>
          </w:p>
        </w:tc>
        <w:tc>
          <w:tcPr>
            <w:tcW w:w="4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Base Salary ($)</w:t>
            </w: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Base Salary ($)</w:t>
            </w:r>
          </w:p>
        </w:tc>
        <w:tc>
          <w:tcPr>
            <w:tcW w:w="3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Jeffrey W. Albers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590,000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6"/>
              </w:rPr>
              <w:t>645,000</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3"/>
        </w:trPr>
        <w:tc>
          <w:tcPr>
            <w:tcW w:w="4980" w:type="dxa"/>
            <w:vAlign w:val="bottom"/>
            <w:gridSpan w:val="3"/>
          </w:tcPr>
          <w:p>
            <w:pPr>
              <w:ind w:left="20"/>
              <w:spacing w:after="0"/>
              <w:rPr>
                <w:sz w:val="20"/>
                <w:szCs w:val="20"/>
                <w:color w:val="auto"/>
              </w:rPr>
            </w:pPr>
            <w:r>
              <w:rPr>
                <w:rFonts w:ascii="Arial" w:cs="Arial" w:eastAsia="Arial" w:hAnsi="Arial"/>
                <w:sz w:val="16"/>
                <w:szCs w:val="16"/>
                <w:color w:val="auto"/>
              </w:rPr>
              <w:t>Michael Landsittel</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345,000</w:t>
            </w:r>
          </w:p>
        </w:tc>
        <w:tc>
          <w:tcPr>
            <w:tcW w:w="1400" w:type="dxa"/>
            <w:vAlign w:val="bottom"/>
            <w:gridSpan w:val="2"/>
          </w:tcPr>
          <w:p>
            <w:pPr>
              <w:ind w:left="540"/>
              <w:spacing w:after="0"/>
              <w:rPr>
                <w:sz w:val="20"/>
                <w:szCs w:val="20"/>
                <w:color w:val="auto"/>
              </w:rPr>
            </w:pPr>
            <w:r>
              <w:rPr>
                <w:rFonts w:ascii="Arial" w:cs="Arial" w:eastAsia="Arial" w:hAnsi="Arial"/>
                <w:sz w:val="16"/>
                <w:szCs w:val="16"/>
                <w:color w:val="auto"/>
              </w:rPr>
              <w:t>379,575</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Fouad Namouni, M.D.</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550,000 (1)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4980" w:type="dxa"/>
            <w:vAlign w:val="bottom"/>
            <w:gridSpan w:val="3"/>
          </w:tcPr>
          <w:p>
            <w:pPr>
              <w:ind w:left="20"/>
              <w:spacing w:after="0"/>
              <w:rPr>
                <w:sz w:val="20"/>
                <w:szCs w:val="20"/>
                <w:color w:val="auto"/>
              </w:rPr>
            </w:pPr>
            <w:r>
              <w:rPr>
                <w:rFonts w:ascii="Arial" w:cs="Arial" w:eastAsia="Arial" w:hAnsi="Arial"/>
                <w:sz w:val="16"/>
                <w:szCs w:val="16"/>
                <w:color w:val="auto"/>
              </w:rPr>
              <w:t>Kathryn Haviland</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431,830</w:t>
            </w:r>
          </w:p>
        </w:tc>
        <w:tc>
          <w:tcPr>
            <w:tcW w:w="1400" w:type="dxa"/>
            <w:vAlign w:val="bottom"/>
            <w:gridSpan w:val="2"/>
          </w:tcPr>
          <w:p>
            <w:pPr>
              <w:ind w:left="540"/>
              <w:spacing w:after="0"/>
              <w:rPr>
                <w:sz w:val="20"/>
                <w:szCs w:val="20"/>
                <w:color w:val="auto"/>
              </w:rPr>
            </w:pPr>
            <w:r>
              <w:rPr>
                <w:rFonts w:ascii="Arial" w:cs="Arial" w:eastAsia="Arial" w:hAnsi="Arial"/>
                <w:sz w:val="16"/>
                <w:szCs w:val="16"/>
                <w:color w:val="auto"/>
              </w:rPr>
              <w:t>460,944</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Tracey L. McCain, Esq.</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437,972</w:t>
            </w: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453,301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*Includes a market adjustment to align with the 50th percentile of our peer group in addition to merit increase.</w:t>
      </w:r>
    </w:p>
    <w:p>
      <w:pPr>
        <w:spacing w:after="0" w:line="123" w:lineRule="exact"/>
        <w:rPr>
          <w:sz w:val="20"/>
          <w:szCs w:val="20"/>
          <w:color w:val="auto"/>
        </w:rPr>
      </w:pPr>
    </w:p>
    <w:p>
      <w:pPr>
        <w:ind w:left="380" w:right="99" w:hanging="330"/>
        <w:spacing w:after="0" w:line="290" w:lineRule="auto"/>
        <w:tabs>
          <w:tab w:leader="none" w:pos="3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Dr. Namouni joined the company as our president, research and development, in September 2020. This amount represents his annualized base salary for the year ended December 31, 2020, which was determined based on the negotiated terms of his offer of employment.</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Annual Performance-Based Cash Incentives</w:t>
      </w:r>
    </w:p>
    <w:p>
      <w:pPr>
        <w:spacing w:after="0" w:line="12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5"/>
          <w:szCs w:val="15"/>
          <w:color w:val="auto"/>
        </w:rPr>
        <w:t>Our board of directors has adopted a senior executive cash incentive bonus plan, or the executive bonus plan, which provides for cash bonus payments to eligible executives based upon the attainment of performance targets established by the compensation committee for each executive during the first quarter of the applicable fiscal year. The payment targets are related to individual performance measures or objectives (other than for our chief executive officer), which we refer to as individual performance goals, and corporate financial and operational measures or objectives, which we refer to as corporate performance goals. Other than for our chief executive officer whose target award opportunity is solely based on corporate performance goals, the target award opportunity for each of our named executive officers is based 25% on individual performance goals and 75% on corporate performance goals. We believe this executive bonus plan provides incentive that motivates and rewards achievement of performance goals that directly correlates to enhancement of stockholder value, consistent with our compensation philosophy.</w:t>
      </w:r>
    </w:p>
    <w:p>
      <w:pPr>
        <w:spacing w:after="0" w:line="74" w:lineRule="exact"/>
        <w:rPr>
          <w:sz w:val="20"/>
          <w:szCs w:val="20"/>
          <w:color w:val="auto"/>
        </w:rPr>
      </w:pPr>
    </w:p>
    <w:p>
      <w:pPr>
        <w:ind w:left="60" w:right="259" w:firstLine="648"/>
        <w:spacing w:after="0" w:line="269" w:lineRule="auto"/>
        <w:rPr>
          <w:sz w:val="20"/>
          <w:szCs w:val="20"/>
          <w:color w:val="auto"/>
        </w:rPr>
      </w:pPr>
      <w:r>
        <w:rPr>
          <w:rFonts w:ascii="Arial" w:cs="Arial" w:eastAsia="Arial" w:hAnsi="Arial"/>
          <w:sz w:val="16"/>
          <w:szCs w:val="16"/>
          <w:color w:val="auto"/>
        </w:rPr>
        <w:t>Each executive officer who is selected to participate in the executive bonus plan has a target award opportunity set for each performance period. Subject to the rights contained in any agreement between the executive officer and the company, an executive officer must be employed by the company on the bonus payment date to be eligible to receive a bonus payment. The executive bonus plan also permits the compensation committee to approve additional bonuses to executive officers in its sole discretion, but the compensation committee did not approve any such additional bonuses in 2020. Each of our named executive officers is eligible to participate in the executive bonus plan. Our compensation committee caps annual cash incentive program payouts in any given year at 150% of the target payout level.</w:t>
      </w:r>
    </w:p>
    <w:p>
      <w:pPr>
        <w:spacing w:after="0" w:line="82" w:lineRule="exact"/>
        <w:rPr>
          <w:sz w:val="20"/>
          <w:szCs w:val="20"/>
          <w:color w:val="auto"/>
        </w:rPr>
      </w:pPr>
    </w:p>
    <w:p>
      <w:pPr>
        <w:ind w:left="60" w:right="119" w:firstLine="648"/>
        <w:spacing w:after="0" w:line="278" w:lineRule="auto"/>
        <w:rPr>
          <w:sz w:val="20"/>
          <w:szCs w:val="20"/>
          <w:color w:val="auto"/>
        </w:rPr>
      </w:pPr>
      <w:r>
        <w:rPr>
          <w:rFonts w:ascii="Arial" w:cs="Arial" w:eastAsia="Arial" w:hAnsi="Arial"/>
          <w:sz w:val="16"/>
          <w:szCs w:val="16"/>
          <w:color w:val="auto"/>
        </w:rPr>
        <w:t>Below is the list of the company’s 2020 corporate performance goals and relative weighting assigned to each goal, which were approved by our board of directors and considered by our executive leadership team and compensation committee in their respective assessment of the company’s achievement of corporate performance goals for 2020:</w:t>
      </w:r>
    </w:p>
    <w:p>
      <w:pPr>
        <w:spacing w:after="0" w:line="76" w:lineRule="exact"/>
        <w:rPr>
          <w:sz w:val="20"/>
          <w:szCs w:val="20"/>
          <w:color w:val="auto"/>
        </w:rPr>
      </w:pPr>
    </w:p>
    <w:p>
      <w:pPr>
        <w:ind w:left="1020" w:right="319" w:hanging="322"/>
        <w:spacing w:after="0" w:line="293" w:lineRule="auto"/>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Build a fully-integrated global company enabling patients to easily and quickly access our transformative therapies [relative weighting: 50%]</w:t>
      </w:r>
    </w:p>
    <w:p>
      <w:pPr>
        <w:spacing w:after="0" w:line="63" w:lineRule="exact"/>
        <w:rPr>
          <w:rFonts w:ascii="Arial" w:cs="Arial" w:eastAsia="Arial" w:hAnsi="Arial"/>
          <w:sz w:val="16"/>
          <w:szCs w:val="16"/>
          <w:color w:val="auto"/>
        </w:rPr>
      </w:pPr>
    </w:p>
    <w:p>
      <w:pPr>
        <w:ind w:left="1340" w:right="99"/>
        <w:spacing w:after="0" w:line="293" w:lineRule="auto"/>
        <w:rPr>
          <w:rFonts w:ascii="Arial" w:cs="Arial" w:eastAsia="Arial" w:hAnsi="Arial"/>
          <w:sz w:val="16"/>
          <w:szCs w:val="16"/>
          <w:color w:val="auto"/>
        </w:rPr>
      </w:pPr>
      <w:r>
        <w:rPr>
          <w:rFonts w:ascii="Arial" w:cs="Arial" w:eastAsia="Arial" w:hAnsi="Arial"/>
          <w:sz w:val="16"/>
          <w:szCs w:val="16"/>
          <w:color w:val="auto"/>
        </w:rPr>
        <w:t>Obtain marketing approval for avapritinib for the treatment of PDGFRA GIST and other indications within specified timelines in 2020 and for the treatment of PDGFRA GIST in Europe by the end of 2020;*</w:t>
      </w:r>
    </w:p>
    <w:p>
      <w:pPr>
        <w:spacing w:after="0" w:line="63" w:lineRule="exact"/>
        <w:rPr>
          <w:rFonts w:ascii="Arial" w:cs="Arial" w:eastAsia="Arial" w:hAnsi="Arial"/>
          <w:sz w:val="16"/>
          <w:szCs w:val="16"/>
          <w:color w:val="auto"/>
        </w:rPr>
      </w:pPr>
    </w:p>
    <w:p>
      <w:pPr>
        <w:ind w:left="1340" w:right="259"/>
        <w:spacing w:after="0" w:line="293" w:lineRule="auto"/>
        <w:rPr>
          <w:rFonts w:ascii="Arial" w:cs="Arial" w:eastAsia="Arial" w:hAnsi="Arial"/>
          <w:sz w:val="16"/>
          <w:szCs w:val="16"/>
          <w:color w:val="auto"/>
        </w:rPr>
      </w:pPr>
      <w:r>
        <w:rPr>
          <w:rFonts w:ascii="Arial" w:cs="Arial" w:eastAsia="Arial" w:hAnsi="Arial"/>
          <w:sz w:val="16"/>
          <w:szCs w:val="16"/>
          <w:color w:val="auto"/>
        </w:rPr>
        <w:t>Obtain marketing approval for pralsetinib for the treatment of RET-positive NSCLC and second-line RET-positive MTC by the end of 2020;</w:t>
      </w:r>
    </w:p>
    <w:p>
      <w:pPr>
        <w:spacing w:after="0" w:line="63"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Submit MAA for pralsetinib in NSCLC by the end of the second quarter of 2020;</w:t>
      </w:r>
    </w:p>
    <w:p>
      <w:pPr>
        <w:spacing w:after="0" w:line="140" w:lineRule="exact"/>
        <w:rPr>
          <w:rFonts w:ascii="Arial" w:cs="Arial" w:eastAsia="Arial" w:hAnsi="Arial"/>
          <w:sz w:val="16"/>
          <w:szCs w:val="16"/>
          <w:color w:val="auto"/>
        </w:rPr>
      </w:pPr>
    </w:p>
    <w:p>
      <w:pPr>
        <w:ind w:left="1340" w:right="159"/>
        <w:spacing w:after="0" w:line="422" w:lineRule="auto"/>
        <w:rPr>
          <w:rFonts w:ascii="Arial" w:cs="Arial" w:eastAsia="Arial" w:hAnsi="Arial"/>
          <w:sz w:val="16"/>
          <w:szCs w:val="16"/>
          <w:color w:val="auto"/>
        </w:rPr>
      </w:pPr>
      <w:r>
        <w:rPr>
          <w:rFonts w:ascii="Arial" w:cs="Arial" w:eastAsia="Arial" w:hAnsi="Arial"/>
          <w:sz w:val="16"/>
          <w:szCs w:val="16"/>
          <w:color w:val="auto"/>
        </w:rPr>
        <w:t>Submit supplemental NDA for avapritinib in third-line GIST and MAA in advanced SM in the second half of 2020; File IND for BLU-263 by the first quarter of 2020 and complete Phase 1 study by the end of 2020;</w:t>
      </w:r>
    </w:p>
    <w:p>
      <w:pPr>
        <w:ind w:left="1020"/>
        <w:spacing w:after="0"/>
        <w:rPr>
          <w:rFonts w:ascii="Arial" w:cs="Arial" w:eastAsia="Arial" w:hAnsi="Arial"/>
          <w:sz w:val="16"/>
          <w:szCs w:val="16"/>
          <w:color w:val="auto"/>
        </w:rPr>
      </w:pPr>
      <w:r>
        <w:rPr>
          <w:rFonts w:ascii="Arial" w:cs="Arial" w:eastAsia="Arial" w:hAnsi="Arial"/>
          <w:sz w:val="16"/>
          <w:szCs w:val="16"/>
          <w:color w:val="auto"/>
        </w:rPr>
        <w:t>Fully enroll certain clinical studies by the end of 2020;* and</w:t>
      </w:r>
    </w:p>
    <w:p>
      <w:pPr>
        <w:spacing w:after="0" w:line="140"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Ensure all clinical and commercial supply are provided in a timely and cost-efficient manner.</w:t>
      </w:r>
    </w:p>
    <w:p>
      <w:pPr>
        <w:spacing w:after="0" w:line="140" w:lineRule="exact"/>
        <w:rPr>
          <w:rFonts w:ascii="Arial" w:cs="Arial" w:eastAsia="Arial" w:hAnsi="Arial"/>
          <w:sz w:val="16"/>
          <w:szCs w:val="16"/>
          <w:color w:val="auto"/>
        </w:rPr>
      </w:pPr>
    </w:p>
    <w:p>
      <w:pPr>
        <w:ind w:left="1020" w:right="359" w:hanging="322"/>
        <w:spacing w:after="0" w:line="293" w:lineRule="auto"/>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Leverage our culture of thoughtfulness and urgency to expand and deepen our pipeline and external engagements [relative weighting: 25%]</w:t>
      </w:r>
    </w:p>
    <w:p>
      <w:pPr>
        <w:spacing w:after="0" w:line="63" w:lineRule="exact"/>
        <w:rPr>
          <w:rFonts w:ascii="Arial" w:cs="Arial" w:eastAsia="Arial" w:hAnsi="Arial"/>
          <w:sz w:val="16"/>
          <w:szCs w:val="16"/>
          <w:color w:val="auto"/>
        </w:rPr>
      </w:pPr>
    </w:p>
    <w:p>
      <w:pPr>
        <w:ind w:left="1340" w:right="2239"/>
        <w:spacing w:after="0" w:line="451" w:lineRule="auto"/>
        <w:rPr>
          <w:rFonts w:ascii="Arial" w:cs="Arial" w:eastAsia="Arial" w:hAnsi="Arial"/>
          <w:sz w:val="16"/>
          <w:szCs w:val="16"/>
          <w:color w:val="auto"/>
        </w:rPr>
      </w:pPr>
      <w:r>
        <w:rPr>
          <w:rFonts w:ascii="Arial" w:cs="Arial" w:eastAsia="Arial" w:hAnsi="Arial"/>
          <w:sz w:val="16"/>
          <w:szCs w:val="16"/>
          <w:color w:val="auto"/>
        </w:rPr>
        <w:t>Nominate certain development candidates by specified timelines throughout 2020;* Nominate additional discovery programs; *</w:t>
      </w:r>
    </w:p>
    <w:p>
      <w:pPr>
        <w:sectPr>
          <w:pgSz w:w="11900" w:h="16838" w:orient="portrait"/>
          <w:cols w:equalWidth="0" w:num="1">
            <w:col w:w="9019"/>
          </w:cols>
          <w:pgMar w:left="1440" w:top="517" w:right="1440"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40" w:right="359"/>
        <w:spacing w:after="0" w:line="293" w:lineRule="auto"/>
        <w:rPr>
          <w:sz w:val="20"/>
          <w:szCs w:val="20"/>
          <w:color w:val="auto"/>
        </w:rPr>
      </w:pPr>
      <w:r>
        <w:rPr>
          <w:rFonts w:ascii="Arial" w:cs="Arial" w:eastAsia="Arial" w:hAnsi="Arial"/>
          <w:sz w:val="16"/>
          <w:szCs w:val="16"/>
          <w:color w:val="auto"/>
        </w:rPr>
        <w:t>Support a certain number of publication submissions, scientific/clinical presentations, oral presentations at major meetings, and engagements with advisors and key opinion leaders by the end of 2020;* and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Complete additional collaborations in line with the company’s overall portfolio and commercial strategy;*</w:t>
      </w:r>
    </w:p>
    <w:p>
      <w:pPr>
        <w:spacing w:after="0" w:line="140" w:lineRule="exact"/>
        <w:rPr>
          <w:sz w:val="20"/>
          <w:szCs w:val="20"/>
          <w:color w:val="auto"/>
        </w:rPr>
      </w:pPr>
    </w:p>
    <w:p>
      <w:pPr>
        <w:ind w:left="1020" w:right="139" w:hanging="322"/>
        <w:spacing w:after="0" w:line="293" w:lineRule="auto"/>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Operate with a focus on strong cultural and financial health and integrity to best enable our efforts to bring Blueprint Medicines therapies to patients in need [relative weighting: 25%]</w:t>
      </w:r>
    </w:p>
    <w:p>
      <w:pPr>
        <w:spacing w:after="0" w:line="63" w:lineRule="exact"/>
        <w:rPr>
          <w:rFonts w:ascii="Arial" w:cs="Arial" w:eastAsia="Arial" w:hAnsi="Arial"/>
          <w:sz w:val="16"/>
          <w:szCs w:val="16"/>
          <w:color w:val="auto"/>
        </w:rPr>
      </w:pPr>
    </w:p>
    <w:p>
      <w:pPr>
        <w:ind w:left="1340" w:right="539"/>
        <w:spacing w:after="0" w:line="293" w:lineRule="auto"/>
        <w:rPr>
          <w:rFonts w:ascii="Arial" w:cs="Arial" w:eastAsia="Arial" w:hAnsi="Arial"/>
          <w:sz w:val="16"/>
          <w:szCs w:val="16"/>
          <w:color w:val="auto"/>
        </w:rPr>
      </w:pPr>
      <w:r>
        <w:rPr>
          <w:rFonts w:ascii="Arial" w:cs="Arial" w:eastAsia="Arial" w:hAnsi="Arial"/>
          <w:sz w:val="16"/>
          <w:szCs w:val="16"/>
          <w:color w:val="auto"/>
        </w:rPr>
        <w:t>Achieve specified revenue targets in global commercial sales and in milestones or other revenue by the end of 2020;*</w:t>
      </w:r>
    </w:p>
    <w:p>
      <w:pPr>
        <w:spacing w:after="0" w:line="63"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Ensure a specified cash balance as of December 31, 2020;* and</w:t>
      </w:r>
    </w:p>
    <w:p>
      <w:pPr>
        <w:spacing w:after="0" w:line="140" w:lineRule="exact"/>
        <w:rPr>
          <w:rFonts w:ascii="Arial" w:cs="Arial" w:eastAsia="Arial" w:hAnsi="Arial"/>
          <w:sz w:val="16"/>
          <w:szCs w:val="16"/>
          <w:color w:val="auto"/>
        </w:rPr>
      </w:pPr>
    </w:p>
    <w:p>
      <w:pPr>
        <w:ind w:left="1340" w:right="299"/>
        <w:spacing w:after="0" w:line="328" w:lineRule="auto"/>
        <w:rPr>
          <w:rFonts w:ascii="Arial" w:cs="Arial" w:eastAsia="Arial" w:hAnsi="Arial"/>
          <w:sz w:val="16"/>
          <w:szCs w:val="16"/>
          <w:color w:val="auto"/>
        </w:rPr>
      </w:pPr>
      <w:r>
        <w:rPr>
          <w:rFonts w:ascii="Arial" w:cs="Arial" w:eastAsia="Arial" w:hAnsi="Arial"/>
          <w:sz w:val="15"/>
          <w:szCs w:val="15"/>
          <w:color w:val="auto"/>
        </w:rPr>
        <w:t>Foster a differentiated culture that facilitates team effectiveness, enables open and continuous communication and empowers employees to perform their best work as measured by engagement survey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100965</wp:posOffset>
            </wp:positionV>
            <wp:extent cx="1414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4" w:lineRule="exact"/>
        <w:rPr>
          <w:sz w:val="20"/>
          <w:szCs w:val="20"/>
          <w:color w:val="auto"/>
        </w:rPr>
      </w:pPr>
    </w:p>
    <w:p>
      <w:pPr>
        <w:ind w:left="1020" w:right="159" w:hanging="322"/>
        <w:spacing w:after="0" w:line="293" w:lineRule="auto"/>
        <w:tabs>
          <w:tab w:leader="none" w:pos="10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These corporate performance goals include highly sensitive competitive data, including pre-clinical, clinical, regulatory and financial targets. We do not disclose the specific portions of these goals because we believe that such disclosure would result in competitive harm to us. We purposely set these goals at challenging levels. Revealing certain elements of these goals could potentially reveal insights about our pre-clinical, clinical, regulatory and strategic plans or objectives that our competitors or potential collaborators could use against us.</w:t>
      </w:r>
    </w:p>
    <w:p>
      <w:pPr>
        <w:spacing w:after="0" w:line="68"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5"/>
          <w:szCs w:val="15"/>
          <w:color w:val="auto"/>
        </w:rPr>
        <w:t>In December 2020, our management team recommended to our compensation committee that our company’s performance against 2020 corporate performance goals be achieved at a range between 115% to 120%, based on the significant achievements in 2020 as discussed in “Compensation Discussion and Analysis—Executive Summary” above. Based on the recommendation of our compensation committee (including the overachievement on some goals balanced against the underachievement of others), our board determined that our company achieved the 2020 corporate performance goals at 130.0%, as set forth in the table below.</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139"/>
        </w:trPr>
        <w:tc>
          <w:tcPr>
            <w:tcW w:w="4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Relative</w:t>
            </w:r>
          </w:p>
        </w:tc>
        <w:tc>
          <w:tcPr>
            <w:tcW w:w="1940" w:type="dxa"/>
            <w:vAlign w:val="bottom"/>
            <w:tcBorders>
              <w:top w:val="single" w:sz="8" w:color="auto"/>
            </w:tcBorders>
          </w:tcPr>
          <w:p>
            <w:pPr>
              <w:jc w:val="center"/>
              <w:ind w:right="4"/>
              <w:spacing w:after="0" w:line="139" w:lineRule="exact"/>
              <w:rPr>
                <w:sz w:val="20"/>
                <w:szCs w:val="20"/>
                <w:color w:val="auto"/>
              </w:rPr>
            </w:pPr>
            <w:r>
              <w:rPr>
                <w:rFonts w:ascii="Arial" w:cs="Arial" w:eastAsia="Arial" w:hAnsi="Arial"/>
                <w:sz w:val="14"/>
                <w:szCs w:val="14"/>
                <w:b w:val="1"/>
                <w:bCs w:val="1"/>
                <w:color w:val="auto"/>
                <w:w w:val="88"/>
              </w:rPr>
              <w:t>Assessment of Actual</w:t>
            </w:r>
          </w:p>
        </w:tc>
        <w:tc>
          <w:tcPr>
            <w:tcW w:w="152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940" w:type="dxa"/>
            <w:vAlign w:val="bottom"/>
            <w:vMerge w:val="restart"/>
          </w:tcPr>
          <w:p>
            <w:pPr>
              <w:jc w:val="center"/>
              <w:ind w:right="4"/>
              <w:spacing w:after="0" w:line="149" w:lineRule="exact"/>
              <w:rPr>
                <w:sz w:val="20"/>
                <w:szCs w:val="20"/>
                <w:color w:val="auto"/>
              </w:rPr>
            </w:pPr>
            <w:r>
              <w:rPr>
                <w:rFonts w:ascii="Arial" w:cs="Arial" w:eastAsia="Arial" w:hAnsi="Arial"/>
                <w:sz w:val="14"/>
                <w:szCs w:val="14"/>
                <w:b w:val="1"/>
                <w:bCs w:val="1"/>
                <w:color w:val="auto"/>
                <w:w w:val="92"/>
              </w:rPr>
              <w:t>Achievement for 2020</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28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2020 Corporate Goals</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Weighting</w:t>
            </w:r>
          </w:p>
        </w:tc>
        <w:tc>
          <w:tcPr>
            <w:tcW w:w="1940" w:type="dxa"/>
            <w:vAlign w:val="bottom"/>
            <w:vMerge w:val="continue"/>
          </w:tcPr>
          <w:p>
            <w:pPr>
              <w:spacing w:after="0"/>
              <w:rPr>
                <w:sz w:val="5"/>
                <w:szCs w:val="5"/>
                <w:color w:val="auto"/>
              </w:rPr>
            </w:pPr>
          </w:p>
        </w:tc>
        <w:tc>
          <w:tcPr>
            <w:tcW w:w="152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19"/>
        </w:trPr>
        <w:tc>
          <w:tcPr>
            <w:tcW w:w="42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of Target Award)</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vMerge w:val="continue"/>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w w:val="99"/>
              </w:rPr>
              <w:t>Build a fully integrated global company enabling patients to</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w:t>
            </w:r>
          </w:p>
        </w:tc>
        <w:tc>
          <w:tcPr>
            <w:tcW w:w="1940" w:type="dxa"/>
            <w:vAlign w:val="bottom"/>
            <w:shd w:val="clear" w:color="auto" w:fill="CCEEFF"/>
          </w:tcPr>
          <w:p>
            <w:pPr>
              <w:jc w:val="center"/>
              <w:ind w:right="4"/>
              <w:spacing w:after="0"/>
              <w:rPr>
                <w:sz w:val="20"/>
                <w:szCs w:val="20"/>
                <w:color w:val="auto"/>
              </w:rPr>
            </w:pPr>
            <w:r>
              <w:rPr>
                <w:rFonts w:ascii="Arial" w:cs="Arial" w:eastAsia="Arial" w:hAnsi="Arial"/>
                <w:sz w:val="16"/>
                <w:szCs w:val="16"/>
                <w:color w:val="auto"/>
                <w:w w:val="92"/>
              </w:rPr>
              <w:t>122.0%</w:t>
            </w:r>
          </w:p>
        </w:tc>
        <w:tc>
          <w:tcPr>
            <w:tcW w:w="1520" w:type="dxa"/>
            <w:vAlign w:val="bottom"/>
            <w:shd w:val="clear" w:color="auto" w:fill="CCEEFF"/>
          </w:tcPr>
          <w:p>
            <w:pPr>
              <w:jc w:val="center"/>
              <w:ind w:right="22"/>
              <w:spacing w:after="0"/>
              <w:rPr>
                <w:sz w:val="20"/>
                <w:szCs w:val="20"/>
                <w:color w:val="auto"/>
              </w:rPr>
            </w:pPr>
            <w:r>
              <w:rPr>
                <w:rFonts w:ascii="Arial" w:cs="Arial" w:eastAsia="Arial" w:hAnsi="Arial"/>
                <w:sz w:val="16"/>
                <w:szCs w:val="16"/>
                <w:color w:val="auto"/>
                <w:w w:val="92"/>
              </w:rPr>
              <w:t>61.0%</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easily and quickly access our transformative therapies</w:t>
            </w:r>
          </w:p>
        </w:tc>
        <w:tc>
          <w:tcPr>
            <w:tcW w:w="1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42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280" w:type="dxa"/>
            <w:vAlign w:val="bottom"/>
          </w:tcPr>
          <w:p>
            <w:pPr>
              <w:ind w:left="120"/>
              <w:spacing w:after="0"/>
              <w:rPr>
                <w:sz w:val="20"/>
                <w:szCs w:val="20"/>
                <w:color w:val="auto"/>
              </w:rPr>
            </w:pPr>
            <w:r>
              <w:rPr>
                <w:rFonts w:ascii="Arial" w:cs="Arial" w:eastAsia="Arial" w:hAnsi="Arial"/>
                <w:sz w:val="16"/>
                <w:szCs w:val="16"/>
                <w:i w:val="1"/>
                <w:iCs w:val="1"/>
                <w:color w:val="auto"/>
              </w:rPr>
              <w:t>Leverage our culture of thoughtfulness and urgency to</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25.0%</w:t>
            </w:r>
          </w:p>
        </w:tc>
        <w:tc>
          <w:tcPr>
            <w:tcW w:w="1940" w:type="dxa"/>
            <w:vAlign w:val="bottom"/>
          </w:tcPr>
          <w:p>
            <w:pPr>
              <w:jc w:val="center"/>
              <w:ind w:right="4"/>
              <w:spacing w:after="0"/>
              <w:rPr>
                <w:sz w:val="20"/>
                <w:szCs w:val="20"/>
                <w:color w:val="auto"/>
              </w:rPr>
            </w:pPr>
            <w:r>
              <w:rPr>
                <w:rFonts w:ascii="Arial" w:cs="Arial" w:eastAsia="Arial" w:hAnsi="Arial"/>
                <w:sz w:val="16"/>
                <w:szCs w:val="16"/>
                <w:color w:val="auto"/>
                <w:w w:val="92"/>
              </w:rPr>
              <w:t>134.0%</w:t>
            </w:r>
          </w:p>
        </w:tc>
        <w:tc>
          <w:tcPr>
            <w:tcW w:w="1520" w:type="dxa"/>
            <w:vAlign w:val="bottom"/>
          </w:tcPr>
          <w:p>
            <w:pPr>
              <w:jc w:val="center"/>
              <w:ind w:right="22"/>
              <w:spacing w:after="0"/>
              <w:rPr>
                <w:sz w:val="20"/>
                <w:szCs w:val="20"/>
                <w:color w:val="auto"/>
              </w:rPr>
            </w:pPr>
            <w:r>
              <w:rPr>
                <w:rFonts w:ascii="Arial" w:cs="Arial" w:eastAsia="Arial" w:hAnsi="Arial"/>
                <w:sz w:val="16"/>
                <w:szCs w:val="16"/>
                <w:color w:val="auto"/>
                <w:w w:val="92"/>
              </w:rPr>
              <w:t>33.5%</w:t>
            </w:r>
          </w:p>
        </w:tc>
        <w:tc>
          <w:tcPr>
            <w:tcW w:w="0" w:type="dxa"/>
            <w:vAlign w:val="bottom"/>
          </w:tcPr>
          <w:p>
            <w:pPr>
              <w:spacing w:after="0"/>
              <w:rPr>
                <w:sz w:val="1"/>
                <w:szCs w:val="1"/>
                <w:color w:val="auto"/>
              </w:rPr>
            </w:pPr>
          </w:p>
        </w:tc>
      </w:tr>
      <w:tr>
        <w:trPr>
          <w:trHeight w:val="206"/>
        </w:trPr>
        <w:tc>
          <w:tcPr>
            <w:tcW w:w="4280" w:type="dxa"/>
            <w:vAlign w:val="bottom"/>
          </w:tcPr>
          <w:p>
            <w:pPr>
              <w:ind w:left="120"/>
              <w:spacing w:after="0"/>
              <w:rPr>
                <w:sz w:val="20"/>
                <w:szCs w:val="20"/>
                <w:color w:val="auto"/>
              </w:rPr>
            </w:pPr>
            <w:r>
              <w:rPr>
                <w:rFonts w:ascii="Arial" w:cs="Arial" w:eastAsia="Arial" w:hAnsi="Arial"/>
                <w:sz w:val="16"/>
                <w:szCs w:val="16"/>
                <w:i w:val="1"/>
                <w:iCs w:val="1"/>
                <w:color w:val="auto"/>
                <w:w w:val="97"/>
              </w:rPr>
              <w:t>expand and deepen our pipeline and external engagements</w:t>
            </w:r>
          </w:p>
        </w:tc>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4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w w:val="99"/>
              </w:rPr>
              <w:t>Operate with a focus on strong cultural and financial health</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25.0%</w:t>
            </w:r>
          </w:p>
        </w:tc>
        <w:tc>
          <w:tcPr>
            <w:tcW w:w="1940" w:type="dxa"/>
            <w:vAlign w:val="bottom"/>
            <w:shd w:val="clear" w:color="auto" w:fill="CCEEFF"/>
          </w:tcPr>
          <w:p>
            <w:pPr>
              <w:jc w:val="center"/>
              <w:ind w:right="4"/>
              <w:spacing w:after="0"/>
              <w:rPr>
                <w:sz w:val="20"/>
                <w:szCs w:val="20"/>
                <w:color w:val="auto"/>
              </w:rPr>
            </w:pPr>
            <w:r>
              <w:rPr>
                <w:rFonts w:ascii="Arial" w:cs="Arial" w:eastAsia="Arial" w:hAnsi="Arial"/>
                <w:sz w:val="16"/>
                <w:szCs w:val="16"/>
                <w:color w:val="auto"/>
                <w:w w:val="92"/>
              </w:rPr>
              <w:t>142.0%</w:t>
            </w:r>
          </w:p>
        </w:tc>
        <w:tc>
          <w:tcPr>
            <w:tcW w:w="1520" w:type="dxa"/>
            <w:vAlign w:val="bottom"/>
            <w:shd w:val="clear" w:color="auto" w:fill="CCEEFF"/>
          </w:tcPr>
          <w:p>
            <w:pPr>
              <w:jc w:val="center"/>
              <w:ind w:right="22"/>
              <w:spacing w:after="0"/>
              <w:rPr>
                <w:sz w:val="20"/>
                <w:szCs w:val="20"/>
                <w:color w:val="auto"/>
              </w:rPr>
            </w:pPr>
            <w:r>
              <w:rPr>
                <w:rFonts w:ascii="Arial" w:cs="Arial" w:eastAsia="Arial" w:hAnsi="Arial"/>
                <w:sz w:val="16"/>
                <w:szCs w:val="16"/>
                <w:color w:val="auto"/>
                <w:w w:val="92"/>
              </w:rPr>
              <w:t>35.5%</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and integrity to best enable our efforts to bring Blueprint</w:t>
            </w:r>
          </w:p>
        </w:tc>
        <w:tc>
          <w:tcPr>
            <w:tcW w:w="1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Medicines therapies to patients in need</w:t>
            </w:r>
          </w:p>
        </w:tc>
        <w:tc>
          <w:tcPr>
            <w:tcW w:w="1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42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94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Total</w:t>
            </w:r>
          </w:p>
        </w:tc>
        <w:tc>
          <w:tcPr>
            <w:tcW w:w="11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2"/>
              </w:rPr>
              <w:t>100.0%</w:t>
            </w:r>
          </w:p>
        </w:tc>
        <w:tc>
          <w:tcPr>
            <w:tcW w:w="1940" w:type="dxa"/>
            <w:vAlign w:val="bottom"/>
          </w:tcPr>
          <w:p>
            <w:pPr>
              <w:spacing w:after="0"/>
              <w:rPr>
                <w:sz w:val="17"/>
                <w:szCs w:val="17"/>
                <w:color w:val="auto"/>
              </w:rPr>
            </w:pPr>
          </w:p>
        </w:tc>
        <w:tc>
          <w:tcPr>
            <w:tcW w:w="1520" w:type="dxa"/>
            <w:vAlign w:val="bottom"/>
          </w:tcPr>
          <w:p>
            <w:pPr>
              <w:jc w:val="center"/>
              <w:ind w:right="22"/>
              <w:spacing w:after="0"/>
              <w:rPr>
                <w:sz w:val="20"/>
                <w:szCs w:val="20"/>
                <w:color w:val="auto"/>
              </w:rPr>
            </w:pPr>
            <w:r>
              <w:rPr>
                <w:rFonts w:ascii="Arial" w:cs="Arial" w:eastAsia="Arial" w:hAnsi="Arial"/>
                <w:sz w:val="16"/>
                <w:szCs w:val="16"/>
                <w:b w:val="1"/>
                <w:bCs w:val="1"/>
                <w:i w:val="1"/>
                <w:iCs w:val="1"/>
                <w:color w:val="auto"/>
                <w:w w:val="92"/>
              </w:rPr>
              <w:t>130.0%</w:t>
            </w:r>
          </w:p>
        </w:tc>
        <w:tc>
          <w:tcPr>
            <w:tcW w:w="0" w:type="dxa"/>
            <w:vAlign w:val="bottom"/>
          </w:tcPr>
          <w:p>
            <w:pPr>
              <w:spacing w:after="0"/>
              <w:rPr>
                <w:sz w:val="1"/>
                <w:szCs w:val="1"/>
                <w:color w:val="auto"/>
              </w:rPr>
            </w:pPr>
          </w:p>
        </w:tc>
      </w:tr>
      <w:tr>
        <w:trPr>
          <w:trHeight w:val="64"/>
        </w:trPr>
        <w:tc>
          <w:tcPr>
            <w:tcW w:w="4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individual objectives in 2020 assigned to our named executive officers other than our chief executive officer were as</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follows:</w:t>
      </w:r>
    </w:p>
    <w:p>
      <w:pPr>
        <w:spacing w:after="0" w:line="123" w:lineRule="exact"/>
        <w:rPr>
          <w:sz w:val="20"/>
          <w:szCs w:val="20"/>
          <w:color w:val="auto"/>
        </w:rPr>
      </w:pPr>
    </w:p>
    <w:p>
      <w:pPr>
        <w:ind w:left="1020" w:right="99" w:hanging="322"/>
        <w:spacing w:after="0" w:line="263"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Michael Landsittel </w:t>
      </w:r>
      <w:r>
        <w:rPr>
          <w:rFonts w:ascii="Arial" w:cs="Arial" w:eastAsia="Arial" w:hAnsi="Arial"/>
          <w:sz w:val="16"/>
          <w:szCs w:val="16"/>
          <w:color w:val="auto"/>
        </w:rPr>
        <w:t>Mr. Landsittel was assigned objectives related to (1) evolving finance and facilities functional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and processes to meet the needs of our company as we transition to a fully integrated, global company, including the oversight of near and longer-term capital strategy to support pipeline expansion, business development capacity, achievement of the overall financial health for our company and the development and implementation of a long-term operating model following COVID-19 and (2) continuing to develop a strong leadership both internally and externally. For 2020, the compensation committee determined that Mr. Landsittel achieved 130.0% of his individual objectives.</w:t>
      </w:r>
    </w:p>
    <w:p>
      <w:pPr>
        <w:spacing w:after="0" w:line="88" w:lineRule="exact"/>
        <w:rPr>
          <w:rFonts w:ascii="Arial" w:cs="Arial" w:eastAsia="Arial" w:hAnsi="Arial"/>
          <w:sz w:val="18"/>
          <w:szCs w:val="18"/>
          <w:color w:val="auto"/>
        </w:rPr>
      </w:pPr>
    </w:p>
    <w:p>
      <w:pPr>
        <w:ind w:left="1020" w:right="119" w:hanging="322"/>
        <w:spacing w:after="0" w:line="263"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Fouad Namouni, M.D. </w:t>
      </w:r>
      <w:r>
        <w:rPr>
          <w:rFonts w:ascii="Arial" w:cs="Arial" w:eastAsia="Arial" w:hAnsi="Arial"/>
          <w:sz w:val="16"/>
          <w:szCs w:val="16"/>
          <w:color w:val="auto"/>
        </w:rPr>
        <w:t>Dr. Namouni was assigned objectives related to (1) building an end-to-end integrated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development organization and pipeline, including promoting emerging leaders within the research and development function internally and leveraging external innovation to diversify our pipeline and (2) building both external and internal visibility and engagement with key stakeholders. For 2020, the compensation committee determined that Dr. Namouni achieved 115.0% of his individual objectives.</w:t>
      </w:r>
    </w:p>
    <w:p>
      <w:pPr>
        <w:spacing w:after="0" w:line="87" w:lineRule="exact"/>
        <w:rPr>
          <w:rFonts w:ascii="Arial" w:cs="Arial" w:eastAsia="Arial" w:hAnsi="Arial"/>
          <w:sz w:val="18"/>
          <w:szCs w:val="18"/>
          <w:color w:val="auto"/>
        </w:rPr>
      </w:pPr>
    </w:p>
    <w:p>
      <w:pPr>
        <w:ind w:left="1020" w:right="119" w:hanging="322"/>
        <w:spacing w:after="0" w:line="263"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Kathryn Haviland </w:t>
      </w:r>
      <w:r>
        <w:rPr>
          <w:rFonts w:ascii="Arial" w:cs="Arial" w:eastAsia="Arial" w:hAnsi="Arial"/>
          <w:sz w:val="16"/>
          <w:szCs w:val="16"/>
          <w:color w:val="auto"/>
        </w:rPr>
        <w:t>Ms. Haviland was assigned objectives related to (1) driving sustainable growth at our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efforts on adopting a new governance model, leveraging business development opportunities, and the development of long-term strategy and effective leadership within different functional areas and (2) expanding leadership presence throughout our company. For 2020, the compensation committee determined that Ms. Haviland achieved 120.0% of her individual objectives.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right="79" w:hanging="322"/>
        <w:spacing w:after="0" w:line="284" w:lineRule="auto"/>
        <w:tabs>
          <w:tab w:leader="none" w:pos="1020" w:val="left"/>
        </w:tabs>
        <w:numPr>
          <w:ilvl w:val="0"/>
          <w:numId w:val="65"/>
        </w:numPr>
        <w:rPr>
          <w:rFonts w:ascii="Arial" w:cs="Arial" w:eastAsia="Arial" w:hAnsi="Arial"/>
          <w:sz w:val="16"/>
          <w:szCs w:val="16"/>
          <w:color w:val="auto"/>
        </w:rPr>
      </w:pPr>
      <w:r>
        <w:rPr>
          <w:rFonts w:ascii="Arial" w:cs="Arial" w:eastAsia="Arial" w:hAnsi="Arial"/>
          <w:sz w:val="14"/>
          <w:szCs w:val="14"/>
          <w:b w:val="1"/>
          <w:bCs w:val="1"/>
          <w:i w:val="1"/>
          <w:iCs w:val="1"/>
          <w:color w:val="auto"/>
        </w:rPr>
        <w:t xml:space="preserve">Tracey L. McCain, Esq. </w:t>
      </w:r>
      <w:r>
        <w:rPr>
          <w:rFonts w:ascii="Arial" w:cs="Arial" w:eastAsia="Arial" w:hAnsi="Arial"/>
          <w:sz w:val="14"/>
          <w:szCs w:val="14"/>
          <w:color w:val="auto"/>
        </w:rPr>
        <w:t>Ms. McCain was assigned objectives related to (1) identifying opportunities for collaboration,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operational efficiencies, or shared educational opportunities between the quality and legal &amp; compliance departments, and</w:t>
      </w:r>
    </w:p>
    <w:p>
      <w:pPr>
        <w:ind w:left="1020" w:right="159"/>
        <w:spacing w:after="0" w:line="288" w:lineRule="auto"/>
        <w:rPr>
          <w:rFonts w:ascii="Arial" w:cs="Arial" w:eastAsia="Arial" w:hAnsi="Arial"/>
          <w:sz w:val="16"/>
          <w:szCs w:val="16"/>
          <w:color w:val="auto"/>
        </w:rPr>
      </w:pPr>
      <w:r>
        <w:rPr>
          <w:rFonts w:ascii="Arial" w:cs="Arial" w:eastAsia="Arial" w:hAnsi="Arial"/>
          <w:sz w:val="16"/>
          <w:szCs w:val="16"/>
          <w:color w:val="auto"/>
        </w:rPr>
        <w:t>(2) continuing to expand leadership presence in the organization. For 2020, the compensation committee determined that Ms. McCain achieved 110.0% of her individual objectives.</w:t>
      </w:r>
    </w:p>
    <w:p>
      <w:pPr>
        <w:spacing w:after="0" w:line="68" w:lineRule="exact"/>
        <w:rPr>
          <w:sz w:val="20"/>
          <w:szCs w:val="20"/>
          <w:color w:val="auto"/>
        </w:rPr>
      </w:pPr>
    </w:p>
    <w:p>
      <w:pPr>
        <w:ind w:left="60" w:right="439" w:firstLine="648"/>
        <w:spacing w:after="0" w:line="293" w:lineRule="auto"/>
        <w:rPr>
          <w:sz w:val="20"/>
          <w:szCs w:val="20"/>
          <w:color w:val="auto"/>
        </w:rPr>
      </w:pPr>
      <w:r>
        <w:rPr>
          <w:rFonts w:ascii="Arial" w:cs="Arial" w:eastAsia="Arial" w:hAnsi="Arial"/>
          <w:sz w:val="16"/>
          <w:szCs w:val="16"/>
          <w:color w:val="auto"/>
        </w:rPr>
        <w:t>Based on company and individual performance, the compensation committee approved the following 2020 cash incentive payments for each of our named executive officers: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Target Award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2020 Actual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Actual Cash</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Cash Incentive</w:t>
            </w:r>
          </w:p>
        </w:tc>
        <w:tc>
          <w:tcPr>
            <w:tcW w:w="0" w:type="dxa"/>
            <w:vAlign w:val="bottom"/>
          </w:tcPr>
          <w:p>
            <w:pPr>
              <w:spacing w:after="0"/>
              <w:rPr>
                <w:sz w:val="1"/>
                <w:szCs w:val="1"/>
                <w:color w:val="auto"/>
              </w:rPr>
            </w:pPr>
          </w:p>
        </w:tc>
      </w:tr>
      <w:tr>
        <w:trPr>
          <w:trHeight w:val="148"/>
        </w:trPr>
        <w:tc>
          <w:tcPr>
            <w:tcW w:w="5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 of Base</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Payment (% of</w:t>
            </w:r>
          </w:p>
        </w:tc>
        <w:tc>
          <w:tcPr>
            <w:tcW w:w="0" w:type="dxa"/>
            <w:vAlign w:val="bottom"/>
          </w:tcPr>
          <w:p>
            <w:pPr>
              <w:spacing w:after="0"/>
              <w:rPr>
                <w:sz w:val="1"/>
                <w:szCs w:val="1"/>
                <w:color w:val="auto"/>
              </w:rPr>
            </w:pPr>
          </w:p>
        </w:tc>
      </w:tr>
      <w:tr>
        <w:trPr>
          <w:trHeight w:val="171"/>
        </w:trPr>
        <w:tc>
          <w:tcPr>
            <w:tcW w:w="5220" w:type="dxa"/>
            <w:vAlign w:val="bottom"/>
            <w:gridSpan w:val="4"/>
            <w:vMerge w:val="continue"/>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Salary)</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Payment ($)</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4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 (1)</w:t>
            </w:r>
          </w:p>
        </w:tc>
        <w:tc>
          <w:tcPr>
            <w:tcW w:w="860" w:type="dxa"/>
            <w:vAlign w:val="bottom"/>
            <w:shd w:val="clear" w:color="auto" w:fill="CCEEFF"/>
          </w:tcPr>
          <w:p>
            <w:pPr>
              <w:ind w:left="340"/>
              <w:spacing w:after="0"/>
              <w:rPr>
                <w:sz w:val="20"/>
                <w:szCs w:val="20"/>
                <w:color w:val="auto"/>
              </w:rPr>
            </w:pPr>
            <w:r>
              <w:rPr>
                <w:rFonts w:ascii="Arial" w:cs="Arial" w:eastAsia="Arial" w:hAnsi="Arial"/>
                <w:sz w:val="16"/>
                <w:szCs w:val="16"/>
                <w:color w:val="auto"/>
                <w:w w:val="86"/>
              </w:rPr>
              <w:t>545,025</w:t>
            </w:r>
          </w:p>
        </w:tc>
        <w:tc>
          <w:tcPr>
            <w:tcW w:w="2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3"/>
          </w:tcPr>
          <w:p>
            <w:pPr>
              <w:spacing w:after="0"/>
              <w:rPr>
                <w:sz w:val="20"/>
                <w:szCs w:val="20"/>
                <w:color w:val="auto"/>
              </w:rPr>
            </w:pPr>
            <w:r>
              <w:rPr>
                <w:rFonts w:ascii="Arial" w:cs="Arial" w:eastAsia="Arial" w:hAnsi="Arial"/>
                <w:sz w:val="16"/>
                <w:szCs w:val="16"/>
                <w:color w:val="auto"/>
              </w:rPr>
              <w:t>Michael Landsittel</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40% (1)</w:t>
            </w:r>
          </w:p>
        </w:tc>
        <w:tc>
          <w:tcPr>
            <w:tcW w:w="860" w:type="dxa"/>
            <w:vAlign w:val="bottom"/>
          </w:tcPr>
          <w:p>
            <w:pPr>
              <w:ind w:left="340"/>
              <w:spacing w:after="0"/>
              <w:rPr>
                <w:sz w:val="20"/>
                <w:szCs w:val="20"/>
                <w:color w:val="auto"/>
              </w:rPr>
            </w:pPr>
            <w:r>
              <w:rPr>
                <w:rFonts w:ascii="Arial" w:cs="Arial" w:eastAsia="Arial" w:hAnsi="Arial"/>
                <w:sz w:val="16"/>
                <w:szCs w:val="16"/>
                <w:color w:val="auto"/>
                <w:w w:val="86"/>
              </w:rPr>
              <w:t>197,379</w:t>
            </w:r>
          </w:p>
        </w:tc>
        <w:tc>
          <w:tcPr>
            <w:tcW w:w="2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Fouad Namouni, M.D.</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 (2)</w:t>
            </w: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90"/>
              </w:rPr>
              <w:t>103,114 (2)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3"/>
          </w:tcPr>
          <w:p>
            <w:pPr>
              <w:spacing w:after="0"/>
              <w:rPr>
                <w:sz w:val="20"/>
                <w:szCs w:val="20"/>
                <w:color w:val="auto"/>
              </w:rPr>
            </w:pPr>
            <w:r>
              <w:rPr>
                <w:rFonts w:ascii="Arial" w:cs="Arial" w:eastAsia="Arial" w:hAnsi="Arial"/>
                <w:sz w:val="16"/>
                <w:szCs w:val="16"/>
                <w:color w:val="auto"/>
              </w:rPr>
              <w:t>Kathryn Haviland</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45% (1)</w:t>
            </w:r>
          </w:p>
        </w:tc>
        <w:tc>
          <w:tcPr>
            <w:tcW w:w="860" w:type="dxa"/>
            <w:vAlign w:val="bottom"/>
          </w:tcPr>
          <w:p>
            <w:pPr>
              <w:ind w:left="340"/>
              <w:spacing w:after="0"/>
              <w:rPr>
                <w:sz w:val="20"/>
                <w:szCs w:val="20"/>
                <w:color w:val="auto"/>
              </w:rPr>
            </w:pPr>
            <w:r>
              <w:rPr>
                <w:rFonts w:ascii="Arial" w:cs="Arial" w:eastAsia="Arial" w:hAnsi="Arial"/>
                <w:sz w:val="16"/>
                <w:szCs w:val="16"/>
                <w:color w:val="auto"/>
                <w:w w:val="86"/>
              </w:rPr>
              <w:t>264,466</w:t>
            </w:r>
          </w:p>
        </w:tc>
        <w:tc>
          <w:tcPr>
            <w:tcW w:w="2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Tracey L. McCain, Esq.</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 (1)</w:t>
            </w:r>
          </w:p>
        </w:tc>
        <w:tc>
          <w:tcPr>
            <w:tcW w:w="860" w:type="dxa"/>
            <w:vAlign w:val="bottom"/>
            <w:shd w:val="clear" w:color="auto" w:fill="CCEEFF"/>
          </w:tcPr>
          <w:p>
            <w:pPr>
              <w:ind w:left="340"/>
              <w:spacing w:after="0"/>
              <w:rPr>
                <w:sz w:val="20"/>
                <w:szCs w:val="20"/>
                <w:color w:val="auto"/>
              </w:rPr>
            </w:pPr>
            <w:r>
              <w:rPr>
                <w:rFonts w:ascii="Arial" w:cs="Arial" w:eastAsia="Arial" w:hAnsi="Arial"/>
                <w:sz w:val="16"/>
                <w:szCs w:val="16"/>
                <w:color w:val="auto"/>
                <w:w w:val="86"/>
              </w:rPr>
              <w:t>254,981</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259" w:hanging="330"/>
        <w:spacing w:after="0" w:line="25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each of Messrs. Albers, Landsittel and Mses. Haviland and McCain, such individual’s target award percentage increased by 5% relative to the target award percentage for 2019 to align with the 50</w:t>
      </w:r>
      <w:r>
        <w:rPr>
          <w:rFonts w:ascii="Arial" w:cs="Arial" w:eastAsia="Arial" w:hAnsi="Arial"/>
          <w:sz w:val="10"/>
          <w:szCs w:val="10"/>
          <w:color w:val="auto"/>
        </w:rPr>
        <w:t>th</w:t>
      </w:r>
      <w:r>
        <w:rPr>
          <w:rFonts w:ascii="Arial" w:cs="Arial" w:eastAsia="Arial" w:hAnsi="Arial"/>
          <w:sz w:val="14"/>
          <w:szCs w:val="14"/>
          <w:color w:val="auto"/>
        </w:rPr>
        <w:t xml:space="preserve"> percentile of our peer group.</w:t>
      </w:r>
    </w:p>
    <w:p>
      <w:pPr>
        <w:spacing w:after="0" w:line="65" w:lineRule="exact"/>
        <w:rPr>
          <w:rFonts w:ascii="Arial" w:cs="Arial" w:eastAsia="Arial" w:hAnsi="Arial"/>
          <w:sz w:val="14"/>
          <w:szCs w:val="14"/>
          <w:color w:val="auto"/>
        </w:rPr>
      </w:pPr>
    </w:p>
    <w:p>
      <w:pPr>
        <w:ind w:left="380" w:right="159" w:hanging="330"/>
        <w:spacing w:after="0" w:line="238"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Dr. Namouni joined the company as our president, research and development, in September 2020. The actual cash incentive payment he received was prorated on a monthly basis. Under the terms of Dr. Namouni’s employment agreement, he was eligible to receive a pro-rata bonus for the year ended December 31, 2020.</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Equity Incentive Awards</w:t>
      </w:r>
    </w:p>
    <w:p>
      <w:pPr>
        <w:spacing w:after="0" w:line="127"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6"/>
          <w:szCs w:val="16"/>
          <w:color w:val="auto"/>
        </w:rPr>
        <w:t>We have established equity ownership guidelines applicable to our non-employee directors and named executive officers. In addition, our equity compensation plans provide a principal method for our executive officers to acquire a meaningful ownership interest in our company.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and RSUs.</w:t>
      </w:r>
    </w:p>
    <w:p>
      <w:pPr>
        <w:spacing w:after="0" w:line="84" w:lineRule="exact"/>
        <w:rPr>
          <w:sz w:val="20"/>
          <w:szCs w:val="20"/>
          <w:color w:val="auto"/>
        </w:rPr>
      </w:pPr>
    </w:p>
    <w:p>
      <w:pPr>
        <w:ind w:left="60" w:right="179" w:firstLine="648"/>
        <w:spacing w:after="0" w:line="324" w:lineRule="auto"/>
        <w:rPr>
          <w:sz w:val="20"/>
          <w:szCs w:val="20"/>
          <w:color w:val="auto"/>
        </w:rPr>
      </w:pPr>
      <w:r>
        <w:rPr>
          <w:rFonts w:ascii="Arial" w:cs="Arial" w:eastAsia="Arial" w:hAnsi="Arial"/>
          <w:sz w:val="14"/>
          <w:szCs w:val="14"/>
          <w:color w:val="auto"/>
        </w:rPr>
        <w:t>Equity compensation represents the largest at-risk component of our named executive officers’ compensation arrangements. We believe that it is appropriate to align the interests of our named executive officers with those of our stockholders to achieve and sustain long-term stock price growth. Prior to 2018, we typically used stock options to compensate our executive officers in the form of initial grants in connection with the commencement of employment and on an annual basis as they continue their employment.</w:t>
      </w:r>
    </w:p>
    <w:p>
      <w:pPr>
        <w:spacing w:after="0" w:line="49" w:lineRule="exact"/>
        <w:rPr>
          <w:sz w:val="20"/>
          <w:szCs w:val="20"/>
          <w:color w:val="auto"/>
        </w:rPr>
      </w:pPr>
    </w:p>
    <w:p>
      <w:pPr>
        <w:ind w:left="60" w:right="59" w:firstLine="648"/>
        <w:spacing w:after="0" w:line="307" w:lineRule="auto"/>
        <w:rPr>
          <w:sz w:val="20"/>
          <w:szCs w:val="20"/>
          <w:color w:val="auto"/>
        </w:rPr>
      </w:pPr>
      <w:r>
        <w:rPr>
          <w:rFonts w:ascii="Arial" w:cs="Arial" w:eastAsia="Arial" w:hAnsi="Arial"/>
          <w:sz w:val="14"/>
          <w:szCs w:val="14"/>
          <w:color w:val="auto"/>
        </w:rPr>
        <w:t>In May 2018, we implemented a program, as may be amended from time to time, that permits employees below the vice president level to elect to receive equity compensation (other than initial equity awards in connection with the commencement of employment) in the form of stock options, RSUs or a combination of both, which we refer to as our “equity choice program.” Our equity choice program is intended to differentiate our company in the marketplace to attract and retain top employee talent, to allow employees below the vice president level to elect to receive their equity awards to conform to their particular risk tolerance profile and to further promote employee engagement. For employees at or above the vice president level, including our executive officers, our compensation committee granted a combination of stock options and RSUs in connection with their annual equity awards at a fixed ratio. In deciding to incorporate RSUs as a part of our equity incentive compensation program, our compensation committee considered a host of factors in comparison to our named peers, including the following: annual long-term incentive values, annual equity awards expressed as a percent of total shares outstanding, total annual and cumulative dilution, share usage burn rate, potential dilution overhang, the retentive value of outstanding awards and total equity ownership and the equity compensation practices of other companies in our industry that compete with us for talent. We also expect to generally grant stock options and RSUs to executive officers in the form of initial grants and on an annual basis in subsequent years. None of our named executive officers are currently party to an employment agreement that provides for an automatic award of stock options, RSUs or performance-based stock awards.</w:t>
      </w:r>
    </w:p>
    <w:p>
      <w:pPr>
        <w:spacing w:after="0" w:line="266" w:lineRule="exact"/>
        <w:rPr>
          <w:sz w:val="20"/>
          <w:szCs w:val="20"/>
          <w:color w:val="auto"/>
        </w:rPr>
      </w:pPr>
    </w:p>
    <w:p>
      <w:pPr>
        <w:ind w:left="60" w:right="219" w:firstLine="648"/>
        <w:spacing w:after="0" w:line="282" w:lineRule="auto"/>
        <w:rPr>
          <w:sz w:val="20"/>
          <w:szCs w:val="20"/>
          <w:color w:val="auto"/>
        </w:rPr>
      </w:pPr>
      <w:r>
        <w:rPr>
          <w:rFonts w:ascii="Arial" w:cs="Arial" w:eastAsia="Arial" w:hAnsi="Arial"/>
          <w:sz w:val="15"/>
          <w:szCs w:val="15"/>
          <w:color w:val="auto"/>
        </w:rPr>
        <w:t>Any initial equity awards granted to executive officers in connection with the commencement of their employment are typically granted on the first day of the calendar month following the date of such new hires’ first date of regular employment, and any annual equity awards granted to executive officers are typically granted in the first quarter of the year following the applicable performance period. Any stock options granted to our executive officers will have an exercise price equal to the closing price of our common stock as reported on the Nasdaq Global Select Market on the date of grant, will have time-based vesting and will expire</w:t>
      </w:r>
    </w:p>
    <w:p>
      <w:pPr>
        <w:spacing w:after="0" w:line="3" w:lineRule="exact"/>
        <w:rPr>
          <w:sz w:val="20"/>
          <w:szCs w:val="20"/>
          <w:color w:val="auto"/>
        </w:rPr>
      </w:pPr>
    </w:p>
    <w:p>
      <w:pPr>
        <w:ind w:left="60" w:right="79"/>
        <w:spacing w:after="0" w:line="282" w:lineRule="auto"/>
        <w:rPr>
          <w:sz w:val="20"/>
          <w:szCs w:val="20"/>
          <w:color w:val="auto"/>
        </w:rPr>
      </w:pPr>
      <w:r>
        <w:rPr>
          <w:rFonts w:ascii="Arial" w:cs="Arial" w:eastAsia="Arial" w:hAnsi="Arial"/>
          <w:sz w:val="14"/>
          <w:szCs w:val="14"/>
          <w:color w:val="auto"/>
        </w:rPr>
        <w:t>ten years after the date of grant. The initial stock options granted to executive officers upon the commencement of their employment vest as to 25% of the shares underlying the option on the first anniversary of the grant date and as to an additional 1/48</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the shares underlying the option monthly thereafter, subject to the executive officer’s continued employment. The annual stock options granted to executive officers vest as to 1/48</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the shares underlying the option on the one-month anniversary of the grant date and as to an</w:t>
      </w:r>
    </w:p>
    <w:p>
      <w:pPr>
        <w:sectPr>
          <w:pgSz w:w="11900" w:h="16838" w:orient="portrait"/>
          <w:cols w:equalWidth="0" w:num="1">
            <w:col w:w="9019"/>
          </w:cols>
          <w:pgMar w:left="1440" w:top="517" w:right="1440"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99"/>
        <w:spacing w:after="0" w:line="292" w:lineRule="auto"/>
        <w:rPr>
          <w:sz w:val="20"/>
          <w:szCs w:val="20"/>
          <w:color w:val="auto"/>
        </w:rPr>
      </w:pPr>
      <w:r>
        <w:rPr>
          <w:rFonts w:ascii="Arial" w:cs="Arial" w:eastAsia="Arial" w:hAnsi="Arial"/>
          <w:sz w:val="14"/>
          <w:szCs w:val="14"/>
          <w:color w:val="auto"/>
        </w:rPr>
        <w:t>additional 1/48</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the shares underlying the option monthly thereafter, subject to the executive officer’s continued employment. Upon a termination of employment, vesting for any stock options granted to executive officers will cease and exercise rights will generally cease three months thereafter. Each RSU granted to our executive officers will have time-based vesting and will entitle the executive officer to one share of our common stock if and when the RSU vests. Any initial RSUs granted to executive officers upon the commencement of their employment and any annual RSUs granted to executive officers vest as to 25% of the shares underlying the RSU award on the first anniversary of the grant date and as to an additional 25% of the shares underlying the RSU award annually thereafter, subject to the executive officer’s continued employment. Vesting for any RSUs granted to executive officers will cease upon termination of employment. In specified termination and change-in-control circumstances, equity awards held by our named executive officers are subject to accelerated vesting. See “—Severance and Change-in-Control Benefits” below for further information.</w:t>
      </w:r>
    </w:p>
    <w:p>
      <w:pPr>
        <w:spacing w:after="0" w:line="70" w:lineRule="exact"/>
        <w:rPr>
          <w:sz w:val="20"/>
          <w:szCs w:val="20"/>
          <w:color w:val="auto"/>
        </w:rPr>
      </w:pPr>
    </w:p>
    <w:p>
      <w:pPr>
        <w:ind w:left="60" w:right="239" w:firstLine="648"/>
        <w:spacing w:after="0" w:line="269" w:lineRule="auto"/>
        <w:rPr>
          <w:sz w:val="20"/>
          <w:szCs w:val="20"/>
          <w:color w:val="auto"/>
        </w:rPr>
      </w:pPr>
      <w:r>
        <w:rPr>
          <w:rFonts w:ascii="Arial" w:cs="Arial" w:eastAsia="Arial" w:hAnsi="Arial"/>
          <w:sz w:val="16"/>
          <w:szCs w:val="16"/>
          <w:color w:val="auto"/>
        </w:rPr>
        <w:t>In determining the size of the equity awards to our named executive officers, our compensation committee, with assistance from Radford, considers our company performance, individual performance, the potential for enhancing the creation of value for our stockholders, the company’s broader organizational equity needs and overall dilution, as well as industry and peer group benchmark data.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w:t>
      </w:r>
    </w:p>
    <w:p>
      <w:pPr>
        <w:spacing w:after="0" w:line="86" w:lineRule="exact"/>
        <w:rPr>
          <w:sz w:val="20"/>
          <w:szCs w:val="20"/>
          <w:color w:val="auto"/>
        </w:rPr>
      </w:pPr>
    </w:p>
    <w:p>
      <w:pPr>
        <w:jc w:val="both"/>
        <w:ind w:left="60" w:right="279" w:firstLine="648"/>
        <w:spacing w:after="0" w:line="284" w:lineRule="auto"/>
        <w:rPr>
          <w:sz w:val="20"/>
          <w:szCs w:val="20"/>
          <w:color w:val="auto"/>
        </w:rPr>
      </w:pPr>
      <w:r>
        <w:rPr>
          <w:rFonts w:ascii="Arial" w:cs="Arial" w:eastAsia="Arial" w:hAnsi="Arial"/>
          <w:sz w:val="14"/>
          <w:szCs w:val="14"/>
          <w:color w:val="auto"/>
        </w:rPr>
        <w:t>In February 2020, our compensation committee granted stock options and RSUs to our named executive officers (other than Dr. Namouni, who joined the company in September 2020) in the amounts set forth in the table below, generally aligning competitive equity award grants with the 65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of our peer group. In connection with Dr. Namouni’s commencement of employment, our compensation committee granted stock options and RSUs to Dr. Namouni, in the amounts set forth in the table below.</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 Award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RSU Award</w:t>
            </w:r>
          </w:p>
        </w:tc>
        <w:tc>
          <w:tcPr>
            <w:tcW w:w="0" w:type="dxa"/>
            <w:vAlign w:val="bottom"/>
          </w:tcPr>
          <w:p>
            <w:pPr>
              <w:spacing w:after="0"/>
              <w:rPr>
                <w:sz w:val="1"/>
                <w:szCs w:val="1"/>
                <w:color w:val="auto"/>
              </w:rPr>
            </w:pPr>
          </w:p>
        </w:tc>
      </w:tr>
      <w:tr>
        <w:trPr>
          <w:trHeight w:val="171"/>
        </w:trPr>
        <w:tc>
          <w:tcPr>
            <w:tcW w:w="6960" w:type="dxa"/>
            <w:vAlign w:val="bottom"/>
            <w:gridSpan w:val="4"/>
            <w:vMerge w:val="continue"/>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 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gridSpan w:val="3"/>
          </w:tcPr>
          <w:p>
            <w:pPr>
              <w:spacing w:after="0"/>
              <w:rPr>
                <w:sz w:val="20"/>
                <w:szCs w:val="20"/>
                <w:color w:val="auto"/>
              </w:rPr>
            </w:pPr>
            <w:r>
              <w:rPr>
                <w:rFonts w:ascii="Arial" w:cs="Arial" w:eastAsia="Arial" w:hAnsi="Arial"/>
                <w:sz w:val="16"/>
                <w:szCs w:val="16"/>
                <w:color w:val="auto"/>
              </w:rPr>
              <w:t>Michael Landsittel</w:t>
            </w:r>
          </w:p>
        </w:tc>
        <w:tc>
          <w:tcPr>
            <w:tcW w:w="900" w:type="dxa"/>
            <w:vAlign w:val="bottom"/>
          </w:tcPr>
          <w:p>
            <w:pPr>
              <w:jc w:val="right"/>
              <w:spacing w:after="0"/>
              <w:rPr>
                <w:sz w:val="20"/>
                <w:szCs w:val="20"/>
                <w:color w:val="auto"/>
              </w:rPr>
            </w:pPr>
            <w:r>
              <w:rPr>
                <w:rFonts w:ascii="Arial" w:cs="Arial" w:eastAsia="Arial" w:hAnsi="Arial"/>
                <w:sz w:val="16"/>
                <w:szCs w:val="16"/>
                <w:color w:val="auto"/>
              </w:rPr>
              <w:t>25,000</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12,500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Fouad Namouni, M.D. (1)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gridSpan w:val="3"/>
          </w:tcPr>
          <w:p>
            <w:pPr>
              <w:spacing w:after="0"/>
              <w:rPr>
                <w:sz w:val="20"/>
                <w:szCs w:val="20"/>
                <w:color w:val="auto"/>
              </w:rPr>
            </w:pPr>
            <w:r>
              <w:rPr>
                <w:rFonts w:ascii="Arial" w:cs="Arial" w:eastAsia="Arial" w:hAnsi="Arial"/>
                <w:sz w:val="16"/>
                <w:szCs w:val="16"/>
                <w:color w:val="auto"/>
              </w:rPr>
              <w:t>Kathryn Haviland</w:t>
            </w:r>
          </w:p>
        </w:tc>
        <w:tc>
          <w:tcPr>
            <w:tcW w:w="900" w:type="dxa"/>
            <w:vAlign w:val="bottom"/>
          </w:tcPr>
          <w:p>
            <w:pPr>
              <w:jc w:val="right"/>
              <w:spacing w:after="0"/>
              <w:rPr>
                <w:sz w:val="20"/>
                <w:szCs w:val="20"/>
                <w:color w:val="auto"/>
              </w:rPr>
            </w:pPr>
            <w:r>
              <w:rPr>
                <w:rFonts w:ascii="Arial" w:cs="Arial" w:eastAsia="Arial" w:hAnsi="Arial"/>
                <w:sz w:val="16"/>
                <w:szCs w:val="16"/>
                <w:color w:val="auto"/>
              </w:rPr>
              <w:t>28,500</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14,250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Tracey L. McCain, Esq.</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14,250</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259" w:hanging="330"/>
        <w:spacing w:after="0" w:line="238"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Dr. Namouni joined the company as our president, research and development, in September 2020. Under the terms of Dr. Namouni’s employment agreement, Dr. Namouni was granted a stock option to purchase 65,000 shares of our common stock and 32,500 RSUs effective as of October 1, 2020. Dr. Namouni did not receive an annual equity incentive award in 2020.</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Other Compensation Policies and Practices</w:t>
      </w:r>
    </w:p>
    <w:p>
      <w:pPr>
        <w:spacing w:after="0" w:line="127" w:lineRule="exact"/>
        <w:rPr>
          <w:sz w:val="20"/>
          <w:szCs w:val="20"/>
          <w:color w:val="auto"/>
        </w:rPr>
      </w:pPr>
    </w:p>
    <w:p>
      <w:pPr>
        <w:ind w:left="60" w:right="159" w:firstLine="648"/>
        <w:spacing w:after="0" w:line="278" w:lineRule="auto"/>
        <w:rPr>
          <w:sz w:val="20"/>
          <w:szCs w:val="20"/>
          <w:color w:val="auto"/>
        </w:rPr>
      </w:pPr>
      <w:r>
        <w:rPr>
          <w:rFonts w:ascii="Arial" w:cs="Arial" w:eastAsia="Arial" w:hAnsi="Arial"/>
          <w:sz w:val="16"/>
          <w:szCs w:val="16"/>
          <w:i w:val="1"/>
          <w:iCs w:val="1"/>
          <w:color w:val="auto"/>
        </w:rPr>
        <w:t xml:space="preserve">Health and Welfare Benefits. </w:t>
      </w:r>
      <w:r>
        <w:rPr>
          <w:rFonts w:ascii="Arial" w:cs="Arial" w:eastAsia="Arial" w:hAnsi="Arial"/>
          <w:sz w:val="16"/>
          <w:szCs w:val="16"/>
          <w:color w:val="auto"/>
        </w:rPr>
        <w:t>Our named executive officers are eligible to participate in all of our employee benefit plans,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medical, dental, vision, life and disability insurance plans and commuting benefits plan, in each case, on the same basis as other employees.</w:t>
      </w:r>
    </w:p>
    <w:p>
      <w:pPr>
        <w:spacing w:after="0" w:line="7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5"/>
          <w:szCs w:val="15"/>
          <w:i w:val="1"/>
          <w:iCs w:val="1"/>
          <w:color w:val="auto"/>
        </w:rPr>
        <w:t xml:space="preserve">401(k) Plan. </w:t>
      </w:r>
      <w:r>
        <w:rPr>
          <w:rFonts w:ascii="Arial" w:cs="Arial" w:eastAsia="Arial" w:hAnsi="Arial"/>
          <w:sz w:val="15"/>
          <w:szCs w:val="15"/>
          <w:color w:val="auto"/>
        </w:rPr>
        <w:t>We maintain a 401(k) plan that is intended to qualify under Section 401(k) of the Internal Revenue Service Code</w:t>
      </w:r>
      <w:r>
        <w:rPr>
          <w:rFonts w:ascii="Arial" w:cs="Arial" w:eastAsia="Arial" w:hAnsi="Arial"/>
          <w:sz w:val="15"/>
          <w:szCs w:val="15"/>
          <w:i w:val="1"/>
          <w:iCs w:val="1"/>
          <w:color w:val="auto"/>
        </w:rPr>
        <w:t xml:space="preserve"> </w:t>
      </w:r>
      <w:r>
        <w:rPr>
          <w:rFonts w:ascii="Arial" w:cs="Arial" w:eastAsia="Arial" w:hAnsi="Arial"/>
          <w:sz w:val="15"/>
          <w:szCs w:val="15"/>
          <w:color w:val="auto"/>
        </w:rPr>
        <w:t>of 1986, as amended, or the Internal Revenue Code. In general, all of our employees, including our named executive officers, are eligible to participate in the 401(k) plan. Under the 401(k) plan, employees may elect to reduce their current compensation by up to the statutorily prescribed annual limit, equal to $19,500 in 2020, and to have the amount of such reduction contributed to the 401(k) plan. Participants who will turn age 50 in 2020 are also eligible to make “catch-up” contributions, which in 2020 may be up to an additional $6,500 above the statutory limit. We currently match 50% of an employee’s 401(k) contributions up to a maximum of 3% of the participant’s compensation. Matching contributions are 100% vested immediately. Matching contributions made to each of our named executive officers are included in the “Summary Compensation Table” below.</w:t>
      </w:r>
    </w:p>
    <w:p>
      <w:pPr>
        <w:spacing w:after="0" w:line="72" w:lineRule="exact"/>
        <w:rPr>
          <w:sz w:val="20"/>
          <w:szCs w:val="20"/>
          <w:color w:val="auto"/>
        </w:rPr>
      </w:pPr>
    </w:p>
    <w:p>
      <w:pPr>
        <w:ind w:left="60" w:right="299" w:firstLine="648"/>
        <w:spacing w:after="0" w:line="293" w:lineRule="auto"/>
        <w:rPr>
          <w:sz w:val="20"/>
          <w:szCs w:val="20"/>
          <w:color w:val="auto"/>
        </w:rPr>
      </w:pPr>
      <w:r>
        <w:rPr>
          <w:rFonts w:ascii="Arial" w:cs="Arial" w:eastAsia="Arial" w:hAnsi="Arial"/>
          <w:sz w:val="15"/>
          <w:szCs w:val="15"/>
          <w:i w:val="1"/>
          <w:iCs w:val="1"/>
          <w:color w:val="auto"/>
        </w:rPr>
        <w:t xml:space="preserve">Employee Stock Purchase Plan. </w:t>
      </w:r>
      <w:r>
        <w:rPr>
          <w:rFonts w:ascii="Arial" w:cs="Arial" w:eastAsia="Arial" w:hAnsi="Arial"/>
          <w:sz w:val="15"/>
          <w:szCs w:val="15"/>
          <w:color w:val="auto"/>
        </w:rPr>
        <w:t>Pursuant to our employee stock purchase plan, employees, including our named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have an opportunity to purchase our common stock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stockholders and better align their interests with those of our other stockholders.</w:t>
      </w:r>
    </w:p>
    <w:p>
      <w:pPr>
        <w:spacing w:after="0" w:line="68"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We do not provide perquisites or personal benefits to our named executive officers other than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relocation assistance for new hires on a limited basis.</w:t>
      </w:r>
    </w:p>
    <w:p>
      <w:pPr>
        <w:spacing w:after="0" w:line="64" w:lineRule="exact"/>
        <w:rPr>
          <w:sz w:val="20"/>
          <w:szCs w:val="20"/>
          <w:color w:val="auto"/>
        </w:rPr>
      </w:pPr>
    </w:p>
    <w:p>
      <w:pPr>
        <w:ind w:left="60" w:right="219" w:firstLine="648"/>
        <w:spacing w:after="0" w:line="318" w:lineRule="auto"/>
        <w:rPr>
          <w:sz w:val="20"/>
          <w:szCs w:val="20"/>
          <w:color w:val="auto"/>
        </w:rPr>
      </w:pPr>
      <w:r>
        <w:rPr>
          <w:rFonts w:ascii="Arial" w:cs="Arial" w:eastAsia="Arial" w:hAnsi="Arial"/>
          <w:sz w:val="14"/>
          <w:szCs w:val="14"/>
          <w:i w:val="1"/>
          <w:iCs w:val="1"/>
          <w:color w:val="auto"/>
        </w:rPr>
        <w:t xml:space="preserve">Clawback Policy. </w:t>
      </w:r>
      <w:r>
        <w:rPr>
          <w:rFonts w:ascii="Arial" w:cs="Arial" w:eastAsia="Arial" w:hAnsi="Arial"/>
          <w:sz w:val="14"/>
          <w:szCs w:val="14"/>
          <w:color w:val="auto"/>
        </w:rPr>
        <w:t>Our clawback policy covers incentive compensation paid to our executive officers, or covered executives.</w:t>
      </w:r>
      <w:r>
        <w:rPr>
          <w:rFonts w:ascii="Arial" w:cs="Arial" w:eastAsia="Arial" w:hAnsi="Arial"/>
          <w:sz w:val="14"/>
          <w:szCs w:val="14"/>
          <w:i w:val="1"/>
          <w:iCs w:val="1"/>
          <w:color w:val="auto"/>
        </w:rPr>
        <w:t xml:space="preserve"> </w:t>
      </w:r>
      <w:r>
        <w:rPr>
          <w:rFonts w:ascii="Arial" w:cs="Arial" w:eastAsia="Arial" w:hAnsi="Arial"/>
          <w:sz w:val="14"/>
          <w:szCs w:val="14"/>
          <w:color w:val="auto"/>
        </w:rPr>
        <w:t>The policy provides that if we are required to prepare an accounting restatement due to our material non-compliance with any financial reporting requirement and intentional misconduct by a covered executive, our compensation committee may require the covered executive to repay to us any excess compensation received by the covered executive during the 12-month period preceding the publication of such restatement. For purposes of this policy, excess compensation means annual cash bonus and equity incentive</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579"/>
        <w:spacing w:after="0" w:line="328" w:lineRule="auto"/>
        <w:rPr>
          <w:sz w:val="20"/>
          <w:szCs w:val="20"/>
          <w:color w:val="auto"/>
        </w:rPr>
      </w:pPr>
      <w:r>
        <w:rPr>
          <w:rFonts w:ascii="Arial" w:cs="Arial" w:eastAsia="Arial" w:hAnsi="Arial"/>
          <w:sz w:val="15"/>
          <w:szCs w:val="15"/>
          <w:color w:val="auto"/>
        </w:rPr>
        <w:t>compensation that is in excess of the amount such covered executive would have received, if the annual cash bonus and/or equity incentive compensation had been determined wholly or in part based on the restated financial reporting measures.</w:t>
      </w:r>
    </w:p>
    <w:p>
      <w:pPr>
        <w:spacing w:after="0" w:line="150" w:lineRule="exact"/>
        <w:rPr>
          <w:sz w:val="20"/>
          <w:szCs w:val="20"/>
          <w:color w:val="auto"/>
        </w:rPr>
      </w:pPr>
    </w:p>
    <w:p>
      <w:pPr>
        <w:ind w:left="60" w:right="439" w:firstLine="648"/>
        <w:spacing w:after="0" w:line="278"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December 2020, our board of directors adopted a stock ownership guidelines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our directors and senior executive officers are focused on both short- and long-term objectives and to better align their interests with other stockholders.</w:t>
      </w:r>
    </w:p>
    <w:p>
      <w:pPr>
        <w:spacing w:after="0" w:line="157" w:lineRule="exact"/>
        <w:rPr>
          <w:sz w:val="20"/>
          <w:szCs w:val="20"/>
          <w:color w:val="auto"/>
        </w:rPr>
      </w:pPr>
    </w:p>
    <w:p>
      <w:pPr>
        <w:jc w:val="both"/>
        <w:ind w:left="60" w:right="279" w:firstLine="648"/>
        <w:spacing w:after="0" w:line="335" w:lineRule="auto"/>
        <w:rPr>
          <w:sz w:val="20"/>
          <w:szCs w:val="20"/>
          <w:color w:val="auto"/>
        </w:rPr>
      </w:pPr>
      <w:r>
        <w:rPr>
          <w:rFonts w:ascii="Arial" w:cs="Arial" w:eastAsia="Arial" w:hAnsi="Arial"/>
          <w:sz w:val="14"/>
          <w:szCs w:val="14"/>
          <w:color w:val="auto"/>
        </w:rPr>
        <w:t>The guidelines require each of our chief executive officer and other named executive officers to achieve the ownership level associated with his or her position within five years from the date of the appointment as the chief executive officer or designation as a named executive officer, as the case may be. The guidelines are determined in comparison to base salary as follows.</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240" w:type="dxa"/>
            <w:vAlign w:val="bottom"/>
            <w:gridSpan w:val="3"/>
          </w:tcPr>
          <w:p>
            <w:pPr>
              <w:spacing w:after="0"/>
              <w:rPr>
                <w:sz w:val="20"/>
                <w:szCs w:val="20"/>
                <w:color w:val="auto"/>
              </w:rPr>
            </w:pPr>
            <w:r>
              <w:rPr>
                <w:rFonts w:ascii="Arial" w:cs="Arial" w:eastAsia="Arial" w:hAnsi="Arial"/>
                <w:sz w:val="16"/>
                <w:szCs w:val="16"/>
                <w:b w:val="1"/>
                <w:bCs w:val="1"/>
                <w:color w:val="auto"/>
              </w:rPr>
              <w:t>Named Executive Officer</w:t>
            </w:r>
          </w:p>
        </w:tc>
        <w:tc>
          <w:tcPr>
            <w:tcW w:w="1600" w:type="dxa"/>
            <w:vAlign w:val="bottom"/>
          </w:tcPr>
          <w:p>
            <w:pPr>
              <w:spacing w:after="0"/>
              <w:rPr>
                <w:sz w:val="20"/>
                <w:szCs w:val="20"/>
                <w:color w:val="auto"/>
              </w:rPr>
            </w:pPr>
            <w:r>
              <w:rPr>
                <w:rFonts w:ascii="Arial" w:cs="Arial" w:eastAsia="Arial" w:hAnsi="Arial"/>
                <w:sz w:val="16"/>
                <w:szCs w:val="16"/>
                <w:b w:val="1"/>
                <w:bCs w:val="1"/>
                <w:color w:val="auto"/>
              </w:rPr>
              <w:t>Applicable Multiple</w:t>
            </w:r>
          </w:p>
        </w:tc>
      </w:tr>
      <w:tr>
        <w:trPr>
          <w:trHeight w:val="206"/>
        </w:trPr>
        <w:tc>
          <w:tcPr>
            <w:tcW w:w="20" w:type="dxa"/>
            <w:vAlign w:val="bottom"/>
          </w:tcPr>
          <w:p>
            <w:pPr>
              <w:spacing w:after="0"/>
              <w:rPr>
                <w:sz w:val="17"/>
                <w:szCs w:val="17"/>
                <w:color w:val="auto"/>
              </w:rPr>
            </w:pPr>
          </w:p>
        </w:tc>
        <w:tc>
          <w:tcPr>
            <w:tcW w:w="4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3x base salary</w:t>
            </w:r>
          </w:p>
        </w:tc>
      </w:tr>
      <w:tr>
        <w:trPr>
          <w:trHeight w:val="203"/>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Other named executive officers</w:t>
            </w:r>
          </w:p>
        </w:tc>
        <w:tc>
          <w:tcPr>
            <w:tcW w:w="1600" w:type="dxa"/>
            <w:vAlign w:val="bottom"/>
          </w:tcPr>
          <w:p>
            <w:pPr>
              <w:spacing w:after="0"/>
              <w:rPr>
                <w:sz w:val="20"/>
                <w:szCs w:val="20"/>
                <w:color w:val="auto"/>
              </w:rPr>
            </w:pPr>
            <w:r>
              <w:rPr>
                <w:rFonts w:ascii="Arial" w:cs="Arial" w:eastAsia="Arial" w:hAnsi="Arial"/>
                <w:sz w:val="16"/>
                <w:szCs w:val="16"/>
                <w:color w:val="auto"/>
              </w:rPr>
              <w:t>1x base salary</w:t>
            </w:r>
          </w:p>
        </w:tc>
      </w:tr>
      <w:tr>
        <w:trPr>
          <w:trHeight w:val="203"/>
        </w:trPr>
        <w:tc>
          <w:tcPr>
            <w:tcW w:w="20" w:type="dxa"/>
            <w:vAlign w:val="bottom"/>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Non-employee directors</w:t>
            </w: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w w:val="94"/>
              </w:rPr>
              <w:t>3x annual cash retainer</w:t>
            </w:r>
          </w:p>
        </w:tc>
      </w:tr>
    </w:tbl>
    <w:p>
      <w:pPr>
        <w:spacing w:after="0" w:line="206"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For the purpose of determining stock ownership levels, we include shares underlying restricted stock and restricted stock units (whether or not vested) and shares underlying “in-the-money” vested stock option awards.</w:t>
      </w:r>
    </w:p>
    <w:p>
      <w:pPr>
        <w:spacing w:after="0" w:line="131" w:lineRule="exact"/>
        <w:rPr>
          <w:sz w:val="20"/>
          <w:szCs w:val="20"/>
          <w:color w:val="auto"/>
        </w:rPr>
      </w:pPr>
    </w:p>
    <w:p>
      <w:pPr>
        <w:ind w:left="60" w:right="99" w:firstLine="648"/>
        <w:spacing w:after="0" w:line="315" w:lineRule="auto"/>
        <w:rPr>
          <w:sz w:val="20"/>
          <w:szCs w:val="20"/>
          <w:color w:val="auto"/>
        </w:rPr>
      </w:pPr>
      <w:r>
        <w:rPr>
          <w:rFonts w:ascii="Arial" w:cs="Arial" w:eastAsia="Arial" w:hAnsi="Arial"/>
          <w:sz w:val="14"/>
          <w:szCs w:val="14"/>
          <w:i w:val="1"/>
          <w:iCs w:val="1"/>
          <w:color w:val="auto"/>
        </w:rPr>
        <w:t xml:space="preserve">Anti-Hedging and Pledging Policy. </w:t>
      </w:r>
      <w:r>
        <w:rPr>
          <w:rFonts w:ascii="Arial" w:cs="Arial" w:eastAsia="Arial" w:hAnsi="Arial"/>
          <w:sz w:val="14"/>
          <w:szCs w:val="14"/>
          <w:color w:val="auto"/>
        </w:rPr>
        <w:t>Our insider trading policy expressly prohibits all of our employees, including our named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officers, as well as our directors, from engaging in speculative transactions in our stock, including buying our securities on margin, borrowing against our securities held in a margin account, engaging in short sales of our securities, and buying or selling derivatives on our securities. Our insider trading policy generally prohibits all of our employees, including our named executive officers, as well as our directors, from pledging our securities as collateral for a loan, other than as may be allowed in certain exceptional and limited circumstances, with prior approval of our audit committee. To date, no such requests have been made or approved.</w:t>
      </w:r>
    </w:p>
    <w:p>
      <w:pPr>
        <w:spacing w:after="0" w:line="55"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i w:val="1"/>
          <w:iCs w:val="1"/>
          <w:color w:val="auto"/>
        </w:rPr>
        <w:t xml:space="preserve">No Tax Gross-ups. </w:t>
      </w:r>
      <w:r>
        <w:rPr>
          <w:rFonts w:ascii="Arial" w:cs="Arial" w:eastAsia="Arial" w:hAnsi="Arial"/>
          <w:sz w:val="16"/>
          <w:szCs w:val="16"/>
          <w:color w:val="auto"/>
        </w:rPr>
        <w:t>We do not provide for any tax gross-up payments to our named executive officers other than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tax protection of certain relocation expenses.</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5"/>
          <w:szCs w:val="15"/>
          <w:i w:val="1"/>
          <w:iCs w:val="1"/>
          <w:color w:val="auto"/>
        </w:rPr>
        <w:t xml:space="preserve">Accounting and Tax Considerations. </w:t>
      </w:r>
      <w:r>
        <w:rPr>
          <w:rFonts w:ascii="Arial" w:cs="Arial" w:eastAsia="Arial" w:hAnsi="Arial"/>
          <w:sz w:val="15"/>
          <w:szCs w:val="15"/>
          <w:color w:val="auto"/>
        </w:rPr>
        <w:t>We account for equity compensation paid to our employees under the rules of the</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5"/>
          <w:szCs w:val="15"/>
          <w:color w:val="auto"/>
        </w:rPr>
        <w:t>Financial Accounting Standards Board Accounting Standards Codification Topic 718, or FASB ACS Topic 718, which rules require us</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estimate and record an expense over the service period of any such award. Accounting rules also require us to record cash</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compensation as an expense at the time the obligation is accrued. To date, these accounting requirements have not impacted our</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executive compensation programs and practices. Prior to January 1, 2018, when the Tax Cuts and Jobs Act of 2017, or the Tax Act,</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became effective, Section 162(m) of the Internal Revenue Code, or Section 162(m), generally limited to $1 million the deduction that a</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public company could claim in any tax year with respect to compensation paid to each of its chief executive officer and three other</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named executive officers whose compensation was required to be disclosed in the proxy statement (other than the chief financial officer),</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5"/>
          <w:szCs w:val="15"/>
          <w:color w:val="auto"/>
        </w:rPr>
        <w:t>unless such compensation was performance-based as determined under the Section 162(m) regulations. Under the Tax Act, the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performance-based compensation exception has been repealed, subject to certain transition rules. In addition, the deduction limitation</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now applies to anyone serving as the chief executive officer, the chief financial officer, and the top three other most highly compensated</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5"/>
          <w:szCs w:val="15"/>
          <w:color w:val="auto"/>
        </w:rPr>
        <w:t>officers, and once an executive becomes a “covered employee” under Section 162(m), the individual will continue to be a “covered</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employee” as long as he or she remains employed by the company. The new rules generally apply to taxable years beginning after</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December 31, 2017 but do not apply to compensation paid pursuant to a written binding contract in effect on November 2, 2017 that is</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modified in any material respect after that date. As a result, for fiscal years beginning after December 31, 2017, all compensation in</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5"/>
          <w:szCs w:val="15"/>
          <w:color w:val="auto"/>
        </w:rPr>
        <w:t>excess of $1 million paid to the specified executives will not be deductible, subject to the transition relief. On March 11, 2021, The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American Rescue Plan Act of 2021, or ARPA, was signed into law to assist in the economic and health recovery brought on by the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COVID-19 pandemic. Beginning on or after January 1, 2027, the ARPA expands the applicability of Section 162(m) to also include the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next five highest paid corporate officers so that the total number of covered employees subject to the $1 million deduction limitation will</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at least be 10. In designing our executive compensation program and determining the compensation of our executive officers, including</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named executive officers, our compensation committee considers a variety of factors, including the potential impact of the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162(m) deduction limit. However, to maintain flexibility to compensate our executive officers in a manner designed to promote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our short-term and long-term corporate goals, our compensation committee has not adopted a policy that all compensation must be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deductible. Our compensation committee believes that our stockholders’ interests are best served if its discretion and flexibility in</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awarding compensation is not restricted, even though some compensation awards may result in non-deductible compensation expense.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2021 Executive Compensation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Base Salary Compensation for Our Named Executive Officers in 2021</w:t>
      </w:r>
    </w:p>
    <w:p>
      <w:pPr>
        <w:spacing w:after="0" w:line="127"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With respect to Mr. Albers, our chief executive officer, in the first quarter of 2021, our compensation committee reviewed Mr. Albers’ overall compensation and determined, based on his accomplishments during 2020 and comparison to the base salaries of chief executive officers in our 2021 peer group, to increase his annual base salary from $645,000 to $745,000 effective January 1, 2021. In addition, in the first quarter of 2021, our compensation committee approved merit increases in base salary for each of our other named executive officers effective January 1, 2021, based upon the company’s achievement of 2020 corporate performance goals, each executive officer’s achievement of individual performance goals and the comparison to the base salary of similar executive officers in our 2021 peer group. The table below sets forth the adjustments to base salary, in dollars and as a percentage, for each of our named executive officers: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2020 Base Salary</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2021 Base Salary</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Increase (%)</w:t>
            </w:r>
          </w:p>
        </w:tc>
        <w:tc>
          <w:tcPr>
            <w:tcW w:w="0" w:type="dxa"/>
            <w:vAlign w:val="bottom"/>
          </w:tcPr>
          <w:p>
            <w:pPr>
              <w:spacing w:after="0"/>
              <w:rPr>
                <w:sz w:val="1"/>
                <w:szCs w:val="1"/>
                <w:color w:val="auto"/>
              </w:rPr>
            </w:pPr>
          </w:p>
        </w:tc>
      </w:tr>
      <w:tr>
        <w:trPr>
          <w:trHeight w:val="171"/>
        </w:trPr>
        <w:tc>
          <w:tcPr>
            <w:tcW w:w="5080" w:type="dxa"/>
            <w:vAlign w:val="bottom"/>
            <w:gridSpan w:val="4"/>
            <w:vMerge w:val="continue"/>
          </w:tcPr>
          <w:p>
            <w:pPr>
              <w:spacing w:after="0"/>
              <w:rPr>
                <w:sz w:val="14"/>
                <w:szCs w:val="14"/>
                <w:color w:val="auto"/>
              </w:rPr>
            </w:pPr>
          </w:p>
        </w:tc>
        <w:tc>
          <w:tcPr>
            <w:tcW w:w="1080" w:type="dxa"/>
            <w:vAlign w:val="bottom"/>
          </w:tcPr>
          <w:p>
            <w:pPr>
              <w:jc w:val="right"/>
              <w:ind w:right="38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6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40" w:type="dxa"/>
            <w:vAlign w:val="bottom"/>
            <w:vMerge w:val="continue"/>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645,000</w:t>
            </w:r>
          </w:p>
        </w:tc>
        <w:tc>
          <w:tcPr>
            <w:tcW w:w="14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745,000</w:t>
            </w:r>
          </w:p>
        </w:tc>
        <w:tc>
          <w:tcPr>
            <w:tcW w:w="1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Michael Landsittel</w:t>
            </w:r>
          </w:p>
        </w:tc>
        <w:tc>
          <w:tcPr>
            <w:tcW w:w="1080" w:type="dxa"/>
            <w:vAlign w:val="bottom"/>
          </w:tcPr>
          <w:p>
            <w:pPr>
              <w:jc w:val="right"/>
              <w:spacing w:after="0"/>
              <w:rPr>
                <w:sz w:val="20"/>
                <w:szCs w:val="20"/>
                <w:color w:val="auto"/>
              </w:rPr>
            </w:pPr>
            <w:r>
              <w:rPr>
                <w:rFonts w:ascii="Arial" w:cs="Arial" w:eastAsia="Arial" w:hAnsi="Arial"/>
                <w:sz w:val="16"/>
                <w:szCs w:val="16"/>
                <w:color w:val="auto"/>
              </w:rPr>
              <w:t>379,575</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435,000</w:t>
            </w: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Fouad Namouni, M.D. (1)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555,899</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Kathryn Haviland</w:t>
            </w:r>
          </w:p>
        </w:tc>
        <w:tc>
          <w:tcPr>
            <w:tcW w:w="1080" w:type="dxa"/>
            <w:vAlign w:val="bottom"/>
          </w:tcPr>
          <w:p>
            <w:pPr>
              <w:jc w:val="right"/>
              <w:spacing w:after="0"/>
              <w:rPr>
                <w:sz w:val="20"/>
                <w:szCs w:val="20"/>
                <w:color w:val="auto"/>
              </w:rPr>
            </w:pPr>
            <w:r>
              <w:rPr>
                <w:rFonts w:ascii="Arial" w:cs="Arial" w:eastAsia="Arial" w:hAnsi="Arial"/>
                <w:sz w:val="16"/>
                <w:szCs w:val="16"/>
                <w:color w:val="auto"/>
              </w:rPr>
              <w:t>460,944</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501,277</w:t>
            </w: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Tracey L. McCain, Esq.</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453,301</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471,433</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08"/>
        </w:trPr>
        <w:tc>
          <w:tcPr>
            <w:tcW w:w="4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80" w:right="219"/>
        <w:spacing w:after="0" w:line="257" w:lineRule="auto"/>
        <w:rPr>
          <w:sz w:val="20"/>
          <w:szCs w:val="20"/>
          <w:color w:val="auto"/>
        </w:rPr>
      </w:pPr>
      <w:r>
        <w:rPr>
          <w:rFonts w:ascii="Arial" w:cs="Arial" w:eastAsia="Arial" w:hAnsi="Arial"/>
          <w:sz w:val="14"/>
          <w:szCs w:val="14"/>
          <w:color w:val="auto"/>
        </w:rPr>
        <w:t>* Includes a market adjustment to align with the 50th percentile of our peer group in addition to merit increase. The base salary of Messrs. Albers and Landsittel were consistently below the 50th percentile of our peer group in prior years notwithstanding salary adjustments in previous years to bring their base salary closer to the 50th percentile of our peer group.</w:t>
      </w:r>
    </w:p>
    <w:p>
      <w:pPr>
        <w:spacing w:after="0" w:line="63" w:lineRule="exact"/>
        <w:rPr>
          <w:sz w:val="20"/>
          <w:szCs w:val="20"/>
          <w:color w:val="auto"/>
        </w:rPr>
      </w:pPr>
    </w:p>
    <w:p>
      <w:pPr>
        <w:ind w:left="380" w:right="539" w:hanging="330"/>
        <w:spacing w:after="0" w:line="253" w:lineRule="auto"/>
        <w:tabs>
          <w:tab w:leader="none" w:pos="3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Dr. Namouni joined the company as our president, research and development, in September 2020 and was eligible to receive a pro-rata merit increase in base salary for the year ending December 31, 2021.</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Cash Incentive Compensation for Our Named Executive Officers in 2021</w:t>
      </w:r>
    </w:p>
    <w:p>
      <w:pPr>
        <w:spacing w:after="0" w:line="127" w:lineRule="exact"/>
        <w:rPr>
          <w:sz w:val="20"/>
          <w:szCs w:val="20"/>
          <w:color w:val="auto"/>
        </w:rPr>
      </w:pPr>
    </w:p>
    <w:p>
      <w:pPr>
        <w:ind w:left="60" w:right="139" w:firstLine="648"/>
        <w:spacing w:after="0" w:line="303" w:lineRule="auto"/>
        <w:rPr>
          <w:sz w:val="20"/>
          <w:szCs w:val="20"/>
          <w:color w:val="auto"/>
        </w:rPr>
      </w:pPr>
      <w:r>
        <w:rPr>
          <w:rFonts w:ascii="Arial" w:cs="Arial" w:eastAsia="Arial" w:hAnsi="Arial"/>
          <w:sz w:val="14"/>
          <w:szCs w:val="14"/>
          <w:color w:val="auto"/>
        </w:rPr>
        <w:t>In the first quarter of 2021, our compensation committee approved target award opportunities for each of our named executive officers for 2021. The target award opportunity for Mr. Albers, our chief executive officer, for 2021 will be based solely on 2021 corporate performance goals, and the target award opportunity for each of our other named executive officers for 2021 will be based 25% on individual performance goals and 75% on 2021 corporate performance goals. The table below shows the target award as</w:t>
      </w:r>
    </w:p>
    <w:p>
      <w:pPr>
        <w:spacing w:after="0" w:line="1" w:lineRule="exact"/>
        <w:rPr>
          <w:sz w:val="20"/>
          <w:szCs w:val="20"/>
          <w:color w:val="auto"/>
        </w:rPr>
      </w:pPr>
    </w:p>
    <w:p>
      <w:pPr>
        <w:ind w:left="60" w:right="379"/>
        <w:spacing w:after="0" w:line="288" w:lineRule="auto"/>
        <w:rPr>
          <w:sz w:val="20"/>
          <w:szCs w:val="20"/>
          <w:color w:val="auto"/>
        </w:rPr>
      </w:pPr>
      <w:r>
        <w:rPr>
          <w:rFonts w:ascii="Arial" w:cs="Arial" w:eastAsia="Arial" w:hAnsi="Arial"/>
          <w:sz w:val="16"/>
          <w:szCs w:val="16"/>
          <w:color w:val="auto"/>
        </w:rPr>
        <w:t>a percentage of each named executive officer’s annual base salary in 2021, as well as the target cash incentive payment in dollars for 2021.</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 Target Award</w:t>
            </w:r>
          </w:p>
        </w:tc>
        <w:tc>
          <w:tcPr>
            <w:tcW w:w="1380" w:type="dxa"/>
            <w:vAlign w:val="bottom"/>
          </w:tcPr>
          <w:p>
            <w:pPr>
              <w:jc w:val="right"/>
              <w:ind w:right="82"/>
              <w:spacing w:after="0"/>
              <w:rPr>
                <w:sz w:val="20"/>
                <w:szCs w:val="20"/>
                <w:color w:val="auto"/>
              </w:rPr>
            </w:pPr>
            <w:r>
              <w:rPr>
                <w:rFonts w:ascii="Arial" w:cs="Arial" w:eastAsia="Arial" w:hAnsi="Arial"/>
                <w:sz w:val="14"/>
                <w:szCs w:val="14"/>
                <w:b w:val="1"/>
                <w:bCs w:val="1"/>
                <w:color w:val="auto"/>
              </w:rPr>
              <w:t>2021 Target Cash</w:t>
            </w:r>
          </w:p>
        </w:tc>
        <w:tc>
          <w:tcPr>
            <w:tcW w:w="0" w:type="dxa"/>
            <w:vAlign w:val="bottom"/>
          </w:tcPr>
          <w:p>
            <w:pPr>
              <w:spacing w:after="0"/>
              <w:rPr>
                <w:sz w:val="1"/>
                <w:szCs w:val="1"/>
                <w:color w:val="auto"/>
              </w:rPr>
            </w:pPr>
          </w:p>
        </w:tc>
      </w:tr>
      <w:tr>
        <w:trPr>
          <w:trHeight w:val="171"/>
        </w:trPr>
        <w:tc>
          <w:tcPr>
            <w:tcW w:w="5820" w:type="dxa"/>
            <w:vAlign w:val="bottom"/>
            <w:gridSpan w:val="4"/>
            <w:vMerge w:val="continue"/>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Base Salary)</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3"/>
              </w:rPr>
              <w:t xml:space="preserve">Incentive Payment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6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w w:val="99"/>
              </w:rPr>
              <w:t>70% (1)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3"/>
          </w:tcPr>
          <w:p>
            <w:pPr>
              <w:spacing w:after="0"/>
              <w:rPr>
                <w:sz w:val="20"/>
                <w:szCs w:val="20"/>
                <w:color w:val="auto"/>
              </w:rPr>
            </w:pPr>
            <w:r>
              <w:rPr>
                <w:rFonts w:ascii="Arial" w:cs="Arial" w:eastAsia="Arial" w:hAnsi="Arial"/>
                <w:sz w:val="16"/>
                <w:szCs w:val="16"/>
                <w:color w:val="auto"/>
              </w:rPr>
              <w:t>Michael Landsittel</w:t>
            </w:r>
          </w:p>
        </w:tc>
        <w:tc>
          <w:tcPr>
            <w:tcW w:w="1720" w:type="dxa"/>
            <w:vAlign w:val="bottom"/>
            <w:gridSpan w:val="2"/>
          </w:tcPr>
          <w:p>
            <w:pPr>
              <w:ind w:left="1140"/>
              <w:spacing w:after="0"/>
              <w:rPr>
                <w:sz w:val="20"/>
                <w:szCs w:val="20"/>
                <w:color w:val="auto"/>
              </w:rPr>
            </w:pPr>
            <w:r>
              <w:rPr>
                <w:rFonts w:ascii="Arial" w:cs="Arial" w:eastAsia="Arial" w:hAnsi="Arial"/>
                <w:sz w:val="16"/>
                <w:szCs w:val="16"/>
                <w:color w:val="auto"/>
                <w:w w:val="99"/>
              </w:rPr>
              <w:t>45% (1)</w:t>
            </w:r>
          </w:p>
        </w:tc>
        <w:tc>
          <w:tcPr>
            <w:tcW w:w="1380" w:type="dxa"/>
            <w:vAlign w:val="bottom"/>
          </w:tcPr>
          <w:p>
            <w:pPr>
              <w:jc w:val="right"/>
              <w:spacing w:after="0"/>
              <w:rPr>
                <w:sz w:val="20"/>
                <w:szCs w:val="20"/>
                <w:color w:val="auto"/>
              </w:rPr>
            </w:pPr>
            <w:r>
              <w:rPr>
                <w:rFonts w:ascii="Arial" w:cs="Arial" w:eastAsia="Arial" w:hAnsi="Arial"/>
                <w:sz w:val="16"/>
                <w:szCs w:val="16"/>
                <w:color w:val="auto"/>
              </w:rPr>
              <w:t>195,750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Fouad Namouni, M.D.</w:t>
            </w:r>
          </w:p>
        </w:tc>
        <w:tc>
          <w:tcPr>
            <w:tcW w:w="17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45%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3"/>
          </w:tcPr>
          <w:p>
            <w:pPr>
              <w:spacing w:after="0"/>
              <w:rPr>
                <w:sz w:val="20"/>
                <w:szCs w:val="20"/>
                <w:color w:val="auto"/>
              </w:rPr>
            </w:pPr>
            <w:r>
              <w:rPr>
                <w:rFonts w:ascii="Arial" w:cs="Arial" w:eastAsia="Arial" w:hAnsi="Arial"/>
                <w:sz w:val="16"/>
                <w:szCs w:val="16"/>
                <w:color w:val="auto"/>
              </w:rPr>
              <w:t>Kathryn Haviland</w:t>
            </w:r>
          </w:p>
        </w:tc>
        <w:tc>
          <w:tcPr>
            <w:tcW w:w="1720" w:type="dxa"/>
            <w:vAlign w:val="bottom"/>
            <w:gridSpan w:val="2"/>
          </w:tcPr>
          <w:p>
            <w:pPr>
              <w:ind w:left="1140"/>
              <w:spacing w:after="0"/>
              <w:rPr>
                <w:sz w:val="20"/>
                <w:szCs w:val="20"/>
                <w:color w:val="auto"/>
              </w:rPr>
            </w:pPr>
            <w:r>
              <w:rPr>
                <w:rFonts w:ascii="Arial" w:cs="Arial" w:eastAsia="Arial" w:hAnsi="Arial"/>
                <w:sz w:val="16"/>
                <w:szCs w:val="16"/>
                <w:color w:val="auto"/>
              </w:rPr>
              <w:t>45%</w:t>
            </w:r>
          </w:p>
        </w:tc>
        <w:tc>
          <w:tcPr>
            <w:tcW w:w="1380" w:type="dxa"/>
            <w:vAlign w:val="bottom"/>
          </w:tcPr>
          <w:p>
            <w:pPr>
              <w:jc w:val="right"/>
              <w:spacing w:after="0"/>
              <w:rPr>
                <w:sz w:val="20"/>
                <w:szCs w:val="20"/>
                <w:color w:val="auto"/>
              </w:rPr>
            </w:pPr>
            <w:r>
              <w:rPr>
                <w:rFonts w:ascii="Arial" w:cs="Arial" w:eastAsia="Arial" w:hAnsi="Arial"/>
                <w:sz w:val="16"/>
                <w:szCs w:val="16"/>
                <w:color w:val="auto"/>
              </w:rPr>
              <w:t>225,575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Tracey L. McCain, Esq.</w:t>
            </w:r>
          </w:p>
        </w:tc>
        <w:tc>
          <w:tcPr>
            <w:tcW w:w="17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45%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212,145</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99" w:hanging="330"/>
        <w:spacing w:after="0" w:line="253" w:lineRule="auto"/>
        <w:tabs>
          <w:tab w:leader="none" w:pos="380" w:val="left"/>
        </w:tabs>
        <w:numPr>
          <w:ilvl w:val="0"/>
          <w:numId w:val="69"/>
        </w:numPr>
        <w:rPr>
          <w:rFonts w:ascii="Arial" w:cs="Arial" w:eastAsia="Arial" w:hAnsi="Arial"/>
          <w:sz w:val="11"/>
          <w:szCs w:val="11"/>
          <w:color w:val="auto"/>
        </w:rPr>
      </w:pPr>
      <w:r>
        <w:rPr>
          <w:rFonts w:ascii="Arial" w:cs="Arial" w:eastAsia="Arial" w:hAnsi="Arial"/>
          <w:sz w:val="14"/>
          <w:szCs w:val="14"/>
          <w:color w:val="auto"/>
        </w:rPr>
        <w:t>For each of Messrs. Albers, Landsittel, such individual’s target award percentage increased by 5% relative to the target award percentage for 2020 to align with the 50th percentile of our peer group.</w:t>
      </w:r>
    </w:p>
    <w:p>
      <w:pPr>
        <w:spacing w:after="0" w:line="115" w:lineRule="exact"/>
        <w:rPr>
          <w:sz w:val="20"/>
          <w:szCs w:val="20"/>
          <w:color w:val="auto"/>
        </w:rPr>
      </w:pPr>
    </w:p>
    <w:p>
      <w:pPr>
        <w:ind w:left="60" w:right="239" w:firstLine="648"/>
        <w:spacing w:after="0" w:line="271" w:lineRule="auto"/>
        <w:rPr>
          <w:sz w:val="20"/>
          <w:szCs w:val="20"/>
          <w:color w:val="auto"/>
        </w:rPr>
      </w:pPr>
      <w:r>
        <w:rPr>
          <w:rFonts w:ascii="Arial" w:cs="Arial" w:eastAsia="Arial" w:hAnsi="Arial"/>
          <w:sz w:val="16"/>
          <w:szCs w:val="16"/>
          <w:color w:val="auto"/>
        </w:rPr>
        <w:t>In determining the 2021 actual cash incentive compensation for our named executive officers, our compensation committee and board of directors will review the performance of the company during 2021. Our compensation committee retains the discretion to adjust upward or downward any bonus award as it deems appropriate. However, as noted above, any annual performance-based cash incentive program payouts will be capped at 150% of the target payout level. We expect to pay any cash incentive compensation in the first quarter of 2022.</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Summary Compensation Table</w:t>
      </w:r>
    </w:p>
    <w:p>
      <w:pPr>
        <w:spacing w:after="0" w:line="131" w:lineRule="exact"/>
        <w:rPr>
          <w:sz w:val="20"/>
          <w:szCs w:val="20"/>
          <w:color w:val="auto"/>
        </w:rPr>
      </w:pPr>
    </w:p>
    <w:p>
      <w:pPr>
        <w:ind w:left="60" w:right="359" w:firstLine="648"/>
        <w:spacing w:after="0" w:line="293" w:lineRule="auto"/>
        <w:rPr>
          <w:sz w:val="20"/>
          <w:szCs w:val="20"/>
          <w:color w:val="auto"/>
        </w:rPr>
      </w:pPr>
      <w:r>
        <w:rPr>
          <w:rFonts w:ascii="Arial" w:cs="Arial" w:eastAsia="Arial" w:hAnsi="Arial"/>
          <w:sz w:val="16"/>
          <w:szCs w:val="16"/>
          <w:color w:val="auto"/>
        </w:rPr>
        <w:t>The following table sets forth information regarding total compensation, for service rendered in all capacities, earned by or paid to each of our named executive officers during the years indicated.</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9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 xml:space="preserve">Total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9"/>
              </w:rPr>
              <w:t>($)(2)</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Jeffrey W. Albers (4)</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2020</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645,000</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2,435,850</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2,710,242</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545,025</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8,550</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6,344,667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i w:val="1"/>
                <w:iCs w:val="1"/>
                <w:color w:val="auto"/>
              </w:rPr>
              <w:t>President and Chief Executive Officer</w:t>
            </w: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2019</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590,000</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2,576,350</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5,808,841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378,780</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8,400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9,362,371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2018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541,144</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8,881,871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309,534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9,740,799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gridSpan w:val="3"/>
          </w:tcPr>
          <w:p>
            <w:pPr>
              <w:spacing w:after="0" w:line="149" w:lineRule="exact"/>
              <w:rPr>
                <w:sz w:val="20"/>
                <w:szCs w:val="20"/>
                <w:color w:val="auto"/>
              </w:rPr>
            </w:pPr>
            <w:r>
              <w:rPr>
                <w:rFonts w:ascii="Arial" w:cs="Arial" w:eastAsia="Arial" w:hAnsi="Arial"/>
                <w:sz w:val="14"/>
                <w:szCs w:val="14"/>
                <w:color w:val="auto"/>
              </w:rPr>
              <w:t>Michael Landsittel</w:t>
            </w: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2020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379,575</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676,625</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752,845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197,379</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8,550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2,014,974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i w:val="1"/>
                <w:iCs w:val="1"/>
                <w:color w:val="auto"/>
              </w:rPr>
              <w:t>Chief Financial Officer</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2019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345,000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454,650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1,025,090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125,580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1,958,720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2018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281,678</w:t>
            </w: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1,358,404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92,278</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8,250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1,740,610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Fouad Namouni, M.D. (5)</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2020</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186,154(6) 3,052,725</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3,326,739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103,114</w:t>
            </w:r>
          </w:p>
        </w:tc>
        <w:tc>
          <w:tcPr>
            <w:tcW w:w="160" w:type="dxa"/>
            <w:vAlign w:val="bottom"/>
            <w:shd w:val="clear" w:color="auto" w:fill="CCEEFF"/>
          </w:tcPr>
          <w:p>
            <w:pPr>
              <w:spacing w:after="0"/>
              <w:rPr>
                <w:sz w:val="24"/>
                <w:szCs w:val="24"/>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 6,668,732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i w:val="1"/>
                <w:iCs w:val="1"/>
                <w:color w:val="auto"/>
              </w:rPr>
              <w:t>President, Research and Development</w:t>
            </w: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2019</w:t>
            </w: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2018</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gridSpan w:val="3"/>
          </w:tcPr>
          <w:p>
            <w:pPr>
              <w:spacing w:after="0" w:line="149" w:lineRule="exact"/>
              <w:rPr>
                <w:sz w:val="20"/>
                <w:szCs w:val="20"/>
                <w:color w:val="auto"/>
              </w:rPr>
            </w:pPr>
            <w:r>
              <w:rPr>
                <w:rFonts w:ascii="Arial" w:cs="Arial" w:eastAsia="Arial" w:hAnsi="Arial"/>
                <w:sz w:val="14"/>
                <w:szCs w:val="14"/>
                <w:color w:val="auto"/>
              </w:rPr>
              <w:t>Kathryn Haviland</w:t>
            </w: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2020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460,944</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771,353</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858,243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264,466</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8,550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2,363,556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i w:val="1"/>
                <w:iCs w:val="1"/>
                <w:color w:val="auto"/>
              </w:rPr>
              <w:t>Chief Operating Officer</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2019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431,830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757,750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1,708,483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183,960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3,090,423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2018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392,589</w:t>
            </w: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2,037,606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163,317</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8,250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2,601,762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Tracey L. McCain, Esq.</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2020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453,301</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771,353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858,243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254,981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2,346,428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gridSpan w:val="3"/>
          </w:tcPr>
          <w:p>
            <w:pPr>
              <w:ind w:left="100"/>
              <w:spacing w:after="0" w:line="149" w:lineRule="exact"/>
              <w:rPr>
                <w:sz w:val="20"/>
                <w:szCs w:val="20"/>
                <w:color w:val="auto"/>
              </w:rPr>
            </w:pPr>
            <w:r>
              <w:rPr>
                <w:rFonts w:ascii="Arial" w:cs="Arial" w:eastAsia="Arial" w:hAnsi="Arial"/>
                <w:sz w:val="14"/>
                <w:szCs w:val="14"/>
                <w:i w:val="1"/>
                <w:iCs w:val="1"/>
                <w:color w:val="auto"/>
              </w:rPr>
              <w:t>Chief Legal and Compliance Officer</w:t>
            </w: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2019</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437,972</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697,130</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1,571,804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185,262</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8,400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2,900,568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2018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425,216</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2,037,606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176,890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2,647,962</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39" w:hanging="330"/>
        <w:spacing w:after="0" w:line="255" w:lineRule="auto"/>
        <w:tabs>
          <w:tab w:leader="none" w:pos="3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These amounts represent the aggregate grant date fair value of stock option awards and RSU awards granted to our named executive officers in 2020, 2019 and 2018, as applicable, computed in accordance with FASB ASC Topic 718. Such aggregate grant date fair values do not take into account any estimated forfeitures related to service-based vesting conditions. See Note 12 to the audited consolidated financial statements in our Annual Report on Form 10-K for the year ended December 31, 2020 regarding assumptions underlying the valuation of equity awards.</w:t>
      </w:r>
    </w:p>
    <w:p>
      <w:pPr>
        <w:spacing w:after="0" w:line="66" w:lineRule="exact"/>
        <w:rPr>
          <w:rFonts w:ascii="Arial" w:cs="Arial" w:eastAsia="Arial" w:hAnsi="Arial"/>
          <w:sz w:val="13"/>
          <w:szCs w:val="13"/>
          <w:color w:val="auto"/>
        </w:rPr>
      </w:pPr>
    </w:p>
    <w:p>
      <w:pPr>
        <w:ind w:left="380" w:right="79" w:hanging="330"/>
        <w:spacing w:after="0" w:line="233" w:lineRule="auto"/>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represent awards to our named executive officers under our annual performance-based cash incentive program. See “Annual Performance-based Cash Incentives” for a description of that program. Annual cash incentive compensation for 2020 was earned in 2020 and paid in 2021, annual cash incentive compensation for 2019 was earned in 2019 and paid in 2020 and annual cash incentive compensation for 2018 was earned in 2018 and paid in 2019.</w:t>
      </w:r>
    </w:p>
    <w:p>
      <w:pPr>
        <w:spacing w:after="0" w:line="76" w:lineRule="exact"/>
        <w:rPr>
          <w:rFonts w:ascii="Arial" w:cs="Arial" w:eastAsia="Arial" w:hAnsi="Arial"/>
          <w:sz w:val="14"/>
          <w:szCs w:val="14"/>
          <w:color w:val="auto"/>
        </w:rPr>
      </w:pPr>
    </w:p>
    <w:p>
      <w:pPr>
        <w:ind w:left="380" w:hanging="330"/>
        <w:spacing w:after="0"/>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represent the dollar value of matching contributions made under our 401(k) plan.</w:t>
      </w:r>
    </w:p>
    <w:p>
      <w:pPr>
        <w:spacing w:after="0" w:line="95" w:lineRule="exact"/>
        <w:rPr>
          <w:rFonts w:ascii="Arial" w:cs="Arial" w:eastAsia="Arial" w:hAnsi="Arial"/>
          <w:sz w:val="14"/>
          <w:szCs w:val="14"/>
          <w:color w:val="auto"/>
        </w:rPr>
      </w:pPr>
    </w:p>
    <w:p>
      <w:pPr>
        <w:ind w:left="380" w:hanging="330"/>
        <w:spacing w:after="0"/>
        <w:tabs>
          <w:tab w:leader="none" w:pos="3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Mr. Albers also serves as a member of our board of directors but does not receive any additional compensation for his service as a director.</w:t>
      </w:r>
    </w:p>
    <w:p>
      <w:pPr>
        <w:spacing w:after="0" w:line="107" w:lineRule="exact"/>
        <w:rPr>
          <w:rFonts w:ascii="Arial" w:cs="Arial" w:eastAsia="Arial" w:hAnsi="Arial"/>
          <w:sz w:val="13"/>
          <w:szCs w:val="13"/>
          <w:color w:val="auto"/>
        </w:rPr>
      </w:pPr>
    </w:p>
    <w:p>
      <w:pPr>
        <w:ind w:left="380" w:right="119" w:hanging="330"/>
        <w:spacing w:after="0" w:line="253" w:lineRule="auto"/>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Dr. Namouni joined the company as our president, research and development, in September 2020 and was not a named executive officer for 2019 or 2018.</w:t>
      </w:r>
    </w:p>
    <w:p>
      <w:pPr>
        <w:spacing w:after="0" w:line="65" w:lineRule="exact"/>
        <w:rPr>
          <w:rFonts w:ascii="Arial" w:cs="Arial" w:eastAsia="Arial" w:hAnsi="Arial"/>
          <w:sz w:val="14"/>
          <w:szCs w:val="14"/>
          <w:color w:val="auto"/>
        </w:rPr>
      </w:pPr>
    </w:p>
    <w:p>
      <w:pPr>
        <w:ind w:left="380" w:right="79" w:hanging="330"/>
        <w:spacing w:after="0" w:line="253" w:lineRule="auto"/>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 represents the salary actually paid to Dr. Namouni for his services in 2020 and does not represent Dr. Namouni’s annualized base salary. His annualized base salary was $550,000 for 2020.</w:t>
      </w:r>
    </w:p>
    <w:p>
      <w:pPr>
        <w:spacing w:after="0" w:line="65" w:lineRule="exact"/>
        <w:rPr>
          <w:rFonts w:ascii="Arial" w:cs="Arial" w:eastAsia="Arial" w:hAnsi="Arial"/>
          <w:sz w:val="14"/>
          <w:szCs w:val="14"/>
          <w:color w:val="auto"/>
        </w:rPr>
      </w:pPr>
    </w:p>
    <w:p>
      <w:pPr>
        <w:ind w:left="380" w:right="119" w:hanging="330"/>
        <w:spacing w:after="0" w:line="253" w:lineRule="auto"/>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Under the employment agreement with Dr. Namouni, we agreed to provide certain reimbursement or payment for his relocation expenses, including tax gross-up, and a relocation allowance. No such reimbursement or payment incurred in 2020.</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Grants of Plan-Based Awards for Fiscal Year 2020</w:t>
      </w:r>
    </w:p>
    <w:p>
      <w:pPr>
        <w:spacing w:after="0" w:line="131" w:lineRule="exact"/>
        <w:rPr>
          <w:sz w:val="20"/>
          <w:szCs w:val="20"/>
          <w:color w:val="auto"/>
        </w:rPr>
      </w:pPr>
    </w:p>
    <w:p>
      <w:pPr>
        <w:ind w:left="60" w:right="239" w:firstLine="648"/>
        <w:spacing w:after="0" w:line="278" w:lineRule="auto"/>
        <w:rPr>
          <w:sz w:val="20"/>
          <w:szCs w:val="20"/>
          <w:color w:val="auto"/>
        </w:rPr>
      </w:pPr>
      <w:r>
        <w:rPr>
          <w:rFonts w:ascii="Arial" w:cs="Arial" w:eastAsia="Arial" w:hAnsi="Arial"/>
          <w:sz w:val="16"/>
          <w:szCs w:val="16"/>
          <w:color w:val="auto"/>
        </w:rPr>
        <w:t>The following table sets forth information concerning each grant of an award made to a named executive officer during the fiscal year ended December 31, 2020 under any plan, contract, authorization or arrangement pursuant to which cash, securities, similar instruments or other property may be received:</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4"/>
              </w:rPr>
              <w:t>Estimated Future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All Other Option</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Exercise or</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5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Payouts Under Non-</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5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 Number</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Base Price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Plan Awards (1)</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of Securities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of Option</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1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0"/>
                <w:szCs w:val="10"/>
                <w:color w:val="auto"/>
              </w:rPr>
            </w:pPr>
          </w:p>
        </w:tc>
        <w:tc>
          <w:tcPr>
            <w:tcW w:w="10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Committee</w:t>
            </w:r>
          </w:p>
        </w:tc>
        <w:tc>
          <w:tcPr>
            <w:tcW w:w="68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Target</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60" w:type="dxa"/>
            <w:vAlign w:val="bottom"/>
          </w:tcPr>
          <w:p>
            <w:pPr>
              <w:spacing w:after="0"/>
              <w:rPr>
                <w:sz w:val="10"/>
                <w:szCs w:val="10"/>
                <w:color w:val="auto"/>
              </w:rPr>
            </w:pP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Shares of Stock</w:t>
            </w:r>
          </w:p>
        </w:tc>
        <w:tc>
          <w:tcPr>
            <w:tcW w:w="12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Underlying</w:t>
            </w:r>
          </w:p>
        </w:tc>
        <w:tc>
          <w:tcPr>
            <w:tcW w:w="8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Awards</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Approval</w:t>
            </w: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or Units (#)</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 (#)</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0" w:type="dxa"/>
            <w:vAlign w:val="bottom"/>
          </w:tcPr>
          <w:p>
            <w:pPr>
              <w:spacing w:after="0"/>
              <w:rPr>
                <w:sz w:val="1"/>
                <w:szCs w:val="1"/>
                <w:color w:val="auto"/>
              </w:rPr>
            </w:pPr>
          </w:p>
        </w:tc>
      </w:tr>
      <w:tr>
        <w:trPr>
          <w:trHeight w:val="142"/>
        </w:trPr>
        <w:tc>
          <w:tcPr>
            <w:tcW w:w="1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Jeffrey W. Albers</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419,250</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628,875</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3/1/2020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2/19/2020</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45,000</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54.13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5,145,336</w:t>
            </w: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Landsittel</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151,830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227,745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3/1/2020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2/19/2020</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54.13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1,429,260</w:t>
            </w: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Fouad Namouni, M.D.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86,769(5)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125,654(5)</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10/1/2020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8/28/2020</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32,500</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93.93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6,378,912</w:t>
            </w: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Kathryn Haviland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207,425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311,137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3/1/2020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2/19/2020</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14,250</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28,500</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54.13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1,629,356</w:t>
            </w: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Tracey L. McCain, Esq.</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203,986</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305,978</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3/1/2020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2/19/2020</w:t>
            </w: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14,250</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28,500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54.13</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1,629,356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141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30" w:lineRule="exact"/>
        <w:rPr>
          <w:sz w:val="20"/>
          <w:szCs w:val="20"/>
          <w:color w:val="auto"/>
        </w:rPr>
      </w:pPr>
    </w:p>
    <w:p>
      <w:pPr>
        <w:ind w:left="380" w:right="99" w:hanging="330"/>
        <w:spacing w:after="0" w:line="255" w:lineRule="auto"/>
        <w:tabs>
          <w:tab w:leader="none" w:pos="3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Amounts shown in the “Target ($)” and “Maximum ($)” columns reflect the target and maximum amounts payable to each named executive officer under our 2020 annual performance-based cash incentive program as described under “Annual Performance-Based Cash Incentives” above. Actual payments made for 2020 are provided in the “Summary Compensation Table.” As there are no threshold amounts with respect to these performance-based cash payments, the column “Threshold ($)” is inapplicable and therefore has been omitted from this table.</w:t>
      </w:r>
    </w:p>
    <w:p>
      <w:pPr>
        <w:spacing w:after="0" w:line="66" w:lineRule="exact"/>
        <w:rPr>
          <w:rFonts w:ascii="Arial" w:cs="Arial" w:eastAsia="Arial" w:hAnsi="Arial"/>
          <w:sz w:val="13"/>
          <w:szCs w:val="13"/>
          <w:color w:val="auto"/>
        </w:rPr>
      </w:pPr>
    </w:p>
    <w:p>
      <w:pPr>
        <w:ind w:left="380" w:right="359" w:hanging="330"/>
        <w:spacing w:after="0" w:line="253" w:lineRule="auto"/>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compensation committee determined to formally cap annual cash incentive program payouts in any given year at 150% of the target payout level.</w:t>
      </w:r>
    </w:p>
    <w:p>
      <w:pPr>
        <w:spacing w:after="0" w:line="65" w:lineRule="exact"/>
        <w:rPr>
          <w:rFonts w:ascii="Arial" w:cs="Arial" w:eastAsia="Arial" w:hAnsi="Arial"/>
          <w:sz w:val="14"/>
          <w:szCs w:val="14"/>
          <w:color w:val="auto"/>
        </w:rPr>
      </w:pPr>
    </w:p>
    <w:p>
      <w:pPr>
        <w:ind w:left="380" w:right="239" w:hanging="330"/>
        <w:spacing w:after="0" w:line="253" w:lineRule="auto"/>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exercise price of these stock options is equal to the closing price of our common stock as reported on the Nasdaq Global Select Market on the grant date.</w:t>
      </w:r>
    </w:p>
    <w:p>
      <w:pPr>
        <w:spacing w:after="0" w:line="65" w:lineRule="exact"/>
        <w:rPr>
          <w:rFonts w:ascii="Arial" w:cs="Arial" w:eastAsia="Arial" w:hAnsi="Arial"/>
          <w:sz w:val="14"/>
          <w:szCs w:val="14"/>
          <w:color w:val="auto"/>
        </w:rPr>
      </w:pPr>
    </w:p>
    <w:p>
      <w:pPr>
        <w:ind w:left="380" w:right="139" w:hanging="330"/>
        <w:spacing w:after="0" w:line="233" w:lineRule="auto"/>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awards granted to our named executive officers in 2020, computed in accordance with FASB ASC Topic 718. Such grant-date fair values do not take into account any estimated forfeitures related to service-based vesting conditions. See Note 12 to the audited consolidated financial statements in our Annual Report on Form 10-K for the year ended December 31, 2020 regarding assumptions underlying the valuation of equity awards.</w:t>
      </w:r>
    </w:p>
    <w:p>
      <w:pPr>
        <w:spacing w:after="0" w:line="76" w:lineRule="exact"/>
        <w:rPr>
          <w:rFonts w:ascii="Arial" w:cs="Arial" w:eastAsia="Arial" w:hAnsi="Arial"/>
          <w:sz w:val="14"/>
          <w:szCs w:val="14"/>
          <w:color w:val="auto"/>
        </w:rPr>
      </w:pPr>
    </w:p>
    <w:p>
      <w:pPr>
        <w:ind w:left="380" w:right="79" w:hanging="330"/>
        <w:spacing w:after="0" w:line="253" w:lineRule="auto"/>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Dr. Namouni joined the company as our president, research and development, in September 2020. Under the terms of his employment agreement, he was eligible to receive a pro-rata target award for the year ended December 31,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Outstanding Equity Awards at Fiscal Year-End 2020</w:t>
      </w:r>
    </w:p>
    <w:p>
      <w:pPr>
        <w:spacing w:after="0" w:line="131" w:lineRule="exact"/>
        <w:rPr>
          <w:sz w:val="20"/>
          <w:szCs w:val="20"/>
          <w:color w:val="auto"/>
        </w:rPr>
      </w:pPr>
    </w:p>
    <w:p>
      <w:pPr>
        <w:jc w:val="both"/>
        <w:ind w:left="60" w:right="139" w:firstLine="648"/>
        <w:spacing w:after="0" w:line="278" w:lineRule="auto"/>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at December 31, 2020. Unless otherwise specified, the equity awards are subject to certain acceleration of vesting provisions as set forth in the applicable named executive officer’s employment agreement, as described below.</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Stock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86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6"/>
              </w:rPr>
              <w:t>Expiration</w:t>
            </w:r>
          </w:p>
        </w:tc>
        <w:tc>
          <w:tcPr>
            <w:tcW w:w="3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 Vested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6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($)(13)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Jeffrey W. Albers</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173,903</w:t>
            </w:r>
          </w:p>
        </w:tc>
        <w:tc>
          <w:tcPr>
            <w:tcW w:w="300" w:type="dxa"/>
            <w:vAlign w:val="bottom"/>
            <w:tcBorders>
              <w:top w:val="single" w:sz="8" w:color="CCEEFF"/>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(1)</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7/30/2024</w:t>
            </w:r>
          </w:p>
        </w:tc>
        <w:tc>
          <w:tcPr>
            <w:tcW w:w="300" w:type="dxa"/>
            <w:vAlign w:val="bottom"/>
            <w:tcBorders>
              <w:top w:val="single" w:sz="8" w:color="CCEEFF"/>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(2)</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17,170</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2/10/2025</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2/3/2026</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162,916</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7,084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2/16/2027</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120,416</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49,584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81.44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2/16/2028</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48,343</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(6)</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62,157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86.60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3/1/2029</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22,312</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2,502,291</w:t>
            </w:r>
          </w:p>
        </w:tc>
        <w:tc>
          <w:tcPr>
            <w:tcW w:w="2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16,875</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73,125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54.13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3/1/2030</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45,000(9)</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5,046,750</w:t>
            </w:r>
          </w:p>
        </w:tc>
        <w:tc>
          <w:tcPr>
            <w:tcW w:w="2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Arial" w:cs="Arial" w:eastAsia="Arial" w:hAnsi="Arial"/>
                <w:sz w:val="14"/>
                <w:szCs w:val="14"/>
                <w:color w:val="auto"/>
              </w:rPr>
              <w:t>Michael Landsittel</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26,363</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10/8/2024</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1,818</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2/10/2025</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2/3/2026</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19,166</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2/16/2027</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18,416</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7,584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81.44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2/16/2028</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8,531</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3/1/2029</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441,535</w:t>
            </w:r>
          </w:p>
        </w:tc>
        <w:tc>
          <w:tcPr>
            <w:tcW w:w="2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4,687</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20,313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3/1/2030</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2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12,500(9)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1,401,875</w:t>
            </w:r>
          </w:p>
        </w:tc>
        <w:tc>
          <w:tcPr>
            <w:tcW w:w="2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97"/>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Fouad Namouni</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10/1/2030</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32,500(12)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3,644,875(11)</w:t>
            </w: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Arial" w:cs="Arial" w:eastAsia="Arial" w:hAnsi="Arial"/>
                <w:sz w:val="14"/>
                <w:szCs w:val="14"/>
                <w:color w:val="auto"/>
              </w:rPr>
              <w:t>Kathryn Haviland</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2,924</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1,667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2/16/2027</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27,625</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11,375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81.44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2/16/2028</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14,218</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(6)</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18,282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86.60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3/1/2029</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6,562</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735,928</w:t>
            </w:r>
          </w:p>
        </w:tc>
        <w:tc>
          <w:tcPr>
            <w:tcW w:w="2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54.13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3/1/2030</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14,250(9)</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1,598,138</w:t>
            </w:r>
          </w:p>
        </w:tc>
        <w:tc>
          <w:tcPr>
            <w:tcW w:w="2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Tracey L. McCain, Esq.</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90,000</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10/3/2026</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4,791</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2/16/2027</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27,625</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11,375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81.44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2/16/2028</w:t>
            </w:r>
          </w:p>
        </w:tc>
        <w:tc>
          <w:tcPr>
            <w:tcW w:w="300" w:type="dxa"/>
            <w:vAlign w:val="bottom"/>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13,081</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3/1/2029</w:t>
            </w: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677,050</w:t>
            </w:r>
          </w:p>
        </w:tc>
        <w:tc>
          <w:tcPr>
            <w:tcW w:w="2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5,343</w:t>
            </w:r>
          </w:p>
        </w:tc>
        <w:tc>
          <w:tcPr>
            <w:tcW w:w="300" w:type="dxa"/>
            <w:vAlign w:val="bottom"/>
          </w:tcPr>
          <w:p>
            <w:pPr>
              <w:ind w:left="40"/>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23,157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54.13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3/1/2030</w:t>
            </w:r>
          </w:p>
        </w:tc>
        <w:tc>
          <w:tcPr>
            <w:tcW w:w="300" w:type="dxa"/>
            <w:vAlign w:val="bottom"/>
          </w:tcPr>
          <w:p>
            <w:pPr>
              <w:ind w:left="40"/>
              <w:spacing w:after="0"/>
              <w:rPr>
                <w:sz w:val="20"/>
                <w:szCs w:val="20"/>
                <w:color w:val="auto"/>
              </w:rPr>
            </w:pPr>
            <w:r>
              <w:rPr>
                <w:rFonts w:ascii="Arial" w:cs="Arial" w:eastAsia="Arial" w:hAnsi="Arial"/>
                <w:sz w:val="14"/>
                <w:szCs w:val="14"/>
                <w:color w:val="auto"/>
              </w:rPr>
              <w:t>(3)</w:t>
            </w:r>
          </w:p>
        </w:tc>
        <w:tc>
          <w:tcPr>
            <w:tcW w:w="1280" w:type="dxa"/>
            <w:vAlign w:val="bottom"/>
            <w:gridSpan w:val="2"/>
          </w:tcPr>
          <w:p>
            <w:pPr>
              <w:jc w:val="right"/>
              <w:ind w:right="8"/>
              <w:spacing w:after="0"/>
              <w:rPr>
                <w:sz w:val="20"/>
                <w:szCs w:val="20"/>
                <w:color w:val="auto"/>
              </w:rPr>
            </w:pPr>
            <w:r>
              <w:rPr>
                <w:rFonts w:ascii="Arial" w:cs="Arial" w:eastAsia="Arial" w:hAnsi="Arial"/>
                <w:sz w:val="14"/>
                <w:szCs w:val="14"/>
                <w:color w:val="auto"/>
              </w:rPr>
              <w:t>14,250(9)</w:t>
            </w:r>
          </w:p>
        </w:tc>
        <w:tc>
          <w:tcPr>
            <w:tcW w:w="1080" w:type="dxa"/>
            <w:vAlign w:val="bottom"/>
          </w:tcPr>
          <w:p>
            <w:pPr>
              <w:jc w:val="right"/>
              <w:spacing w:after="0"/>
              <w:rPr>
                <w:sz w:val="20"/>
                <w:szCs w:val="20"/>
                <w:color w:val="auto"/>
              </w:rPr>
            </w:pPr>
            <w:r>
              <w:rPr>
                <w:rFonts w:ascii="Arial" w:cs="Arial" w:eastAsia="Arial" w:hAnsi="Arial"/>
                <w:sz w:val="14"/>
                <w:szCs w:val="14"/>
                <w:color w:val="auto"/>
              </w:rPr>
              <w:t>1,598,138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141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30" w:lineRule="exact"/>
        <w:rPr>
          <w:sz w:val="20"/>
          <w:szCs w:val="20"/>
          <w:color w:val="auto"/>
        </w:rPr>
      </w:pPr>
    </w:p>
    <w:p>
      <w:pPr>
        <w:ind w:left="380" w:hanging="330"/>
        <w:spacing w:after="0"/>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option has fully vested as of December 31, 2020.</w:t>
      </w:r>
    </w:p>
    <w:p>
      <w:pPr>
        <w:spacing w:after="0" w:line="95" w:lineRule="exact"/>
        <w:rPr>
          <w:rFonts w:ascii="Arial" w:cs="Arial" w:eastAsia="Arial" w:hAnsi="Arial"/>
          <w:sz w:val="14"/>
          <w:szCs w:val="14"/>
          <w:color w:val="auto"/>
        </w:rPr>
      </w:pPr>
    </w:p>
    <w:p>
      <w:pPr>
        <w:ind w:left="380" w:hanging="330"/>
        <w:spacing w:after="0"/>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equity award was granted under our 2011 Stock Option and Grant Plan, as amended.</w:t>
      </w:r>
    </w:p>
    <w:p>
      <w:pPr>
        <w:spacing w:after="0" w:line="95" w:lineRule="exact"/>
        <w:rPr>
          <w:rFonts w:ascii="Arial" w:cs="Arial" w:eastAsia="Arial" w:hAnsi="Arial"/>
          <w:sz w:val="14"/>
          <w:szCs w:val="14"/>
          <w:color w:val="auto"/>
        </w:rPr>
      </w:pPr>
    </w:p>
    <w:p>
      <w:pPr>
        <w:ind w:left="380" w:hanging="330"/>
        <w:spacing w:after="0"/>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equity award was granted under our 2015 Stock Option and Incentive Plan.</w:t>
      </w:r>
    </w:p>
    <w:p>
      <w:pPr>
        <w:spacing w:after="0" w:line="95" w:lineRule="exact"/>
        <w:rPr>
          <w:rFonts w:ascii="Arial" w:cs="Arial" w:eastAsia="Arial" w:hAnsi="Arial"/>
          <w:sz w:val="14"/>
          <w:szCs w:val="14"/>
          <w:color w:val="auto"/>
        </w:rPr>
      </w:pPr>
    </w:p>
    <w:p>
      <w:pPr>
        <w:jc w:val="both"/>
        <w:ind w:left="380" w:right="379" w:hanging="330"/>
        <w:spacing w:after="0" w:line="335" w:lineRule="auto"/>
        <w:tabs>
          <w:tab w:leader="none" w:pos="3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This option vested with respect to 1/48</w:t>
      </w:r>
      <w:r>
        <w:rPr>
          <w:rFonts w:ascii="Arial" w:cs="Arial" w:eastAsia="Arial" w:hAnsi="Arial"/>
          <w:sz w:val="9"/>
          <w:szCs w:val="9"/>
          <w:color w:val="auto"/>
        </w:rPr>
        <w:t>th</w:t>
      </w:r>
      <w:r>
        <w:rPr>
          <w:rFonts w:ascii="Arial" w:cs="Arial" w:eastAsia="Arial" w:hAnsi="Arial"/>
          <w:sz w:val="12"/>
          <w:szCs w:val="12"/>
          <w:color w:val="auto"/>
        </w:rPr>
        <w:t xml:space="preserve"> of the shares underlying the option on March 16, 2017 and vests as to an additional 1/48</w:t>
      </w:r>
      <w:r>
        <w:rPr>
          <w:rFonts w:ascii="Arial" w:cs="Arial" w:eastAsia="Arial" w:hAnsi="Arial"/>
          <w:sz w:val="9"/>
          <w:szCs w:val="9"/>
          <w:color w:val="auto"/>
        </w:rPr>
        <w:t>th</w:t>
      </w:r>
      <w:r>
        <w:rPr>
          <w:rFonts w:ascii="Arial" w:cs="Arial" w:eastAsia="Arial" w:hAnsi="Arial"/>
          <w:sz w:val="12"/>
          <w:szCs w:val="12"/>
          <w:color w:val="auto"/>
        </w:rPr>
        <w:t xml:space="preserve"> of the shares underlying the option each month thereafter through February 16, 2021, subject to continued employment through each applicable vesting date.</w:t>
      </w:r>
    </w:p>
    <w:p>
      <w:pPr>
        <w:spacing w:after="0" w:line="19" w:lineRule="exact"/>
        <w:rPr>
          <w:rFonts w:ascii="Arial" w:cs="Arial" w:eastAsia="Arial" w:hAnsi="Arial"/>
          <w:sz w:val="12"/>
          <w:szCs w:val="12"/>
          <w:color w:val="auto"/>
        </w:rPr>
      </w:pPr>
    </w:p>
    <w:p>
      <w:pPr>
        <w:jc w:val="both"/>
        <w:ind w:left="380" w:right="379" w:hanging="330"/>
        <w:spacing w:after="0" w:line="335" w:lineRule="auto"/>
        <w:tabs>
          <w:tab w:leader="none" w:pos="3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This option vested with respect to 1/48</w:t>
      </w:r>
      <w:r>
        <w:rPr>
          <w:rFonts w:ascii="Arial" w:cs="Arial" w:eastAsia="Arial" w:hAnsi="Arial"/>
          <w:sz w:val="9"/>
          <w:szCs w:val="9"/>
          <w:color w:val="auto"/>
        </w:rPr>
        <w:t>th</w:t>
      </w:r>
      <w:r>
        <w:rPr>
          <w:rFonts w:ascii="Arial" w:cs="Arial" w:eastAsia="Arial" w:hAnsi="Arial"/>
          <w:sz w:val="12"/>
          <w:szCs w:val="12"/>
          <w:color w:val="auto"/>
        </w:rPr>
        <w:t xml:space="preserve"> of the shares underlying the option on March 16, 2018 and vests as to an additional 1/48</w:t>
      </w:r>
      <w:r>
        <w:rPr>
          <w:rFonts w:ascii="Arial" w:cs="Arial" w:eastAsia="Arial" w:hAnsi="Arial"/>
          <w:sz w:val="9"/>
          <w:szCs w:val="9"/>
          <w:color w:val="auto"/>
        </w:rPr>
        <w:t>th</w:t>
      </w:r>
      <w:r>
        <w:rPr>
          <w:rFonts w:ascii="Arial" w:cs="Arial" w:eastAsia="Arial" w:hAnsi="Arial"/>
          <w:sz w:val="12"/>
          <w:szCs w:val="12"/>
          <w:color w:val="auto"/>
        </w:rPr>
        <w:t xml:space="preserve"> of the shares underlying the option each month thereafter through February 16, 2022, subject to continued employment through each applicable vesting date.</w:t>
      </w:r>
    </w:p>
    <w:p>
      <w:pPr>
        <w:spacing w:after="0" w:line="19" w:lineRule="exact"/>
        <w:rPr>
          <w:rFonts w:ascii="Arial" w:cs="Arial" w:eastAsia="Arial" w:hAnsi="Arial"/>
          <w:sz w:val="12"/>
          <w:szCs w:val="12"/>
          <w:color w:val="auto"/>
        </w:rPr>
      </w:pPr>
    </w:p>
    <w:p>
      <w:pPr>
        <w:ind w:left="380" w:right="499" w:hanging="330"/>
        <w:spacing w:after="0" w:line="290" w:lineRule="auto"/>
        <w:tabs>
          <w:tab w:leader="none" w:pos="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This option vested with respect to 1/48</w:t>
      </w:r>
      <w:r>
        <w:rPr>
          <w:rFonts w:ascii="Arial" w:cs="Arial" w:eastAsia="Arial" w:hAnsi="Arial"/>
          <w:sz w:val="9"/>
          <w:szCs w:val="9"/>
          <w:color w:val="auto"/>
        </w:rPr>
        <w:t>th</w:t>
      </w:r>
      <w:r>
        <w:rPr>
          <w:rFonts w:ascii="Arial" w:cs="Arial" w:eastAsia="Arial" w:hAnsi="Arial"/>
          <w:sz w:val="13"/>
          <w:szCs w:val="13"/>
          <w:color w:val="auto"/>
        </w:rPr>
        <w:t xml:space="preserve"> of the shares underlying the option on April 1, 2019 and vests as to an additional 1/48</w:t>
      </w:r>
      <w:r>
        <w:rPr>
          <w:rFonts w:ascii="Arial" w:cs="Arial" w:eastAsia="Arial" w:hAnsi="Arial"/>
          <w:sz w:val="9"/>
          <w:szCs w:val="9"/>
          <w:color w:val="auto"/>
        </w:rPr>
        <w:t>th</w:t>
      </w:r>
      <w:r>
        <w:rPr>
          <w:rFonts w:ascii="Arial" w:cs="Arial" w:eastAsia="Arial" w:hAnsi="Arial"/>
          <w:sz w:val="13"/>
          <w:szCs w:val="13"/>
          <w:color w:val="auto"/>
        </w:rPr>
        <w:t xml:space="preserve"> of the shares underlying the option each month thereafter through March 1, 2023, subject to continued employment through each applicable vesting date.</w:t>
      </w:r>
    </w:p>
    <w:p>
      <w:pPr>
        <w:spacing w:after="0" w:line="43" w:lineRule="exact"/>
        <w:rPr>
          <w:rFonts w:ascii="Arial" w:cs="Arial" w:eastAsia="Arial" w:hAnsi="Arial"/>
          <w:sz w:val="13"/>
          <w:szCs w:val="13"/>
          <w:color w:val="auto"/>
        </w:rPr>
      </w:pPr>
    </w:p>
    <w:p>
      <w:pPr>
        <w:ind w:left="380" w:right="499" w:hanging="330"/>
        <w:spacing w:after="0" w:line="290" w:lineRule="auto"/>
        <w:tabs>
          <w:tab w:leader="none" w:pos="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This option vested with respect to 1/48</w:t>
      </w:r>
      <w:r>
        <w:rPr>
          <w:rFonts w:ascii="Arial" w:cs="Arial" w:eastAsia="Arial" w:hAnsi="Arial"/>
          <w:sz w:val="9"/>
          <w:szCs w:val="9"/>
          <w:color w:val="auto"/>
        </w:rPr>
        <w:t>th</w:t>
      </w:r>
      <w:r>
        <w:rPr>
          <w:rFonts w:ascii="Arial" w:cs="Arial" w:eastAsia="Arial" w:hAnsi="Arial"/>
          <w:sz w:val="13"/>
          <w:szCs w:val="13"/>
          <w:color w:val="auto"/>
        </w:rPr>
        <w:t xml:space="preserve"> of the shares underlying the option on April 1, 2020 and vests as to an additional 1/48</w:t>
      </w:r>
      <w:r>
        <w:rPr>
          <w:rFonts w:ascii="Arial" w:cs="Arial" w:eastAsia="Arial" w:hAnsi="Arial"/>
          <w:sz w:val="9"/>
          <w:szCs w:val="9"/>
          <w:color w:val="auto"/>
        </w:rPr>
        <w:t>th</w:t>
      </w:r>
      <w:r>
        <w:rPr>
          <w:rFonts w:ascii="Arial" w:cs="Arial" w:eastAsia="Arial" w:hAnsi="Arial"/>
          <w:sz w:val="13"/>
          <w:szCs w:val="13"/>
          <w:color w:val="auto"/>
        </w:rPr>
        <w:t xml:space="preserve"> of the shares underlying the option each month thereafter through March 1, 2024, subject to continued employment through each applicable vesting date.</w:t>
      </w:r>
    </w:p>
    <w:p>
      <w:pPr>
        <w:spacing w:after="0" w:line="43" w:lineRule="exact"/>
        <w:rPr>
          <w:rFonts w:ascii="Arial" w:cs="Arial" w:eastAsia="Arial" w:hAnsi="Arial"/>
          <w:sz w:val="13"/>
          <w:szCs w:val="13"/>
          <w:color w:val="auto"/>
        </w:rPr>
      </w:pPr>
    </w:p>
    <w:p>
      <w:pPr>
        <w:ind w:left="380" w:right="679" w:hanging="330"/>
        <w:spacing w:after="0" w:line="253" w:lineRule="auto"/>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RSU vests in four equal installments on each of March 1, 2020, 2021, 2022 and 2023, subject to continued employment through each applicable vesting date.</w:t>
      </w:r>
    </w:p>
    <w:p>
      <w:pPr>
        <w:spacing w:after="0" w:line="65" w:lineRule="exact"/>
        <w:rPr>
          <w:rFonts w:ascii="Arial" w:cs="Arial" w:eastAsia="Arial" w:hAnsi="Arial"/>
          <w:sz w:val="14"/>
          <w:szCs w:val="14"/>
          <w:color w:val="auto"/>
        </w:rPr>
      </w:pPr>
    </w:p>
    <w:p>
      <w:pPr>
        <w:ind w:left="380" w:right="679" w:hanging="330"/>
        <w:spacing w:after="0" w:line="253" w:lineRule="auto"/>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RSU vests in four equal installments on each of March 1, 2021, 2022, 2023 and 2024, subject to continued employment through each applicable vesting date.</w:t>
      </w:r>
    </w:p>
    <w:p>
      <w:pPr>
        <w:spacing w:after="0" w:line="65" w:lineRule="exact"/>
        <w:rPr>
          <w:rFonts w:ascii="Arial" w:cs="Arial" w:eastAsia="Arial" w:hAnsi="Arial"/>
          <w:sz w:val="14"/>
          <w:szCs w:val="14"/>
          <w:color w:val="auto"/>
        </w:rPr>
      </w:pPr>
    </w:p>
    <w:p>
      <w:pPr>
        <w:ind w:left="380" w:right="499" w:hanging="330"/>
        <w:spacing w:after="0" w:line="290" w:lineRule="auto"/>
        <w:tabs>
          <w:tab w:leader="none" w:pos="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This option vests with respect to 25% of the shares underlying the option on October 1, 2021 and vests to an additional 1/48</w:t>
      </w:r>
      <w:r>
        <w:rPr>
          <w:rFonts w:ascii="Arial" w:cs="Arial" w:eastAsia="Arial" w:hAnsi="Arial"/>
          <w:sz w:val="9"/>
          <w:szCs w:val="9"/>
          <w:color w:val="auto"/>
        </w:rPr>
        <w:t>th</w:t>
      </w:r>
      <w:r>
        <w:rPr>
          <w:rFonts w:ascii="Arial" w:cs="Arial" w:eastAsia="Arial" w:hAnsi="Arial"/>
          <w:sz w:val="13"/>
          <w:szCs w:val="13"/>
          <w:color w:val="auto"/>
        </w:rPr>
        <w:t xml:space="preserve"> of the shares underlying the option each month thereafter through October 1, 2024, subject to continued employment through each applicable vesting date.</w:t>
      </w:r>
    </w:p>
    <w:p>
      <w:pPr>
        <w:spacing w:after="0" w:line="43" w:lineRule="exact"/>
        <w:rPr>
          <w:rFonts w:ascii="Arial" w:cs="Arial" w:eastAsia="Arial" w:hAnsi="Arial"/>
          <w:sz w:val="13"/>
          <w:szCs w:val="13"/>
          <w:color w:val="auto"/>
        </w:rPr>
      </w:pPr>
    </w:p>
    <w:p>
      <w:pPr>
        <w:ind w:left="380" w:hanging="330"/>
        <w:spacing w:after="0"/>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equity award was granted under our 2020 Inducement Plan.</w:t>
      </w:r>
    </w:p>
    <w:p>
      <w:pPr>
        <w:spacing w:after="0" w:line="95" w:lineRule="exact"/>
        <w:rPr>
          <w:rFonts w:ascii="Arial" w:cs="Arial" w:eastAsia="Arial" w:hAnsi="Arial"/>
          <w:sz w:val="14"/>
          <w:szCs w:val="14"/>
          <w:color w:val="auto"/>
        </w:rPr>
      </w:pPr>
    </w:p>
    <w:p>
      <w:pPr>
        <w:ind w:left="380" w:right="599" w:hanging="330"/>
        <w:spacing w:after="0" w:line="253" w:lineRule="auto"/>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RSU vests in four equal installments on each of October 1, 2021, 2022, 2023 and 2024, subject to continued employment through each applicable vesting date.</w:t>
      </w:r>
    </w:p>
    <w:p>
      <w:pPr>
        <w:spacing w:after="0" w:line="65" w:lineRule="exact"/>
        <w:rPr>
          <w:rFonts w:ascii="Arial" w:cs="Arial" w:eastAsia="Arial" w:hAnsi="Arial"/>
          <w:sz w:val="14"/>
          <w:szCs w:val="14"/>
          <w:color w:val="auto"/>
        </w:rPr>
      </w:pPr>
    </w:p>
    <w:p>
      <w:pPr>
        <w:ind w:left="380" w:right="419" w:hanging="330"/>
        <w:spacing w:after="0" w:line="253" w:lineRule="auto"/>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Amounts shown are based on a price of $112.15 per share, which was the closing price of our common stock as reported on the Nasdaq Global Select Market on December 31, 2020, the last trading day of the year.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Option Exercises and Stock Vested</w:t>
      </w:r>
    </w:p>
    <w:p>
      <w:pPr>
        <w:spacing w:after="0" w:line="131"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The following table sets forth information concerning option exercises and the vesting of RSU awards for each of our named executive officers during the fiscal year ended December 31, 2020:</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1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Value Realized</w:t>
            </w:r>
          </w:p>
        </w:tc>
        <w:tc>
          <w:tcPr>
            <w:tcW w:w="10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Exercise (#)</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Vesting (#)</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7,076,324</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7,438</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402,619</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Michael Landsittel</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71,073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Fouad Namouni, M.D.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Kathryn Haviland</w:t>
            </w:r>
          </w:p>
        </w:tc>
        <w:tc>
          <w:tcPr>
            <w:tcW w:w="980" w:type="dxa"/>
            <w:vAlign w:val="bottom"/>
          </w:tcPr>
          <w:p>
            <w:pPr>
              <w:jc w:val="right"/>
              <w:spacing w:after="0"/>
              <w:rPr>
                <w:sz w:val="20"/>
                <w:szCs w:val="20"/>
                <w:color w:val="auto"/>
              </w:rPr>
            </w:pPr>
            <w:r>
              <w:rPr>
                <w:rFonts w:ascii="Arial" w:cs="Arial" w:eastAsia="Arial" w:hAnsi="Arial"/>
                <w:sz w:val="16"/>
                <w:szCs w:val="16"/>
                <w:color w:val="auto"/>
              </w:rPr>
              <w:t>29,293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1,835,573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Tracey L. McCain, Esq.</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108,964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3" w:lineRule="exact"/>
        <w:rPr>
          <w:sz w:val="20"/>
          <w:szCs w:val="20"/>
          <w:color w:val="auto"/>
        </w:rPr>
      </w:pPr>
    </w:p>
    <w:p>
      <w:pPr>
        <w:ind w:left="380" w:right="239" w:hanging="330"/>
        <w:spacing w:after="0" w:line="238" w:lineRule="auto"/>
        <w:tabs>
          <w:tab w:leader="none" w:pos="3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realized when the stock options were exercised represents (i) the excess of the closing price of a share of our common stock as reported on the Nasdaq Global Select Market on the date of exercise over the per share exercise price of the stock option, multiplied by (ii) the number of option shares exercised.</w:t>
      </w:r>
    </w:p>
    <w:p>
      <w:pPr>
        <w:spacing w:after="0" w:line="74" w:lineRule="exact"/>
        <w:rPr>
          <w:rFonts w:ascii="Arial" w:cs="Arial" w:eastAsia="Arial" w:hAnsi="Arial"/>
          <w:sz w:val="14"/>
          <w:szCs w:val="14"/>
          <w:color w:val="auto"/>
        </w:rPr>
      </w:pPr>
    </w:p>
    <w:p>
      <w:pPr>
        <w:ind w:left="380" w:right="119" w:hanging="330"/>
        <w:spacing w:after="0" w:line="253" w:lineRule="auto"/>
        <w:tabs>
          <w:tab w:leader="none" w:pos="3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realized upon vesting of RSUs is calculated by multiplying the number of RSUs vested by the closing price market price of a share of our common stock as reported on the Nasdaq Global Select Market on the vest date.</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Employment, Severance and Change-in-Control Arrangements</w:t>
      </w:r>
    </w:p>
    <w:p>
      <w:pPr>
        <w:spacing w:after="0" w:line="131"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5"/>
          <w:szCs w:val="15"/>
          <w:color w:val="auto"/>
        </w:rPr>
        <w:t>We have entered into employment agreements with each of our named executive officers in connection with their employment with us. These employment agreements provide for “at will” employment. Such employment agreements established the named executive officer’s title, initial compensation arrangements and eligibility to participate in the employee benefit plans generally available to full-time employees, subject to the terms of those plans. We have also agreed to provide the following benefits under the employment agreements with each of our named executive officers, including certain severance payments and benefits in connection with a change-in-control.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70"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5"/>
          <w:szCs w:val="15"/>
          <w:b w:val="1"/>
          <w:bCs w:val="1"/>
          <w:i w:val="1"/>
          <w:iCs w:val="1"/>
          <w:color w:val="auto"/>
        </w:rPr>
        <w:t xml:space="preserve">Jeffrey W. Albers, Chief Executive Officer. </w:t>
      </w:r>
      <w:r>
        <w:rPr>
          <w:rFonts w:ascii="Arial" w:cs="Arial" w:eastAsia="Arial" w:hAnsi="Arial"/>
          <w:sz w:val="15"/>
          <w:szCs w:val="15"/>
          <w:color w:val="auto"/>
        </w:rPr>
        <w:t>Under the employment agreement with Mr. Albers, our chief executive officer, if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Albers’ employment is terminated by us without cause (as defined in his employment agreement) or by Mr. Albers for good reason (as defined in his employment agreement), and subject to Mr. Albers’ execution of a release of potential claims against us, Mr. Albers will be entitled to receive: (i) a lump sum in cash in an amount equal to 12 months of base salary then in effect and (ii) a monthly cash payment for 12 months for medical and dental benefits or Mr. Albers’ COBRA health continuation period, whichever ends earlier. However, in the event that Mr. Albers’ employment is terminated by us without cause, or Mr. Albers terminates his employment with us for good reason, in either case within 12 months following the occurrence of a sale event (as defined in his employment agreement), in lieu of the severance payments and benefits described in the preceding sentence and subject to Mr. Albers’ execution of a release of potential claims against us, Mr. Albers will be entitled to receive: (i) a lump sum in cash in an amount equal to the sum of 18 months of Mr. Albers’ base salary then in effect plus one-and-one half times Mr. Albers’ target annual incentive compensation for the year in which the termination occurs, (ii) a monthly cash payment for 18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78"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5"/>
          <w:szCs w:val="15"/>
          <w:b w:val="1"/>
          <w:bCs w:val="1"/>
          <w:i w:val="1"/>
          <w:iCs w:val="1"/>
          <w:color w:val="auto"/>
        </w:rPr>
        <w:t xml:space="preserve">Named Executive Officers Other Than Chief Executive Officer. </w:t>
      </w:r>
      <w:r>
        <w:rPr>
          <w:rFonts w:ascii="Arial" w:cs="Arial" w:eastAsia="Arial" w:hAnsi="Arial"/>
          <w:sz w:val="15"/>
          <w:szCs w:val="15"/>
          <w:color w:val="auto"/>
        </w:rPr>
        <w:t>Under the employment agreements with each of our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named executive officers, if the executive officer’s employment is terminated by us without cause (as defined in his or her employment agreement) or by the executive officer for good reason (as defined in his or her employment agreement), and subject to the executive officer’s execution of a release of potential claims against us, the executive officer will be entitled to receive: (i) a lump sum in cash in an amount equal to 12 months of base salary and (ii) a monthly cash payment for 12 months for medical and dental benefits or the executive officer’s COBRA health continuation period, whichever ends earlier. However, in the event that the executive officer’s employment is terminated by us without cause, or the executive officer terminates his or her employment with us for good reason, in either case within 12 months following the occurrence of a sale event (as defined in his or her employment agreement), in lieu of the severance payments and benefits described in the preceding sentence and subject to the executive officer’s execution of a release of potential claims against us, the executive officer will be entitled to receive: (i) a lump sum in cash in an amount equal to the sum of 12 months of the executive officer’s base salary then in effect plus the executive officer’s target annual incentive compensation for the year in which the termination occurs, (ii) a monthly cash payment for 12 months for medical and</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19"/>
        <w:spacing w:after="0" w:line="328" w:lineRule="auto"/>
        <w:rPr>
          <w:sz w:val="20"/>
          <w:szCs w:val="20"/>
          <w:color w:val="auto"/>
        </w:rPr>
      </w:pPr>
      <w:r>
        <w:rPr>
          <w:rFonts w:ascii="Arial" w:cs="Arial" w:eastAsia="Arial" w:hAnsi="Arial"/>
          <w:sz w:val="15"/>
          <w:szCs w:val="15"/>
          <w:color w:val="auto"/>
        </w:rPr>
        <w:t>dental benefits or the executive officer’s COBRA health continuation period, whichever ends earlier, and (iii) full and immediate vesting and exercisability of all time-based stock options and other time-based stock-based awards held by the executive officer.</w:t>
      </w:r>
    </w:p>
    <w:p>
      <w:pPr>
        <w:spacing w:after="0" w:line="42"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4"/>
          <w:szCs w:val="14"/>
          <w:color w:val="auto"/>
        </w:rPr>
        <w:t>In addition, under the employment agreement with Dr. Namouni, we agreed to reimburse to Dr. Namouni or pay to third parties on his behalf all reasonable and documented expenses incurred in connection with his relocation up to a maximum aggregate amount of $150,000, and gross-up any taxes incurred on eligible relocation expenses reimbursed to Dr. Namouni or paid to third parties on his behalf, and following the commencement of his employment, we also agreed to provide Dr. Namouni a one-time, lump sum relocation allowance in the amount of $10,000 to use in his discretion to cover expenses related to his relocation to the Cambridge, Massachusetts area. If within specific time periods Dr. Namouni terminates his employment without good reason or is terminated for cause, in either case, Dr. Namouni is obligated to repay all or a portion of the aggregate relocation expenses reimbursed to Dr. Namouni or paid to third parties on his behalf and the relocation allowance, subject to the terms of the employment agreement.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Potential Payments Upon Termination or Change-in-Control</w:t>
      </w:r>
    </w:p>
    <w:p>
      <w:pPr>
        <w:spacing w:after="0" w:line="127" w:lineRule="exact"/>
        <w:rPr>
          <w:sz w:val="20"/>
          <w:szCs w:val="20"/>
          <w:color w:val="auto"/>
        </w:rPr>
      </w:pPr>
    </w:p>
    <w:p>
      <w:pPr>
        <w:ind w:left="60" w:right="159" w:firstLine="648"/>
        <w:spacing w:after="0" w:line="285" w:lineRule="auto"/>
        <w:rPr>
          <w:sz w:val="20"/>
          <w:szCs w:val="20"/>
          <w:color w:val="auto"/>
        </w:rPr>
      </w:pPr>
      <w:r>
        <w:rPr>
          <w:rFonts w:ascii="Arial" w:cs="Arial" w:eastAsia="Arial" w:hAnsi="Arial"/>
          <w:sz w:val="15"/>
          <w:szCs w:val="15"/>
          <w:color w:val="auto"/>
        </w:rPr>
        <w:t>The amount of compensation and benefits payable to each named executive officer under our current employment agreements in various termination and/or change-in-control situations has been estimated in the table below, which assumes that such termination and/or change-in-control occurred on December 31, 2020 and that no noncompetition provisions will be enforced following any such termination. The value of the equity vesting acceleration was calculated based on the assumption that the change-in-control and/or executive’s employment termination occurred on December 31, 2020, the last business day of the fiscal year ended December 31, 2020. For purposes of the following table, we have used $112.15 per share, which was the closing price of our common stock as reported on the Nasdaq Global Select Market on December 31, 2020, the last trading day of the year 2020, to estimate the value of our common stock upon acceleration. The value of the option vesting acceleration was calculated by multiplying the number of unvested shares underlying stock options subject to vesting acceleration as of December 31, 2020 by the difference between the closing price of our common stock as reported on the Nasdaq Global Select Market on December 31, 2020 and the exercise price for such unvested stock options. The value of the RSU vesting acceleration was calculated by multiplying the number of unvested RSUs subject to vesting acceleration as of December 31, 2020 by the closing price of our common stock as reported on the Nasdaq Global Select Market on December 31, 2020.</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Triggering Event</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Resignation for Good</w:t>
            </w:r>
          </w:p>
        </w:tc>
        <w:tc>
          <w:tcPr>
            <w:tcW w:w="24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Resignation for</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Reason or Termination</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Sale Event Without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Cause Before</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More Than 12</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Within 12 Months</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Benefit</w:t>
            </w: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Termination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Months Following a</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Following a</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Employment ($)</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Sale Event ($)</w:t>
            </w: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Sale Event ($)</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Jeffrey W. Albers</w:t>
            </w:r>
          </w:p>
        </w:tc>
        <w:tc>
          <w:tcPr>
            <w:tcW w:w="160" w:type="dxa"/>
            <w:vAlign w:val="bottom"/>
            <w:tcBorders>
              <w:top w:val="single" w:sz="8" w:color="CCEEFF"/>
            </w:tcBorders>
            <w:shd w:val="clear" w:color="auto" w:fill="CCEEFF"/>
          </w:tcPr>
          <w:p>
            <w:pPr>
              <w:spacing w:after="0"/>
              <w:rPr>
                <w:sz w:val="12"/>
                <w:szCs w:val="12"/>
                <w:color w:val="auto"/>
              </w:rPr>
            </w:pPr>
          </w:p>
        </w:tc>
        <w:tc>
          <w:tcPr>
            <w:tcW w:w="22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Severance payments</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ind w:left="1080"/>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645,000</w:t>
            </w:r>
          </w:p>
        </w:tc>
        <w:tc>
          <w:tcPr>
            <w:tcW w:w="2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967,500</w:t>
            </w:r>
          </w:p>
        </w:tc>
        <w:tc>
          <w:tcPr>
            <w:tcW w:w="2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Cash incentive payments</w:t>
            </w:r>
          </w:p>
        </w:tc>
        <w:tc>
          <w:tcPr>
            <w:tcW w:w="138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817,538</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5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Health care continuation</w:t>
            </w:r>
          </w:p>
        </w:tc>
        <w:tc>
          <w:tcPr>
            <w:tcW w:w="138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21,394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32,091</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Acceleration of equity award vesting</w:t>
            </w:r>
          </w:p>
        </w:tc>
        <w:tc>
          <w:tcPr>
            <w:tcW w:w="138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15,441,682</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CCEEFF"/>
              <w:bottom w:val="single" w:sz="8" w:color="CCEEFF"/>
            </w:tcBorders>
            <w:shd w:val="clear" w:color="auto" w:fill="CCEEFF"/>
          </w:tcPr>
          <w:p>
            <w:pPr>
              <w:spacing w:after="0"/>
              <w:rPr>
                <w:sz w:val="12"/>
                <w:szCs w:val="12"/>
                <w:color w:val="auto"/>
              </w:rPr>
            </w:pPr>
          </w:p>
        </w:tc>
        <w:tc>
          <w:tcPr>
            <w:tcW w:w="2520" w:type="dxa"/>
            <w:vAlign w:val="bottom"/>
            <w:tcBorders>
              <w:top w:val="single" w:sz="8" w:color="CCEEFF"/>
              <w:bottom w:val="single" w:sz="8" w:color="CCEEFF"/>
            </w:tcBorders>
            <w:gridSpan w:val="4"/>
            <w:shd w:val="clear" w:color="auto" w:fill="CCEEFF"/>
          </w:tcPr>
          <w:p>
            <w:pPr>
              <w:ind w:left="140"/>
              <w:spacing w:after="0" w:line="142"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ind w:left="1080"/>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666,394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17,258,811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ind w:left="20"/>
              <w:spacing w:after="0"/>
              <w:rPr>
                <w:sz w:val="20"/>
                <w:szCs w:val="20"/>
                <w:color w:val="auto"/>
              </w:rPr>
            </w:pPr>
            <w:r>
              <w:rPr>
                <w:rFonts w:ascii="Arial" w:cs="Arial" w:eastAsia="Arial" w:hAnsi="Arial"/>
                <w:sz w:val="14"/>
                <w:szCs w:val="14"/>
                <w:color w:val="auto"/>
              </w:rPr>
              <w:t>Michael Landsittel</w:t>
            </w:r>
          </w:p>
        </w:tc>
        <w:tc>
          <w:tcPr>
            <w:tcW w:w="2520" w:type="dxa"/>
            <w:vAlign w:val="bottom"/>
            <w:gridSpan w:val="4"/>
            <w:vMerge w:val="restart"/>
          </w:tcPr>
          <w:p>
            <w:pPr>
              <w:ind w:left="140"/>
              <w:spacing w:after="0"/>
              <w:rPr>
                <w:sz w:val="20"/>
                <w:szCs w:val="20"/>
                <w:color w:val="auto"/>
              </w:rPr>
            </w:pPr>
            <w:r>
              <w:rPr>
                <w:rFonts w:ascii="Arial" w:cs="Arial" w:eastAsia="Arial" w:hAnsi="Arial"/>
                <w:sz w:val="14"/>
                <w:szCs w:val="14"/>
                <w:color w:val="auto"/>
              </w:rPr>
              <w:t>Severance payments</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w w:val="93"/>
              </w:rPr>
              <w:t>(1)</w:t>
            </w: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line="20" w:lineRule="exact"/>
              <w:rPr>
                <w:sz w:val="1"/>
                <w:szCs w:val="1"/>
                <w:color w:val="auto"/>
              </w:rPr>
            </w:pPr>
          </w:p>
        </w:tc>
      </w:tr>
      <w:tr>
        <w:trPr>
          <w:trHeight w:val="129"/>
        </w:trPr>
        <w:tc>
          <w:tcPr>
            <w:tcW w:w="1880" w:type="dxa"/>
            <w:vAlign w:val="bottom"/>
            <w:gridSpan w:val="2"/>
            <w:vMerge w:val="continue"/>
          </w:tcPr>
          <w:p>
            <w:pPr>
              <w:spacing w:after="0"/>
              <w:rPr>
                <w:sz w:val="11"/>
                <w:szCs w:val="11"/>
                <w:color w:val="auto"/>
              </w:rPr>
            </w:pPr>
          </w:p>
        </w:tc>
        <w:tc>
          <w:tcPr>
            <w:tcW w:w="2520" w:type="dxa"/>
            <w:vAlign w:val="bottom"/>
            <w:gridSpan w:val="4"/>
            <w:vMerge w:val="continue"/>
          </w:tcPr>
          <w:p>
            <w:pPr>
              <w:spacing w:after="0"/>
              <w:rPr>
                <w:sz w:val="11"/>
                <w:szCs w:val="11"/>
                <w:color w:val="auto"/>
              </w:rPr>
            </w:pPr>
          </w:p>
        </w:tc>
        <w:tc>
          <w:tcPr>
            <w:tcW w:w="1240" w:type="dxa"/>
            <w:vAlign w:val="bottom"/>
          </w:tcPr>
          <w:p>
            <w:pPr>
              <w:ind w:left="1080"/>
              <w:spacing w:after="0" w:line="129" w:lineRule="exact"/>
              <w:rPr>
                <w:sz w:val="20"/>
                <w:szCs w:val="20"/>
                <w:color w:val="auto"/>
              </w:rPr>
            </w:pPr>
            <w:r>
              <w:rPr>
                <w:rFonts w:ascii="Arial" w:cs="Arial" w:eastAsia="Arial" w:hAnsi="Arial"/>
                <w:sz w:val="14"/>
                <w:szCs w:val="14"/>
                <w:color w:val="auto"/>
                <w:w w:val="99"/>
              </w:rPr>
              <w:t>—</w:t>
            </w:r>
          </w:p>
        </w:tc>
        <w:tc>
          <w:tcPr>
            <w:tcW w:w="140" w:type="dxa"/>
            <w:vAlign w:val="bottom"/>
            <w:vMerge w:val="continue"/>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379,575</w:t>
            </w:r>
          </w:p>
        </w:tc>
        <w:tc>
          <w:tcPr>
            <w:tcW w:w="240" w:type="dxa"/>
            <w:vAlign w:val="bottom"/>
            <w:vMerge w:val="continue"/>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379,575</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5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Cash incentive payments</w:t>
            </w:r>
          </w:p>
        </w:tc>
        <w:tc>
          <w:tcPr>
            <w:tcW w:w="138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197,379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Health care continuation</w:t>
            </w:r>
          </w:p>
        </w:tc>
        <w:tc>
          <w:tcPr>
            <w:tcW w:w="138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21,394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3"/>
              </w:rPr>
              <w:t>(4)</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21,394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5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Acceleration of equity award vesting</w:t>
            </w:r>
          </w:p>
        </w:tc>
        <w:tc>
          <w:tcPr>
            <w:tcW w:w="138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3,598,600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gridSpan w:val="4"/>
          </w:tcPr>
          <w:p>
            <w:pPr>
              <w:ind w:left="140"/>
              <w:spacing w:after="0" w:line="142"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tcPr>
          <w:p>
            <w:pPr>
              <w:ind w:left="1080"/>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400,969</w:t>
            </w:r>
          </w:p>
        </w:tc>
        <w:tc>
          <w:tcPr>
            <w:tcW w:w="24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4,196,948</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Fouad Namouni, M.D.</w:t>
            </w:r>
          </w:p>
        </w:tc>
        <w:tc>
          <w:tcPr>
            <w:tcW w:w="2520" w:type="dxa"/>
            <w:vAlign w:val="bottom"/>
            <w:gridSpan w:val="4"/>
            <w:shd w:val="clear" w:color="auto" w:fill="CCEEFF"/>
          </w:tcPr>
          <w:p>
            <w:pPr>
              <w:ind w:left="140"/>
              <w:spacing w:after="0" w:line="129" w:lineRule="exact"/>
              <w:rPr>
                <w:sz w:val="20"/>
                <w:szCs w:val="20"/>
                <w:color w:val="auto"/>
              </w:rPr>
            </w:pPr>
            <w:r>
              <w:rPr>
                <w:rFonts w:ascii="Arial" w:cs="Arial" w:eastAsia="Arial" w:hAnsi="Arial"/>
                <w:sz w:val="14"/>
                <w:szCs w:val="14"/>
                <w:color w:val="auto"/>
              </w:rPr>
              <w:t>Severance payments</w:t>
            </w:r>
          </w:p>
        </w:tc>
        <w:tc>
          <w:tcPr>
            <w:tcW w:w="1240" w:type="dxa"/>
            <w:vAlign w:val="bottom"/>
            <w:shd w:val="clear" w:color="auto" w:fill="CCEEFF"/>
          </w:tcPr>
          <w:p>
            <w:pPr>
              <w:ind w:left="1080"/>
              <w:spacing w:after="0" w:line="12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186,154</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(1)</w:t>
            </w: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186,154</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Cash incentive payments</w:t>
            </w:r>
          </w:p>
        </w:tc>
        <w:tc>
          <w:tcPr>
            <w:tcW w:w="138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103,114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5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Health care continuation</w:t>
            </w:r>
          </w:p>
        </w:tc>
        <w:tc>
          <w:tcPr>
            <w:tcW w:w="138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Acceleration of equity award vesting</w:t>
            </w:r>
          </w:p>
        </w:tc>
        <w:tc>
          <w:tcPr>
            <w:tcW w:w="138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4,829,175</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CCEEFF"/>
              <w:bottom w:val="single" w:sz="8" w:color="CCEEFF"/>
            </w:tcBorders>
            <w:shd w:val="clear" w:color="auto" w:fill="CCEEFF"/>
          </w:tcPr>
          <w:p>
            <w:pPr>
              <w:spacing w:after="0"/>
              <w:rPr>
                <w:sz w:val="12"/>
                <w:szCs w:val="12"/>
                <w:color w:val="auto"/>
              </w:rPr>
            </w:pPr>
          </w:p>
        </w:tc>
        <w:tc>
          <w:tcPr>
            <w:tcW w:w="2520" w:type="dxa"/>
            <w:vAlign w:val="bottom"/>
            <w:tcBorders>
              <w:top w:val="single" w:sz="8" w:color="CCEEFF"/>
              <w:bottom w:val="single" w:sz="8" w:color="CCEEFF"/>
            </w:tcBorders>
            <w:gridSpan w:val="4"/>
            <w:shd w:val="clear" w:color="auto" w:fill="CCEEFF"/>
          </w:tcPr>
          <w:p>
            <w:pPr>
              <w:ind w:left="140"/>
              <w:spacing w:after="0" w:line="142"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ind w:left="1080"/>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186,154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5,118,443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ind w:left="20"/>
              <w:spacing w:after="0"/>
              <w:rPr>
                <w:sz w:val="20"/>
                <w:szCs w:val="20"/>
                <w:color w:val="auto"/>
              </w:rPr>
            </w:pPr>
            <w:r>
              <w:rPr>
                <w:rFonts w:ascii="Arial" w:cs="Arial" w:eastAsia="Arial" w:hAnsi="Arial"/>
                <w:sz w:val="14"/>
                <w:szCs w:val="14"/>
                <w:color w:val="auto"/>
              </w:rPr>
              <w:t>Kathryn Haviland</w:t>
            </w:r>
          </w:p>
        </w:tc>
        <w:tc>
          <w:tcPr>
            <w:tcW w:w="2520" w:type="dxa"/>
            <w:vAlign w:val="bottom"/>
            <w:gridSpan w:val="4"/>
            <w:vMerge w:val="restart"/>
          </w:tcPr>
          <w:p>
            <w:pPr>
              <w:ind w:left="140"/>
              <w:spacing w:after="0"/>
              <w:rPr>
                <w:sz w:val="20"/>
                <w:szCs w:val="20"/>
                <w:color w:val="auto"/>
              </w:rPr>
            </w:pPr>
            <w:r>
              <w:rPr>
                <w:rFonts w:ascii="Arial" w:cs="Arial" w:eastAsia="Arial" w:hAnsi="Arial"/>
                <w:sz w:val="14"/>
                <w:szCs w:val="14"/>
                <w:color w:val="auto"/>
              </w:rPr>
              <w:t>Severance payments</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w w:val="93"/>
              </w:rPr>
              <w:t>(1)</w:t>
            </w: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line="20" w:lineRule="exact"/>
              <w:rPr>
                <w:sz w:val="1"/>
                <w:szCs w:val="1"/>
                <w:color w:val="auto"/>
              </w:rPr>
            </w:pPr>
          </w:p>
        </w:tc>
      </w:tr>
      <w:tr>
        <w:trPr>
          <w:trHeight w:val="129"/>
        </w:trPr>
        <w:tc>
          <w:tcPr>
            <w:tcW w:w="1880" w:type="dxa"/>
            <w:vAlign w:val="bottom"/>
            <w:gridSpan w:val="2"/>
            <w:vMerge w:val="continue"/>
          </w:tcPr>
          <w:p>
            <w:pPr>
              <w:spacing w:after="0"/>
              <w:rPr>
                <w:sz w:val="11"/>
                <w:szCs w:val="11"/>
                <w:color w:val="auto"/>
              </w:rPr>
            </w:pPr>
          </w:p>
        </w:tc>
        <w:tc>
          <w:tcPr>
            <w:tcW w:w="2520" w:type="dxa"/>
            <w:vAlign w:val="bottom"/>
            <w:gridSpan w:val="4"/>
            <w:vMerge w:val="continue"/>
          </w:tcPr>
          <w:p>
            <w:pPr>
              <w:spacing w:after="0"/>
              <w:rPr>
                <w:sz w:val="11"/>
                <w:szCs w:val="11"/>
                <w:color w:val="auto"/>
              </w:rPr>
            </w:pPr>
          </w:p>
        </w:tc>
        <w:tc>
          <w:tcPr>
            <w:tcW w:w="1240" w:type="dxa"/>
            <w:vAlign w:val="bottom"/>
          </w:tcPr>
          <w:p>
            <w:pPr>
              <w:ind w:left="1080"/>
              <w:spacing w:after="0" w:line="129" w:lineRule="exact"/>
              <w:rPr>
                <w:sz w:val="20"/>
                <w:szCs w:val="20"/>
                <w:color w:val="auto"/>
              </w:rPr>
            </w:pPr>
            <w:r>
              <w:rPr>
                <w:rFonts w:ascii="Arial" w:cs="Arial" w:eastAsia="Arial" w:hAnsi="Arial"/>
                <w:sz w:val="14"/>
                <w:szCs w:val="14"/>
                <w:color w:val="auto"/>
                <w:w w:val="99"/>
              </w:rPr>
              <w:t>—</w:t>
            </w:r>
          </w:p>
        </w:tc>
        <w:tc>
          <w:tcPr>
            <w:tcW w:w="140" w:type="dxa"/>
            <w:vAlign w:val="bottom"/>
            <w:vMerge w:val="continue"/>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460,944</w:t>
            </w:r>
          </w:p>
        </w:tc>
        <w:tc>
          <w:tcPr>
            <w:tcW w:w="240" w:type="dxa"/>
            <w:vAlign w:val="bottom"/>
            <w:vMerge w:val="continue"/>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460,944</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5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Cash incentive payments</w:t>
            </w:r>
          </w:p>
        </w:tc>
        <w:tc>
          <w:tcPr>
            <w:tcW w:w="138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264,466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Health care continuation</w:t>
            </w:r>
          </w:p>
        </w:tc>
        <w:tc>
          <w:tcPr>
            <w:tcW w:w="138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20,979</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3"/>
              </w:rPr>
              <w:t>(4)</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20,979</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5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Acceleration of equity award vesting</w:t>
            </w:r>
          </w:p>
        </w:tc>
        <w:tc>
          <w:tcPr>
            <w:tcW w:w="138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4,621,117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gridSpan w:val="4"/>
          </w:tcPr>
          <w:p>
            <w:pPr>
              <w:ind w:left="140"/>
              <w:spacing w:after="0" w:line="142"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tcPr>
          <w:p>
            <w:pPr>
              <w:ind w:left="1080"/>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481,923</w:t>
            </w:r>
          </w:p>
        </w:tc>
        <w:tc>
          <w:tcPr>
            <w:tcW w:w="24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5,367,506</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Tracey L. McCain, Esq.</w:t>
            </w:r>
          </w:p>
        </w:tc>
        <w:tc>
          <w:tcPr>
            <w:tcW w:w="2520" w:type="dxa"/>
            <w:vAlign w:val="bottom"/>
            <w:gridSpan w:val="4"/>
            <w:shd w:val="clear" w:color="auto" w:fill="CCEEFF"/>
          </w:tcPr>
          <w:p>
            <w:pPr>
              <w:ind w:left="140"/>
              <w:spacing w:after="0" w:line="129" w:lineRule="exact"/>
              <w:rPr>
                <w:sz w:val="20"/>
                <w:szCs w:val="20"/>
                <w:color w:val="auto"/>
              </w:rPr>
            </w:pPr>
            <w:r>
              <w:rPr>
                <w:rFonts w:ascii="Arial" w:cs="Arial" w:eastAsia="Arial" w:hAnsi="Arial"/>
                <w:sz w:val="14"/>
                <w:szCs w:val="14"/>
                <w:color w:val="auto"/>
              </w:rPr>
              <w:t>Severance payments</w:t>
            </w:r>
          </w:p>
        </w:tc>
        <w:tc>
          <w:tcPr>
            <w:tcW w:w="1240" w:type="dxa"/>
            <w:vAlign w:val="bottom"/>
            <w:shd w:val="clear" w:color="auto" w:fill="CCEEFF"/>
          </w:tcPr>
          <w:p>
            <w:pPr>
              <w:ind w:left="1080"/>
              <w:spacing w:after="0" w:line="12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460,944</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(1)</w:t>
            </w: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460,944</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Cash incentive payments</w:t>
            </w:r>
          </w:p>
        </w:tc>
        <w:tc>
          <w:tcPr>
            <w:tcW w:w="138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264,466</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5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Health care continuation</w:t>
            </w:r>
          </w:p>
        </w:tc>
        <w:tc>
          <w:tcPr>
            <w:tcW w:w="138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21,394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21,394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Acceleration of equity award vesting</w:t>
            </w:r>
          </w:p>
        </w:tc>
        <w:tc>
          <w:tcPr>
            <w:tcW w:w="138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4,413,713</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CCEEFF"/>
              <w:bottom w:val="single" w:sz="8" w:color="CCEEFF"/>
            </w:tcBorders>
            <w:shd w:val="clear" w:color="auto" w:fill="CCEEFF"/>
          </w:tcPr>
          <w:p>
            <w:pPr>
              <w:spacing w:after="0"/>
              <w:rPr>
                <w:sz w:val="12"/>
                <w:szCs w:val="12"/>
                <w:color w:val="auto"/>
              </w:rPr>
            </w:pPr>
          </w:p>
        </w:tc>
        <w:tc>
          <w:tcPr>
            <w:tcW w:w="2520" w:type="dxa"/>
            <w:vAlign w:val="bottom"/>
            <w:tcBorders>
              <w:top w:val="single" w:sz="8" w:color="CCEEFF"/>
              <w:bottom w:val="single" w:sz="8" w:color="CCEEFF"/>
            </w:tcBorders>
            <w:gridSpan w:val="4"/>
            <w:shd w:val="clear" w:color="auto" w:fill="CCEEFF"/>
          </w:tcPr>
          <w:p>
            <w:pPr>
              <w:ind w:left="140"/>
              <w:spacing w:after="0" w:line="142"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ind w:left="1080"/>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482,338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5,160,517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a lump sum in cash in an amount equal to 12 months of the named executive officer’s base salary in effect as of December 31, 2020.</w:t>
      </w:r>
    </w:p>
    <w:p>
      <w:pPr>
        <w:spacing w:after="0" w:line="107" w:lineRule="exact"/>
        <w:rPr>
          <w:rFonts w:ascii="Arial" w:cs="Arial" w:eastAsia="Arial" w:hAnsi="Arial"/>
          <w:sz w:val="13"/>
          <w:szCs w:val="13"/>
          <w:color w:val="auto"/>
        </w:rPr>
      </w:pPr>
    </w:p>
    <w:p>
      <w:pPr>
        <w:ind w:left="380" w:hanging="330"/>
        <w:spacing w:after="0"/>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18 months of Mr. Albers’ base salary in effect as of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259" w:hanging="330"/>
        <w:spacing w:after="0" w:line="253" w:lineRule="auto"/>
        <w:tabs>
          <w:tab w:leader="none" w:pos="3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one-and-one half times Mr. Albers’ target annual incentive compensation for the year ended December 31, 2020.</w:t>
      </w:r>
    </w:p>
    <w:p>
      <w:pPr>
        <w:spacing w:after="0" w:line="65" w:lineRule="exact"/>
        <w:rPr>
          <w:rFonts w:ascii="Arial" w:cs="Arial" w:eastAsia="Arial" w:hAnsi="Arial"/>
          <w:sz w:val="14"/>
          <w:szCs w:val="14"/>
          <w:color w:val="auto"/>
        </w:rPr>
      </w:pPr>
    </w:p>
    <w:p>
      <w:pPr>
        <w:ind w:left="380" w:hanging="330"/>
        <w:spacing w:after="0"/>
        <w:tabs>
          <w:tab w:leader="none" w:pos="3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a monthly cash payment for 12 months for continued medical and dental benefits for the named executive officer.</w:t>
      </w:r>
    </w:p>
    <w:p>
      <w:pPr>
        <w:spacing w:after="0" w:line="95" w:lineRule="exact"/>
        <w:rPr>
          <w:rFonts w:ascii="Arial" w:cs="Arial" w:eastAsia="Arial" w:hAnsi="Arial"/>
          <w:sz w:val="14"/>
          <w:szCs w:val="14"/>
          <w:color w:val="auto"/>
        </w:rPr>
      </w:pPr>
    </w:p>
    <w:p>
      <w:pPr>
        <w:ind w:left="380" w:hanging="330"/>
        <w:spacing w:after="0"/>
        <w:tabs>
          <w:tab w:leader="none" w:pos="3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a monthly cash payment for 18 months for continued medical and dental benefits for Mr. Albers.</w:t>
      </w:r>
    </w:p>
    <w:p>
      <w:pPr>
        <w:spacing w:after="0" w:line="95" w:lineRule="exact"/>
        <w:rPr>
          <w:rFonts w:ascii="Arial" w:cs="Arial" w:eastAsia="Arial" w:hAnsi="Arial"/>
          <w:sz w:val="14"/>
          <w:szCs w:val="14"/>
          <w:color w:val="auto"/>
        </w:rPr>
      </w:pPr>
    </w:p>
    <w:p>
      <w:pPr>
        <w:ind w:left="380" w:hanging="330"/>
        <w:spacing w:after="0"/>
        <w:tabs>
          <w:tab w:leader="none" w:pos="3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the acceleration of vesting as to 100% of the unvested equity awards held by the named executive officer.</w:t>
      </w:r>
    </w:p>
    <w:p>
      <w:pPr>
        <w:spacing w:after="0" w:line="95" w:lineRule="exact"/>
        <w:rPr>
          <w:rFonts w:ascii="Arial" w:cs="Arial" w:eastAsia="Arial" w:hAnsi="Arial"/>
          <w:sz w:val="14"/>
          <w:szCs w:val="14"/>
          <w:color w:val="auto"/>
        </w:rPr>
      </w:pPr>
    </w:p>
    <w:p>
      <w:pPr>
        <w:ind w:left="380" w:right="379" w:hanging="330"/>
        <w:spacing w:after="0" w:line="253" w:lineRule="auto"/>
        <w:tabs>
          <w:tab w:leader="none" w:pos="3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one times the named executive officer’s target annual incentive compensation for the year ended December 31, 2020.</w:t>
      </w:r>
    </w:p>
    <w:p>
      <w:pPr>
        <w:spacing w:after="0" w:line="65" w:lineRule="exact"/>
        <w:rPr>
          <w:rFonts w:ascii="Arial" w:cs="Arial" w:eastAsia="Arial" w:hAnsi="Arial"/>
          <w:sz w:val="14"/>
          <w:szCs w:val="14"/>
          <w:color w:val="auto"/>
        </w:rPr>
      </w:pPr>
    </w:p>
    <w:p>
      <w:pPr>
        <w:ind w:left="380" w:right="439" w:hanging="330"/>
        <w:spacing w:after="0" w:line="253" w:lineRule="auto"/>
        <w:tabs>
          <w:tab w:leader="none" w:pos="3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Dr. Namouni was not enrolled in our health insurance program during the year ended December 31, 2020 and would not have been eligible for healthcare continuation benefits as of December 31, 2020.</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Other Agreements</w:t>
      </w:r>
    </w:p>
    <w:p>
      <w:pPr>
        <w:spacing w:after="0" w:line="131"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5"/>
          <w:szCs w:val="15"/>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subject to specified terms and conditions and provisions required by law, the named executive officer will not compete with us and will not solicit our employees, consultants, customers or suppliers.</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Limitation of Liability and Indemnification</w:t>
      </w:r>
    </w:p>
    <w:p>
      <w:pPr>
        <w:spacing w:after="0" w:line="131"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6"/>
          <w:szCs w:val="16"/>
          <w:color w:val="auto"/>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84"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5"/>
          <w:szCs w:val="15"/>
          <w:color w:val="auto"/>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The bylaws also provide for the advancement of expenses to each of our directors and, in the discretion of the board of directors, to certain officers and employees. In addition, the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spacing w:after="0" w:line="81" w:lineRule="exact"/>
        <w:rPr>
          <w:sz w:val="20"/>
          <w:szCs w:val="20"/>
          <w:color w:val="auto"/>
        </w:rPr>
      </w:pPr>
    </w:p>
    <w:p>
      <w:pPr>
        <w:ind w:left="60" w:right="439" w:firstLine="648"/>
        <w:spacing w:after="0" w:line="278" w:lineRule="auto"/>
        <w:rPr>
          <w:sz w:val="20"/>
          <w:szCs w:val="20"/>
          <w:color w:val="auto"/>
        </w:rPr>
      </w:pPr>
      <w:r>
        <w:rPr>
          <w:rFonts w:ascii="Arial" w:cs="Arial" w:eastAsia="Arial" w:hAnsi="Arial"/>
          <w:sz w:val="16"/>
          <w:szCs w:val="16"/>
          <w:color w:val="auto"/>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spacing w:after="0" w:line="76"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64" w:lineRule="exact"/>
        <w:rPr>
          <w:sz w:val="20"/>
          <w:szCs w:val="20"/>
          <w:color w:val="auto"/>
        </w:rPr>
      </w:pPr>
    </w:p>
    <w:p>
      <w:pPr>
        <w:ind w:left="60" w:right="319" w:firstLine="648"/>
        <w:spacing w:after="0" w:line="293"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99" w:firstLine="648"/>
        <w:spacing w:after="0" w:line="297" w:lineRule="auto"/>
        <w:rPr>
          <w:sz w:val="20"/>
          <w:szCs w:val="20"/>
          <w:color w:val="auto"/>
        </w:rPr>
      </w:pPr>
      <w:r>
        <w:rPr>
          <w:rFonts w:ascii="Arial" w:cs="Arial" w:eastAsia="Arial" w:hAnsi="Arial"/>
          <w:sz w:val="15"/>
          <w:szCs w:val="15"/>
          <w:color w:val="auto"/>
        </w:rPr>
        <w:t>We believe that these provisions and agreements are necessary to attract and retain qualified persons as directors and executive officers. Insofar as indemnification for liabilities arising under the Securities Act of 1933, as amended, or the Securities Act, may be permitted to directors, officers or persons controlling our company pursuant, we understand that in the opinion of the SEC such indemnification is against public policy as expressed in the Securities Act and is therefore unenforceable.</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31"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6"/>
          <w:szCs w:val="16"/>
          <w:color w:val="auto"/>
        </w:rPr>
        <w:t>Daniel S. Lynch, Charles A. Rowland, Jr. and Lynn Seely, M.D. served on our Compensation Committee for the last year. 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an officer or employee of our company, and none of the members of our compensation committee has ever been an officer or employee of our company.</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Compensation Committee Report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compensation committee has reviewed and discussed the Compensation Discussion and Analysis required by</w:t>
      </w:r>
    </w:p>
    <w:p>
      <w:pPr>
        <w:spacing w:after="0" w:line="22" w:lineRule="exact"/>
        <w:rPr>
          <w:sz w:val="20"/>
          <w:szCs w:val="20"/>
          <w:color w:val="auto"/>
        </w:rPr>
      </w:pPr>
    </w:p>
    <w:p>
      <w:pPr>
        <w:ind w:left="60" w:right="199"/>
        <w:spacing w:after="0" w:line="288" w:lineRule="auto"/>
        <w:rPr>
          <w:sz w:val="20"/>
          <w:szCs w:val="20"/>
          <w:color w:val="auto"/>
        </w:rPr>
      </w:pPr>
      <w:r>
        <w:rPr>
          <w:rFonts w:ascii="Arial" w:cs="Arial" w:eastAsia="Arial" w:hAnsi="Arial"/>
          <w:sz w:val="16"/>
          <w:szCs w:val="16"/>
          <w:color w:val="auto"/>
        </w:rPr>
        <w:t>Item 402(b) of Regulation S-K with our management. Based on this review and discussion, the compensation committee recommended to our board of directors that the Compensation Discussion and Analysis be included in this proxy statement.</w:t>
      </w:r>
    </w:p>
    <w:p>
      <w:pPr>
        <w:spacing w:after="0" w:line="68"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By the compensation committee of the board of directors of Blueprint Medicines Corporation.</w:t>
      </w:r>
    </w:p>
    <w:p>
      <w:pPr>
        <w:spacing w:after="0" w:line="140"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Daniel S. Lynch (chair)</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Charles A. Rowland, Jr.</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Lynn Seely,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CEO PAY RATIO DISCLOSURE</w:t>
      </w:r>
    </w:p>
    <w:p>
      <w:pPr>
        <w:spacing w:after="0" w:line="131" w:lineRule="exact"/>
        <w:rPr>
          <w:sz w:val="20"/>
          <w:szCs w:val="20"/>
          <w:color w:val="auto"/>
        </w:rPr>
      </w:pPr>
    </w:p>
    <w:p>
      <w:pPr>
        <w:ind w:left="60" w:right="159" w:firstLine="648"/>
        <w:spacing w:after="0" w:line="315" w:lineRule="auto"/>
        <w:rPr>
          <w:sz w:val="20"/>
          <w:szCs w:val="20"/>
          <w:color w:val="auto"/>
        </w:rPr>
      </w:pPr>
      <w:r>
        <w:rPr>
          <w:rFonts w:ascii="Arial" w:cs="Arial" w:eastAsia="Arial" w:hAnsi="Arial"/>
          <w:sz w:val="14"/>
          <w:szCs w:val="14"/>
          <w:color w:val="auto"/>
        </w:rPr>
        <w:t>As required by Section 953(b) of the Dodd-Frank Wall Street Reform and Consumer Protection Act, or the Dodd-Frank Act, and Item 402(u) of Regulation S-K, we are providing the following information about the relationship of the total annual compensation of our employees and the total annual compensation of Jeffrey W. Albers, our chief executive officer. The pay ratio included in this information is a reasonable estimate calculated in a manner consistent with Item 402(u) of Regulation S-K.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Pay Ratio Disclosure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2020, our last completed fiscal year:</w:t>
      </w:r>
    </w:p>
    <w:p>
      <w:pPr>
        <w:spacing w:after="0" w:line="127" w:lineRule="exact"/>
        <w:rPr>
          <w:sz w:val="20"/>
          <w:szCs w:val="20"/>
          <w:color w:val="auto"/>
        </w:rPr>
      </w:pPr>
    </w:p>
    <w:p>
      <w:pPr>
        <w:ind w:left="1340" w:right="119" w:hanging="318"/>
        <w:spacing w:after="0" w:line="263" w:lineRule="auto"/>
        <w:tabs>
          <w:tab w:leader="none" w:pos="1340" w:val="left"/>
        </w:tabs>
        <w:numPr>
          <w:ilvl w:val="0"/>
          <w:numId w:val="76"/>
        </w:numPr>
        <w:rPr>
          <w:rFonts w:ascii="Arial" w:cs="Arial" w:eastAsia="Arial" w:hAnsi="Arial"/>
          <w:sz w:val="18"/>
          <w:szCs w:val="18"/>
          <w:color w:val="auto"/>
        </w:rPr>
      </w:pPr>
      <w:r>
        <w:rPr>
          <w:rFonts w:ascii="Arial" w:cs="Arial" w:eastAsia="Arial" w:hAnsi="Arial"/>
          <w:sz w:val="16"/>
          <w:szCs w:val="16"/>
          <w:color w:val="auto"/>
        </w:rPr>
        <w:t>the total annual compensation of our median employee was $332,124, as determined in accordance with Item 402 of Regulation S-K; and</w:t>
      </w:r>
    </w:p>
    <w:p>
      <w:pPr>
        <w:spacing w:after="0" w:line="84" w:lineRule="exact"/>
        <w:rPr>
          <w:rFonts w:ascii="Arial" w:cs="Arial" w:eastAsia="Arial" w:hAnsi="Arial"/>
          <w:sz w:val="18"/>
          <w:szCs w:val="18"/>
          <w:color w:val="auto"/>
        </w:rPr>
      </w:pPr>
    </w:p>
    <w:p>
      <w:pPr>
        <w:ind w:left="1340" w:right="119" w:hanging="318"/>
        <w:spacing w:after="0" w:line="262" w:lineRule="auto"/>
        <w:tabs>
          <w:tab w:leader="none" w:pos="1340" w:val="left"/>
        </w:tabs>
        <w:numPr>
          <w:ilvl w:val="0"/>
          <w:numId w:val="76"/>
        </w:numPr>
        <w:rPr>
          <w:rFonts w:ascii="Arial" w:cs="Arial" w:eastAsia="Arial" w:hAnsi="Arial"/>
          <w:sz w:val="18"/>
          <w:szCs w:val="18"/>
          <w:color w:val="auto"/>
        </w:rPr>
      </w:pPr>
      <w:r>
        <w:rPr>
          <w:rFonts w:ascii="Arial" w:cs="Arial" w:eastAsia="Arial" w:hAnsi="Arial"/>
          <w:sz w:val="16"/>
          <w:szCs w:val="16"/>
          <w:color w:val="auto"/>
        </w:rPr>
        <w:t>the total annual compensation of our chief executive officer, as determined in accordance with Item 402 of Regulation S-K and reported in the “Summary Compensation Table” included elsewhere in this proxy statement was $6,344,667.</w:t>
      </w:r>
    </w:p>
    <w:p>
      <w:pPr>
        <w:spacing w:after="0" w:line="88"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Based on this information, for 2020, the ratio of the total annual compensation of Mr. Albers, our chief executive officer, to the total annual compensation of our median employee was approximately 19 to 1.</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Methodology</w:t>
      </w:r>
    </w:p>
    <w:p>
      <w:pPr>
        <w:spacing w:after="0" w:line="131"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To identify the median employee, as well as to determine the total annual compensation of our median employee and our chief executive officer, we took the following steps:</w:t>
      </w:r>
    </w:p>
    <w:p>
      <w:pPr>
        <w:spacing w:after="0" w:line="64" w:lineRule="exact"/>
        <w:rPr>
          <w:sz w:val="20"/>
          <w:szCs w:val="20"/>
          <w:color w:val="auto"/>
        </w:rPr>
      </w:pPr>
    </w:p>
    <w:p>
      <w:pPr>
        <w:ind w:left="1340" w:right="619" w:hanging="318"/>
        <w:spacing w:after="0" w:line="262" w:lineRule="auto"/>
        <w:tabs>
          <w:tab w:leader="none" w:pos="1340" w:val="left"/>
        </w:tabs>
        <w:numPr>
          <w:ilvl w:val="0"/>
          <w:numId w:val="77"/>
        </w:numPr>
        <w:rPr>
          <w:rFonts w:ascii="Arial" w:cs="Arial" w:eastAsia="Arial" w:hAnsi="Arial"/>
          <w:sz w:val="18"/>
          <w:szCs w:val="18"/>
          <w:color w:val="auto"/>
        </w:rPr>
      </w:pPr>
      <w:r>
        <w:rPr>
          <w:rFonts w:ascii="Arial" w:cs="Arial" w:eastAsia="Arial" w:hAnsi="Arial"/>
          <w:sz w:val="16"/>
          <w:szCs w:val="16"/>
          <w:color w:val="auto"/>
        </w:rPr>
        <w:t>We determined that, as of December 31, 2020, our employee population consisted of 480 individuals. This population consisted of all full-time, part-time and temporary employees as of such date, excluding our chief executive officer.</w:t>
      </w:r>
    </w:p>
    <w:p>
      <w:pPr>
        <w:spacing w:after="0" w:line="87" w:lineRule="exact"/>
        <w:rPr>
          <w:rFonts w:ascii="Arial" w:cs="Arial" w:eastAsia="Arial" w:hAnsi="Arial"/>
          <w:sz w:val="18"/>
          <w:szCs w:val="18"/>
          <w:color w:val="auto"/>
        </w:rPr>
      </w:pPr>
    </w:p>
    <w:p>
      <w:pPr>
        <w:ind w:left="1340" w:right="239" w:hanging="318"/>
        <w:spacing w:after="0" w:line="306" w:lineRule="auto"/>
        <w:tabs>
          <w:tab w:leader="none" w:pos="1340" w:val="left"/>
        </w:tabs>
        <w:numPr>
          <w:ilvl w:val="0"/>
          <w:numId w:val="77"/>
        </w:numPr>
        <w:rPr>
          <w:rFonts w:ascii="Arial" w:cs="Arial" w:eastAsia="Arial" w:hAnsi="Arial"/>
          <w:sz w:val="16"/>
          <w:szCs w:val="16"/>
          <w:color w:val="auto"/>
        </w:rPr>
      </w:pPr>
      <w:r>
        <w:rPr>
          <w:rFonts w:ascii="Arial" w:cs="Arial" w:eastAsia="Arial" w:hAnsi="Arial"/>
          <w:sz w:val="14"/>
          <w:szCs w:val="14"/>
          <w:color w:val="auto"/>
        </w:rPr>
        <w:t>To identify the “median employee” from our employee population, for each employee we compared the amount of salary paid as of December 31, 2020, the bonus earned for 2020, employer contributions under our 401(k) plan for our U.S. employees and employer contributions under any defined contribution plan, if any, for our non-U.S. employees and the grant date fair value of stock options and RSUs awarded in 2020 as reflected in our human resources, payroll and equity award systems. In identifying the median employee, we included employees in non-U.S. countries. We did not make any cost-of-living adjustments and did not annualize compensation.</w:t>
      </w:r>
    </w:p>
    <w:p>
      <w:pPr>
        <w:spacing w:after="0" w:line="62" w:lineRule="exact"/>
        <w:rPr>
          <w:rFonts w:ascii="Arial" w:cs="Arial" w:eastAsia="Arial" w:hAnsi="Arial"/>
          <w:sz w:val="16"/>
          <w:szCs w:val="16"/>
          <w:color w:val="auto"/>
        </w:rPr>
      </w:pPr>
    </w:p>
    <w:p>
      <w:pPr>
        <w:ind w:left="1340" w:right="79" w:hanging="318"/>
        <w:spacing w:after="0" w:line="297" w:lineRule="auto"/>
        <w:tabs>
          <w:tab w:leader="none" w:pos="1340" w:val="left"/>
        </w:tabs>
        <w:numPr>
          <w:ilvl w:val="0"/>
          <w:numId w:val="77"/>
        </w:numPr>
        <w:rPr>
          <w:rFonts w:ascii="Arial" w:cs="Arial" w:eastAsia="Arial" w:hAnsi="Arial"/>
          <w:sz w:val="16"/>
          <w:szCs w:val="16"/>
          <w:color w:val="auto"/>
        </w:rPr>
      </w:pPr>
      <w:r>
        <w:rPr>
          <w:rFonts w:ascii="Arial" w:cs="Arial" w:eastAsia="Arial" w:hAnsi="Arial"/>
          <w:sz w:val="14"/>
          <w:szCs w:val="14"/>
          <w:color w:val="auto"/>
        </w:rPr>
        <w:t>Once we identified our median employee, we combined all of the elements of such employee’s compensation for 2020 in accordance with the requirements of Item 402 of Regulation S-K. Since we do not maintain a defined benefit or other actuarial plan for our employees, and we do not otherwise provide a plan for payments or other benefits at, following or in connection with retirement, our median employee’s total annual compensation did not include amounts attributable to these types of arrangements. We maintain a defined contribution plan for our Switzerland employees. As noted elsewhere in this proxy statement, we maintain a 401(k) plan that is intended to qualify under Section 401(k) of the Internal Revenue Code, and in general, all of our U.S. based employees, including our chief executive officer, are eligible to participate in the 401(k) plan. We currently match 50% of an employee’s</w:t>
      </w:r>
    </w:p>
    <w:p>
      <w:pPr>
        <w:spacing w:after="0" w:line="1" w:lineRule="exact"/>
        <w:rPr>
          <w:rFonts w:ascii="Arial" w:cs="Arial" w:eastAsia="Arial" w:hAnsi="Arial"/>
          <w:sz w:val="16"/>
          <w:szCs w:val="16"/>
          <w:color w:val="auto"/>
        </w:rPr>
      </w:pPr>
    </w:p>
    <w:p>
      <w:pPr>
        <w:ind w:left="1340" w:right="179"/>
        <w:spacing w:after="0" w:line="276" w:lineRule="auto"/>
        <w:rPr>
          <w:rFonts w:ascii="Arial" w:cs="Arial" w:eastAsia="Arial" w:hAnsi="Arial"/>
          <w:sz w:val="16"/>
          <w:szCs w:val="16"/>
          <w:color w:val="auto"/>
        </w:rPr>
      </w:pPr>
      <w:r>
        <w:rPr>
          <w:rFonts w:ascii="Arial" w:cs="Arial" w:eastAsia="Arial" w:hAnsi="Arial"/>
          <w:sz w:val="16"/>
          <w:szCs w:val="16"/>
          <w:color w:val="auto"/>
        </w:rPr>
        <w:t>401(k) contributions up to a maximum of 3% of the participant’s compensation, and any matching contributions are 100% vested immediately. Matching 401(k) contributions were included the median employee’s total annual compensation.</w:t>
      </w:r>
    </w:p>
    <w:p>
      <w:pPr>
        <w:spacing w:after="0" w:line="76" w:lineRule="exact"/>
        <w:rPr>
          <w:rFonts w:ascii="Arial" w:cs="Arial" w:eastAsia="Arial" w:hAnsi="Arial"/>
          <w:sz w:val="16"/>
          <w:szCs w:val="16"/>
          <w:color w:val="auto"/>
        </w:rPr>
      </w:pPr>
    </w:p>
    <w:p>
      <w:pPr>
        <w:ind w:left="1340" w:right="439" w:hanging="318"/>
        <w:spacing w:after="0" w:line="296" w:lineRule="auto"/>
        <w:tabs>
          <w:tab w:leader="none" w:pos="1340" w:val="left"/>
        </w:tabs>
        <w:numPr>
          <w:ilvl w:val="0"/>
          <w:numId w:val="77"/>
        </w:numPr>
        <w:rPr>
          <w:rFonts w:ascii="Arial" w:cs="Arial" w:eastAsia="Arial" w:hAnsi="Arial"/>
          <w:sz w:val="17"/>
          <w:szCs w:val="17"/>
          <w:color w:val="auto"/>
        </w:rPr>
      </w:pPr>
      <w:r>
        <w:rPr>
          <w:rFonts w:ascii="Arial" w:cs="Arial" w:eastAsia="Arial" w:hAnsi="Arial"/>
          <w:sz w:val="15"/>
          <w:szCs w:val="15"/>
          <w:color w:val="auto"/>
        </w:rPr>
        <w:t>With respect to the total annual compensation of our chief executive officer, we used the amount reported in the “Total” column of the “Summary Compensation Table” included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w:t>
      </w:r>
    </w:p>
    <w:p>
      <w:pPr>
        <w:spacing w:after="0" w:line="131" w:lineRule="exact"/>
        <w:rPr>
          <w:sz w:val="20"/>
          <w:szCs w:val="20"/>
          <w:color w:val="auto"/>
        </w:rPr>
      </w:pPr>
    </w:p>
    <w:p>
      <w:pPr>
        <w:ind w:left="60" w:right="59" w:firstLine="648"/>
        <w:spacing w:after="0" w:line="297" w:lineRule="auto"/>
        <w:rPr>
          <w:sz w:val="20"/>
          <w:szCs w:val="20"/>
          <w:color w:val="auto"/>
        </w:rPr>
      </w:pPr>
      <w:r>
        <w:rPr>
          <w:rFonts w:ascii="Arial" w:cs="Arial" w:eastAsia="Arial" w:hAnsi="Arial"/>
          <w:sz w:val="15"/>
          <w:szCs w:val="15"/>
          <w:color w:val="auto"/>
        </w:rPr>
        <w:t>Our board of directors has adopted a non-employee director compensation policy, which is designed to provide a total compensation package that enables us to attract and retain, on a long-term basis, high caliber non-employee directors. In June 2020, upon the recommendation of our compensation committee, our board of directors amended the non-employee director compensation policy. Under the amended non-employee director compensation policy, our non-employee directors are compensated as follows:</w:t>
      </w:r>
    </w:p>
    <w:p>
      <w:pPr>
        <w:spacing w:after="0" w:line="64" w:lineRule="exact"/>
        <w:rPr>
          <w:sz w:val="20"/>
          <w:szCs w:val="20"/>
          <w:color w:val="auto"/>
        </w:rPr>
      </w:pPr>
    </w:p>
    <w:p>
      <w:pPr>
        <w:ind w:left="1340" w:right="339" w:hanging="318"/>
        <w:spacing w:after="0" w:line="263" w:lineRule="auto"/>
        <w:tabs>
          <w:tab w:leader="none" w:pos="1340" w:val="left"/>
        </w:tabs>
        <w:numPr>
          <w:ilvl w:val="0"/>
          <w:numId w:val="78"/>
        </w:numPr>
        <w:rPr>
          <w:rFonts w:ascii="Arial" w:cs="Arial" w:eastAsia="Arial" w:hAnsi="Arial"/>
          <w:sz w:val="18"/>
          <w:szCs w:val="18"/>
          <w:color w:val="auto"/>
        </w:rPr>
      </w:pPr>
      <w:r>
        <w:rPr>
          <w:rFonts w:ascii="Arial" w:cs="Arial" w:eastAsia="Arial" w:hAnsi="Arial"/>
          <w:sz w:val="16"/>
          <w:szCs w:val="16"/>
          <w:color w:val="auto"/>
        </w:rPr>
        <w:t>Each non-employee director will receive an annual cash fee of $40,000 ($72,500 for the chairman of the board of directors).</w:t>
      </w:r>
    </w:p>
    <w:p>
      <w:pPr>
        <w:spacing w:after="0" w:line="84" w:lineRule="exact"/>
        <w:rPr>
          <w:rFonts w:ascii="Arial" w:cs="Arial" w:eastAsia="Arial" w:hAnsi="Arial"/>
          <w:sz w:val="18"/>
          <w:szCs w:val="18"/>
          <w:color w:val="auto"/>
        </w:rPr>
      </w:pPr>
    </w:p>
    <w:p>
      <w:pPr>
        <w:ind w:left="1340" w:right="279" w:hanging="318"/>
        <w:spacing w:after="0" w:line="263" w:lineRule="auto"/>
        <w:tabs>
          <w:tab w:leader="none" w:pos="1340" w:val="left"/>
        </w:tabs>
        <w:numPr>
          <w:ilvl w:val="0"/>
          <w:numId w:val="78"/>
        </w:numPr>
        <w:rPr>
          <w:rFonts w:ascii="Arial" w:cs="Arial" w:eastAsia="Arial" w:hAnsi="Arial"/>
          <w:sz w:val="18"/>
          <w:szCs w:val="18"/>
          <w:color w:val="auto"/>
        </w:rPr>
      </w:pPr>
      <w:r>
        <w:rPr>
          <w:rFonts w:ascii="Arial" w:cs="Arial" w:eastAsia="Arial" w:hAnsi="Arial"/>
          <w:sz w:val="16"/>
          <w:szCs w:val="16"/>
          <w:color w:val="auto"/>
        </w:rPr>
        <w:t>Each non-employee director who is a member of the audit committee will receive an additional annual cash fee of $9,000 ($18,000 for the audit committee chairman).</w:t>
      </w:r>
    </w:p>
    <w:p>
      <w:pPr>
        <w:spacing w:after="0" w:line="84" w:lineRule="exact"/>
        <w:rPr>
          <w:rFonts w:ascii="Arial" w:cs="Arial" w:eastAsia="Arial" w:hAnsi="Arial"/>
          <w:sz w:val="18"/>
          <w:szCs w:val="18"/>
          <w:color w:val="auto"/>
        </w:rPr>
      </w:pPr>
    </w:p>
    <w:p>
      <w:pPr>
        <w:ind w:left="1340" w:right="119" w:hanging="318"/>
        <w:spacing w:after="0" w:line="263" w:lineRule="auto"/>
        <w:tabs>
          <w:tab w:leader="none" w:pos="1340" w:val="left"/>
        </w:tabs>
        <w:numPr>
          <w:ilvl w:val="0"/>
          <w:numId w:val="78"/>
        </w:numPr>
        <w:rPr>
          <w:rFonts w:ascii="Arial" w:cs="Arial" w:eastAsia="Arial" w:hAnsi="Arial"/>
          <w:sz w:val="18"/>
          <w:szCs w:val="18"/>
          <w:color w:val="auto"/>
        </w:rPr>
      </w:pPr>
      <w:r>
        <w:rPr>
          <w:rFonts w:ascii="Arial" w:cs="Arial" w:eastAsia="Arial" w:hAnsi="Arial"/>
          <w:sz w:val="16"/>
          <w:szCs w:val="16"/>
          <w:color w:val="auto"/>
        </w:rPr>
        <w:t>Each non-employee director who is a member of the compensation committee will receive an additional annual cash fee of $7,500 ($15,000 for the compensation committee chairman).</w:t>
      </w:r>
    </w:p>
    <w:p>
      <w:pPr>
        <w:spacing w:after="0" w:line="84" w:lineRule="exact"/>
        <w:rPr>
          <w:rFonts w:ascii="Arial" w:cs="Arial" w:eastAsia="Arial" w:hAnsi="Arial"/>
          <w:sz w:val="18"/>
          <w:szCs w:val="18"/>
          <w:color w:val="auto"/>
        </w:rPr>
      </w:pPr>
    </w:p>
    <w:p>
      <w:pPr>
        <w:ind w:left="1340" w:right="79" w:hanging="318"/>
        <w:spacing w:after="0" w:line="335" w:lineRule="auto"/>
        <w:tabs>
          <w:tab w:leader="none" w:pos="1340" w:val="left"/>
        </w:tabs>
        <w:numPr>
          <w:ilvl w:val="0"/>
          <w:numId w:val="78"/>
        </w:numPr>
        <w:rPr>
          <w:rFonts w:ascii="Arial" w:cs="Arial" w:eastAsia="Arial" w:hAnsi="Arial"/>
          <w:sz w:val="16"/>
          <w:szCs w:val="16"/>
          <w:color w:val="auto"/>
        </w:rPr>
      </w:pPr>
      <w:r>
        <w:rPr>
          <w:rFonts w:ascii="Arial" w:cs="Arial" w:eastAsia="Arial" w:hAnsi="Arial"/>
          <w:sz w:val="14"/>
          <w:szCs w:val="14"/>
          <w:color w:val="auto"/>
        </w:rPr>
        <w:t>Each non-employee director who is a member of the nominating and corporate governance committee will receive an additional annual cash fee of $5,000 ($10,000 for the nominating and corporate governance committee chairman).</w:t>
      </w:r>
    </w:p>
    <w:p>
      <w:pPr>
        <w:spacing w:after="0" w:line="31" w:lineRule="exact"/>
        <w:rPr>
          <w:rFonts w:ascii="Arial" w:cs="Arial" w:eastAsia="Arial" w:hAnsi="Arial"/>
          <w:sz w:val="16"/>
          <w:szCs w:val="16"/>
          <w:color w:val="auto"/>
        </w:rPr>
      </w:pPr>
    </w:p>
    <w:p>
      <w:pPr>
        <w:ind w:left="1340" w:right="139" w:hanging="318"/>
        <w:spacing w:after="0" w:line="263" w:lineRule="auto"/>
        <w:tabs>
          <w:tab w:leader="none" w:pos="1340" w:val="left"/>
        </w:tabs>
        <w:numPr>
          <w:ilvl w:val="0"/>
          <w:numId w:val="78"/>
        </w:numPr>
        <w:rPr>
          <w:rFonts w:ascii="Arial" w:cs="Arial" w:eastAsia="Arial" w:hAnsi="Arial"/>
          <w:sz w:val="18"/>
          <w:szCs w:val="18"/>
          <w:color w:val="auto"/>
        </w:rPr>
      </w:pPr>
      <w:r>
        <w:rPr>
          <w:rFonts w:ascii="Arial" w:cs="Arial" w:eastAsia="Arial" w:hAnsi="Arial"/>
          <w:sz w:val="16"/>
          <w:szCs w:val="16"/>
          <w:color w:val="auto"/>
        </w:rPr>
        <w:t>Each non-employee director who is a member of the research and development committee will receive an additional annual cash fee of $5,000 ($10,000 for the research and development committee chairman).</w:t>
      </w:r>
    </w:p>
    <w:p>
      <w:pPr>
        <w:spacing w:after="0" w:line="84" w:lineRule="exact"/>
        <w:rPr>
          <w:rFonts w:ascii="Arial" w:cs="Arial" w:eastAsia="Arial" w:hAnsi="Arial"/>
          <w:sz w:val="18"/>
          <w:szCs w:val="18"/>
          <w:color w:val="auto"/>
        </w:rPr>
      </w:pPr>
    </w:p>
    <w:p>
      <w:pPr>
        <w:ind w:left="1340" w:right="199" w:hanging="318"/>
        <w:spacing w:after="0" w:line="335" w:lineRule="auto"/>
        <w:tabs>
          <w:tab w:leader="none" w:pos="1340" w:val="left"/>
        </w:tabs>
        <w:numPr>
          <w:ilvl w:val="0"/>
          <w:numId w:val="78"/>
        </w:numPr>
        <w:rPr>
          <w:rFonts w:ascii="Arial" w:cs="Arial" w:eastAsia="Arial" w:hAnsi="Arial"/>
          <w:sz w:val="16"/>
          <w:szCs w:val="16"/>
          <w:color w:val="auto"/>
        </w:rPr>
      </w:pPr>
      <w:r>
        <w:rPr>
          <w:rFonts w:ascii="Arial" w:cs="Arial" w:eastAsia="Arial" w:hAnsi="Arial"/>
          <w:sz w:val="14"/>
          <w:szCs w:val="14"/>
          <w:color w:val="auto"/>
        </w:rPr>
        <w:t>Each new non-employee director will receive an initial grant of a stock option to purchase 9,000 shares of common stock and 4,500 RSUs, each under the 2015 Plan, upon his or her initial election to our board of directors.</w:t>
      </w:r>
    </w:p>
    <w:p>
      <w:pPr>
        <w:spacing w:after="0" w:line="31" w:lineRule="exact"/>
        <w:rPr>
          <w:rFonts w:ascii="Arial" w:cs="Arial" w:eastAsia="Arial" w:hAnsi="Arial"/>
          <w:sz w:val="16"/>
          <w:szCs w:val="16"/>
          <w:color w:val="auto"/>
        </w:rPr>
      </w:pPr>
    </w:p>
    <w:p>
      <w:pPr>
        <w:ind w:left="1340" w:right="219" w:hanging="318"/>
        <w:spacing w:after="0" w:line="262" w:lineRule="auto"/>
        <w:tabs>
          <w:tab w:leader="none" w:pos="1340" w:val="left"/>
        </w:tabs>
        <w:numPr>
          <w:ilvl w:val="0"/>
          <w:numId w:val="78"/>
        </w:numPr>
        <w:rPr>
          <w:rFonts w:ascii="Arial" w:cs="Arial" w:eastAsia="Arial" w:hAnsi="Arial"/>
          <w:sz w:val="18"/>
          <w:szCs w:val="18"/>
          <w:color w:val="auto"/>
        </w:rPr>
      </w:pPr>
      <w:r>
        <w:rPr>
          <w:rFonts w:ascii="Arial" w:cs="Arial" w:eastAsia="Arial" w:hAnsi="Arial"/>
          <w:sz w:val="16"/>
          <w:szCs w:val="16"/>
          <w:color w:val="auto"/>
        </w:rPr>
        <w:t>Each continuing non-employee director will receive an annual grant of a stock option to purchase 4,500 shares of common stock and 2,250 RSUs, each under the 2015 Plan, on the date of the first meeting of our board of directors held after each annual meeting of our stockholders.</w:t>
      </w:r>
    </w:p>
    <w:p>
      <w:pPr>
        <w:spacing w:after="0" w:line="88" w:lineRule="exact"/>
        <w:rPr>
          <w:sz w:val="20"/>
          <w:szCs w:val="20"/>
          <w:color w:val="auto"/>
        </w:rPr>
      </w:pPr>
    </w:p>
    <w:p>
      <w:pPr>
        <w:ind w:left="60" w:right="79" w:firstLine="648"/>
        <w:spacing w:after="0" w:line="307" w:lineRule="auto"/>
        <w:rPr>
          <w:sz w:val="20"/>
          <w:szCs w:val="20"/>
          <w:color w:val="auto"/>
        </w:rPr>
      </w:pPr>
      <w:r>
        <w:rPr>
          <w:rFonts w:ascii="Arial" w:cs="Arial" w:eastAsia="Arial" w:hAnsi="Arial"/>
          <w:sz w:val="14"/>
          <w:szCs w:val="14"/>
          <w:color w:val="auto"/>
        </w:rPr>
        <w:t>The stock options granted to our non-employee directors will have an exercise price equal to the closing price of our common stock as reported on the Nasdaq Global Select Market on the date of grant and will expire ten years after the date of grant. The initial stock options granted to new non-employee directors will vest in equal monthly installments over a three-year period following the grant date, subject to such director’s continued service on the board of directors. The initial RSUs granted to new non-employee directors will vest in equal annual installments over a three-year period beginning on the one-year anniversary of the grant date, subject to such director’s continued service on the board of directors. The annual stock options and the annual RSUs granted to our non-employee directors will vest in full upon the earlier of the first anniversary of the date of grant or the date of the following annual meeting of stockholders, subject to such director’s continued service on the board of directors. Any initial and annual equity awards granted to each of our non-employee directors will automatically accelerate and become fully vested and exercisable upon the non-employee director’s death or disability or upon a sale event (as defined in the 2015 Plan). In addition, each non-employee director has the right to elect to receive all or a portion of his or her annual cash compensation under the non-employee director compensation policy in the form of stock options to purchase our common stock. Any such election must be made before the start of our fiscal year. Any such stock options will vest quarterly over a one-year period, subject to the director’s continued service on the board of directors.</w:t>
      </w:r>
    </w:p>
    <w:p>
      <w:pPr>
        <w:spacing w:after="0" w:line="63" w:lineRule="exact"/>
        <w:rPr>
          <w:sz w:val="20"/>
          <w:szCs w:val="20"/>
          <w:color w:val="auto"/>
        </w:rPr>
      </w:pPr>
    </w:p>
    <w:p>
      <w:pPr>
        <w:ind w:left="60" w:right="339" w:firstLine="648"/>
        <w:spacing w:after="0" w:line="278" w:lineRule="auto"/>
        <w:rPr>
          <w:sz w:val="20"/>
          <w:szCs w:val="20"/>
          <w:color w:val="auto"/>
        </w:rPr>
      </w:pPr>
      <w:r>
        <w:rPr>
          <w:rFonts w:ascii="Arial" w:cs="Arial" w:eastAsia="Arial" w:hAnsi="Arial"/>
          <w:sz w:val="16"/>
          <w:szCs w:val="16"/>
          <w:color w:val="auto"/>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spacing w:after="0" w:line="76"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Each non-employee director is also entitled to reimbursement for reasonable travel and other expenses incurred in connection with attending meetings of the board of directors and any committee on which he or she serves.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a summary of the compensation for our non-employee directors during 2020.</w:t>
      </w:r>
    </w:p>
    <w:p>
      <w:pPr>
        <w:spacing w:after="0" w:line="11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Fees Earned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(1)</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or Paid</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 Cash ($)(2)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Alexis Borisy (4)</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171,540</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183,089</w:t>
            </w:r>
          </w:p>
        </w:tc>
        <w:tc>
          <w:tcPr>
            <w:tcW w:w="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399,629</w:t>
            </w: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rPr>
                <w:sz w:val="20"/>
                <w:szCs w:val="20"/>
                <w:color w:val="auto"/>
              </w:rPr>
            </w:pPr>
            <w:r>
              <w:rPr>
                <w:rFonts w:ascii="Arial" w:cs="Arial" w:eastAsia="Arial" w:hAnsi="Arial"/>
                <w:sz w:val="16"/>
                <w:szCs w:val="16"/>
                <w:color w:val="auto"/>
              </w:rPr>
              <w:t>Lonnel Coats (5)</w:t>
            </w:r>
          </w:p>
        </w:tc>
        <w:tc>
          <w:tcPr>
            <w:tcW w:w="920" w:type="dxa"/>
            <w:vAlign w:val="bottom"/>
          </w:tcPr>
          <w:p>
            <w:pPr>
              <w:jc w:val="right"/>
              <w:spacing w:after="0"/>
              <w:rPr>
                <w:sz w:val="20"/>
                <w:szCs w:val="20"/>
                <w:color w:val="auto"/>
              </w:rPr>
            </w:pPr>
            <w:r>
              <w:rPr>
                <w:rFonts w:ascii="Arial" w:cs="Arial" w:eastAsia="Arial" w:hAnsi="Arial"/>
                <w:sz w:val="16"/>
                <w:szCs w:val="16"/>
                <w:color w:val="auto"/>
              </w:rPr>
              <w:t>54,000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171,540</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183,089</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408,629</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George D. Demetri, M.D. (6)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171,540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183,089</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409,629</w:t>
            </w: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rPr>
                <w:sz w:val="20"/>
                <w:szCs w:val="20"/>
                <w:color w:val="auto"/>
              </w:rPr>
            </w:pPr>
            <w:r>
              <w:rPr>
                <w:rFonts w:ascii="Arial" w:cs="Arial" w:eastAsia="Arial" w:hAnsi="Arial"/>
                <w:sz w:val="16"/>
                <w:szCs w:val="16"/>
                <w:color w:val="auto"/>
              </w:rPr>
              <w:t>Mark Goldberg, M.D. (7)</w:t>
            </w:r>
          </w:p>
        </w:tc>
        <w:tc>
          <w:tcPr>
            <w:tcW w:w="920" w:type="dxa"/>
            <w:vAlign w:val="bottom"/>
          </w:tcPr>
          <w:p>
            <w:pPr>
              <w:jc w:val="right"/>
              <w:spacing w:after="0"/>
              <w:rPr>
                <w:sz w:val="20"/>
                <w:szCs w:val="20"/>
                <w:color w:val="auto"/>
              </w:rPr>
            </w:pPr>
            <w:r>
              <w:rPr>
                <w:rFonts w:ascii="Arial" w:cs="Arial" w:eastAsia="Arial" w:hAnsi="Arial"/>
                <w:sz w:val="16"/>
                <w:szCs w:val="16"/>
                <w:color w:val="auto"/>
              </w:rPr>
              <w:t>54,000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171,540</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183,089</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408,629</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Nicholas Lydon, Ph.D. (8)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171,540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183,089</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429,629</w:t>
            </w: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rPr>
                <w:sz w:val="20"/>
                <w:szCs w:val="20"/>
                <w:color w:val="auto"/>
              </w:rPr>
            </w:pPr>
            <w:r>
              <w:rPr>
                <w:rFonts w:ascii="Arial" w:cs="Arial" w:eastAsia="Arial" w:hAnsi="Arial"/>
                <w:sz w:val="16"/>
                <w:szCs w:val="16"/>
                <w:color w:val="auto"/>
              </w:rPr>
              <w:t>Daniel S. Lynch (8)</w:t>
            </w:r>
          </w:p>
        </w:tc>
        <w:tc>
          <w:tcPr>
            <w:tcW w:w="920" w:type="dxa"/>
            <w:vAlign w:val="bottom"/>
          </w:tcPr>
          <w:p>
            <w:pPr>
              <w:jc w:val="right"/>
              <w:spacing w:after="0"/>
              <w:rPr>
                <w:sz w:val="20"/>
                <w:szCs w:val="20"/>
                <w:color w:val="auto"/>
              </w:rPr>
            </w:pPr>
            <w:r>
              <w:rPr>
                <w:rFonts w:ascii="Arial" w:cs="Arial" w:eastAsia="Arial" w:hAnsi="Arial"/>
                <w:sz w:val="16"/>
                <w:szCs w:val="16"/>
                <w:color w:val="auto"/>
              </w:rPr>
              <w:t>87,500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171,540</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183,089</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442,129</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Charles A. Rowland, Jr. (7)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65,500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171,540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183,089</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420,129</w:t>
            </w:r>
          </w:p>
        </w:tc>
        <w:tc>
          <w:tcPr>
            <w:tcW w:w="0" w:type="dxa"/>
            <w:vAlign w:val="bottom"/>
          </w:tcPr>
          <w:p>
            <w:pPr>
              <w:spacing w:after="0"/>
              <w:rPr>
                <w:sz w:val="1"/>
                <w:szCs w:val="1"/>
                <w:color w:val="auto"/>
              </w:rPr>
            </w:pPr>
          </w:p>
        </w:tc>
      </w:tr>
      <w:tr>
        <w:trPr>
          <w:trHeight w:val="206"/>
        </w:trPr>
        <w:tc>
          <w:tcPr>
            <w:tcW w:w="2740" w:type="dxa"/>
            <w:vAlign w:val="bottom"/>
            <w:gridSpan w:val="2"/>
          </w:tcPr>
          <w:p>
            <w:pPr>
              <w:spacing w:after="0"/>
              <w:rPr>
                <w:sz w:val="20"/>
                <w:szCs w:val="20"/>
                <w:color w:val="auto"/>
              </w:rPr>
            </w:pPr>
            <w:r>
              <w:rPr>
                <w:rFonts w:ascii="Arial" w:cs="Arial" w:eastAsia="Arial" w:hAnsi="Arial"/>
                <w:sz w:val="16"/>
                <w:szCs w:val="16"/>
                <w:color w:val="auto"/>
              </w:rPr>
              <w:t>Lynn Seely, M.D. (10)</w:t>
            </w:r>
          </w:p>
        </w:tc>
        <w:tc>
          <w:tcPr>
            <w:tcW w:w="920" w:type="dxa"/>
            <w:vAlign w:val="bottom"/>
          </w:tcPr>
          <w:p>
            <w:pPr>
              <w:jc w:val="right"/>
              <w:spacing w:after="0"/>
              <w:rPr>
                <w:sz w:val="20"/>
                <w:szCs w:val="20"/>
                <w:color w:val="auto"/>
              </w:rPr>
            </w:pPr>
            <w:r>
              <w:rPr>
                <w:rFonts w:ascii="Arial" w:cs="Arial" w:eastAsia="Arial" w:hAnsi="Arial"/>
                <w:sz w:val="16"/>
                <w:szCs w:val="16"/>
                <w:color w:val="auto"/>
              </w:rPr>
              <w:t>52,500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171,540</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183,089</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0" w:lineRule="exact"/>
        <w:rPr>
          <w:sz w:val="20"/>
          <w:szCs w:val="20"/>
          <w:color w:val="auto"/>
        </w:rPr>
      </w:pPr>
    </w:p>
    <w:p>
      <w:pPr>
        <w:ind w:left="380" w:right="419" w:hanging="330"/>
        <w:spacing w:after="0" w:line="253"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Albers, our president and chief executive officer, does not receive any compensation for his service as a director. Information regarding his compensation can be found in the “Summary Compensation Table” included elsewhere in this proxy statement.</w:t>
      </w:r>
    </w:p>
    <w:p>
      <w:pPr>
        <w:spacing w:after="0" w:line="65" w:lineRule="exact"/>
        <w:rPr>
          <w:rFonts w:ascii="Arial" w:cs="Arial" w:eastAsia="Arial" w:hAnsi="Arial"/>
          <w:sz w:val="14"/>
          <w:szCs w:val="14"/>
          <w:color w:val="auto"/>
        </w:rPr>
      </w:pPr>
    </w:p>
    <w:p>
      <w:pPr>
        <w:ind w:left="380" w:right="139" w:hanging="330"/>
        <w:spacing w:after="0" w:line="253"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represent cash compensation for services rendered by each member of our board of directors for their services on our board of directors or a committee thereof.</w:t>
      </w:r>
    </w:p>
    <w:p>
      <w:pPr>
        <w:spacing w:after="0" w:line="65" w:lineRule="exact"/>
        <w:rPr>
          <w:rFonts w:ascii="Arial" w:cs="Arial" w:eastAsia="Arial" w:hAnsi="Arial"/>
          <w:sz w:val="14"/>
          <w:szCs w:val="14"/>
          <w:color w:val="auto"/>
        </w:rPr>
      </w:pPr>
    </w:p>
    <w:p>
      <w:pPr>
        <w:ind w:left="380" w:right="219" w:hanging="330"/>
        <w:spacing w:after="0" w:line="233"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awards granted to our directors in 2020, computed in accordance with FASB ASC Topic 718. Such aggregate grant date fair values do not take into account any estimated forfeitures related to service-based vesting conditions. See Note 12 to the audited consolidated financial statements in our Annual Report on Form 10-K for the year ended December 31, 2020 regarding assumptions underlying the valuation of equity awards.</w:t>
      </w:r>
    </w:p>
    <w:p>
      <w:pPr>
        <w:spacing w:after="0" w:line="76" w:lineRule="exact"/>
        <w:rPr>
          <w:rFonts w:ascii="Arial" w:cs="Arial" w:eastAsia="Arial" w:hAnsi="Arial"/>
          <w:sz w:val="14"/>
          <w:szCs w:val="14"/>
          <w:color w:val="auto"/>
        </w:rPr>
      </w:pPr>
    </w:p>
    <w:p>
      <w:pPr>
        <w:ind w:left="380" w:hanging="330"/>
        <w:spacing w:after="0"/>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of December 31, 2020, Mr. Borisy held options to purchase 16,875 shares of our common stock and 2,250 restricted stock units.</w:t>
      </w:r>
    </w:p>
    <w:p>
      <w:pPr>
        <w:spacing w:after="0" w:line="95" w:lineRule="exact"/>
        <w:rPr>
          <w:rFonts w:ascii="Arial" w:cs="Arial" w:eastAsia="Arial" w:hAnsi="Arial"/>
          <w:sz w:val="14"/>
          <w:szCs w:val="14"/>
          <w:color w:val="auto"/>
        </w:rPr>
      </w:pPr>
    </w:p>
    <w:p>
      <w:pPr>
        <w:ind w:left="380" w:hanging="330"/>
        <w:spacing w:after="0"/>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of December 31, 2020, Mr. Coats held options to purchase 50,511 shares of our common stock and 2,250 restricted stock units.</w:t>
      </w:r>
    </w:p>
    <w:p>
      <w:pPr>
        <w:spacing w:after="0" w:line="95" w:lineRule="exact"/>
        <w:rPr>
          <w:rFonts w:ascii="Arial" w:cs="Arial" w:eastAsia="Arial" w:hAnsi="Arial"/>
          <w:sz w:val="14"/>
          <w:szCs w:val="14"/>
          <w:color w:val="auto"/>
        </w:rPr>
      </w:pPr>
    </w:p>
    <w:p>
      <w:pPr>
        <w:ind w:left="380" w:hanging="330"/>
        <w:spacing w:after="0"/>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of December 31, 2020, Dr. Demetri held options to purchase 74,146 shares of our common stock and 2,250 restricted stock units.</w:t>
      </w:r>
    </w:p>
    <w:p>
      <w:pPr>
        <w:spacing w:after="0" w:line="95" w:lineRule="exact"/>
        <w:rPr>
          <w:rFonts w:ascii="Arial" w:cs="Arial" w:eastAsia="Arial" w:hAnsi="Arial"/>
          <w:sz w:val="14"/>
          <w:szCs w:val="14"/>
          <w:color w:val="auto"/>
        </w:rPr>
      </w:pPr>
    </w:p>
    <w:p>
      <w:pPr>
        <w:ind w:left="380" w:right="299" w:hanging="330"/>
        <w:spacing w:after="0" w:line="253"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of December 31, 2020, Dr. Goldberg and Mr. Rowland each held options to purchase 27,784 shares of our common stock and 2,250 restricted stock units.</w:t>
      </w:r>
    </w:p>
    <w:p>
      <w:pPr>
        <w:spacing w:after="0" w:line="65" w:lineRule="exact"/>
        <w:rPr>
          <w:rFonts w:ascii="Arial" w:cs="Arial" w:eastAsia="Arial" w:hAnsi="Arial"/>
          <w:sz w:val="14"/>
          <w:szCs w:val="14"/>
          <w:color w:val="auto"/>
        </w:rPr>
      </w:pPr>
    </w:p>
    <w:p>
      <w:pPr>
        <w:ind w:left="380" w:right="279" w:hanging="330"/>
        <w:spacing w:after="0" w:line="253"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of December 31, 2020, Mr. Lynch and Dr. Lydon each held options to purchase 38,693 shares of our common stock and 2,250 restricted stock units.</w:t>
      </w:r>
    </w:p>
    <w:p>
      <w:pPr>
        <w:spacing w:after="0" w:line="65" w:lineRule="exact"/>
        <w:rPr>
          <w:rFonts w:ascii="Arial" w:cs="Arial" w:eastAsia="Arial" w:hAnsi="Arial"/>
          <w:sz w:val="14"/>
          <w:szCs w:val="14"/>
          <w:color w:val="auto"/>
        </w:rPr>
      </w:pPr>
    </w:p>
    <w:p>
      <w:pPr>
        <w:ind w:left="380" w:hanging="330"/>
        <w:spacing w:after="0"/>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 represents cash compensation for services rendered by Dr. Lydon as a member of our scientific advisory board.</w:t>
      </w:r>
    </w:p>
    <w:p>
      <w:pPr>
        <w:spacing w:after="0" w:line="95" w:lineRule="exact"/>
        <w:rPr>
          <w:rFonts w:ascii="Arial" w:cs="Arial" w:eastAsia="Arial" w:hAnsi="Arial"/>
          <w:sz w:val="14"/>
          <w:szCs w:val="14"/>
          <w:color w:val="auto"/>
        </w:rPr>
      </w:pPr>
    </w:p>
    <w:p>
      <w:pPr>
        <w:ind w:left="380" w:hanging="330"/>
        <w:spacing w:after="0"/>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of December 31, 2020, Dr. Seely held options to purchase 60,511 shares of our common stock and 2,250 restricted stock units.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31"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6"/>
          <w:szCs w:val="16"/>
          <w:color w:val="auto"/>
        </w:rPr>
        <w:t>The following table provides information about the securities authorized for issuance under our equity compensation plans as of December 31, 2020. As of December 31, 2020, we had four equity compensation plans: the 2011 Plan, the 2015 Plan, the 2015 Employee Stock Purchase Plan, or 2015 ESPP, and the 2020 Plan. Each of the 2011 Plan, the 2015 Plan and the 2015 ESPP was approved by our stockholders.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 average</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3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3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and rights</w:t>
            </w:r>
          </w:p>
        </w:tc>
        <w:tc>
          <w:tcPr>
            <w:tcW w:w="20" w:type="dxa"/>
            <w:vAlign w:val="bottom"/>
          </w:tcPr>
          <w:p>
            <w:pPr>
              <w:spacing w:after="0"/>
              <w:rPr>
                <w:sz w:val="14"/>
                <w:szCs w:val="14"/>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warrants and rights (1)</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(a)) (2)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(a)</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3"/>
              <w:spacing w:after="0"/>
              <w:rPr>
                <w:sz w:val="20"/>
                <w:szCs w:val="20"/>
                <w:color w:val="auto"/>
              </w:rPr>
            </w:pPr>
            <w:r>
              <w:rPr>
                <w:rFonts w:ascii="Arial" w:cs="Arial" w:eastAsia="Arial" w:hAnsi="Arial"/>
                <w:sz w:val="16"/>
                <w:szCs w:val="16"/>
                <w:color w:val="auto"/>
              </w:rPr>
              <w:t>(b)</w:t>
            </w:r>
          </w:p>
        </w:tc>
        <w:tc>
          <w:tcPr>
            <w:tcW w:w="160" w:type="dxa"/>
            <w:vAlign w:val="bottom"/>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Equity compensation plans approved by security 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6,877,842 (4)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90"/>
              </w:rPr>
              <w:t>3,822,966 (5)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w w:val="99"/>
              </w:rPr>
              <w:t>Equity compensation plans not approved by security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holders</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324,485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84.88</w:t>
            </w:r>
          </w:p>
        </w:tc>
        <w:tc>
          <w:tcPr>
            <w:tcW w:w="1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675,515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7,202,327</w:t>
            </w:r>
          </w:p>
        </w:tc>
        <w:tc>
          <w:tcPr>
            <w:tcW w:w="2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4,498,481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outstanding stock options.</w:t>
      </w:r>
    </w:p>
    <w:p>
      <w:pPr>
        <w:spacing w:after="0" w:line="95" w:lineRule="exact"/>
        <w:rPr>
          <w:rFonts w:ascii="Arial" w:cs="Arial" w:eastAsia="Arial" w:hAnsi="Arial"/>
          <w:sz w:val="14"/>
          <w:szCs w:val="14"/>
          <w:color w:val="auto"/>
        </w:rPr>
      </w:pPr>
    </w:p>
    <w:p>
      <w:pPr>
        <w:ind w:left="380" w:right="119" w:hanging="330"/>
        <w:spacing w:after="0" w:line="238"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of December 31, 2020, (i) 1,703,849 shares remained available for future issuance under our 2015 Plan, (ii) 2,102,282 shares remained available for future issuance under our 2015 ESPP, (iii) 16,835 shares remained available for future issuance under our 2011 Plan, and (iv) 675,515 shares remained available for future issuance under our 2020 Plan.</w:t>
      </w:r>
    </w:p>
    <w:p>
      <w:pPr>
        <w:spacing w:after="0" w:line="74" w:lineRule="exact"/>
        <w:rPr>
          <w:rFonts w:ascii="Arial" w:cs="Arial" w:eastAsia="Arial" w:hAnsi="Arial"/>
          <w:sz w:val="14"/>
          <w:szCs w:val="14"/>
          <w:color w:val="auto"/>
        </w:rPr>
      </w:pPr>
    </w:p>
    <w:p>
      <w:pPr>
        <w:ind w:left="380" w:hanging="330"/>
        <w:spacing w:after="0"/>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2011 Plan, the 2015 Plan and the 2015 ESPP.</w:t>
      </w:r>
    </w:p>
    <w:p>
      <w:pPr>
        <w:spacing w:after="0" w:line="95" w:lineRule="exact"/>
        <w:rPr>
          <w:rFonts w:ascii="Arial" w:cs="Arial" w:eastAsia="Arial" w:hAnsi="Arial"/>
          <w:sz w:val="14"/>
          <w:szCs w:val="14"/>
          <w:color w:val="auto"/>
        </w:rPr>
      </w:pPr>
    </w:p>
    <w:p>
      <w:pPr>
        <w:jc w:val="both"/>
        <w:ind w:left="380" w:right="99" w:hanging="330"/>
        <w:spacing w:after="0" w:line="283" w:lineRule="auto"/>
        <w:tabs>
          <w:tab w:leader="none" w:pos="3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Amount does not include any purchase rights accruing under the 2015 ESPP during the current purchase period, which commenced on December 1, 2020, because the purchase right (and therefore the number of shares to be purchased) will not be determined until the end of the purchase period on May 30, 2021. Subject to the number of shares remaining in the share reserve, the maximum number of shares purchasable by any participant in the 2015 ESPP on any one purchase date for any purchase period, including the current purchase period, may not exceed 2,500 shares.</w:t>
      </w:r>
    </w:p>
    <w:p>
      <w:pPr>
        <w:spacing w:after="0" w:line="51" w:lineRule="exact"/>
        <w:rPr>
          <w:rFonts w:ascii="Arial" w:cs="Arial" w:eastAsia="Arial" w:hAnsi="Arial"/>
          <w:sz w:val="12"/>
          <w:szCs w:val="12"/>
          <w:color w:val="auto"/>
        </w:rPr>
      </w:pPr>
    </w:p>
    <w:p>
      <w:pPr>
        <w:ind w:left="380" w:right="79" w:hanging="330"/>
        <w:spacing w:after="0" w:line="245" w:lineRule="auto"/>
        <w:tabs>
          <w:tab w:leader="none" w:pos="3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Effective January 1, 2021, 2,311,741 additional shares were reserved for issuance under the 2015 Plan pursuant to this provision.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Effective January 1, 2021, 577,935 additional shares were reserved for issuance under the 2015 ESPP pursuant to this provision.</w:t>
      </w:r>
    </w:p>
    <w:p>
      <w:pPr>
        <w:spacing w:after="0" w:line="75" w:lineRule="exact"/>
        <w:rPr>
          <w:rFonts w:ascii="Arial" w:cs="Arial" w:eastAsia="Arial" w:hAnsi="Arial"/>
          <w:sz w:val="13"/>
          <w:szCs w:val="13"/>
          <w:color w:val="auto"/>
        </w:rPr>
      </w:pPr>
    </w:p>
    <w:p>
      <w:pPr>
        <w:ind w:left="380" w:hanging="330"/>
        <w:spacing w:after="0"/>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2020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THE AUDIT COMMITTEE OF THE BOARD OF DIRECTORS</w:t>
      </w:r>
    </w:p>
    <w:p>
      <w:pPr>
        <w:spacing w:after="0" w:line="131" w:lineRule="exact"/>
        <w:rPr>
          <w:sz w:val="20"/>
          <w:szCs w:val="20"/>
          <w:color w:val="auto"/>
        </w:rPr>
      </w:pPr>
    </w:p>
    <w:p>
      <w:pPr>
        <w:ind w:left="60" w:right="199" w:firstLine="648"/>
        <w:spacing w:after="0" w:line="328" w:lineRule="auto"/>
        <w:rPr>
          <w:sz w:val="20"/>
          <w:szCs w:val="20"/>
          <w:color w:val="auto"/>
        </w:rPr>
      </w:pPr>
      <w:r>
        <w:rPr>
          <w:rFonts w:ascii="Arial" w:cs="Arial" w:eastAsia="Arial" w:hAnsi="Arial"/>
          <w:sz w:val="15"/>
          <w:szCs w:val="15"/>
          <w:color w:val="auto"/>
        </w:rPr>
        <w:t>Our audit committee has reviewed our audited consolidated financial statements for the fiscal year ended December 31, 2020 and discussed them with our management and our independent registered public accounting firm, Ernst &amp; Young LLP.</w:t>
      </w:r>
    </w:p>
    <w:p>
      <w:pPr>
        <w:spacing w:after="0" w:line="42" w:lineRule="exact"/>
        <w:rPr>
          <w:sz w:val="20"/>
          <w:szCs w:val="20"/>
          <w:color w:val="auto"/>
        </w:rPr>
      </w:pPr>
    </w:p>
    <w:p>
      <w:pPr>
        <w:jc w:val="both"/>
        <w:ind w:left="60" w:right="299" w:firstLine="648"/>
        <w:spacing w:after="0" w:line="335" w:lineRule="auto"/>
        <w:rPr>
          <w:sz w:val="20"/>
          <w:szCs w:val="20"/>
          <w:color w:val="auto"/>
        </w:rPr>
      </w:pPr>
      <w:r>
        <w:rPr>
          <w:rFonts w:ascii="Arial" w:cs="Arial" w:eastAsia="Arial" w:hAnsi="Arial"/>
          <w:sz w:val="14"/>
          <w:szCs w:val="14"/>
          <w:color w:val="auto"/>
        </w:rPr>
        <w:t>Our audit committee has also received from, and discussed with, Ernst &amp; Young LLP various communications that Ernst &amp; Young LLP is required to provide to our audit committee, including the matters required to be discussed by the statement on Auditing Standards 1301, “Communication with Audit Committees,” as adopted by the Public Company Accounting Oversight Board.</w:t>
      </w:r>
    </w:p>
    <w:p>
      <w:pPr>
        <w:spacing w:after="0" w:line="41"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6"/>
          <w:szCs w:val="16"/>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81" w:lineRule="exact"/>
        <w:rPr>
          <w:sz w:val="20"/>
          <w:szCs w:val="20"/>
          <w:color w:val="auto"/>
        </w:rPr>
      </w:pPr>
    </w:p>
    <w:p>
      <w:pPr>
        <w:ind w:left="60" w:right="319" w:firstLine="648"/>
        <w:spacing w:after="0" w:line="369" w:lineRule="auto"/>
        <w:rPr>
          <w:sz w:val="20"/>
          <w:szCs w:val="20"/>
          <w:color w:val="auto"/>
        </w:rPr>
      </w:pPr>
      <w:r>
        <w:rPr>
          <w:rFonts w:ascii="Arial" w:cs="Arial" w:eastAsia="Arial" w:hAnsi="Arial"/>
          <w:sz w:val="14"/>
          <w:szCs w:val="14"/>
          <w:color w:val="auto"/>
        </w:rPr>
        <w:t>Based on the review and discussions referred to above, our audit committee recommended to our board of directors that the audited consolidated financial statements be included in our Annual Report on Form 10-K for the year ended December 31, 2020.</w:t>
      </w:r>
    </w:p>
    <w:p>
      <w:pPr>
        <w:spacing w:after="0" w:line="18" w:lineRule="exact"/>
        <w:rPr>
          <w:sz w:val="20"/>
          <w:szCs w:val="20"/>
          <w:color w:val="auto"/>
        </w:rPr>
      </w:pPr>
    </w:p>
    <w:p>
      <w:pPr>
        <w:ind w:left="60" w:right="259" w:firstLine="648"/>
        <w:spacing w:after="0" w:line="271" w:lineRule="auto"/>
        <w:rPr>
          <w:sz w:val="20"/>
          <w:szCs w:val="20"/>
          <w:color w:val="auto"/>
        </w:rPr>
      </w:pPr>
      <w:r>
        <w:rPr>
          <w:rFonts w:ascii="Arial" w:cs="Arial" w:eastAsia="Arial" w:hAnsi="Arial"/>
          <w:sz w:val="16"/>
          <w:szCs w:val="16"/>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By the audit committee of the board of directors of Blueprint Medicines Corporation.</w:t>
      </w:r>
    </w:p>
    <w:p>
      <w:pPr>
        <w:spacing w:after="0" w:line="140"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Charles A. Rowland, Jr., Chair</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Lonnel Coats</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Mark Goldberg,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2— NON-BINDING ADVISORY VOTE ON EXECUTIVE COMPENSATION</w:t>
      </w:r>
    </w:p>
    <w:p>
      <w:pPr>
        <w:spacing w:after="0" w:line="131"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4"/>
          <w:szCs w:val="14"/>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Securities Exchange Act of 1934, as amended, or the Exchange Act. 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spacing w:after="0" w:line="59" w:lineRule="exact"/>
        <w:rPr>
          <w:sz w:val="20"/>
          <w:szCs w:val="20"/>
          <w:color w:val="auto"/>
        </w:rPr>
      </w:pPr>
    </w:p>
    <w:p>
      <w:pPr>
        <w:ind w:left="60" w:right="179" w:firstLine="648"/>
        <w:spacing w:after="0" w:line="310" w:lineRule="auto"/>
        <w:rPr>
          <w:sz w:val="20"/>
          <w:szCs w:val="20"/>
          <w:color w:val="auto"/>
        </w:rPr>
      </w:pPr>
      <w:r>
        <w:rPr>
          <w:rFonts w:ascii="Arial" w:cs="Arial" w:eastAsia="Arial" w:hAnsi="Arial"/>
          <w:sz w:val="14"/>
          <w:szCs w:val="14"/>
          <w:color w:val="auto"/>
        </w:rPr>
        <w:t>The section of this proxy statement titled “Executive Compensation” beginning on page 17, including “Compensation Discussion and Analysis,” describes in detail our executive compensation program and the decisions made by our compensation committee. As we describe in greater detail in the “Compensation Discussion and Analysis” section, our executive compensation program rewards value creation for stockholders and progress towards achieving our mission and that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board of directors is asking stockholders to approve a non-binding, advisory vote on the following resolution:</w:t>
      </w:r>
    </w:p>
    <w:p>
      <w:pPr>
        <w:spacing w:after="0" w:line="127" w:lineRule="exact"/>
        <w:rPr>
          <w:sz w:val="20"/>
          <w:szCs w:val="20"/>
          <w:color w:val="auto"/>
        </w:rPr>
      </w:pPr>
    </w:p>
    <w:p>
      <w:pPr>
        <w:ind w:left="60" w:right="459" w:firstLine="648"/>
        <w:spacing w:after="0" w:line="278" w:lineRule="auto"/>
        <w:rPr>
          <w:sz w:val="20"/>
          <w:szCs w:val="20"/>
          <w:color w:val="auto"/>
        </w:rPr>
      </w:pPr>
      <w:r>
        <w:rPr>
          <w:rFonts w:ascii="Arial" w:cs="Arial" w:eastAsia="Arial" w:hAnsi="Arial"/>
          <w:sz w:val="16"/>
          <w:szCs w:val="16"/>
          <w:i w:val="1"/>
          <w:i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7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As an advisory vote, this proposal is not binding. The outcome of this advisory vote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Recommendation of the Board of Directors</w:t>
      </w:r>
    </w:p>
    <w:p>
      <w:pPr>
        <w:spacing w:after="0" w:line="127" w:lineRule="exact"/>
        <w:rPr>
          <w:sz w:val="20"/>
          <w:szCs w:val="20"/>
          <w:color w:val="auto"/>
        </w:rPr>
      </w:pPr>
    </w:p>
    <w:p>
      <w:pPr>
        <w:ind w:left="60" w:right="959" w:firstLine="648"/>
        <w:spacing w:after="0" w:line="298" w:lineRule="auto"/>
        <w:rPr>
          <w:sz w:val="20"/>
          <w:szCs w:val="20"/>
          <w:color w:val="auto"/>
        </w:rPr>
      </w:pPr>
      <w:r>
        <w:rPr>
          <w:rFonts w:ascii="Arial" w:cs="Arial" w:eastAsia="Arial" w:hAnsi="Arial"/>
          <w:sz w:val="16"/>
          <w:szCs w:val="16"/>
          <w:b w:val="1"/>
          <w:bCs w:val="1"/>
          <w:color w:val="auto"/>
        </w:rPr>
        <w:t>OUR BOARD OF DIRECTORS RECOMMENDS THAT STOCKHOLDERS VOTE TO APPROVE THE COMPENSATION OF OUR NAMED EXECUTIVE OFFICERS BY VOTING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color w:val="auto"/>
        </w:rPr>
        <w:t>” THIS PROPOSAL.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right="120"/>
        <w:spacing w:after="0" w:line="298" w:lineRule="auto"/>
        <w:rPr>
          <w:sz w:val="20"/>
          <w:szCs w:val="20"/>
          <w:color w:val="auto"/>
        </w:rPr>
      </w:pPr>
      <w:r>
        <w:rPr>
          <w:rFonts w:ascii="Arial" w:cs="Arial" w:eastAsia="Arial" w:hAnsi="Arial"/>
          <w:sz w:val="16"/>
          <w:szCs w:val="16"/>
          <w:b w:val="1"/>
          <w:bCs w:val="1"/>
          <w:color w:val="auto"/>
        </w:rPr>
        <w:t>PROPOSAL 3—RATIFICATION OF THE APPOINTMENT OF INDEPENDENT REGISTERED PUBLIC ACCOUNTING FIRM</w:t>
      </w:r>
    </w:p>
    <w:p>
      <w:pPr>
        <w:spacing w:after="0" w:line="6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Our audit committee has appointed the firm of Ernst &amp; Young LLP, an independent registered public accounting firm, as independent auditors for the fiscal year ending December 31, 2021.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spacing w:after="0" w:line="82" w:lineRule="exact"/>
        <w:rPr>
          <w:sz w:val="20"/>
          <w:szCs w:val="20"/>
          <w:color w:val="auto"/>
        </w:rPr>
      </w:pPr>
    </w:p>
    <w:p>
      <w:pPr>
        <w:ind w:left="60" w:right="159" w:firstLine="648"/>
        <w:spacing w:after="0" w:line="305" w:lineRule="auto"/>
        <w:rPr>
          <w:sz w:val="20"/>
          <w:szCs w:val="20"/>
          <w:color w:val="auto"/>
        </w:rPr>
      </w:pPr>
      <w:r>
        <w:rPr>
          <w:rFonts w:ascii="Arial" w:cs="Arial" w:eastAsia="Arial" w:hAnsi="Arial"/>
          <w:sz w:val="15"/>
          <w:szCs w:val="15"/>
          <w:color w:val="auto"/>
        </w:rPr>
        <w:t>Ernst &amp; Young LLP has no direct or indirect material financial interest in our company or our subsidiaries. Representatives of Ernst &amp; Young LLP are expected to be present at the annual meeting online and will have the opportunity to make a statement, if they desire to do so, and will be available to respond to appropriate questions from our stockholders.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Audit Fees and Services</w:t>
      </w:r>
    </w:p>
    <w:p>
      <w:pPr>
        <w:spacing w:after="0" w:line="131"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6"/>
          <w:szCs w:val="16"/>
          <w:color w:val="auto"/>
        </w:rPr>
        <w:t>Ernst &amp; Young LLP was our independent registered public accounting firm for the years ended December 31, 2020 and December 31, 2019. The following table summarizes the fees of Ernst &amp; Young LLP billed to us for each of the last two fiscal years. All such accountant services and fees were pre-approved by our audit committee in accordance with the “Pre-Approval Policies and Procedures” described below.</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Fee Category</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6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Audit Fees (1)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1,334,492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Audit-Related Fees (2)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Fees (3)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327,087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All Other Fees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Fees</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1,661,579</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59" w:hanging="330"/>
        <w:spacing w:after="0" w:line="253" w:lineRule="auto"/>
        <w:tabs>
          <w:tab w:leader="none" w:pos="3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spacing w:after="0" w:line="65" w:lineRule="exact"/>
        <w:rPr>
          <w:rFonts w:ascii="Arial" w:cs="Arial" w:eastAsia="Arial" w:hAnsi="Arial"/>
          <w:sz w:val="14"/>
          <w:szCs w:val="14"/>
          <w:color w:val="auto"/>
        </w:rPr>
      </w:pPr>
    </w:p>
    <w:p>
      <w:pPr>
        <w:ind w:left="380" w:right="159" w:hanging="330"/>
        <w:spacing w:after="0" w:line="253" w:lineRule="auto"/>
        <w:tabs>
          <w:tab w:leader="none" w:pos="3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“Audit-Related Fees” consist of fees billed by Ernst &amp; Young LLP for assurance and related services that are reasonably related to the performance of the audit or review of our consolidated financial statements. There were no such fees incurred in 2020 or 2019.</w:t>
      </w:r>
    </w:p>
    <w:p>
      <w:pPr>
        <w:spacing w:after="0" w:line="65" w:lineRule="exact"/>
        <w:rPr>
          <w:rFonts w:ascii="Arial" w:cs="Arial" w:eastAsia="Arial" w:hAnsi="Arial"/>
          <w:sz w:val="14"/>
          <w:szCs w:val="14"/>
          <w:color w:val="auto"/>
        </w:rPr>
      </w:pPr>
    </w:p>
    <w:p>
      <w:pPr>
        <w:ind w:left="380" w:hanging="330"/>
        <w:spacing w:after="0"/>
        <w:tabs>
          <w:tab w:leader="none" w:pos="3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“Tax Fees” consist of fees for professional services, including tax consulting and compliance performed by Ernst &amp; Young LLP.</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Pre-Approval Policies and Procedures</w:t>
      </w:r>
    </w:p>
    <w:p>
      <w:pPr>
        <w:spacing w:after="0" w:line="131" w:lineRule="exact"/>
        <w:rPr>
          <w:sz w:val="20"/>
          <w:szCs w:val="20"/>
          <w:color w:val="auto"/>
        </w:rPr>
      </w:pPr>
    </w:p>
    <w:p>
      <w:pPr>
        <w:ind w:left="60" w:right="79" w:firstLine="648"/>
        <w:spacing w:after="0" w:line="313" w:lineRule="auto"/>
        <w:rPr>
          <w:sz w:val="20"/>
          <w:szCs w:val="20"/>
          <w:color w:val="auto"/>
        </w:rPr>
      </w:pPr>
      <w:r>
        <w:rPr>
          <w:rFonts w:ascii="Arial" w:cs="Arial" w:eastAsia="Arial" w:hAnsi="Arial"/>
          <w:sz w:val="14"/>
          <w:szCs w:val="14"/>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and the audit committee has approved 100% of the services from Ernst &amp; Young LLP.</w:t>
      </w:r>
    </w:p>
    <w:p>
      <w:pPr>
        <w:spacing w:after="0" w:line="56"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5"/>
          <w:szCs w:val="15"/>
          <w:color w:val="auto"/>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Recommendation of the Board of Directors</w:t>
      </w:r>
    </w:p>
    <w:p>
      <w:pPr>
        <w:spacing w:after="0" w:line="127" w:lineRule="exact"/>
        <w:rPr>
          <w:sz w:val="20"/>
          <w:szCs w:val="20"/>
          <w:color w:val="auto"/>
        </w:rPr>
      </w:pPr>
    </w:p>
    <w:p>
      <w:pPr>
        <w:jc w:val="both"/>
        <w:ind w:left="60" w:right="299" w:firstLine="648"/>
        <w:spacing w:after="0" w:line="281" w:lineRule="auto"/>
        <w:rPr>
          <w:sz w:val="20"/>
          <w:szCs w:val="20"/>
          <w:color w:val="auto"/>
        </w:rPr>
      </w:pPr>
      <w:r>
        <w:rPr>
          <w:rFonts w:ascii="Arial" w:cs="Arial" w:eastAsia="Arial" w:hAnsi="Arial"/>
          <w:sz w:val="16"/>
          <w:szCs w:val="16"/>
          <w:b w:val="1"/>
          <w:bCs w:val="1"/>
          <w:color w:val="auto"/>
        </w:rPr>
        <w:t>OUR BOARD OF DIRECTORS RECOMMENDS THAT STOCKHOLDERS VOTE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color w:val="auto"/>
        </w:rPr>
        <w:t>” THE RATIFICATION OF THE APPOINTMENT OF ERNST &amp; YOUNG LLP AS OUR INDEPENDENT REGISTERED PUBLIC ACCOUNTING FIRM FOR THE FISCAL YEAR ENDING DECEMBER 31, 2021.</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859" w:firstLine="1794"/>
        <w:spacing w:after="0" w:line="407" w:lineRule="auto"/>
        <w:rPr>
          <w:sz w:val="20"/>
          <w:szCs w:val="20"/>
          <w:color w:val="auto"/>
        </w:rPr>
      </w:pPr>
      <w:r>
        <w:rPr>
          <w:rFonts w:ascii="Arial" w:cs="Arial" w:eastAsia="Arial" w:hAnsi="Arial"/>
          <w:sz w:val="16"/>
          <w:szCs w:val="16"/>
          <w:b w:val="1"/>
          <w:bCs w:val="1"/>
          <w:color w:val="auto"/>
        </w:rPr>
        <w:t>CERTAIN RELATIONSHIPS AND RELATED PERSON TRANSACTIONS Policies and Procedures for Related Person Transactions</w:t>
      </w:r>
    </w:p>
    <w:p>
      <w:pPr>
        <w:spacing w:after="0" w:line="1"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5"/>
          <w:szCs w:val="15"/>
          <w:color w:val="auto"/>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Related Person Transactions</w:t>
      </w:r>
    </w:p>
    <w:p>
      <w:pPr>
        <w:spacing w:after="0" w:line="131" w:lineRule="exact"/>
        <w:rPr>
          <w:sz w:val="20"/>
          <w:szCs w:val="20"/>
          <w:color w:val="auto"/>
        </w:rPr>
      </w:pPr>
    </w:p>
    <w:p>
      <w:pPr>
        <w:ind w:left="60" w:right="279" w:firstLine="648"/>
        <w:spacing w:after="0" w:line="278" w:lineRule="auto"/>
        <w:rPr>
          <w:sz w:val="20"/>
          <w:szCs w:val="20"/>
          <w:color w:val="auto"/>
        </w:rPr>
      </w:pPr>
      <w:r>
        <w:rPr>
          <w:rFonts w:ascii="Arial" w:cs="Arial" w:eastAsia="Arial" w:hAnsi="Arial"/>
          <w:sz w:val="16"/>
          <w:szCs w:val="16"/>
          <w:color w:val="auto"/>
        </w:rPr>
        <w:t>Other than the compensation arrangements for our named executive officers and directors, which are described elsewhere in the “Executive Compensation” and “Director Compensation” sections of this proxy statement, set forth below is a description of transactions since January 1, 2020 to which we were or will be a party, and in which:</w:t>
      </w:r>
    </w:p>
    <w:p>
      <w:pPr>
        <w:spacing w:after="0" w:line="76" w:lineRule="exact"/>
        <w:rPr>
          <w:sz w:val="20"/>
          <w:szCs w:val="20"/>
          <w:color w:val="auto"/>
        </w:rPr>
      </w:pPr>
    </w:p>
    <w:p>
      <w:pPr>
        <w:ind w:left="1340" w:hanging="318"/>
        <w:spacing w:after="0"/>
        <w:tabs>
          <w:tab w:leader="none" w:pos="1340" w:val="left"/>
        </w:tabs>
        <w:numPr>
          <w:ilvl w:val="0"/>
          <w:numId w:val="82"/>
        </w:numPr>
        <w:rPr>
          <w:rFonts w:ascii="Arial" w:cs="Arial" w:eastAsia="Arial" w:hAnsi="Arial"/>
          <w:sz w:val="18"/>
          <w:szCs w:val="18"/>
          <w:color w:val="auto"/>
        </w:rPr>
      </w:pPr>
      <w:r>
        <w:rPr>
          <w:rFonts w:ascii="Arial" w:cs="Arial" w:eastAsia="Arial" w:hAnsi="Arial"/>
          <w:sz w:val="16"/>
          <w:szCs w:val="16"/>
          <w:color w:val="auto"/>
        </w:rPr>
        <w:t>the amounts involved exceeded or will exceed $120,000; and</w:t>
      </w:r>
    </w:p>
    <w:p>
      <w:pPr>
        <w:spacing w:after="0" w:line="117" w:lineRule="exact"/>
        <w:rPr>
          <w:rFonts w:ascii="Arial" w:cs="Arial" w:eastAsia="Arial" w:hAnsi="Arial"/>
          <w:sz w:val="18"/>
          <w:szCs w:val="18"/>
          <w:color w:val="auto"/>
        </w:rPr>
      </w:pPr>
    </w:p>
    <w:p>
      <w:pPr>
        <w:ind w:left="1340" w:right="99" w:hanging="318"/>
        <w:spacing w:after="0" w:line="262" w:lineRule="auto"/>
        <w:tabs>
          <w:tab w:leader="none" w:pos="1340" w:val="left"/>
        </w:tabs>
        <w:numPr>
          <w:ilvl w:val="0"/>
          <w:numId w:val="82"/>
        </w:numPr>
        <w:rPr>
          <w:rFonts w:ascii="Arial" w:cs="Arial" w:eastAsia="Arial" w:hAnsi="Arial"/>
          <w:sz w:val="18"/>
          <w:szCs w:val="18"/>
          <w:color w:val="auto"/>
        </w:rPr>
      </w:pPr>
      <w:r>
        <w:rPr>
          <w:rFonts w:ascii="Arial" w:cs="Arial" w:eastAsia="Arial" w:hAnsi="Arial"/>
          <w:sz w:val="16"/>
          <w:szCs w:val="16"/>
          <w:color w:val="auto"/>
        </w:rPr>
        <w:t>any of our directors, executive officers, nominees for director or holders of more than 5% of our capital stock, or any member of the immediate family of, or person sharing the household with, the foregoing persons, had or will have a direct or indirect material interest.</w:t>
      </w:r>
    </w:p>
    <w:p>
      <w:pPr>
        <w:spacing w:after="0" w:line="88" w:lineRule="exact"/>
        <w:rPr>
          <w:sz w:val="20"/>
          <w:szCs w:val="20"/>
          <w:color w:val="auto"/>
        </w:rPr>
      </w:pPr>
    </w:p>
    <w:p>
      <w:pPr>
        <w:ind w:left="60" w:right="259" w:firstLine="648"/>
        <w:spacing w:after="0" w:line="278" w:lineRule="auto"/>
        <w:rPr>
          <w:sz w:val="20"/>
          <w:szCs w:val="20"/>
          <w:color w:val="auto"/>
        </w:rPr>
      </w:pPr>
      <w:r>
        <w:rPr>
          <w:rFonts w:ascii="Arial" w:cs="Arial" w:eastAsia="Arial" w:hAnsi="Arial"/>
          <w:sz w:val="16"/>
          <w:szCs w:val="16"/>
          <w:color w:val="auto"/>
        </w:rPr>
        <w:t>We believe the terms obtained or consideration that we paid or received, as applicable, in connection with the transactions described below were comparable to terms available or the amounts that would be paid or received, as applicable, from unrelated third parties.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Participation in Follow-On Public Offerings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January 2020</w:t>
      </w:r>
    </w:p>
    <w:p>
      <w:pPr>
        <w:spacing w:after="0" w:line="12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In January 2020, we entered into an underwriting agreement with Goldman, Sachs &amp; Co. and Cowen and Company, LLC, as representatives of the several underwriters, relating to a follow-on underwritten public offering of shares of our common stock. Pursuant to the underwriting agreement, we sold an aggregate of 4,710,144 shares of our common stock to the underwriters at a price to the public of $69.00 per share. The offering closed on January 27, 2020. Certain holders of more than 5% of our capital stock (including shares of common stock acquired in the offering) purchased shares of our common stock from the underwriters in the offering at the offering price of the shares to the public.</w:t>
      </w:r>
    </w:p>
    <w:p>
      <w:pPr>
        <w:spacing w:after="0" w:line="8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following table sets forth the number of shares of our common stock purchased and the aggregate cash purchase price paid by each of these stockholders.</w:t>
      </w:r>
    </w:p>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240" w:type="dxa"/>
            <w:vAlign w:val="bottom"/>
          </w:tcPr>
          <w:p>
            <w:pPr>
              <w:jc w:val="right"/>
              <w:ind w:right="262"/>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4"/>
              </w:rPr>
              <w:t>Purchase Price</w:t>
            </w:r>
          </w:p>
        </w:tc>
        <w:tc>
          <w:tcPr>
            <w:tcW w:w="0" w:type="dxa"/>
            <w:vAlign w:val="bottom"/>
          </w:tcPr>
          <w:p>
            <w:pPr>
              <w:spacing w:after="0"/>
              <w:rPr>
                <w:sz w:val="1"/>
                <w:szCs w:val="1"/>
                <w:color w:val="auto"/>
              </w:rPr>
            </w:pPr>
          </w:p>
        </w:tc>
      </w:tr>
      <w:tr>
        <w:trPr>
          <w:trHeight w:val="171"/>
        </w:trPr>
        <w:tc>
          <w:tcPr>
            <w:tcW w:w="6200" w:type="dxa"/>
            <w:vAlign w:val="bottom"/>
            <w:gridSpan w:val="2"/>
            <w:vMerge w:val="continue"/>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Entities affiliated with the Vanguard Group</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190,000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13,110,000</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Arial" w:cs="Arial" w:eastAsia="Arial" w:hAnsi="Arial"/>
                <w:sz w:val="16"/>
                <w:szCs w:val="16"/>
                <w:color w:val="auto"/>
              </w:rPr>
              <w:t>Entities affiliated with BlackRock, Inc.</w:t>
            </w:r>
          </w:p>
        </w:tc>
        <w:tc>
          <w:tcPr>
            <w:tcW w:w="1240" w:type="dxa"/>
            <w:vAlign w:val="bottom"/>
          </w:tcPr>
          <w:p>
            <w:pPr>
              <w:jc w:val="right"/>
              <w:spacing w:after="0"/>
              <w:rPr>
                <w:sz w:val="20"/>
                <w:szCs w:val="20"/>
                <w:color w:val="auto"/>
              </w:rPr>
            </w:pPr>
            <w:r>
              <w:rPr>
                <w:rFonts w:ascii="Arial" w:cs="Arial" w:eastAsia="Arial" w:hAnsi="Arial"/>
                <w:sz w:val="16"/>
                <w:szCs w:val="16"/>
                <w:color w:val="auto"/>
              </w:rPr>
              <w:t>150,000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10,350,000</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FMR LLC</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10,685,340</w:t>
            </w:r>
          </w:p>
        </w:tc>
        <w:tc>
          <w:tcPr>
            <w:tcW w:w="0" w:type="dxa"/>
            <w:vAlign w:val="bottom"/>
          </w:tcPr>
          <w:p>
            <w:pPr>
              <w:spacing w:after="0"/>
              <w:rPr>
                <w:sz w:val="1"/>
                <w:szCs w:val="1"/>
                <w:color w:val="auto"/>
              </w:rPr>
            </w:pPr>
          </w:p>
        </w:tc>
      </w:tr>
      <w:tr>
        <w:trPr>
          <w:trHeight w:val="206"/>
        </w:trPr>
        <w:tc>
          <w:tcPr>
            <w:tcW w:w="6200" w:type="dxa"/>
            <w:vAlign w:val="bottom"/>
            <w:gridSpan w:val="2"/>
          </w:tcPr>
          <w:p>
            <w:pPr>
              <w:spacing w:after="0"/>
              <w:rPr>
                <w:sz w:val="20"/>
                <w:szCs w:val="20"/>
                <w:color w:val="auto"/>
              </w:rPr>
            </w:pPr>
            <w:r>
              <w:rPr>
                <w:rFonts w:ascii="Arial" w:cs="Arial" w:eastAsia="Arial" w:hAnsi="Arial"/>
                <w:sz w:val="16"/>
                <w:szCs w:val="16"/>
                <w:color w:val="auto"/>
              </w:rPr>
              <w:t>T. Rowe Price Associates, Inc.</w:t>
            </w:r>
          </w:p>
        </w:tc>
        <w:tc>
          <w:tcPr>
            <w:tcW w:w="1240" w:type="dxa"/>
            <w:vAlign w:val="bottom"/>
          </w:tcPr>
          <w:p>
            <w:pPr>
              <w:jc w:val="right"/>
              <w:spacing w:after="0"/>
              <w:rPr>
                <w:sz w:val="20"/>
                <w:szCs w:val="20"/>
                <w:color w:val="auto"/>
              </w:rPr>
            </w:pPr>
            <w:r>
              <w:rPr>
                <w:rFonts w:ascii="Arial" w:cs="Arial" w:eastAsia="Arial" w:hAnsi="Arial"/>
                <w:sz w:val="16"/>
                <w:szCs w:val="16"/>
                <w:color w:val="auto"/>
              </w:rPr>
              <w:t>335,869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23,174,961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9" w:firstLine="2943"/>
        <w:spacing w:after="0" w:line="407" w:lineRule="auto"/>
        <w:rPr>
          <w:sz w:val="20"/>
          <w:szCs w:val="20"/>
          <w:color w:val="auto"/>
        </w:rPr>
      </w:pPr>
      <w:r>
        <w:rPr>
          <w:rFonts w:ascii="Arial" w:cs="Arial" w:eastAsia="Arial" w:hAnsi="Arial"/>
          <w:sz w:val="16"/>
          <w:szCs w:val="16"/>
          <w:b w:val="1"/>
          <w:bCs w:val="1"/>
          <w:color w:val="auto"/>
        </w:rPr>
        <w:t>STOCK OWNERSHIP AND REPORTING Security Ownership of Certain Beneficial Owners and Management</w:t>
      </w:r>
    </w:p>
    <w:p>
      <w:pPr>
        <w:spacing w:after="0" w:line="1" w:lineRule="exact"/>
        <w:rPr>
          <w:sz w:val="20"/>
          <w:szCs w:val="20"/>
          <w:color w:val="auto"/>
        </w:rPr>
      </w:pPr>
    </w:p>
    <w:p>
      <w:pPr>
        <w:ind w:left="60" w:right="319" w:firstLine="648"/>
        <w:spacing w:after="0" w:line="293" w:lineRule="auto"/>
        <w:rPr>
          <w:sz w:val="20"/>
          <w:szCs w:val="20"/>
          <w:color w:val="auto"/>
        </w:rPr>
      </w:pPr>
      <w:r>
        <w:rPr>
          <w:rFonts w:ascii="Arial" w:cs="Arial" w:eastAsia="Arial" w:hAnsi="Arial"/>
          <w:sz w:val="16"/>
          <w:szCs w:val="16"/>
          <w:color w:val="auto"/>
        </w:rPr>
        <w:t>Unless otherwise provided below, the following table sets forth information regarding beneficial ownership of our common stock as of March 31, 2021 by:</w:t>
      </w:r>
    </w:p>
    <w:p>
      <w:pPr>
        <w:spacing w:after="0" w:line="64" w:lineRule="exact"/>
        <w:rPr>
          <w:sz w:val="20"/>
          <w:szCs w:val="20"/>
          <w:color w:val="auto"/>
        </w:rPr>
      </w:pPr>
    </w:p>
    <w:p>
      <w:pPr>
        <w:ind w:left="1340" w:right="139" w:hanging="318"/>
        <w:spacing w:after="0" w:line="263" w:lineRule="auto"/>
        <w:tabs>
          <w:tab w:leader="none" w:pos="1340" w:val="left"/>
        </w:tabs>
        <w:numPr>
          <w:ilvl w:val="0"/>
          <w:numId w:val="83"/>
        </w:numPr>
        <w:rPr>
          <w:rFonts w:ascii="Arial" w:cs="Arial" w:eastAsia="Arial" w:hAnsi="Arial"/>
          <w:sz w:val="18"/>
          <w:szCs w:val="18"/>
          <w:color w:val="auto"/>
        </w:rPr>
      </w:pPr>
      <w:r>
        <w:rPr>
          <w:rFonts w:ascii="Arial" w:cs="Arial" w:eastAsia="Arial" w:hAnsi="Arial"/>
          <w:sz w:val="16"/>
          <w:szCs w:val="16"/>
          <w:color w:val="auto"/>
        </w:rPr>
        <w:t>each person, or group of affiliated persons, known to us to be the beneficial owner of 5% or more of the outstanding shares of our common stock;</w:t>
      </w:r>
    </w:p>
    <w:p>
      <w:pPr>
        <w:spacing w:after="0" w:line="83" w:lineRule="exact"/>
        <w:rPr>
          <w:rFonts w:ascii="Arial" w:cs="Arial" w:eastAsia="Arial" w:hAnsi="Arial"/>
          <w:sz w:val="18"/>
          <w:szCs w:val="18"/>
          <w:color w:val="auto"/>
        </w:rPr>
      </w:pPr>
    </w:p>
    <w:p>
      <w:pPr>
        <w:ind w:left="1340" w:hanging="318"/>
        <w:spacing w:after="0"/>
        <w:tabs>
          <w:tab w:leader="none" w:pos="1340" w:val="left"/>
        </w:tabs>
        <w:numPr>
          <w:ilvl w:val="0"/>
          <w:numId w:val="83"/>
        </w:numPr>
        <w:rPr>
          <w:rFonts w:ascii="Arial" w:cs="Arial" w:eastAsia="Arial" w:hAnsi="Arial"/>
          <w:sz w:val="18"/>
          <w:szCs w:val="18"/>
          <w:color w:val="auto"/>
        </w:rPr>
      </w:pPr>
      <w:r>
        <w:rPr>
          <w:rFonts w:ascii="Arial" w:cs="Arial" w:eastAsia="Arial" w:hAnsi="Arial"/>
          <w:sz w:val="16"/>
          <w:szCs w:val="16"/>
          <w:color w:val="auto"/>
        </w:rPr>
        <w:t>each named executive officer listed in the Summary Compensation table above; and</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0"/>
          <w:numId w:val="83"/>
        </w:numPr>
        <w:rPr>
          <w:rFonts w:ascii="Arial" w:cs="Arial" w:eastAsia="Arial" w:hAnsi="Arial"/>
          <w:sz w:val="18"/>
          <w:szCs w:val="18"/>
          <w:color w:val="auto"/>
        </w:rPr>
      </w:pPr>
      <w:r>
        <w:rPr>
          <w:rFonts w:ascii="Arial" w:cs="Arial" w:eastAsia="Arial" w:hAnsi="Arial"/>
          <w:sz w:val="16"/>
          <w:szCs w:val="16"/>
          <w:color w:val="auto"/>
        </w:rPr>
        <w:t>all of our executive officers and directors as a group.</w:t>
      </w:r>
    </w:p>
    <w:p>
      <w:pPr>
        <w:spacing w:after="0" w:line="118"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5"/>
          <w:szCs w:val="15"/>
          <w:color w:val="auto"/>
        </w:rPr>
        <w:t>Beneficial ownership is determined in accordance with the rules and regulations of the SEC and includes voting or investment power with respect to our common stock. Shares of our common stock subject to stock options that are currently exercisable or will become exercisable within 60 days after March 31, 2021 or RSUs vesting within 60 days after March 31, 2021 are considered outstanding and beneficially owned by the person holding the stock options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spacing w:after="0" w:line="7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6"/>
          <w:szCs w:val="16"/>
          <w:color w:val="auto"/>
        </w:rPr>
        <w:t>The column entitled “Percentage of Shares Beneficially Owned” is based on a total of 58,277,412 shares of our common stock outstanding as of March 31, 2021. Except as otherwise set forth below, the address of the beneficial owner is c/o Blueprint Medicines Corporation, 45 Sidney Street, Cambridge, Massachusetts 02139. Beneficial ownership representing less than one percent of our outstanding common stock is denoted with an “*.”</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48"/>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0" w:type="dxa"/>
            <w:vAlign w:val="bottom"/>
          </w:tcPr>
          <w:p>
            <w:pPr>
              <w:spacing w:after="0"/>
              <w:rPr>
                <w:sz w:val="1"/>
                <w:szCs w:val="1"/>
                <w:color w:val="auto"/>
              </w:rPr>
            </w:pPr>
          </w:p>
        </w:tc>
      </w:tr>
      <w:tr>
        <w:trPr>
          <w:trHeight w:val="171"/>
        </w:trPr>
        <w:tc>
          <w:tcPr>
            <w:tcW w:w="6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owned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196"/>
        </w:trPr>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5% stockholders</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Entities affiliated with the Vanguard Group (1)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5,186,512</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BlackRock, Inc. (2)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5,056,163</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Entities affiliated with FMR LLC (3)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4,190,375</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T. Rowe Price Associates, Inc. (4)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3,687,766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Jeffrey W. Albers (5)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802,459</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Alexis Borisy (6)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74,593</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Lonnel Coats (7)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47,323</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George D. Demetri. M.D. (8)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70,958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Mark Goldberg, M.D. (9)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24,596</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Kathryn Haviland (10)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88,107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Michael Landsittel (11)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102,091</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Nicholas Lydon, Ph.D. (12)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69,368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Daniel S. Lynch (13)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159,847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80" w:type="dxa"/>
            <w:vAlign w:val="bottom"/>
          </w:tcPr>
          <w:p>
            <w:pPr>
              <w:spacing w:after="0"/>
              <w:rPr>
                <w:sz w:val="20"/>
                <w:szCs w:val="20"/>
                <w:color w:val="auto"/>
              </w:rPr>
            </w:pPr>
            <w:r>
              <w:rPr>
                <w:rFonts w:ascii="Arial" w:cs="Arial" w:eastAsia="Arial" w:hAnsi="Arial"/>
                <w:sz w:val="16"/>
                <w:szCs w:val="16"/>
                <w:color w:val="auto"/>
              </w:rPr>
              <w:t>Tracey L. McCain, Esq. (14)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157,361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Fouad Namouni, M.D. (15)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Charles A. Rowland, Jr. (16)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24,596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Lynn Seely, M.D. (17)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57,323</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80" w:type="dxa"/>
            <w:vAlign w:val="bottom"/>
          </w:tcPr>
          <w:p>
            <w:pPr>
              <w:spacing w:after="0"/>
              <w:rPr>
                <w:sz w:val="20"/>
                <w:szCs w:val="20"/>
                <w:color w:val="auto"/>
              </w:rPr>
            </w:pPr>
            <w:r>
              <w:rPr>
                <w:rFonts w:ascii="Arial" w:cs="Arial" w:eastAsia="Arial" w:hAnsi="Arial"/>
                <w:sz w:val="16"/>
                <w:szCs w:val="16"/>
                <w:color w:val="auto"/>
              </w:rPr>
              <w:t>All executive officers and directors as a group (18 persons) (18)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1,998,811</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0" w:lineRule="exact"/>
        <w:rPr>
          <w:sz w:val="20"/>
          <w:szCs w:val="20"/>
          <w:color w:val="auto"/>
        </w:rPr>
      </w:pPr>
    </w:p>
    <w:p>
      <w:pPr>
        <w:ind w:left="380" w:right="119" w:hanging="330"/>
        <w:spacing w:after="0" w:line="253" w:lineRule="auto"/>
        <w:tabs>
          <w:tab w:leader="none" w:pos="3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February 8, 2021 by entities affiliated with the Vanguard Group, or Vanguard. The address for Vanguard is 100 Vanguard Blvd., Malvern, PA 19355.</w:t>
      </w:r>
    </w:p>
    <w:p>
      <w:pPr>
        <w:spacing w:after="0" w:line="65" w:lineRule="exact"/>
        <w:rPr>
          <w:rFonts w:ascii="Arial" w:cs="Arial" w:eastAsia="Arial" w:hAnsi="Arial"/>
          <w:sz w:val="14"/>
          <w:szCs w:val="14"/>
          <w:color w:val="auto"/>
        </w:rPr>
      </w:pPr>
    </w:p>
    <w:p>
      <w:pPr>
        <w:ind w:left="380" w:right="119" w:hanging="330"/>
        <w:spacing w:after="0" w:line="253" w:lineRule="auto"/>
        <w:tabs>
          <w:tab w:leader="none" w:pos="3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January 29, 2021 by BlackRock Inc., or BlackRock. The address for BlackRock is 55 East 52nd Street, New York, NY 10055.</w:t>
      </w:r>
    </w:p>
    <w:p>
      <w:pPr>
        <w:spacing w:after="0" w:line="65" w:lineRule="exact"/>
        <w:rPr>
          <w:rFonts w:ascii="Arial" w:cs="Arial" w:eastAsia="Arial" w:hAnsi="Arial"/>
          <w:sz w:val="14"/>
          <w:szCs w:val="14"/>
          <w:color w:val="auto"/>
        </w:rPr>
      </w:pPr>
    </w:p>
    <w:p>
      <w:pPr>
        <w:ind w:left="380" w:right="119" w:hanging="330"/>
        <w:spacing w:after="0" w:line="247" w:lineRule="auto"/>
        <w:tabs>
          <w:tab w:leader="none" w:pos="3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Based solely on a Schedule 13G/A filed with the SEC on February 8, 2021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119"/>
        <w:spacing w:after="0" w:line="233" w:lineRule="auto"/>
        <w:rPr>
          <w:sz w:val="20"/>
          <w:szCs w:val="20"/>
          <w:color w:val="auto"/>
        </w:rPr>
      </w:pPr>
      <w:r>
        <w:rPr>
          <w:rFonts w:ascii="Arial" w:cs="Arial" w:eastAsia="Arial" w:hAnsi="Arial"/>
          <w:sz w:val="14"/>
          <w:szCs w:val="14"/>
          <w:color w:val="auto"/>
        </w:rPr>
        <w:t>voting of the shares owned directly by the various investment companies registered under the Investment Company Act, collectively referred to as the Fidelity Funds, advised by Fidelity Management &amp; Research Company, or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 02210.</w:t>
      </w:r>
    </w:p>
    <w:p>
      <w:pPr>
        <w:spacing w:after="0" w:line="77" w:lineRule="exact"/>
        <w:rPr>
          <w:sz w:val="20"/>
          <w:szCs w:val="20"/>
          <w:color w:val="auto"/>
        </w:rPr>
      </w:pPr>
    </w:p>
    <w:p>
      <w:pPr>
        <w:ind w:left="380" w:right="17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February 16, 2021 by T. Rowe Price Associates, Inc., or T Rowe Price. The address for T Rowe Price is 100 E. Pratt Street, Baltimore, MD 21202.</w:t>
      </w:r>
    </w:p>
    <w:p>
      <w:pPr>
        <w:spacing w:after="0" w:line="65" w:lineRule="exact"/>
        <w:rPr>
          <w:rFonts w:ascii="Arial" w:cs="Arial" w:eastAsia="Arial" w:hAnsi="Arial"/>
          <w:sz w:val="14"/>
          <w:szCs w:val="14"/>
          <w:color w:val="auto"/>
        </w:rPr>
      </w:pPr>
    </w:p>
    <w:p>
      <w:pPr>
        <w:ind w:left="380" w:right="29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83,824 shares of common stock and (ii) 718,635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37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62,218 shares of common stock and (ii) 12,375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45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1,312 shares of common stock and (ii) 46,011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45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1,312 shares of common stock and (ii) 69,646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45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1,312 shares of common stock and (ii) 23,284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37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25,825 shares of common stock and (ii) 62,282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45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3,844 shares of common stock and (ii) 98,247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37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35,175 shares of common stock and (ii) 34,193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29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125,654 shares of common stock and (ii) 34,193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37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5,079 shares of common stock and (ii) 152,282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hanging="330"/>
        <w:spacing w:after="0"/>
        <w:tabs>
          <w:tab w:leader="none" w:pos="3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1,088 shares of common stock underlying options exercisable and restricted stock units vesting within 60 days of March 31, 2021.</w:t>
      </w:r>
    </w:p>
    <w:p>
      <w:pPr>
        <w:spacing w:after="0" w:line="107" w:lineRule="exact"/>
        <w:rPr>
          <w:rFonts w:ascii="Arial" w:cs="Arial" w:eastAsia="Arial" w:hAnsi="Arial"/>
          <w:sz w:val="13"/>
          <w:szCs w:val="13"/>
          <w:color w:val="auto"/>
        </w:rPr>
      </w:pPr>
    </w:p>
    <w:p>
      <w:pPr>
        <w:ind w:left="380" w:right="45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1,312 shares of common stock and (ii) 23,284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45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1,312 shares of common stock and (ii) 56,011 shares of common stock underlying options exercisable and restricted stock units vesting within 60 days of March 31, 2021.</w:t>
      </w:r>
    </w:p>
    <w:p>
      <w:pPr>
        <w:spacing w:after="0" w:line="65" w:lineRule="exact"/>
        <w:rPr>
          <w:rFonts w:ascii="Arial" w:cs="Arial" w:eastAsia="Arial" w:hAnsi="Arial"/>
          <w:sz w:val="14"/>
          <w:szCs w:val="14"/>
          <w:color w:val="auto"/>
        </w:rPr>
      </w:pPr>
    </w:p>
    <w:p>
      <w:pPr>
        <w:ind w:left="380" w:right="119" w:hanging="330"/>
        <w:spacing w:after="0" w:line="253" w:lineRule="auto"/>
        <w:tabs>
          <w:tab w:leader="none" w:pos="3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362,280 shares of common stock and (ii) 1,636,531 shares of common stock underlying options exercisable and restricted stock units vesting within 60 days of March 31, 2021.</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131"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6"/>
          <w:szCs w:val="16"/>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2020.</w:t>
      </w:r>
    </w:p>
    <w:p>
      <w:pPr>
        <w:spacing w:after="0" w:line="82"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STOCKHOLDER PROPOSALS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Stockholder Proposals Included in Proxy Statement</w:t>
      </w:r>
    </w:p>
    <w:p>
      <w:pPr>
        <w:spacing w:after="0" w:line="131" w:lineRule="exact"/>
        <w:rPr>
          <w:sz w:val="20"/>
          <w:szCs w:val="20"/>
          <w:color w:val="auto"/>
        </w:rPr>
      </w:pPr>
    </w:p>
    <w:p>
      <w:pPr>
        <w:ind w:left="60" w:right="119" w:firstLine="648"/>
        <w:spacing w:after="0" w:line="303" w:lineRule="auto"/>
        <w:rPr>
          <w:sz w:val="20"/>
          <w:szCs w:val="20"/>
          <w:color w:val="auto"/>
        </w:rPr>
      </w:pPr>
      <w:r>
        <w:rPr>
          <w:rFonts w:ascii="Arial" w:cs="Arial" w:eastAsia="Arial" w:hAnsi="Arial"/>
          <w:sz w:val="14"/>
          <w:szCs w:val="14"/>
          <w:color w:val="auto"/>
        </w:rPr>
        <w:t>In order to be considered for inclusion in our proxy statement and proxy card relating to our annual meeting of stockholders to be held in 2022, stockholder proposals must be received by us no later than December 22, 2021, which is 120 days prior to the first anniversary of the mailing date of this proxy, unless the date of the 2022 annual meeting of stockholders is changed by more than</w:t>
      </w:r>
    </w:p>
    <w:p>
      <w:pPr>
        <w:spacing w:after="0" w:line="2" w:lineRule="exact"/>
        <w:rPr>
          <w:sz w:val="20"/>
          <w:szCs w:val="20"/>
          <w:color w:val="auto"/>
        </w:rPr>
      </w:pPr>
    </w:p>
    <w:p>
      <w:pPr>
        <w:ind w:left="60" w:right="79"/>
        <w:spacing w:after="0" w:line="302" w:lineRule="auto"/>
        <w:rPr>
          <w:sz w:val="20"/>
          <w:szCs w:val="20"/>
          <w:color w:val="auto"/>
        </w:rPr>
      </w:pPr>
      <w:r>
        <w:rPr>
          <w:rFonts w:ascii="Arial" w:cs="Arial" w:eastAsia="Arial" w:hAnsi="Arial"/>
          <w:sz w:val="15"/>
          <w:szCs w:val="15"/>
          <w:color w:val="auto"/>
        </w:rPr>
        <w:t>30 days from the anniversary of our 2021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Stockholder Proposals Not Included in Proxy Statement</w:t>
      </w:r>
    </w:p>
    <w:p>
      <w:pPr>
        <w:spacing w:after="0" w:line="131" w:lineRule="exact"/>
        <w:rPr>
          <w:sz w:val="20"/>
          <w:szCs w:val="20"/>
          <w:color w:val="auto"/>
        </w:rPr>
      </w:pPr>
    </w:p>
    <w:p>
      <w:pPr>
        <w:ind w:left="60" w:right="99" w:firstLine="648"/>
        <w:spacing w:after="0" w:line="369" w:lineRule="auto"/>
        <w:rPr>
          <w:sz w:val="20"/>
          <w:szCs w:val="20"/>
          <w:color w:val="auto"/>
        </w:rPr>
      </w:pPr>
      <w:r>
        <w:rPr>
          <w:rFonts w:ascii="Arial" w:cs="Arial" w:eastAsia="Arial" w:hAnsi="Arial"/>
          <w:sz w:val="14"/>
          <w:szCs w:val="14"/>
          <w:color w:val="auto"/>
        </w:rPr>
        <w:t>In addition, our amended and restated bylaws, or bylaws, establish an advance notice procedure for nominations for election to our board of directors and other matters that stockholders wish to present for action at an annual meeting other than those to be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59"/>
        <w:spacing w:after="0" w:line="287" w:lineRule="auto"/>
        <w:rPr>
          <w:sz w:val="20"/>
          <w:szCs w:val="20"/>
          <w:color w:val="auto"/>
        </w:rPr>
      </w:pPr>
      <w:r>
        <w:rPr>
          <w:rFonts w:ascii="Arial" w:cs="Arial" w:eastAsia="Arial" w:hAnsi="Arial"/>
          <w:sz w:val="15"/>
          <w:szCs w:val="15"/>
          <w:color w:val="auto"/>
        </w:rPr>
        <w:t>included in our proxy statement. In general, we must receive other proposals of stockholders (including director nominations) intended to be presented at the 2022 annual meeting of stockholders but not included in the proxy statement by March 4, 2022, but not before February 2, 2022, which is not less than 90 days nor more than 120 days prior to the anniversary date of the immediately preceding annual meeting. However, if the date of the annual meeting is more than 30 days before or more than 60 days after such anniversary date, notice must be received not earlier than the close of business 120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2022 annual meeting of stockholders may exercise discretionary voting power regarding any such proposal. Stockholders are advised to review our bylaws which also specify requirements as to the form and content of a stockholder’s notice.</w:t>
      </w:r>
    </w:p>
    <w:p>
      <w:pPr>
        <w:spacing w:after="0" w:line="70" w:lineRule="exact"/>
        <w:rPr>
          <w:sz w:val="20"/>
          <w:szCs w:val="20"/>
          <w:color w:val="auto"/>
        </w:rPr>
      </w:pPr>
    </w:p>
    <w:p>
      <w:pPr>
        <w:ind w:left="60" w:right="199" w:firstLine="648"/>
        <w:spacing w:after="0" w:line="278" w:lineRule="auto"/>
        <w:rPr>
          <w:sz w:val="20"/>
          <w:szCs w:val="20"/>
          <w:color w:val="auto"/>
        </w:rPr>
      </w:pPr>
      <w:r>
        <w:rPr>
          <w:rFonts w:ascii="Arial" w:cs="Arial" w:eastAsia="Arial" w:hAnsi="Arial"/>
          <w:sz w:val="16"/>
          <w:szCs w:val="16"/>
          <w:color w:val="auto"/>
        </w:rPr>
        <w:t>Any proposals, notices or information about proposed director candidates should be sent to Blueprint Medicines Corporation, Attention: Nominating and Corporate Governance Committee c/o Chief Legal Officer and Secretary, 45 Sidney Street, Cambridge, Massachusetts 02139.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STOCKHOLDERS SHARING THE SAME ADDRESS</w:t>
      </w:r>
    </w:p>
    <w:p>
      <w:pPr>
        <w:spacing w:after="0" w:line="131" w:lineRule="exact"/>
        <w:rPr>
          <w:sz w:val="20"/>
          <w:szCs w:val="20"/>
          <w:color w:val="auto"/>
        </w:rPr>
      </w:pPr>
    </w:p>
    <w:p>
      <w:pPr>
        <w:ind w:left="60" w:right="159" w:firstLine="648"/>
        <w:spacing w:after="0" w:line="267" w:lineRule="auto"/>
        <w:rPr>
          <w:sz w:val="20"/>
          <w:szCs w:val="20"/>
          <w:color w:val="auto"/>
        </w:rPr>
      </w:pPr>
      <w:r>
        <w:rPr>
          <w:rFonts w:ascii="Arial" w:cs="Arial" w:eastAsia="Arial" w:hAnsi="Arial"/>
          <w:sz w:val="16"/>
          <w:szCs w:val="16"/>
          <w:color w:val="auto"/>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2020 annual report to stockholders, which consists of our Annual Report on Form 10-K for the fiscal year ended December 31, 2020, to you if you contact us at Blueprint Medicines Corporation, 45 Sidney Street, Cambridge, Massachusetts 02139, Attn: Investor Relations, telephone: (617) 714-6674,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MATTERS</w:t>
      </w:r>
    </w:p>
    <w:p>
      <w:pPr>
        <w:spacing w:after="0" w:line="131" w:lineRule="exact"/>
        <w:rPr>
          <w:sz w:val="20"/>
          <w:szCs w:val="20"/>
          <w:color w:val="auto"/>
        </w:rPr>
      </w:pPr>
    </w:p>
    <w:p>
      <w:pPr>
        <w:ind w:left="60" w:right="359" w:firstLine="648"/>
        <w:spacing w:after="0" w:line="273" w:lineRule="auto"/>
        <w:rPr>
          <w:sz w:val="20"/>
          <w:szCs w:val="20"/>
          <w:color w:val="auto"/>
        </w:rPr>
      </w:pPr>
      <w:r>
        <w:rPr>
          <w:rFonts w:ascii="Arial" w:cs="Arial" w:eastAsia="Arial" w:hAnsi="Arial"/>
          <w:sz w:val="16"/>
          <w:szCs w:val="16"/>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8807450</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509270</wp:posOffset>
            </wp:positionV>
            <wp:extent cx="5829300" cy="7534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9300" cy="7534910"/>
                    </a:xfrm>
                    <a:prstGeom prst="rect">
                      <a:avLst/>
                    </a:prstGeom>
                    <a:noFill/>
                  </pic:spPr>
                </pic:pic>
              </a:graphicData>
            </a:graphic>
          </wp:anchor>
        </w:drawing>
      </w:r>
    </w:p>
    <w:p>
      <w:pPr>
        <w:sectPr>
          <w:pgSz w:w="11900" w:h="16838" w:orient="portrait"/>
          <w:cols w:equalWidth="0" w:num="1">
            <w:col w:w="9479"/>
          </w:cols>
          <w:pgMar w:left="980" w:top="260" w:right="1440"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8187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8187055"/>
                    </a:xfrm>
                    <a:prstGeom prst="rect">
                      <a:avLst/>
                    </a:prstGeom>
                    <a:noFill/>
                  </pic:spPr>
                </pic:pic>
              </a:graphicData>
            </a:graphic>
          </wp:anchor>
        </w:drawing>
      </w:r>
    </w:p>
    <w:sectPr>
      <w:pgSz w:w="11900" w:h="16838" w:orient="portrait"/>
      <w:cols w:equalWidth="0" w:num="1">
        <w:col w:w="9479"/>
      </w:cols>
      <w:pgMar w:left="980" w:top="2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2)"/>
      <w:numFmt w:val="decimal"/>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617"/>
    </w:lvl>
  </w:abstractNum>
  <w:abstractNum w:abstractNumId="7">
    <w:nsid w:val="542289EC"/>
    <w:multiLevelType w:val="hybridMultilevel"/>
    <w:lvl w:ilvl="0">
      <w:lvlJc w:val="left"/>
      <w:lvlText w:val="%1."/>
      <w:numFmt w:val="upperLetter"/>
      <w:start w:val="17"/>
    </w:lvl>
    <w:lvl w:ilvl="1">
      <w:lvlJc w:val="left"/>
      <w:lvlText w:val="%2"/>
      <w:numFmt w:val="decimal"/>
      <w:start w:val="1"/>
    </w:lvl>
  </w:abstractNum>
  <w:abstractNum w:abstractNumId="8">
    <w:nsid w:val="6DE91B18"/>
    <w:multiLevelType w:val="hybridMultilevel"/>
    <w:lvl w:ilvl="0">
      <w:lvlJc w:val="left"/>
      <w:lvlText w:val="%1."/>
      <w:numFmt w:val="upperLetter"/>
      <w:start w:val="1"/>
    </w:lvl>
    <w:lvl w:ilvl="1">
      <w:lvlJc w:val="left"/>
      <w:lvlText w:val="%2"/>
      <w:numFmt w:val="decimal"/>
      <w:start w:val="1"/>
    </w:lvl>
  </w:abstractNum>
  <w:abstractNum w:abstractNumId="9">
    <w:nsid w:val="38437FDB"/>
    <w:multiLevelType w:val="hybridMultilevel"/>
    <w:lvl w:ilvl="0">
      <w:lvlJc w:val="left"/>
      <w:lvlText w:val="%1."/>
      <w:numFmt w:val="upperLetter"/>
      <w:start w:val="17"/>
    </w:lvl>
    <w:lvl w:ilvl="1">
      <w:lvlJc w:val="left"/>
      <w:lvlText w:val="%2"/>
      <w:numFmt w:val="decimal"/>
      <w:start w:val="1"/>
    </w:lvl>
  </w:abstractNum>
  <w:abstractNum w:abstractNumId="10">
    <w:nsid w:val="7644A45C"/>
    <w:multiLevelType w:val="hybridMultilevel"/>
    <w:lvl w:ilvl="0">
      <w:lvlJc w:val="left"/>
      <w:lvlText w:val="%1."/>
      <w:numFmt w:val="upperLetter"/>
      <w:start w:val="1"/>
    </w:lvl>
    <w:lvl w:ilvl="1">
      <w:lvlJc w:val="left"/>
      <w:lvlText w:val="%2"/>
      <w:numFmt w:val="decimal"/>
      <w:start w:val="1"/>
    </w:lvl>
  </w:abstractNum>
  <w:abstractNum w:abstractNumId="11">
    <w:nsid w:val="32FFF902"/>
    <w:multiLevelType w:val="hybridMultilevel"/>
    <w:lvl w:ilvl="0">
      <w:lvlJc w:val="left"/>
      <w:lvlText w:val="%1."/>
      <w:numFmt w:val="upperLetter"/>
      <w:start w:val="17"/>
    </w:lvl>
    <w:lvl w:ilvl="1">
      <w:lvlJc w:val="left"/>
      <w:lvlText w:val="%2"/>
      <w:numFmt w:val="decimal"/>
      <w:start w:val="1"/>
    </w:lvl>
  </w:abstractNum>
  <w:abstractNum w:abstractNumId="12">
    <w:nsid w:val="684A481A"/>
    <w:multiLevelType w:val="hybridMultilevel"/>
    <w:lvl w:ilvl="0">
      <w:lvlJc w:val="left"/>
      <w:lvlText w:val="%1."/>
      <w:numFmt w:val="upperLetter"/>
      <w:start w:val="1"/>
    </w:lvl>
    <w:lvl w:ilvl="1">
      <w:lvlJc w:val="left"/>
      <w:lvlText w:val="%2."/>
      <w:numFmt w:val="decimal"/>
      <w:start w:val="1"/>
    </w:lvl>
  </w:abstractNum>
  <w:abstractNum w:abstractNumId="13">
    <w:nsid w:val="579478FE"/>
    <w:multiLevelType w:val="hybridMultilevel"/>
    <w:lvl w:ilvl="0">
      <w:lvlJc w:val="left"/>
      <w:lvlText w:val="%1."/>
      <w:numFmt w:val="upperLetter"/>
      <w:start w:val="17"/>
    </w:lvl>
    <w:lvl w:ilvl="1">
      <w:lvlJc w:val="left"/>
      <w:lvlText w:val="%2"/>
      <w:numFmt w:val="decimal"/>
      <w:start w:val="1"/>
    </w:lvl>
  </w:abstractNum>
  <w:abstractNum w:abstractNumId="14">
    <w:nsid w:val="749ABB43"/>
    <w:multiLevelType w:val="hybridMultilevel"/>
    <w:lvl w:ilvl="0">
      <w:lvlJc w:val="left"/>
      <w:lvlText w:val="%1."/>
      <w:numFmt w:val="upperLetter"/>
      <w:start w:val="1"/>
    </w:lvl>
    <w:lvl w:ilvl="1">
      <w:lvlJc w:val="left"/>
      <w:lvlText w:val="%2"/>
      <w:numFmt w:val="decimal"/>
      <w:start w:val="1"/>
    </w:lvl>
  </w:abstractNum>
  <w:abstractNum w:abstractNumId="15">
    <w:nsid w:val="3DC240FB"/>
    <w:multiLevelType w:val="hybridMultilevel"/>
    <w:lvl w:ilvl="0">
      <w:lvlJc w:val="left"/>
      <w:lvlText w:val="%1."/>
      <w:numFmt w:val="upperLetter"/>
      <w:start w:val="17"/>
    </w:lvl>
    <w:lvl w:ilvl="1">
      <w:lvlJc w:val="left"/>
      <w:lvlText w:val="%2"/>
      <w:numFmt w:val="decimal"/>
      <w:start w:val="1"/>
    </w:lvl>
  </w:abstractNum>
  <w:abstractNum w:abstractNumId="16">
    <w:nsid w:val="1BA026FA"/>
    <w:multiLevelType w:val="hybridMultilevel"/>
    <w:lvl w:ilvl="0">
      <w:lvlJc w:val="left"/>
      <w:lvlText w:val="%1."/>
      <w:numFmt w:val="upperLetter"/>
      <w:start w:val="1"/>
    </w:lvl>
    <w:lvl w:ilvl="1">
      <w:lvlJc w:val="left"/>
      <w:lvlText w:val="%2"/>
      <w:numFmt w:val="decimal"/>
      <w:start w:val="1"/>
    </w:lvl>
  </w:abstractNum>
  <w:abstractNum w:abstractNumId="17">
    <w:nsid w:val="79A1DEAA"/>
    <w:multiLevelType w:val="hybridMultilevel"/>
    <w:lvl w:ilvl="0">
      <w:lvlJc w:val="left"/>
      <w:lvlText w:val="%1."/>
      <w:numFmt w:val="upperLetter"/>
      <w:start w:val="17"/>
    </w:lvl>
    <w:lvl w:ilvl="1">
      <w:lvlJc w:val="left"/>
      <w:lvlText w:val="%2"/>
      <w:numFmt w:val="decimal"/>
      <w:start w:val="1"/>
    </w:lvl>
  </w:abstractNum>
  <w:abstractNum w:abstractNumId="18">
    <w:nsid w:val="75C6C33A"/>
    <w:multiLevelType w:val="hybridMultilevel"/>
    <w:lvl w:ilvl="0">
      <w:lvlJc w:val="left"/>
      <w:lvlText w:val="%1."/>
      <w:numFmt w:val="upperLetter"/>
      <w:start w:val="1"/>
    </w:lvl>
    <w:lvl w:ilvl="1">
      <w:lvlJc w:val="left"/>
      <w:lvlText w:val="%2."/>
      <w:numFmt w:val="decimal"/>
      <w:start w:val="1"/>
    </w:lvl>
  </w:abstractNum>
  <w:abstractNum w:abstractNumId="19">
    <w:nsid w:val="12E685FB"/>
    <w:multiLevelType w:val="hybridMultilevel"/>
    <w:lvl w:ilvl="0">
      <w:lvlJc w:val="left"/>
      <w:lvlText w:val="%1."/>
      <w:numFmt w:val="decimal"/>
      <w:start w:val="4"/>
    </w:lvl>
  </w:abstractNum>
  <w:abstractNum w:abstractNumId="20">
    <w:nsid w:val="70C6A529"/>
    <w:multiLevelType w:val="hybridMultilevel"/>
    <w:lvl w:ilvl="0">
      <w:lvlJc w:val="left"/>
      <w:lvlText w:val="%1."/>
      <w:numFmt w:val="upperLetter"/>
      <w:start w:val="17"/>
    </w:lvl>
    <w:lvl w:ilvl="1">
      <w:lvlJc w:val="left"/>
      <w:lvlText w:val="%2"/>
      <w:numFmt w:val="decimal"/>
      <w:start w:val="1"/>
    </w:lvl>
  </w:abstractNum>
  <w:abstractNum w:abstractNumId="21">
    <w:nsid w:val="520EEDD1"/>
    <w:multiLevelType w:val="hybridMultilevel"/>
    <w:lvl w:ilvl="0">
      <w:lvlJc w:val="left"/>
      <w:lvlText w:val="%1."/>
      <w:numFmt w:val="upperLetter"/>
      <w:start w:val="1"/>
    </w:lvl>
    <w:lvl w:ilvl="1">
      <w:lvlJc w:val="left"/>
      <w:lvlText w:val="%2"/>
      <w:numFmt w:val="decimal"/>
      <w:start w:val="1"/>
    </w:lvl>
  </w:abstractNum>
  <w:abstractNum w:abstractNumId="22">
    <w:nsid w:val="374A3FE6"/>
    <w:multiLevelType w:val="hybridMultilevel"/>
    <w:lvl w:ilvl="0">
      <w:lvlJc w:val="left"/>
      <w:lvlText w:val="%1."/>
      <w:numFmt w:val="upperLetter"/>
      <w:start w:val="17"/>
    </w:lvl>
    <w:lvl w:ilvl="1">
      <w:lvlJc w:val="left"/>
      <w:lvlText w:val="%2"/>
      <w:numFmt w:val="decimal"/>
      <w:start w:val="1"/>
    </w:lvl>
  </w:abstractNum>
  <w:abstractNum w:abstractNumId="23">
    <w:nsid w:val="4F4EF005"/>
    <w:multiLevelType w:val="hybridMultilevel"/>
    <w:lvl w:ilvl="0">
      <w:lvlJc w:val="left"/>
      <w:lvlText w:val="%1."/>
      <w:numFmt w:val="upperLetter"/>
      <w:start w:val="1"/>
    </w:lvl>
    <w:lvl w:ilvl="1">
      <w:lvlJc w:val="left"/>
      <w:lvlText w:val="%2."/>
      <w:numFmt w:val="decimal"/>
      <w:start w:val="1"/>
    </w:lvl>
  </w:abstractNum>
  <w:abstractNum w:abstractNumId="24">
    <w:nsid w:val="23F9C13C"/>
    <w:multiLevelType w:val="hybridMultilevel"/>
    <w:lvl w:ilvl="0">
      <w:lvlJc w:val="left"/>
      <w:lvlText w:val="%1."/>
      <w:numFmt w:val="decimal"/>
      <w:start w:val="3"/>
    </w:lvl>
  </w:abstractNum>
  <w:abstractNum w:abstractNumId="25">
    <w:nsid w:val="649BB77C"/>
    <w:multiLevelType w:val="hybridMultilevel"/>
    <w:lvl w:ilvl="0">
      <w:lvlJc w:val="left"/>
      <w:lvlText w:val="%1."/>
      <w:numFmt w:val="upperLetter"/>
      <w:start w:val="17"/>
    </w:lvl>
    <w:lvl w:ilvl="1">
      <w:lvlJc w:val="left"/>
      <w:lvlText w:val="%2"/>
      <w:numFmt w:val="decimal"/>
      <w:start w:val="1"/>
    </w:lvl>
    <w:lvl w:ilvl="2">
      <w:lvlJc w:val="left"/>
      <w:lvlText w:val="☐"/>
      <w:numFmt w:val="bullet"/>
      <w:start w:val="1"/>
    </w:lvl>
  </w:abstractNum>
  <w:abstractNum w:abstractNumId="26">
    <w:nsid w:val="275AC794"/>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7">
    <w:nsid w:val="39386575"/>
    <w:multiLevelType w:val="hybridMultilevel"/>
    <w:lvl w:ilvl="0">
      <w:lvlJc w:val="left"/>
      <w:lvlText w:val="%1."/>
      <w:numFmt w:val="upperLetter"/>
      <w:start w:val="17"/>
    </w:lvl>
    <w:lvl w:ilvl="1">
      <w:lvlJc w:val="left"/>
      <w:lvlText w:val="%2"/>
      <w:numFmt w:val="decimal"/>
      <w:start w:val="1"/>
    </w:lvl>
    <w:lvl w:ilvl="2">
      <w:lvlJc w:val="left"/>
      <w:lvlText w:val="☐"/>
      <w:numFmt w:val="bullet"/>
      <w:start w:val="1"/>
    </w:lvl>
  </w:abstractNum>
  <w:abstractNum w:abstractNumId="28">
    <w:nsid w:val="1CF10FD8"/>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9">
    <w:nsid w:val="180115BE"/>
    <w:multiLevelType w:val="hybridMultilevel"/>
    <w:lvl w:ilvl="0">
      <w:lvlJc w:val="left"/>
      <w:lvlText w:val="%1."/>
      <w:numFmt w:val="upperLetter"/>
      <w:start w:val="17"/>
    </w:lvl>
  </w:abstractNum>
  <w:abstractNum w:abstractNumId="30">
    <w:nsid w:val="235BA861"/>
    <w:multiLevelType w:val="hybridMultilevel"/>
    <w:lvl w:ilvl="0">
      <w:lvlJc w:val="left"/>
      <w:lvlText w:val="%1."/>
      <w:numFmt w:val="upperLetter"/>
      <w:start w:val="1"/>
    </w:lvl>
  </w:abstractNum>
  <w:abstractNum w:abstractNumId="31">
    <w:nsid w:val="47398C89"/>
    <w:multiLevelType w:val="hybridMultilevel"/>
    <w:lvl w:ilvl="0">
      <w:lvlJc w:val="left"/>
      <w:lvlText w:val="%1."/>
      <w:numFmt w:val="upperLetter"/>
      <w:start w:val="17"/>
    </w:lvl>
  </w:abstractNum>
  <w:abstractNum w:abstractNumId="32">
    <w:nsid w:val="354FE9F9"/>
    <w:multiLevelType w:val="hybridMultilevel"/>
    <w:lvl w:ilvl="0">
      <w:lvlJc w:val="left"/>
      <w:lvlText w:val="%1."/>
      <w:numFmt w:val="upperLetter"/>
      <w:start w:val="1"/>
    </w:lvl>
  </w:abstractNum>
  <w:abstractNum w:abstractNumId="33">
    <w:nsid w:val="15B5AF5C"/>
    <w:multiLevelType w:val="hybridMultilevel"/>
    <w:lvl w:ilvl="0">
      <w:lvlJc w:val="left"/>
      <w:lvlText w:val="%1."/>
      <w:numFmt w:val="upperLetter"/>
      <w:start w:val="17"/>
    </w:lvl>
  </w:abstractNum>
  <w:abstractNum w:abstractNumId="34">
    <w:nsid w:val="741226BB"/>
    <w:multiLevelType w:val="hybridMultilevel"/>
    <w:lvl w:ilvl="0">
      <w:lvlJc w:val="left"/>
      <w:lvlText w:val="%1."/>
      <w:numFmt w:val="upperLetter"/>
      <w:start w:val="1"/>
    </w:lvl>
  </w:abstractNum>
  <w:abstractNum w:abstractNumId="35">
    <w:nsid w:val="D34B6A8"/>
    <w:multiLevelType w:val="hybridMultilevel"/>
    <w:lvl w:ilvl="0">
      <w:lvlJc w:val="left"/>
      <w:lvlText w:val="%1."/>
      <w:numFmt w:val="upperLetter"/>
      <w:start w:val="17"/>
    </w:lvl>
  </w:abstractNum>
  <w:abstractNum w:abstractNumId="36">
    <w:nsid w:val="10233C99"/>
    <w:multiLevelType w:val="hybridMultilevel"/>
    <w:lvl w:ilvl="0">
      <w:lvlJc w:val="left"/>
      <w:lvlText w:val="%1."/>
      <w:numFmt w:val="upperLetter"/>
      <w:start w:val="1"/>
    </w:lvl>
  </w:abstractNum>
  <w:abstractNum w:abstractNumId="37">
    <w:nsid w:val="3F6AB60F"/>
    <w:multiLevelType w:val="hybridMultilevel"/>
    <w:lvl w:ilvl="0">
      <w:lvlJc w:val="left"/>
      <w:lvlText w:val="%1."/>
      <w:numFmt w:val="upperLetter"/>
      <w:start w:val="17"/>
    </w:lvl>
  </w:abstractNum>
  <w:abstractNum w:abstractNumId="38">
    <w:nsid w:val="61574095"/>
    <w:multiLevelType w:val="hybridMultilevel"/>
    <w:lvl w:ilvl="0">
      <w:lvlJc w:val="left"/>
      <w:lvlText w:val="%1."/>
      <w:numFmt w:val="upperLetter"/>
      <w:start w:val="1"/>
    </w:lvl>
  </w:abstractNum>
  <w:abstractNum w:abstractNumId="39">
    <w:nsid w:val="7E0C57B1"/>
    <w:multiLevelType w:val="hybridMultilevel"/>
    <w:lvl w:ilvl="0">
      <w:lvlJc w:val="left"/>
      <w:lvlText w:val="%1."/>
      <w:numFmt w:val="upperLetter"/>
      <w:start w:val="17"/>
    </w:lvl>
  </w:abstractNum>
  <w:abstractNum w:abstractNumId="40">
    <w:nsid w:val="77AE35EB"/>
    <w:multiLevelType w:val="hybridMultilevel"/>
    <w:lvl w:ilvl="0">
      <w:lvlJc w:val="left"/>
      <w:lvlText w:val="%1."/>
      <w:numFmt w:val="upperLetter"/>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lvl w:ilvl="1">
      <w:lvlJc w:val="left"/>
      <w:lvlText w:val="●"/>
      <w:numFmt w:val="bullet"/>
      <w:start w:val="1"/>
    </w:lvl>
  </w:abstractNum>
  <w:abstractNum w:abstractNumId="49">
    <w:nsid w:val="1381823A"/>
    <w:multiLevelType w:val="hybridMultilevel"/>
    <w:lvl w:ilvl="0">
      <w:lvlJc w:val="left"/>
      <w:lvlText w:val="●"/>
      <w:numFmt w:val="bullet"/>
      <w:start w:val="1"/>
    </w:lvl>
    <w:lvl w:ilvl="1">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lvl w:ilvl="1">
      <w:lvlJc w:val="left"/>
      <w:lvlText w:val=" "/>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3"/>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2021-04-21T15:34:40Z</dcterms:created>
  <dcterms:modified xsi:type="dcterms:W3CDTF">2021-04-21T15:34:40Z</dcterms:modified>
</cp:coreProperties>
</file>