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#09627Y109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6,031,110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6,032,679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6,032,679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10.126%</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6,032,679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6,032,679</w:t>
      </w:r>
    </w:p>
    <w:p>
      <w:pPr>
        <w:spacing w:after="0"/>
        <w:rPr>
          <w:sz w:val="20"/>
          <w:szCs w:val="20"/>
          <w:color w:val="auto"/>
        </w:rPr>
      </w:pPr>
      <w:r>
        <w:rPr>
          <w:rFonts w:ascii="Courier New" w:cs="Courier New" w:eastAsia="Courier New" w:hAnsi="Courier New"/>
          <w:sz w:val="18"/>
          <w:szCs w:val="18"/>
          <w:color w:val="auto"/>
        </w:rPr>
        <w:t>Item 11: 10.126%</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6,032,679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10.126%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6,032,679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9,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9, 2022, agree and consent to the joint filing on their behalf of this Schedule 13G in connection with their beneficial ownership of the COMMON STOCK of BLUEPRINT MEDICINES CORP at April 29,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2022-05-10T09:23:47Z</dcterms:created>
  <dcterms:modified xsi:type="dcterms:W3CDTF">2022-05-10T09:23:47Z</dcterms:modified>
</cp:coreProperties>
</file>