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Lengauer Christoph</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12/15/2015</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12/15/2015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6"/>
              </w:rPr>
              <w:t>500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102,834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12/16/2015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24,156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25.03</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7"/>
              </w:rPr>
              <w:t>78,678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12/17/2015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6,463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25.14</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7"/>
              </w:rPr>
              <w:t>72,215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0"/>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$25.00 to $25.09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$25.00 to $25.60 per share. The Reporting Person undertakes to provide to the Issuer, any security holder of the Issuer or the staff of the Securities and Exchange Commission, upon request, full information regarding the number of shares sold at each separate price within the range.</w:t>
      </w:r>
    </w:p>
    <w:tbl>
      <w:tblPr>
        <w:tblLayout w:type="fixed"/>
        <w:tblInd w:w="686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12/17/2015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9"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2019-12-09T02:37:12Z</dcterms:created>
  <dcterms:modified xsi:type="dcterms:W3CDTF">2019-12-09T02:37:12Z</dcterms:modified>
</cp:coreProperties>
</file>