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jc w:val="center"/>
        <w:ind w:right="-19"/>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423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301" w:lineRule="exact"/>
        <w:rPr>
          <w:sz w:val="24"/>
          <w:szCs w:val="24"/>
          <w:color w:val="auto"/>
        </w:rPr>
      </w:pPr>
    </w:p>
    <w:p>
      <w:pPr>
        <w:ind w:left="30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2015</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300"/>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42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BLUEPRINT MEDICINES CORPORATION</w:t>
      </w: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57" w:lineRule="exact"/>
        <w:rPr>
          <w:sz w:val="24"/>
          <w:szCs w:val="24"/>
          <w:color w:val="auto"/>
        </w:rPr>
      </w:pPr>
    </w:p>
    <w:tbl>
      <w:tblPr>
        <w:tblLayout w:type="fixed"/>
        <w:tblInd w:w="1300" w:type="dxa"/>
        <w:tblCellMar>
          <w:top w:w="0" w:type="dxa"/>
          <w:left w:w="0" w:type="dxa"/>
          <w:bottom w:w="0" w:type="dxa"/>
          <w:right w:w="0" w:type="dxa"/>
        </w:tblCellMar>
      </w:tblPr>
      <w:tr>
        <w:trPr>
          <w:trHeight w:val="171"/>
        </w:trPr>
        <w:tc>
          <w:tcPr>
            <w:tcW w:w="5860" w:type="dxa"/>
            <w:vAlign w:val="bottom"/>
          </w:tcPr>
          <w:p>
            <w:pPr>
              <w:jc w:val="center"/>
              <w:ind w:right="3299"/>
              <w:spacing w:after="0"/>
              <w:rPr>
                <w:sz w:val="20"/>
                <w:szCs w:val="20"/>
                <w:color w:val="auto"/>
              </w:rPr>
            </w:pPr>
            <w:r>
              <w:rPr>
                <w:rFonts w:ascii="Arial" w:cs="Arial" w:eastAsia="Arial" w:hAnsi="Arial"/>
                <w:sz w:val="14"/>
                <w:szCs w:val="14"/>
                <w:b w:val="1"/>
                <w:bCs w:val="1"/>
                <w:color w:val="auto"/>
                <w:w w:val="94"/>
              </w:rPr>
              <w:t>Delaware</w:t>
            </w: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26 3632015</w:t>
            </w:r>
          </w:p>
        </w:tc>
      </w:tr>
      <w:tr>
        <w:trPr>
          <w:trHeight w:val="122"/>
        </w:trPr>
        <w:tc>
          <w:tcPr>
            <w:tcW w:w="5860" w:type="dxa"/>
            <w:vAlign w:val="bottom"/>
          </w:tcPr>
          <w:p>
            <w:pPr>
              <w:jc w:val="center"/>
              <w:ind w:right="3319"/>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94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5860" w:type="dxa"/>
            <w:vAlign w:val="bottom"/>
          </w:tcPr>
          <w:p>
            <w:pPr>
              <w:jc w:val="center"/>
              <w:ind w:right="3319"/>
              <w:spacing w:after="0"/>
              <w:rPr>
                <w:sz w:val="20"/>
                <w:szCs w:val="20"/>
                <w:color w:val="auto"/>
              </w:rPr>
            </w:pPr>
            <w:r>
              <w:rPr>
                <w:rFonts w:ascii="Arial" w:cs="Arial" w:eastAsia="Arial" w:hAnsi="Arial"/>
                <w:sz w:val="11"/>
                <w:szCs w:val="11"/>
                <w:b w:val="1"/>
                <w:bCs w:val="1"/>
                <w:color w:val="auto"/>
                <w:w w:val="90"/>
              </w:rPr>
              <w:t>Incorporation or Organization)</w:t>
            </w:r>
          </w:p>
        </w:tc>
        <w:tc>
          <w:tcPr>
            <w:tcW w:w="940" w:type="dxa"/>
            <w:vAlign w:val="bottom"/>
          </w:tcPr>
          <w:p>
            <w:pPr>
              <w:jc w:val="center"/>
              <w:ind w:left="19"/>
              <w:spacing w:after="0"/>
              <w:rPr>
                <w:sz w:val="20"/>
                <w:szCs w:val="20"/>
                <w:color w:val="auto"/>
              </w:rPr>
            </w:pPr>
            <w:r>
              <w:rPr>
                <w:rFonts w:ascii="Arial" w:cs="Arial" w:eastAsia="Arial" w:hAnsi="Arial"/>
                <w:sz w:val="11"/>
                <w:szCs w:val="11"/>
                <w:b w:val="1"/>
                <w:bCs w:val="1"/>
                <w:color w:val="auto"/>
                <w:w w:val="92"/>
              </w:rPr>
              <w:t>Identification No.)</w:t>
            </w:r>
          </w:p>
        </w:tc>
      </w:tr>
      <w:tr>
        <w:trPr>
          <w:trHeight w:val="265"/>
        </w:trPr>
        <w:tc>
          <w:tcPr>
            <w:tcW w:w="5860" w:type="dxa"/>
            <w:vAlign w:val="bottom"/>
          </w:tcPr>
          <w:p>
            <w:pPr>
              <w:jc w:val="center"/>
              <w:ind w:right="3319"/>
              <w:spacing w:after="0"/>
              <w:rPr>
                <w:sz w:val="20"/>
                <w:szCs w:val="20"/>
                <w:color w:val="auto"/>
              </w:rPr>
            </w:pPr>
            <w:r>
              <w:rPr>
                <w:rFonts w:ascii="Arial" w:cs="Arial" w:eastAsia="Arial" w:hAnsi="Arial"/>
                <w:sz w:val="14"/>
                <w:szCs w:val="14"/>
                <w:b w:val="1"/>
                <w:bCs w:val="1"/>
                <w:color w:val="auto"/>
                <w:w w:val="92"/>
              </w:rPr>
              <w:t>215 First St., Cambridge, Massachusetts</w:t>
            </w:r>
          </w:p>
        </w:tc>
        <w:tc>
          <w:tcPr>
            <w:tcW w:w="940" w:type="dxa"/>
            <w:vAlign w:val="bottom"/>
          </w:tcPr>
          <w:p>
            <w:pPr>
              <w:jc w:val="right"/>
              <w:ind w:right="199"/>
              <w:spacing w:after="0"/>
              <w:rPr>
                <w:sz w:val="20"/>
                <w:szCs w:val="20"/>
                <w:color w:val="auto"/>
              </w:rPr>
            </w:pPr>
            <w:r>
              <w:rPr>
                <w:rFonts w:ascii="Arial" w:cs="Arial" w:eastAsia="Arial" w:hAnsi="Arial"/>
                <w:sz w:val="14"/>
                <w:szCs w:val="14"/>
                <w:b w:val="1"/>
                <w:bCs w:val="1"/>
                <w:color w:val="auto"/>
              </w:rPr>
              <w:t>02142</w:t>
            </w:r>
          </w:p>
        </w:tc>
      </w:tr>
      <w:tr>
        <w:trPr>
          <w:trHeight w:val="140"/>
        </w:trPr>
        <w:tc>
          <w:tcPr>
            <w:tcW w:w="5860" w:type="dxa"/>
            <w:vAlign w:val="bottom"/>
          </w:tcPr>
          <w:p>
            <w:pPr>
              <w:jc w:val="center"/>
              <w:ind w:right="3319"/>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940" w:type="dxa"/>
            <w:vAlign w:val="bottom"/>
          </w:tcPr>
          <w:p>
            <w:pPr>
              <w:jc w:val="center"/>
              <w:ind w:left="19"/>
              <w:spacing w:after="0"/>
              <w:rPr>
                <w:sz w:val="20"/>
                <w:szCs w:val="20"/>
                <w:color w:val="auto"/>
              </w:rPr>
            </w:pPr>
            <w:r>
              <w:rPr>
                <w:rFonts w:ascii="Arial" w:cs="Arial" w:eastAsia="Arial" w:hAnsi="Arial"/>
                <w:sz w:val="11"/>
                <w:szCs w:val="11"/>
                <w:b w:val="1"/>
                <w:bCs w:val="1"/>
                <w:color w:val="auto"/>
                <w:w w:val="91"/>
              </w:rPr>
              <w:t>(Zip Code)</w:t>
            </w:r>
          </w:p>
        </w:tc>
      </w:tr>
      <w:tr>
        <w:trPr>
          <w:trHeight w:val="279"/>
        </w:trPr>
        <w:tc>
          <w:tcPr>
            <w:tcW w:w="5860" w:type="dxa"/>
            <w:vAlign w:val="bottom"/>
          </w:tcPr>
          <w:p>
            <w:pPr>
              <w:jc w:val="center"/>
              <w:ind w:left="1579"/>
              <w:spacing w:after="0"/>
              <w:rPr>
                <w:sz w:val="20"/>
                <w:szCs w:val="20"/>
                <w:color w:val="auto"/>
              </w:rPr>
            </w:pPr>
            <w:r>
              <w:rPr>
                <w:rFonts w:ascii="Arial" w:cs="Arial" w:eastAsia="Arial" w:hAnsi="Arial"/>
                <w:sz w:val="14"/>
                <w:szCs w:val="14"/>
                <w:b w:val="1"/>
                <w:bCs w:val="1"/>
                <w:color w:val="auto"/>
                <w:w w:val="93"/>
              </w:rPr>
              <w:t>(617) 374-7580</w:t>
            </w:r>
          </w:p>
        </w:tc>
        <w:tc>
          <w:tcPr>
            <w:tcW w:w="940" w:type="dxa"/>
            <w:vAlign w:val="bottom"/>
          </w:tcPr>
          <w:p>
            <w:pPr>
              <w:spacing w:after="0"/>
              <w:rPr>
                <w:sz w:val="24"/>
                <w:szCs w:val="24"/>
                <w:color w:val="auto"/>
              </w:rPr>
            </w:pPr>
          </w:p>
        </w:tc>
      </w:tr>
      <w:tr>
        <w:trPr>
          <w:trHeight w:val="140"/>
        </w:trPr>
        <w:tc>
          <w:tcPr>
            <w:tcW w:w="5860" w:type="dxa"/>
            <w:vAlign w:val="bottom"/>
          </w:tcPr>
          <w:p>
            <w:pPr>
              <w:jc w:val="center"/>
              <w:ind w:left="1579"/>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40" w:type="dxa"/>
            <w:vAlign w:val="bottom"/>
          </w:tcPr>
          <w:p>
            <w:pPr>
              <w:spacing w:after="0"/>
              <w:rPr>
                <w:sz w:val="12"/>
                <w:szCs w:val="12"/>
                <w:color w:val="auto"/>
              </w:rPr>
            </w:pPr>
          </w:p>
        </w:tc>
      </w:tr>
      <w:tr>
        <w:trPr>
          <w:trHeight w:val="283"/>
        </w:trPr>
        <w:tc>
          <w:tcPr>
            <w:tcW w:w="5860" w:type="dxa"/>
            <w:vAlign w:val="bottom"/>
          </w:tcPr>
          <w:p>
            <w:pPr>
              <w:jc w:val="center"/>
              <w:ind w:left="1579"/>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21" w:lineRule="exact"/>
        <w:rPr>
          <w:sz w:val="24"/>
          <w:szCs w:val="24"/>
          <w:color w:val="auto"/>
        </w:rPr>
      </w:pPr>
    </w:p>
    <w:p>
      <w:pPr>
        <w:ind w:right="26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30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27" w:lineRule="exact"/>
        <w:rPr>
          <w:sz w:val="24"/>
          <w:szCs w:val="24"/>
          <w:color w:val="auto"/>
        </w:rPr>
      </w:pPr>
    </w:p>
    <w:p>
      <w:pPr>
        <w:ind w:firstLine="415"/>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60" w:type="dxa"/>
            <w:vAlign w:val="bottom"/>
          </w:tcPr>
          <w:p>
            <w:pPr>
              <w:spacing w:after="0"/>
              <w:rPr>
                <w:sz w:val="19"/>
                <w:szCs w:val="19"/>
                <w:color w:val="auto"/>
              </w:rPr>
            </w:pPr>
          </w:p>
        </w:tc>
        <w:tc>
          <w:tcPr>
            <w:tcW w:w="268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40" w:type="dxa"/>
            <w:vAlign w:val="bottom"/>
          </w:tcPr>
          <w:p>
            <w:pPr>
              <w:spacing w:after="0"/>
              <w:rPr>
                <w:sz w:val="21"/>
                <w:szCs w:val="21"/>
                <w:color w:val="auto"/>
              </w:rPr>
            </w:pPr>
          </w:p>
        </w:tc>
        <w:tc>
          <w:tcPr>
            <w:tcW w:w="2660" w:type="dxa"/>
            <w:vAlign w:val="bottom"/>
          </w:tcPr>
          <w:p>
            <w:pPr>
              <w:ind w:left="76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(Do not check if a smaller</w:t>
            </w:r>
          </w:p>
        </w:tc>
        <w:tc>
          <w:tcPr>
            <w:tcW w:w="2680" w:type="dxa"/>
            <w:vAlign w:val="bottom"/>
          </w:tcPr>
          <w:p>
            <w:pPr>
              <w:spacing w:after="0"/>
              <w:rPr>
                <w:sz w:val="21"/>
                <w:szCs w:val="21"/>
                <w:color w:val="auto"/>
              </w:rPr>
            </w:pPr>
          </w:p>
        </w:tc>
        <w:tc>
          <w:tcPr>
            <w:tcW w:w="8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60" w:type="dxa"/>
            <w:vAlign w:val="bottom"/>
          </w:tcPr>
          <w:p>
            <w:pPr>
              <w:ind w:left="760"/>
              <w:spacing w:after="0"/>
              <w:rPr>
                <w:sz w:val="20"/>
                <w:szCs w:val="20"/>
                <w:color w:val="auto"/>
              </w:rPr>
            </w:pPr>
            <w:r>
              <w:rPr>
                <w:rFonts w:ascii="Arial" w:cs="Arial" w:eastAsia="Arial" w:hAnsi="Arial"/>
                <w:sz w:val="14"/>
                <w:szCs w:val="14"/>
                <w:color w:val="auto"/>
              </w:rPr>
              <w:t>reporting company)</w:t>
            </w:r>
          </w:p>
        </w:tc>
        <w:tc>
          <w:tcPr>
            <w:tcW w:w="268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80" w:type="dxa"/>
            <w:vAlign w:val="bottom"/>
            <w:gridSpan w:val="3"/>
          </w:tcPr>
          <w:p>
            <w:pPr>
              <w:ind w:left="4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w:t>
            </w:r>
          </w:p>
        </w:tc>
        <w:tc>
          <w:tcPr>
            <w:tcW w:w="86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June 10, 2015: 27,111,402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293370</wp:posOffset>
            </wp:positionH>
            <wp:positionV relativeFrom="paragraph">
              <wp:posOffset>891540</wp:posOffset>
            </wp:positionV>
            <wp:extent cx="584835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10080"/>
          </w:cols>
          <w:pgMar w:left="900" w:top="220"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160" w:type="dxa"/>
            <w:vAlign w:val="bottom"/>
            <w:gridSpan w:val="8"/>
            <w:vMerge w:val="restart"/>
          </w:tcPr>
          <w:p>
            <w:pPr>
              <w:jc w:val="center"/>
              <w:ind w:right="1900"/>
              <w:spacing w:after="0"/>
              <w:rPr>
                <w:sz w:val="20"/>
                <w:szCs w:val="20"/>
                <w:color w:val="auto"/>
              </w:rPr>
            </w:pPr>
            <w:r>
              <w:rPr>
                <w:rFonts w:ascii="Arial" w:cs="Arial" w:eastAsia="Arial" w:hAnsi="Arial"/>
                <w:sz w:val="18"/>
                <w:szCs w:val="18"/>
                <w:color w:val="auto"/>
                <w:w w:val="97"/>
              </w:rPr>
              <w:t>Part I – FINANCIAL INFORMATION</w:t>
            </w: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160" w:type="dxa"/>
            <w:vAlign w:val="bottom"/>
            <w:gridSpan w:val="8"/>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160" w:type="dxa"/>
            <w:vAlign w:val="bottom"/>
            <w:gridSpan w:val="8"/>
            <w:vMerge w:val="continue"/>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auto"/>
              </w:rPr>
              <w:t>Item 1. Financial Statements (unaudited)</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60" w:type="dxa"/>
            <w:vAlign w:val="bottom"/>
            <w:gridSpan w:val="13"/>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2015 and December 31, 2014</w:t>
              </w:r>
            </w:hyperlink>
          </w:p>
        </w:tc>
        <w:tc>
          <w:tcPr>
            <w:tcW w:w="540" w:type="dxa"/>
            <w:vAlign w:val="bottom"/>
          </w:tcPr>
          <w:p>
            <w:pPr>
              <w:jc w:val="center"/>
              <w:spacing w:after="0" w:line="190" w:lineRule="exact"/>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for the three months ended March 31, 2015 and 2014</w:t>
              </w:r>
            </w:hyperlink>
          </w:p>
        </w:tc>
        <w:tc>
          <w:tcPr>
            <w:tcW w:w="1320" w:type="dxa"/>
            <w:vAlign w:val="bottom"/>
            <w:gridSpan w:val="2"/>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three months ended March 31, 2015 and 2014</w:t>
              </w:r>
            </w:hyperlink>
          </w:p>
        </w:tc>
        <w:tc>
          <w:tcPr>
            <w:tcW w:w="12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2. Management’s Discussion and Analysis of Financial Condition and Results of Operations</w:t>
              </w:r>
            </w:hyperlink>
          </w:p>
        </w:tc>
        <w:tc>
          <w:tcPr>
            <w:tcW w:w="1460" w:type="dxa"/>
            <w:vAlign w:val="bottom"/>
            <w:gridSpan w:val="3"/>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9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3560" w:type="dxa"/>
            <w:vAlign w:val="bottom"/>
            <w:gridSpan w:val="5"/>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4.</w:t>
              </w:r>
            </w:hyperlink>
          </w:p>
        </w:tc>
        <w:tc>
          <w:tcPr>
            <w:tcW w:w="7940" w:type="dxa"/>
            <w:vAlign w:val="bottom"/>
            <w:gridSpan w:val="14"/>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160" w:type="dxa"/>
            <w:vAlign w:val="bottom"/>
            <w:gridSpan w:val="8"/>
          </w:tcPr>
          <w:p>
            <w:pPr>
              <w:jc w:val="center"/>
              <w:ind w:right="1880"/>
              <w:spacing w:after="0"/>
              <w:rPr>
                <w:sz w:val="20"/>
                <w:szCs w:val="20"/>
                <w:color w:val="auto"/>
              </w:rPr>
            </w:pPr>
            <w:r>
              <w:rPr>
                <w:rFonts w:ascii="Arial" w:cs="Arial" w:eastAsia="Arial" w:hAnsi="Arial"/>
                <w:sz w:val="18"/>
                <w:szCs w:val="18"/>
                <w:color w:val="auto"/>
                <w:w w:val="96"/>
              </w:rPr>
              <w:t>Part II – OTHER INFORMATION</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540" w:type="dxa"/>
            <w:vAlign w:val="bottom"/>
          </w:tcPr>
          <w:p>
            <w:pPr>
              <w:spacing w:after="0" w:line="190"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1.</w:t>
              </w:r>
            </w:hyperlink>
          </w:p>
        </w:tc>
        <w:tc>
          <w:tcPr>
            <w:tcW w:w="7940" w:type="dxa"/>
            <w:vAlign w:val="bottom"/>
            <w:gridSpan w:val="14"/>
          </w:tcPr>
          <w:p>
            <w:pPr>
              <w:ind w:left="20"/>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540" w:type="dxa"/>
            <w:vAlign w:val="bottom"/>
          </w:tcPr>
          <w:p>
            <w:pPr>
              <w:jc w:val="center"/>
              <w:spacing w:after="0" w:line="190" w:lineRule="exact"/>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600" w:type="dxa"/>
            <w:vAlign w:val="bottom"/>
            <w:gridSpan w:val="9"/>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Item 2.</w:t>
              </w:r>
            </w:hyperlink>
          </w:p>
        </w:tc>
        <w:tc>
          <w:tcPr>
            <w:tcW w:w="7940" w:type="dxa"/>
            <w:vAlign w:val="bottom"/>
            <w:gridSpan w:val="14"/>
          </w:tcPr>
          <w:p>
            <w:pPr>
              <w:ind w:left="2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Exhibits</w:t>
              </w:r>
            </w:hyperlink>
          </w:p>
        </w:tc>
        <w:tc>
          <w:tcPr>
            <w:tcW w:w="3740" w:type="dxa"/>
            <w:vAlign w:val="bottom"/>
            <w:tcBorders>
              <w:top w:val="single" w:sz="8" w:color="0000EE"/>
            </w:tcBorders>
            <w:gridSpan w:val="5"/>
          </w:tcPr>
          <w:p>
            <w:pPr>
              <w:spacing w:after="0"/>
              <w:rPr>
                <w:sz w:val="17"/>
                <w:szCs w:val="17"/>
                <w:color w:val="auto"/>
              </w:rPr>
            </w:pPr>
          </w:p>
        </w:tc>
        <w:tc>
          <w:tcPr>
            <w:tcW w:w="3580" w:type="dxa"/>
            <w:vAlign w:val="bottom"/>
            <w:gridSpan w:val="6"/>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Signatures</w:t>
              </w:r>
            </w:hyperlink>
          </w:p>
        </w:tc>
        <w:tc>
          <w:tcPr>
            <w:tcW w:w="7720" w:type="dxa"/>
            <w:vAlign w:val="bottom"/>
            <w:gridSpan w:val="12"/>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gridSpan w:val="8"/>
          </w:tcPr>
          <w:p>
            <w:pPr>
              <w:jc w:val="center"/>
              <w:ind w:left="337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11" w:right="133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2"/>
        </w:trPr>
        <w:tc>
          <w:tcPr>
            <w:tcW w:w="7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8"/>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Unbilled accounts receivable</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52,180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48,274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4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1,295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55,910</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49,925</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60" w:type="dxa"/>
            <w:vAlign w:val="bottom"/>
          </w:tcPr>
          <w:p>
            <w:pPr>
              <w:spacing w:after="0"/>
              <w:rPr>
                <w:sz w:val="20"/>
                <w:szCs w:val="20"/>
                <w:color w:val="auto"/>
              </w:rPr>
            </w:pPr>
            <w:r>
              <w:rPr>
                <w:rFonts w:ascii="Arial" w:cs="Arial" w:eastAsia="Arial" w:hAnsi="Arial"/>
                <w:sz w:val="14"/>
                <w:szCs w:val="14"/>
                <w:color w:val="auto"/>
              </w:rPr>
              <w:t>Liabilities, convertible preferred stock and stockholders’ (deficit) equity</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2,334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tcPr>
          <w:p>
            <w:pPr>
              <w:ind w:left="220"/>
              <w:spacing w:after="0"/>
              <w:rPr>
                <w:sz w:val="20"/>
                <w:szCs w:val="20"/>
                <w:color w:val="auto"/>
              </w:rPr>
            </w:pPr>
            <w:r>
              <w:rPr>
                <w:rFonts w:ascii="Arial" w:cs="Arial" w:eastAsia="Arial" w:hAnsi="Arial"/>
                <w:sz w:val="14"/>
                <w:szCs w:val="14"/>
                <w:color w:val="auto"/>
              </w:rPr>
              <w:t>Deferred rent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liability</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tcPr>
          <w:p>
            <w:pPr>
              <w:ind w:left="220"/>
              <w:spacing w:after="0"/>
              <w:rPr>
                <w:sz w:val="20"/>
                <w:szCs w:val="20"/>
                <w:color w:val="auto"/>
              </w:rPr>
            </w:pPr>
            <w:r>
              <w:rPr>
                <w:rFonts w:ascii="Arial" w:cs="Arial" w:eastAsia="Arial" w:hAnsi="Arial"/>
                <w:sz w:val="14"/>
                <w:szCs w:val="14"/>
                <w:color w:val="auto"/>
              </w:rPr>
              <w:t>Current portion of deferred revenue</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5,375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term loan payable</w:t>
            </w: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6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14,630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6,764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liability, net of current portion</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tcPr>
          <w:p>
            <w:pPr>
              <w:spacing w:after="0"/>
              <w:rPr>
                <w:sz w:val="20"/>
                <w:szCs w:val="20"/>
                <w:color w:val="auto"/>
              </w:rPr>
            </w:pPr>
            <w:r>
              <w:rPr>
                <w:rFonts w:ascii="Arial" w:cs="Arial" w:eastAsia="Arial" w:hAnsi="Arial"/>
                <w:sz w:val="14"/>
                <w:szCs w:val="14"/>
                <w:color w:val="auto"/>
              </w:rPr>
              <w:t>Warrant liability</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net of current portion</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460" w:type="dxa"/>
            <w:vAlign w:val="bottom"/>
          </w:tcPr>
          <w:p>
            <w:pPr>
              <w:spacing w:after="0"/>
              <w:rPr>
                <w:sz w:val="20"/>
                <w:szCs w:val="20"/>
                <w:color w:val="auto"/>
              </w:rPr>
            </w:pPr>
            <w:r>
              <w:rPr>
                <w:rFonts w:ascii="Arial" w:cs="Arial" w:eastAsia="Arial" w:hAnsi="Arial"/>
                <w:sz w:val="14"/>
                <w:szCs w:val="14"/>
                <w:color w:val="auto"/>
              </w:rPr>
              <w:t>Term loan payable, net of current portion</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Other long term liabilities</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460" w:type="dxa"/>
            <w:vAlign w:val="bottom"/>
          </w:tcPr>
          <w:p>
            <w:pPr>
              <w:spacing w:after="0"/>
              <w:rPr>
                <w:sz w:val="20"/>
                <w:szCs w:val="20"/>
                <w:color w:val="auto"/>
              </w:rPr>
            </w:pPr>
            <w:r>
              <w:rPr>
                <w:rFonts w:ascii="Arial" w:cs="Arial" w:eastAsia="Arial" w:hAnsi="Arial"/>
                <w:sz w:val="14"/>
                <w:szCs w:val="14"/>
                <w:color w:val="auto"/>
              </w:rPr>
              <w:t>Commitments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46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Series A convertible preferred stock, $0.001 par value: 40,150,000 shares authorized; 40,000,000 shares issued and</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39,958</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39,958</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at March 31, 2015 and December 31, 2014 (liquidation preference of $49,027 at March 31, 2015)</w:t>
            </w: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460" w:type="dxa"/>
            <w:vAlign w:val="bottom"/>
          </w:tcPr>
          <w:p>
            <w:pPr>
              <w:spacing w:after="0" w:line="108" w:lineRule="exact"/>
              <w:rPr>
                <w:sz w:val="20"/>
                <w:szCs w:val="20"/>
                <w:color w:val="auto"/>
              </w:rPr>
            </w:pPr>
            <w:r>
              <w:rPr>
                <w:rFonts w:ascii="Arial" w:cs="Arial" w:eastAsia="Arial" w:hAnsi="Arial"/>
                <w:sz w:val="12"/>
                <w:szCs w:val="12"/>
                <w:color w:val="auto"/>
              </w:rPr>
              <w:t>Series B convertible preferred stock, $0.001 par value: 20,999,996 shares authorized; 20,916,663 shares issued and</w:t>
            </w: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24,985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24,985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460" w:type="dxa"/>
            <w:vAlign w:val="bottom"/>
          </w:tcPr>
          <w:p>
            <w:pPr>
              <w:ind w:left="140"/>
              <w:spacing w:after="0"/>
              <w:rPr>
                <w:sz w:val="20"/>
                <w:szCs w:val="20"/>
                <w:color w:val="auto"/>
              </w:rPr>
            </w:pPr>
            <w:r>
              <w:rPr>
                <w:rFonts w:ascii="Arial" w:cs="Arial" w:eastAsia="Arial" w:hAnsi="Arial"/>
                <w:sz w:val="14"/>
                <w:szCs w:val="14"/>
                <w:color w:val="auto"/>
              </w:rPr>
              <w:t>outstanding at March 31, 2015 and December 31, 2014 (liquidation preference of $27,570 at March 31, 2015)</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46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Series C convertible preferred stock, $0.001 par value: 24,154,589 shares authorized; 24,154,589 shares issued and</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49,865</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49,868</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at March 31, 2015 and December 31, 2014 (liquidation preference of $51,578 at March 31, 2015)</w:t>
            </w: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tcPr>
          <w:p>
            <w:pPr>
              <w:spacing w:after="0"/>
              <w:rPr>
                <w:sz w:val="20"/>
                <w:szCs w:val="20"/>
                <w:color w:val="auto"/>
              </w:rPr>
            </w:pPr>
            <w:r>
              <w:rPr>
                <w:rFonts w:ascii="Arial" w:cs="Arial" w:eastAsia="Arial" w:hAnsi="Arial"/>
                <w:sz w:val="14"/>
                <w:szCs w:val="14"/>
                <w:color w:val="auto"/>
              </w:rPr>
              <w:t>Stockholders’ deficit:</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46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Common stock, $0.001 par value; 110,000,000 shares authorized; 2,223,766 and 2,218,652 shares issued at March 31, 2015</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4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3"/>
              </w:rPr>
              <w:t>and December 31, 2014, respectively, and 1,731,437 and 1,626,738 shares outstanding at March 31, 2015 and December 31,</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2014, respectively</w:t>
            </w: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3,691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(93,778)</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(82,206)</w:t>
            </w:r>
          </w:p>
        </w:tc>
        <w:tc>
          <w:tcPr>
            <w:tcW w:w="0" w:type="dxa"/>
            <w:vAlign w:val="bottom"/>
          </w:tcPr>
          <w:p>
            <w:pPr>
              <w:spacing w:after="0"/>
              <w:rPr>
                <w:sz w:val="1"/>
                <w:szCs w:val="1"/>
                <w:color w:val="auto"/>
              </w:rPr>
            </w:pPr>
          </w:p>
        </w:tc>
      </w:tr>
      <w:tr>
        <w:trPr>
          <w:trHeight w:val="156"/>
        </w:trPr>
        <w:tc>
          <w:tcPr>
            <w:tcW w:w="74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deficit</w:t>
            </w: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(90,085)</w:t>
            </w:r>
          </w:p>
        </w:tc>
        <w:tc>
          <w:tcPr>
            <w:tcW w:w="1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(79,382)</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55,910</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49,925</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Statements of Operations</w:t>
      </w:r>
    </w:p>
    <w:p>
      <w:pPr>
        <w:jc w:val="center"/>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7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(11,572)</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dividends</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(13,842)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(8,276)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674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Weighted-average number of common shares used in net loss per share applicable to</w:t>
            </w:r>
          </w:p>
        </w:tc>
        <w:tc>
          <w:tcPr>
            <w:tcW w:w="6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1,285</w:t>
            </w: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140"/>
              <w:spacing w:after="0" w:line="189" w:lineRule="exact"/>
              <w:rPr>
                <w:sz w:val="20"/>
                <w:szCs w:val="20"/>
                <w:color w:val="auto"/>
              </w:rPr>
            </w:pPr>
            <w:r>
              <w:rPr>
                <w:rFonts w:ascii="Arial" w:cs="Arial" w:eastAsia="Arial" w:hAnsi="Arial"/>
                <w:sz w:val="18"/>
                <w:szCs w:val="18"/>
                <w:color w:val="auto"/>
              </w:rPr>
              <w:t>common stockholders — basic and diluted</w:t>
            </w:r>
          </w:p>
        </w:tc>
        <w:tc>
          <w:tcPr>
            <w:tcW w:w="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6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67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3"/>
                <w:szCs w:val="13"/>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(11,572)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(7,027)</w:t>
            </w: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in operating activities:</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 w:type="dxa"/>
            <w:vAlign w:val="bottom"/>
            <w:shd w:val="clear" w:color="auto" w:fill="CCEEFF"/>
          </w:tcPr>
          <w:p>
            <w:pPr>
              <w:spacing w:after="0"/>
              <w:rPr>
                <w:sz w:val="18"/>
                <w:szCs w:val="18"/>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Unbilled accounts receivable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r>
      <w:tr>
        <w:trPr>
          <w:trHeight w:val="216"/>
        </w:trPr>
        <w:tc>
          <w:tcPr>
            <w:tcW w:w="67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ind w:left="320"/>
              <w:spacing w:after="0"/>
              <w:rPr>
                <w:sz w:val="20"/>
                <w:szCs w:val="20"/>
                <w:color w:val="auto"/>
              </w:rPr>
            </w:pPr>
            <w:r>
              <w:rPr>
                <w:rFonts w:ascii="Arial" w:cs="Arial" w:eastAsia="Arial" w:hAnsi="Arial"/>
                <w:sz w:val="18"/>
                <w:szCs w:val="18"/>
                <w:color w:val="auto"/>
              </w:rPr>
              <w:t>Deferred rent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(6,610)</w:t>
            </w:r>
          </w:p>
        </w:tc>
        <w:tc>
          <w:tcPr>
            <w:tcW w:w="40" w:type="dxa"/>
            <w:vAlign w:val="bottom"/>
            <w:tcBorders>
              <w:top w:val="single" w:sz="8" w:color="CCEEFF"/>
            </w:tcBorders>
            <w:shd w:val="clear" w:color="auto" w:fill="CCEEFF"/>
          </w:tcPr>
          <w:p>
            <w:pPr>
              <w:spacing w:after="0"/>
              <w:rPr>
                <w:sz w:val="18"/>
                <w:szCs w:val="18"/>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tcBorders>
              <w:top w:val="single" w:sz="8" w:color="CCEEFF"/>
            </w:tcBorders>
            <w:shd w:val="clear" w:color="auto" w:fill="CCEEFF"/>
          </w:tcPr>
          <w:p>
            <w:pPr>
              <w:spacing w:after="0"/>
              <w:rPr>
                <w:sz w:val="18"/>
                <w:szCs w:val="18"/>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loan payable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w w:val="98"/>
              </w:rPr>
              <w:t>Proceeds from issuance of Series B convertible preferred stock, net of issuance costs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24,986</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 issuance costs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7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24,986</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18,282</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40" w:type="dxa"/>
            <w:vAlign w:val="bottom"/>
            <w:tcBorders>
              <w:bottom w:val="single" w:sz="8" w:color="CCEEFF"/>
            </w:tcBorders>
          </w:tcPr>
          <w:p>
            <w:pPr>
              <w:spacing w:after="0"/>
              <w:rPr>
                <w:sz w:val="18"/>
                <w:szCs w:val="18"/>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20,269</w:t>
            </w:r>
          </w:p>
        </w:tc>
        <w:tc>
          <w:tcPr>
            <w:tcW w:w="40" w:type="dxa"/>
            <w:vAlign w:val="bottom"/>
            <w:shd w:val="clear" w:color="auto" w:fill="CCEEFF"/>
          </w:tcPr>
          <w:p>
            <w:pPr>
              <w:spacing w:after="0"/>
              <w:rPr>
                <w:sz w:val="19"/>
                <w:szCs w:val="19"/>
                <w:color w:val="auto"/>
              </w:rPr>
            </w:pPr>
          </w:p>
        </w:tc>
      </w:tr>
      <w:tr>
        <w:trPr>
          <w:trHeight w:val="163"/>
        </w:trPr>
        <w:tc>
          <w:tcPr>
            <w:tcW w:w="672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6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223"/>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Public offering costs incurred but unpaid at period end</w:t>
            </w:r>
          </w:p>
        </w:tc>
        <w:tc>
          <w:tcPr>
            <w:tcW w:w="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Blueprint Medicines Corporation</w:t>
      </w:r>
    </w:p>
    <w:p>
      <w:pPr>
        <w:jc w:val="center"/>
        <w:ind w:right="-39"/>
        <w:spacing w:after="0" w:line="203" w:lineRule="auto"/>
        <w:rPr>
          <w:sz w:val="20"/>
          <w:szCs w:val="20"/>
          <w:color w:val="auto"/>
        </w:rPr>
      </w:pPr>
      <w:r>
        <w:rPr>
          <w:rFonts w:ascii="Arial" w:cs="Arial" w:eastAsia="Arial" w:hAnsi="Arial"/>
          <w:sz w:val="18"/>
          <w:szCs w:val="18"/>
          <w:b w:val="1"/>
          <w:bCs w:val="1"/>
          <w:color w:val="auto"/>
        </w:rPr>
        <w:t>Notes to Financial Statements</w:t>
      </w: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genomically defined diseases and to craft drug candidates with therapeutic windows that provide significant and durable clinical response to patients.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compounds; the need to develop commercially viable drugs; competition from other companies, many of which are larger and better capitalized; and the need to obtain adequate additional financing to fund the development of its drugs.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2"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On May 5, 2015, the Company completed the sale of 9,367,708 shares of its common stock (inclusive of 1,221,874 shares of common stock sold by the Company pursuant to the full exercise of an option to purchase additional shares granted to the underwriters in connection with the offering) in an initial public offering (IPO) at a price to the public of $18.00 per share, resulting in net proceeds of $154.2 million after deducting underwriting discounts and commissions and estimated offering costs payable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The unaudited interim condensed financial statements of the Company included herein have been prepared in accordance with accounting principles generally accepted in the United States (GAAP) as found in the Accounting Standards Codification (ASC) and Accounting Standards Update (ASU) of the Financial Accounting Standards Board (FASB).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2014 and notes thereto, included in the Company’s prospectus filed with the SEC pursuant to Rule 424(b)(4) on April 30, 2015 (the Prospectus).</w:t>
      </w:r>
    </w:p>
    <w:p>
      <w:pPr>
        <w:spacing w:after="0" w:line="122"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The unaudited interim condensed financial statements have been prepared on the same basis as the audited financial statements. In the opinion of the Company’s management, the accompanying unaudited interim condensed financial statements contain all adjustments which are necessary to present fairly the Company’s financial position as of March 31, 2015 and the results of its operations and cash flows for the three months ended March 31, 2015 and 2014. Such adjustments are of a normal and recurring nature. The results for the three months ended March 31, 2015 are not necessarily indicative of the results for the year ending December 31, 2015, or for any future period.</w:t>
      </w:r>
    </w:p>
    <w:p>
      <w:pPr>
        <w:spacing w:after="0" w:line="12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In connection with preparing for its IPO, the Company effected a 1</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7"/>
          <w:szCs w:val="17"/>
          <w:color w:val="auto"/>
        </w:rPr>
        <w:t>‑</w:t>
      </w:r>
      <w:r>
        <w:rPr>
          <w:rFonts w:ascii="Arial" w:cs="Arial" w:eastAsia="Arial" w:hAnsi="Arial"/>
          <w:sz w:val="17"/>
          <w:szCs w:val="17"/>
          <w:color w:val="auto"/>
        </w:rPr>
        <w:t>in capital. Upon the closing of the IPO, all of the Company’s outstanding convertible preferred stock automatically converted into 15,467,479 shares of common stock; and warrants exercisable for convertible preferred stock were automatically converted into warrants exercisable for 42,423 shares of common stock. Additionally, the Company is now authorized to issue 120,000,000 shares of common stock and 5,000,000 shares of preferred stock. The significant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increase in shares outstanding in April 2015 is expected to impact the year-over-year comparability of the Company’s net loss per share calculations over the next year.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including estimating the fair value of the Company’s common stock (the Common Stock); revenue recognition; the valuation of liability</w:t>
      </w:r>
      <w:r>
        <w:rPr>
          <w:rFonts w:ascii="MS PGothic" w:cs="MS PGothic" w:eastAsia="MS PGothic" w:hAnsi="MS PGothic"/>
          <w:sz w:val="17"/>
          <w:szCs w:val="17"/>
          <w:color w:val="auto"/>
        </w:rPr>
        <w:t>‑</w:t>
      </w:r>
      <w:r>
        <w:rPr>
          <w:rFonts w:ascii="Arial" w:cs="Arial" w:eastAsia="Arial" w:hAnsi="Arial"/>
          <w:sz w:val="17"/>
          <w:szCs w:val="17"/>
          <w:color w:val="auto"/>
        </w:rPr>
        <w:t>classified warrants; accrued expenses; and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 xml:space="preserve">The Company recognizes revenue from license and collaboration agreements in accordance with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Accordingly, revenue is recognized when all of the following criteria are met:</w:t>
      </w:r>
    </w:p>
    <w:p>
      <w:pPr>
        <w:spacing w:after="0" w:line="68" w:lineRule="exact"/>
        <w:rPr>
          <w:sz w:val="20"/>
          <w:szCs w:val="20"/>
          <w:color w:val="auto"/>
        </w:rPr>
      </w:pPr>
    </w:p>
    <w:p>
      <w:pPr>
        <w:ind w:left="780" w:hanging="12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760" w:hanging="109"/>
        <w:spacing w:after="0" w:line="20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740" w:hanging="89"/>
        <w:spacing w:after="0" w:line="20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820" w:hanging="16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09"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Amounts received prior to satisfying the revenue recognition criteria are recognized as deferred revenue in the Company’s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14"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The Company’s revenue is currently generated through its collaboration agreement with Alexion Pharma Holding (Alexion). The terms of this agreement contains multiple elements, or deliverables, including an exclusive license to research, develop, manufacture and commercialize the licensed products and the compounds in the field in the territory, as well as research and development activities to be performed by the Company on behalf of Alexion related to the licensed product candidates. In addition, the terms of this agreement include payments to the Company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the Company has received the upfront payment and is due certain research and development service payments but has not received any milestone payments or earned royalty revenue as a result of product sales. See Note 9 for additional information on this agreement.</w:t>
      </w:r>
    </w:p>
    <w:p>
      <w:pPr>
        <w:spacing w:after="0" w:line="12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When evaluating multiple element arrangements,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deliverable(s) for their intended purpose without the receipt of the remaining element(s), whether the value of the deliverable is dependent on the undelivered item(s) and whether there are other vendors that can provide the undelivered element(s). The Company’s collaboration agreement with Alexion does not contain a general right of return relative to the delivered item(s).</w:t>
      </w:r>
    </w:p>
    <w:p>
      <w:pPr>
        <w:spacing w:after="0" w:line="120"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The Company 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uses BESP to estimate the selling price, since it generally does not have VSOE or TPE of selling price for its units of accounting.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26"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the Company recognizes revenue from the combined element over the period over which it expects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the Company recognizes revenue under the arrangement using the proportional performance method. If there is no discernible pattern of performance and/or objectively measurable performance measures do not exist, then the Company recognizes revenue under the arrangement on a straight-line basis over the period the Company is expected to complete its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22" w:lineRule="exact"/>
        <w:rPr>
          <w:sz w:val="20"/>
          <w:szCs w:val="20"/>
          <w:color w:val="auto"/>
        </w:rPr>
      </w:pPr>
    </w:p>
    <w:p>
      <w:pPr>
        <w:ind w:right="2500" w:firstLine="648"/>
        <w:spacing w:after="0" w:line="407" w:lineRule="auto"/>
        <w:rPr>
          <w:sz w:val="20"/>
          <w:szCs w:val="20"/>
          <w:color w:val="auto"/>
        </w:rPr>
      </w:pPr>
      <w:r>
        <w:rPr>
          <w:rFonts w:ascii="Arial" w:cs="Arial" w:eastAsia="Arial" w:hAnsi="Arial"/>
          <w:sz w:val="18"/>
          <w:szCs w:val="18"/>
          <w:color w:val="auto"/>
        </w:rPr>
        <w:t xml:space="preserve">The Company’s multiple-element revenue arrangements may include the following </w:t>
      </w:r>
      <w:r>
        <w:rPr>
          <w:rFonts w:ascii="Arial" w:cs="Arial" w:eastAsia="Arial" w:hAnsi="Arial"/>
          <w:sz w:val="18"/>
          <w:szCs w:val="18"/>
          <w:i w:val="1"/>
          <w:iCs w:val="1"/>
          <w:color w:val="auto"/>
        </w:rPr>
        <w:t>Exclusive Licenses</w:t>
      </w:r>
    </w:p>
    <w:p>
      <w:pPr>
        <w:ind w:right="40" w:firstLine="648"/>
        <w:spacing w:after="0" w:line="237" w:lineRule="auto"/>
        <w:rPr>
          <w:sz w:val="20"/>
          <w:szCs w:val="20"/>
          <w:color w:val="auto"/>
        </w:rPr>
      </w:pPr>
      <w:r>
        <w:rPr>
          <w:rFonts w:ascii="Arial" w:cs="Arial" w:eastAsia="Arial" w:hAnsi="Arial"/>
          <w:sz w:val="16"/>
          <w:szCs w:val="16"/>
          <w:color w:val="auto"/>
        </w:rPr>
        <w:t>The deliverables under the Company’s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The Company may recognize the arrangement consideration allocated to licenses upon delivery of the license if facts and circumstances indicate that the license has stand-alone value from the undelivered elements, which generally include research and development services. The Company defers arrangement consideration allocated to licenses if facts and circumstances indicate that the delivered license does not have stand-alone value from the undelivered elements.</w:t>
      </w:r>
    </w:p>
    <w:p>
      <w:pPr>
        <w:spacing w:after="0" w:line="127" w:lineRule="exact"/>
        <w:rPr>
          <w:sz w:val="20"/>
          <w:szCs w:val="20"/>
          <w:color w:val="auto"/>
        </w:rPr>
      </w:pPr>
    </w:p>
    <w:p>
      <w:pPr>
        <w:ind w:right="180" w:firstLine="648"/>
        <w:spacing w:after="0" w:line="244" w:lineRule="auto"/>
        <w:rPr>
          <w:sz w:val="20"/>
          <w:szCs w:val="20"/>
          <w:color w:val="auto"/>
        </w:rPr>
      </w:pPr>
      <w:r>
        <w:rPr>
          <w:rFonts w:ascii="Arial" w:cs="Arial" w:eastAsia="Arial" w:hAnsi="Arial"/>
          <w:sz w:val="16"/>
          <w:szCs w:val="16"/>
          <w:color w:val="auto"/>
        </w:rPr>
        <w:t>When management believes a license does not have stand-alone value from the other deliverables to be provided in the arrangement, the Company recognizes revenue attributed to the license on a proportional basis over the Company’s contractual or estimated performance period, which is typically the term of the Company’s research and development obligations. If management cannot reasonably estimate when the Company’s performance obligation ends, then revenue is deferred until management can reasonably estimate when the performance obligation ends. The periods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144" w:lineRule="exact"/>
        <w:rPr>
          <w:sz w:val="20"/>
          <w:szCs w:val="20"/>
          <w:color w:val="auto"/>
        </w:rPr>
      </w:pPr>
    </w:p>
    <w:p>
      <w:pPr>
        <w:jc w:val="both"/>
        <w:ind w:right="180" w:firstLine="648"/>
        <w:spacing w:after="0" w:line="216" w:lineRule="auto"/>
        <w:rPr>
          <w:sz w:val="20"/>
          <w:szCs w:val="20"/>
          <w:color w:val="auto"/>
        </w:rPr>
      </w:pPr>
      <w:r>
        <w:rPr>
          <w:rFonts w:ascii="Arial" w:cs="Arial" w:eastAsia="Arial" w:hAnsi="Arial"/>
          <w:sz w:val="18"/>
          <w:szCs w:val="18"/>
          <w:color w:val="auto"/>
        </w:rPr>
        <w:t>The deliverables under the Company’s collaboration agreements may include 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so long as there is persuasive evidence of an arrangement, the fee is fixed or determinable, and collection of the related amount is reasonably assured.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44"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The Company’s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220" w:firstLine="324"/>
        <w:spacing w:after="0" w:line="224"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380" w:right="160" w:hanging="53"/>
        <w:spacing w:after="0" w:line="224" w:lineRule="auto"/>
        <w:rPr>
          <w:sz w:val="20"/>
          <w:szCs w:val="20"/>
          <w:color w:val="auto"/>
        </w:rPr>
      </w:pPr>
      <w:r>
        <w:rPr>
          <w:rFonts w:ascii="Arial" w:cs="Arial" w:eastAsia="Arial" w:hAnsi="Arial"/>
          <w:sz w:val="18"/>
          <w:szCs w:val="18"/>
          <w:color w:val="auto"/>
        </w:rPr>
        <w:t>·the consideration is commensurate with either the Company’s performance to achieve the milestone or the enhancement of the value of the delivered item(s) as a result of a specific outcome resulting from the Company’s performance to achieve the milestone;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the consideration relates solely to past performance; and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44" w:lineRule="exact"/>
        <w:rPr>
          <w:sz w:val="20"/>
          <w:szCs w:val="20"/>
          <w:color w:val="auto"/>
        </w:rPr>
      </w:pPr>
    </w:p>
    <w:p>
      <w:pPr>
        <w:ind w:right="80" w:firstLine="324"/>
        <w:spacing w:after="0" w:line="225" w:lineRule="auto"/>
        <w:rPr>
          <w:sz w:val="20"/>
          <w:szCs w:val="20"/>
          <w:color w:val="auto"/>
        </w:rPr>
      </w:pPr>
      <w:r>
        <w:rPr>
          <w:rFonts w:ascii="Arial" w:cs="Arial" w:eastAsia="Arial" w:hAnsi="Arial"/>
          <w:sz w:val="17"/>
          <w:szCs w:val="17"/>
          <w:color w:val="auto"/>
        </w:rPr>
        <w:t>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assuming all other revenue recognition criteria are met.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jc w:val="both"/>
        <w:ind w:right="520" w:firstLine="324"/>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Cash equivalents are highly liquid investments that are readily convertible into cash with original maturities of three months or less when purchased. These assets include an investment in a money market fund that invests in U.S. Treasury obligations. Cash equivalents consist of the following at March 31, 2015 and December 31, 2014 (in thousands):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80" w:type="dxa"/>
            <w:vAlign w:val="bottom"/>
          </w:tcPr>
          <w:p>
            <w:pPr>
              <w:spacing w:after="0"/>
              <w:rPr>
                <w:sz w:val="15"/>
                <w:szCs w:val="15"/>
                <w:color w:val="auto"/>
              </w:rPr>
            </w:pPr>
          </w:p>
        </w:tc>
      </w:tr>
      <w:tr>
        <w:trPr>
          <w:trHeight w:val="171"/>
        </w:trPr>
        <w:tc>
          <w:tcPr>
            <w:tcW w:w="2980" w:type="dxa"/>
            <w:vAlign w:val="bottom"/>
          </w:tcPr>
          <w:p>
            <w:pPr>
              <w:spacing w:after="0"/>
              <w:rPr>
                <w:sz w:val="14"/>
                <w:szCs w:val="14"/>
                <w:color w:val="auto"/>
              </w:rPr>
            </w:pPr>
          </w:p>
        </w:tc>
        <w:tc>
          <w:tcPr>
            <w:tcW w:w="3240" w:type="dxa"/>
            <w:vAlign w:val="bottom"/>
            <w:gridSpan w:val="2"/>
          </w:tcPr>
          <w:p>
            <w:pPr>
              <w:jc w:val="center"/>
              <w:ind w:left="2299"/>
              <w:spacing w:after="0"/>
              <w:rPr>
                <w:sz w:val="20"/>
                <w:szCs w:val="20"/>
                <w:color w:val="auto"/>
              </w:rPr>
            </w:pPr>
            <w:r>
              <w:rPr>
                <w:rFonts w:ascii="Arial" w:cs="Arial" w:eastAsia="Arial" w:hAnsi="Arial"/>
                <w:sz w:val="14"/>
                <w:szCs w:val="14"/>
                <w:b w:val="1"/>
                <w:bCs w:val="1"/>
                <w:color w:val="auto"/>
                <w:w w:val="96"/>
              </w:rPr>
              <w:t>2015</w:t>
            </w:r>
          </w:p>
        </w:tc>
        <w:tc>
          <w:tcPr>
            <w:tcW w:w="10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9"/>
              </w:rPr>
              <w:t>2014</w:t>
            </w:r>
          </w:p>
        </w:tc>
        <w:tc>
          <w:tcPr>
            <w:tcW w:w="1880" w:type="dxa"/>
            <w:vAlign w:val="bottom"/>
          </w:tcPr>
          <w:p>
            <w:pPr>
              <w:spacing w:after="0"/>
              <w:rPr>
                <w:sz w:val="14"/>
                <w:szCs w:val="14"/>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2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50,298</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center"/>
              <w:ind w:right="19"/>
              <w:spacing w:after="0"/>
              <w:rPr>
                <w:sz w:val="20"/>
                <w:szCs w:val="20"/>
                <w:color w:val="auto"/>
              </w:rPr>
            </w:pPr>
            <w:r>
              <w:rPr>
                <w:rFonts w:ascii="Arial" w:cs="Arial" w:eastAsia="Arial" w:hAnsi="Arial"/>
                <w:sz w:val="18"/>
                <w:szCs w:val="18"/>
                <w:color w:val="auto"/>
                <w:w w:val="99"/>
              </w:rPr>
              <w:t>$   47,240</w:t>
            </w:r>
          </w:p>
        </w:tc>
        <w:tc>
          <w:tcPr>
            <w:tcW w:w="1880" w:type="dxa"/>
            <w:vAlign w:val="bottom"/>
          </w:tcPr>
          <w:p>
            <w:pPr>
              <w:spacing w:after="0"/>
              <w:rPr>
                <w:sz w:val="18"/>
                <w:szCs w:val="18"/>
                <w:color w:val="auto"/>
              </w:rPr>
            </w:pPr>
          </w:p>
        </w:tc>
      </w:tr>
      <w:tr>
        <w:trPr>
          <w:trHeight w:val="810"/>
        </w:trPr>
        <w:tc>
          <w:tcPr>
            <w:tcW w:w="2980" w:type="dxa"/>
            <w:vAlign w:val="bottom"/>
          </w:tcPr>
          <w:p>
            <w:pPr>
              <w:spacing w:after="0"/>
              <w:rPr>
                <w:sz w:val="24"/>
                <w:szCs w:val="24"/>
                <w:color w:val="auto"/>
              </w:rPr>
            </w:pPr>
          </w:p>
        </w:tc>
        <w:tc>
          <w:tcPr>
            <w:tcW w:w="2380" w:type="dxa"/>
            <w:vAlign w:val="bottom"/>
          </w:tcPr>
          <w:p>
            <w:pPr>
              <w:jc w:val="right"/>
              <w:ind w:right="659"/>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1"/>
        </w:trPr>
        <w:tc>
          <w:tcPr>
            <w:tcW w:w="298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23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11" w:right="1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sz w:val="20"/>
          <w:szCs w:val="20"/>
          <w:color w:val="auto"/>
        </w:rPr>
      </w:pPr>
    </w:p>
    <w:p>
      <w:pPr>
        <w:ind w:left="660" w:right="20"/>
        <w:spacing w:after="0" w:line="235" w:lineRule="auto"/>
        <w:rPr>
          <w:sz w:val="20"/>
          <w:szCs w:val="20"/>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sz w:val="20"/>
          <w:szCs w:val="20"/>
          <w:color w:val="auto"/>
        </w:rPr>
      </w:pPr>
    </w:p>
    <w:p>
      <w:pPr>
        <w:jc w:val="both"/>
        <w:ind w:left="660" w:right="280"/>
        <w:spacing w:after="0" w:line="238" w:lineRule="auto"/>
        <w:rPr>
          <w:sz w:val="20"/>
          <w:szCs w:val="20"/>
          <w:color w:val="auto"/>
        </w:rPr>
      </w:pPr>
      <w:r>
        <w:rPr>
          <w:rFonts w:ascii="Arial" w:cs="Arial" w:eastAsia="Arial" w:hAnsi="Arial"/>
          <w:sz w:val="17"/>
          <w:szCs w:val="17"/>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80"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Financial instruments measured at fair value as of March 31, 2015, are classified below based on the fair value hierarchy described above: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Unobservable</w:t>
            </w:r>
          </w:p>
        </w:tc>
      </w:tr>
      <w:tr>
        <w:trPr>
          <w:trHeight w:val="176"/>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Borders>
              <w:bottom w:val="single" w:sz="8" w:color="CCEEFF"/>
            </w:tcBorders>
          </w:tcPr>
          <w:p>
            <w:pPr>
              <w:spacing w:after="0"/>
              <w:rPr>
                <w:sz w:val="14"/>
                <w:szCs w:val="14"/>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included in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50,298</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Preferred stock warrants</w:t>
            </w: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r>
    </w:tbl>
    <w:p>
      <w:pPr>
        <w:spacing w:after="0" w:line="269"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2014, are classified below based on the fair value hierarchy described above: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Unobservable</w:t>
            </w:r>
          </w:p>
        </w:tc>
      </w:tr>
      <w:tr>
        <w:trPr>
          <w:trHeight w:val="176"/>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Borders>
              <w:bottom w:val="single" w:sz="8" w:color="CCEEFF"/>
            </w:tcBorders>
          </w:tcPr>
          <w:p>
            <w:pPr>
              <w:spacing w:after="0"/>
              <w:rPr>
                <w:sz w:val="14"/>
                <w:szCs w:val="14"/>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included in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47,240</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Preferred stock warrants</w:t>
            </w: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r>
    </w:tbl>
    <w:p>
      <w:pPr>
        <w:spacing w:after="0" w:line="269"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At March 31, 2015 and December 31, 2014, all of the Company’s cash equivalents comprise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 The fair value of the preferred stock warrant liability was determined based on Level 3 inputs and utilizing the Black</w:t>
      </w:r>
      <w:r>
        <w:rPr>
          <w:rFonts w:ascii="MS PGothic" w:cs="MS PGothic" w:eastAsia="MS PGothic" w:hAnsi="MS PGothic"/>
          <w:sz w:val="16"/>
          <w:szCs w:val="16"/>
          <w:color w:val="auto"/>
        </w:rPr>
        <w:t>‑</w:t>
      </w:r>
      <w:r>
        <w:rPr>
          <w:rFonts w:ascii="Arial" w:cs="Arial" w:eastAsia="Arial" w:hAnsi="Arial"/>
          <w:sz w:val="16"/>
          <w:szCs w:val="16"/>
          <w:color w:val="auto"/>
        </w:rPr>
        <w:t xml:space="preserve"> Scholes option pricing model (Note 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financings as other assets until such financings are consummated. After consummation of the equity financing, these costs are recorded in stockholders’ equity (deficit) as a reduction of additional paid-in capital generated as a result of the offering. As of March 31, 2015 and December 31, 2014, the Company recorded $1,093 and $91, respectively, of deferred offering costs, included in other assets in the accompanying balance sheet, in contemplation of its IPO.</w:t>
      </w:r>
    </w:p>
    <w:p>
      <w:pPr>
        <w:spacing w:after="0" w:line="159" w:lineRule="exact"/>
        <w:rPr>
          <w:sz w:val="20"/>
          <w:szCs w:val="20"/>
          <w:color w:val="auto"/>
        </w:rPr>
      </w:pPr>
    </w:p>
    <w:p>
      <w:pPr>
        <w:ind w:right="740" w:firstLine="648"/>
        <w:spacing w:after="0" w:line="235"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the Company’s Prospectus.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May 2014, the FASB issued ASU No. 2014-09, Revenue from Contracts with Customers (ASU 2014-09), which supersedes the revenue recognition requirements in ASC 605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is expected to be effective for annual reporting periods (including interim reporting periods within those years) beginning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has not yet determined the potential effects of the adoption of this standard on its consolidated financial position, results of operations or cash flows.</w:t>
      </w:r>
    </w:p>
    <w:p>
      <w:pPr>
        <w:spacing w:after="0" w:line="125"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 xml:space="preserve">On April 7,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2015-03),which requires debt issuance costs to be presented in the balance sheet as a direct deduction from the carrying value of the associated debt liability, consistent with the presentation of a debt discount. ASU 2015-03 will be effective for the Company on January 1, 2016, with early adoption permitted. ASU 2015-03 will be applied on a retrospective basis. The Company is currently assessing the potential impact of the adoption of ASU 2015-03 on its financial statements.</w:t>
      </w:r>
    </w:p>
    <w:p>
      <w:pPr>
        <w:spacing w:after="0" w:line="118"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Company is in process of evaluating the new guidance and determining the expected effect on its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w:t>
      </w:r>
    </w:p>
    <w:p>
      <w:pPr>
        <w:spacing w:after="0" w:line="189" w:lineRule="exact"/>
        <w:rPr>
          <w:sz w:val="20"/>
          <w:szCs w:val="20"/>
          <w:color w:val="auto"/>
        </w:rPr>
      </w:pPr>
    </w:p>
    <w:p>
      <w:pPr>
        <w:ind w:right="60" w:firstLine="648"/>
        <w:spacing w:after="0" w:line="178" w:lineRule="exact"/>
        <w:rPr>
          <w:sz w:val="20"/>
          <w:szCs w:val="20"/>
          <w:color w:val="auto"/>
        </w:rPr>
      </w:pPr>
      <w:r>
        <w:rPr>
          <w:rFonts w:ascii="Arial" w:cs="Arial" w:eastAsia="Arial" w:hAnsi="Arial"/>
          <w:sz w:val="16"/>
          <w:szCs w:val="16"/>
          <w:color w:val="auto"/>
        </w:rPr>
        <w:t>At March 31, 2015 and December 31, 2014, $1.5 million and $0.2 million, respectively, of the Company’s cash is restricted by a bank. As of March 31, 2015, $0.1 million of the restricted cash is included in current assets as collateral for a stand</w:t>
      </w:r>
      <w:r>
        <w:rPr>
          <w:rFonts w:ascii="MS PGothic" w:cs="MS PGothic" w:eastAsia="MS PGothic" w:hAnsi="MS PGothic"/>
          <w:sz w:val="16"/>
          <w:szCs w:val="16"/>
          <w:color w:val="auto"/>
        </w:rPr>
        <w:t>‑</w:t>
      </w:r>
      <w:r>
        <w:rPr>
          <w:rFonts w:ascii="Arial" w:cs="Arial" w:eastAsia="Arial" w:hAnsi="Arial"/>
          <w:sz w:val="16"/>
          <w:szCs w:val="16"/>
          <w:color w:val="auto"/>
        </w:rPr>
        <w:t>by letter of credit issued by the Company to its landlord in connection with the lease of the Company’s corporate headquarters. On February 12, 2015, the Company entered into a lease for approximately 38,500 rentable square feet of office and laboratory space in Cambridge, Massachusetts, with a lease term commencing June 15, 2015 and ending on October 31, 2022, assuming occupancy in October 2015. The lease agreement required the Company to pay a security deposit of $1.3 million, which is included in long-term assets on the Company’s balance sheet as of March 31, 2015. In addition,</w:t>
      </w:r>
    </w:p>
    <w:p>
      <w:pPr>
        <w:ind w:right="180"/>
        <w:spacing w:after="0" w:line="195" w:lineRule="exact"/>
        <w:rPr>
          <w:sz w:val="20"/>
          <w:szCs w:val="20"/>
          <w:color w:val="auto"/>
        </w:rPr>
      </w:pPr>
      <w:r>
        <w:rPr>
          <w:rFonts w:ascii="Arial" w:cs="Arial" w:eastAsia="Arial" w:hAnsi="Arial"/>
          <w:sz w:val="18"/>
          <w:szCs w:val="18"/>
          <w:color w:val="auto"/>
        </w:rPr>
        <w:t>$0.1 million of restricted cash is included in long</w:t>
      </w:r>
      <w:r>
        <w:rPr>
          <w:rFonts w:ascii="MS PGothic" w:cs="MS PGothic" w:eastAsia="MS PGothic" w:hAnsi="MS PGothic"/>
          <w:sz w:val="18"/>
          <w:szCs w:val="18"/>
          <w:color w:val="auto"/>
        </w:rPr>
        <w:t>‑</w:t>
      </w:r>
      <w:r>
        <w:rPr>
          <w:rFonts w:ascii="Arial" w:cs="Arial" w:eastAsia="Arial" w:hAnsi="Arial"/>
          <w:sz w:val="18"/>
          <w:szCs w:val="18"/>
          <w:color w:val="auto"/>
        </w:rPr>
        <w:t>term assets related to the Company’s corporate credit card agreement as of March 31, 2015 and December 31, 2014.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94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3"/>
                <w:szCs w:val="13"/>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External research and pre-clinical development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2,034</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Consulting</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3,810</w:t>
            </w:r>
          </w:p>
        </w:tc>
        <w:tc>
          <w:tcPr>
            <w:tcW w:w="60" w:type="dxa"/>
            <w:vAlign w:val="bottom"/>
          </w:tcPr>
          <w:p>
            <w:pPr>
              <w:spacing w:after="0"/>
              <w:rPr>
                <w:sz w:val="18"/>
                <w:szCs w:val="18"/>
                <w:color w:val="auto"/>
              </w:rPr>
            </w:pPr>
          </w:p>
        </w:tc>
      </w:tr>
      <w:tr>
        <w:trPr>
          <w:trHeight w:val="27"/>
        </w:trPr>
        <w:tc>
          <w:tcPr>
            <w:tcW w:w="4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89"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June 2014, the Company drew the remaining $2.0 million advance under the 2013 Term Loan and is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is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166" w:lineRule="exact"/>
        <w:rPr>
          <w:sz w:val="20"/>
          <w:szCs w:val="20"/>
          <w:color w:val="auto"/>
        </w:rPr>
      </w:pPr>
    </w:p>
    <w:p>
      <w:pPr>
        <w:ind w:right="260" w:firstLine="648"/>
        <w:spacing w:after="0" w:line="187" w:lineRule="exact"/>
        <w:rPr>
          <w:sz w:val="20"/>
          <w:szCs w:val="20"/>
          <w:color w:val="auto"/>
        </w:rPr>
      </w:pPr>
      <w:r>
        <w:rPr>
          <w:rFonts w:ascii="Arial" w:cs="Arial" w:eastAsia="Arial" w:hAnsi="Arial"/>
          <w:sz w:val="16"/>
          <w:szCs w:val="16"/>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6"/>
          <w:szCs w:val="16"/>
          <w:color w:val="auto"/>
        </w:rPr>
        <w:t>‑</w:t>
      </w:r>
      <w:r>
        <w:rPr>
          <w:rFonts w:ascii="Arial" w:cs="Arial" w:eastAsia="Arial" w:hAnsi="Arial"/>
          <w:sz w:val="16"/>
          <w:szCs w:val="16"/>
          <w:color w:val="auto"/>
        </w:rPr>
        <w:t>term liabilities based on scheduled principal payments.</w:t>
      </w:r>
    </w:p>
    <w:p>
      <w:pPr>
        <w:spacing w:after="0" w:line="162"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1"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Future minimum payments, which include principal and interest due under each of the 2013 Term Loan and the 2014 Term Loan, are $1.7 million, in the aggregate, for the remainder of 2015.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187" w:lineRule="exact"/>
        <w:rPr>
          <w:sz w:val="20"/>
          <w:szCs w:val="20"/>
          <w:color w:val="auto"/>
        </w:rPr>
      </w:pPr>
      <w:r>
        <w:rPr>
          <w:rFonts w:ascii="Arial" w:cs="Arial" w:eastAsia="Arial" w:hAnsi="Arial"/>
          <w:sz w:val="16"/>
          <w:szCs w:val="16"/>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6"/>
          <w:szCs w:val="16"/>
          <w:color w:val="auto"/>
        </w:rPr>
        <w:t>‑</w:t>
      </w:r>
      <w:r>
        <w:rPr>
          <w:rFonts w:ascii="Arial" w:cs="Arial" w:eastAsia="Arial" w:hAnsi="Arial"/>
          <w:sz w:val="16"/>
          <w:szCs w:val="16"/>
          <w:color w:val="auto"/>
        </w:rPr>
        <w:t>year life. No portion of the warrants have been exercised as of March 31, 2015.</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Series A Warrant and the Series B Warrant are classified as a liability and are re</w:t>
      </w:r>
      <w:r>
        <w:rPr>
          <w:rFonts w:ascii="MS PGothic" w:cs="MS PGothic" w:eastAsia="MS PGothic" w:hAnsi="MS PGothic"/>
          <w:sz w:val="18"/>
          <w:szCs w:val="18"/>
          <w:color w:val="auto"/>
        </w:rPr>
        <w:t>‑</w:t>
      </w:r>
      <w:r>
        <w:rPr>
          <w:rFonts w:ascii="Arial" w:cs="Arial" w:eastAsia="Arial" w:hAnsi="Arial"/>
          <w:sz w:val="18"/>
          <w:szCs w:val="18"/>
          <w:color w:val="auto"/>
        </w:rPr>
        <w:t>measured to the</w:t>
      </w:r>
      <w:r>
        <w:rPr>
          <w:rFonts w:ascii="MS PGothic" w:cs="MS PGothic" w:eastAsia="MS PGothic" w:hAnsi="MS PGothic"/>
          <w:sz w:val="18"/>
          <w:szCs w:val="18"/>
          <w:color w:val="auto"/>
        </w:rPr>
        <w:t>‑</w:t>
      </w:r>
      <w:r>
        <w:rPr>
          <w:rFonts w:ascii="Arial" w:cs="Arial" w:eastAsia="Arial" w:hAnsi="Arial"/>
          <w:sz w:val="18"/>
          <w:szCs w:val="18"/>
          <w:color w:val="auto"/>
        </w:rPr>
        <w:t>then current fair value at each balance sheet date. Re</w:t>
      </w:r>
      <w:r>
        <w:rPr>
          <w:rFonts w:ascii="MS PGothic" w:cs="MS PGothic" w:eastAsia="MS PGothic" w:hAnsi="MS PGothic"/>
          <w:sz w:val="18"/>
          <w:szCs w:val="18"/>
          <w:color w:val="auto"/>
        </w:rPr>
        <w:t>‑</w:t>
      </w:r>
      <w:r>
        <w:rPr>
          <w:rFonts w:ascii="Arial" w:cs="Arial" w:eastAsia="Arial" w:hAnsi="Arial"/>
          <w:sz w:val="18"/>
          <w:szCs w:val="18"/>
          <w:color w:val="auto"/>
        </w:rPr>
        <w:t>measurement gains or losses are recorded in other income (expense) in the statements of operations. The following table sets forth a summary of changes in the fair value of the warrants which represents a recurring measurement that is classified within Level 3 of the fair value hierarchy wherein fair value is estimated using significant unobservable inputs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left="439"/>
              <w:spacing w:after="0"/>
              <w:rPr>
                <w:sz w:val="20"/>
                <w:szCs w:val="20"/>
                <w:color w:val="auto"/>
              </w:rPr>
            </w:pPr>
            <w:r>
              <w:rPr>
                <w:rFonts w:ascii="Arial" w:cs="Arial" w:eastAsia="Arial" w:hAnsi="Arial"/>
                <w:sz w:val="14"/>
                <w:szCs w:val="14"/>
                <w:color w:val="auto"/>
                <w:w w:val="91"/>
              </w:rPr>
              <w:t>Year Ended</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7"/>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140"/>
              <w:spacing w:after="0"/>
              <w:rPr>
                <w:sz w:val="20"/>
                <w:szCs w:val="20"/>
                <w:color w:val="auto"/>
              </w:rPr>
            </w:pPr>
            <w:r>
              <w:rPr>
                <w:rFonts w:ascii="Arial" w:cs="Arial" w:eastAsia="Arial" w:hAnsi="Arial"/>
                <w:sz w:val="14"/>
                <w:szCs w:val="14"/>
                <w:color w:val="auto"/>
                <w:w w:val="93"/>
              </w:rPr>
              <w:t>Three Months Ended March 31,</w:t>
            </w:r>
          </w:p>
        </w:tc>
      </w:tr>
      <w:tr>
        <w:trPr>
          <w:trHeight w:val="169"/>
        </w:trPr>
        <w:tc>
          <w:tcPr>
            <w:tcW w:w="70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color w:val="auto"/>
              </w:rPr>
              <w:t>2015</w:t>
            </w:r>
          </w:p>
        </w:tc>
        <w:tc>
          <w:tcPr>
            <w:tcW w:w="46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119</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99"/>
              </w:rPr>
              <w:t>(18)</w:t>
            </w:r>
          </w:p>
        </w:tc>
      </w:tr>
      <w:tr>
        <w:trPr>
          <w:trHeight w:val="217"/>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101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ind w:right="160" w:firstLine="648"/>
        <w:spacing w:after="0" w:line="185" w:lineRule="exact"/>
        <w:rPr>
          <w:sz w:val="20"/>
          <w:szCs w:val="20"/>
          <w:color w:val="auto"/>
        </w:rPr>
      </w:pPr>
      <w:r>
        <w:rPr>
          <w:rFonts w:ascii="Arial" w:cs="Arial" w:eastAsia="Arial" w:hAnsi="Arial"/>
          <w:sz w:val="17"/>
          <w:szCs w:val="17"/>
          <w:color w:val="auto"/>
        </w:rPr>
        <w:t>The Company initially valued the Series A Warrant and the Series B Warrant at issuance and at the balance sheet dates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7"/>
          <w:szCs w:val="17"/>
          <w:color w:val="auto"/>
        </w:rPr>
        <w:t>‑</w:t>
      </w:r>
      <w:r>
        <w:rPr>
          <w:rFonts w:ascii="Arial" w:cs="Arial" w:eastAsia="Arial" w:hAnsi="Arial"/>
          <w:sz w:val="17"/>
          <w:szCs w:val="17"/>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 The Company used the following weighted</w:t>
      </w:r>
      <w:r>
        <w:rPr>
          <w:rFonts w:ascii="MS PGothic" w:cs="MS PGothic" w:eastAsia="MS PGothic" w:hAnsi="MS PGothic"/>
          <w:sz w:val="17"/>
          <w:szCs w:val="17"/>
          <w:color w:val="auto"/>
        </w:rPr>
        <w:t>‑</w:t>
      </w:r>
      <w:r>
        <w:rPr>
          <w:rFonts w:ascii="Arial" w:cs="Arial" w:eastAsia="Arial" w:hAnsi="Arial"/>
          <w:sz w:val="17"/>
          <w:szCs w:val="17"/>
          <w:color w:val="auto"/>
        </w:rPr>
        <w:t>average assumptions in its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Series A Warrant</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color w:val="auto"/>
              </w:rPr>
              <w:t>Series B Warrant</w:t>
            </w:r>
          </w:p>
        </w:tc>
        <w:tc>
          <w:tcPr>
            <w:tcW w:w="160" w:type="dxa"/>
            <w:vAlign w:val="bottom"/>
          </w:tcPr>
          <w:p>
            <w:pPr>
              <w:spacing w:after="0"/>
              <w:rPr>
                <w:sz w:val="14"/>
                <w:szCs w:val="14"/>
                <w:color w:val="auto"/>
              </w:rPr>
            </w:pPr>
          </w:p>
        </w:tc>
      </w:tr>
      <w:tr>
        <w:trPr>
          <w:trHeight w:val="177"/>
        </w:trPr>
        <w:tc>
          <w:tcPr>
            <w:tcW w:w="4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March 31,</w:t>
            </w:r>
          </w:p>
        </w:tc>
        <w:tc>
          <w:tcPr>
            <w:tcW w:w="2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March 31,</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March 31,</w:t>
            </w:r>
          </w:p>
        </w:tc>
      </w:tr>
      <w:tr>
        <w:trPr>
          <w:trHeight w:val="167"/>
        </w:trPr>
        <w:tc>
          <w:tcPr>
            <w:tcW w:w="4920" w:type="dxa"/>
            <w:vAlign w:val="bottom"/>
          </w:tcPr>
          <w:p>
            <w:pPr>
              <w:spacing w:after="0"/>
              <w:rPr>
                <w:sz w:val="14"/>
                <w:szCs w:val="14"/>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w w:val="89"/>
              </w:rPr>
              <w:t>Issuance</w:t>
            </w:r>
          </w:p>
        </w:tc>
        <w:tc>
          <w:tcPr>
            <w:tcW w:w="700" w:type="dxa"/>
            <w:vAlign w:val="bottom"/>
            <w:gridSpan w:val="2"/>
          </w:tcPr>
          <w:p>
            <w:pPr>
              <w:jc w:val="right"/>
              <w:ind w:right="96"/>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660" w:type="dxa"/>
            <w:vAlign w:val="bottom"/>
            <w:gridSpan w:val="2"/>
          </w:tcPr>
          <w:p>
            <w:pPr>
              <w:jc w:val="right"/>
              <w:ind w:right="96"/>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Issuance</w:t>
            </w:r>
          </w:p>
        </w:tc>
        <w:tc>
          <w:tcPr>
            <w:tcW w:w="700" w:type="dxa"/>
            <w:vAlign w:val="bottom"/>
            <w:gridSpan w:val="2"/>
          </w:tcPr>
          <w:p>
            <w:pPr>
              <w:jc w:val="right"/>
              <w:ind w:right="96"/>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4"/>
                <w:szCs w:val="14"/>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underlying instrument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0.83</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2.03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80.70 %</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91.70 %</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86.49 %</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87.18 %</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88.00 %</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1.83 %</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2.72 %</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2.36 %</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1.94 %</w:t>
            </w:r>
          </w:p>
        </w:tc>
      </w:tr>
      <w:tr>
        <w:trPr>
          <w:trHeight w:val="176"/>
        </w:trPr>
        <w:tc>
          <w:tcPr>
            <w:tcW w:w="4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r>
    </w:tbl>
    <w:p>
      <w:pPr>
        <w:spacing w:after="0" w:line="188"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The Company recorded a debt discount upon issuance of the warrants, which is being accreted as interest expense over the remaining term of the loan. The Company also recorded a warrant liability that is classified as a long</w:t>
      </w:r>
      <w:r>
        <w:rPr>
          <w:rFonts w:ascii="MS PGothic" w:cs="MS PGothic" w:eastAsia="MS PGothic" w:hAnsi="MS PGothic"/>
          <w:sz w:val="17"/>
          <w:szCs w:val="17"/>
          <w:color w:val="auto"/>
        </w:rPr>
        <w:t>‑</w:t>
      </w:r>
      <w:r>
        <w:rPr>
          <w:rFonts w:ascii="Arial" w:cs="Arial" w:eastAsia="Arial" w:hAnsi="Arial"/>
          <w:sz w:val="17"/>
          <w:szCs w:val="17"/>
          <w:color w:val="auto"/>
        </w:rPr>
        <w:t>term liability in the accompanying balance sheets. The Company recorded interest expense related to the Series A Warrant and the Series B Warrant of less than $0.1 million in each of the three months ended March 31, 2015 and 2014.</w:t>
      </w:r>
    </w:p>
    <w:p>
      <w:pPr>
        <w:spacing w:after="0" w:line="163"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Upon completion of the IPO, the Series A Warrant became exercisable for 27,272 shares of the Common Stock at an exercise price of $5.50 per share, and the Series B Warrant became exercisable for 15,151 shares of the Common Stock at an exercise price of $6.60 per share.</w:t>
      </w:r>
    </w:p>
    <w:p>
      <w:pPr>
        <w:spacing w:after="0" w:line="163"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Warrants to purchase 5,991 shares of Common Stock were cancelled as payment for the aggregate exercise price of the Series A Warrant.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Awards</w:t>
      </w:r>
    </w:p>
    <w:p>
      <w:pPr>
        <w:spacing w:after="0" w:line="121"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Company grants restricted stock awards, incentive stock options (ISO), and nonstatutory stock options (NSO) under the Blueprint Medicines Corporation 2011 Stock Option and Grant Plan (the Plan), as amended and restated. In February 2015, the Company amended the Blueprint Medicines Corporation 2011 Stock Option and Grant Plan to increase the number of shares available for grant to 3,590,927. At March 31, 2015, there were 190,276 shares available for future grant under the Plan. ISOs may not be granted at less than fair value on the date of the grant. Furthermore, the exercise price of ISOs granted to an employee, who at the time of grant is a 10% shareholder, may not be less than 110% of the fair value on the date of grant.</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 xml:space="preserve">Terms of restricted stock awards and stock option agreements, including vesting requirements, are determined by the board of directors, subject to the provisions of the Plan. Options and restricted stock awards granted by the Company generally vest ratably over four years, with a one </w:t>
      </w:r>
      <w:r>
        <w:rPr>
          <w:rFonts w:ascii="MS PGothic" w:cs="MS PGothic" w:eastAsia="MS PGothic" w:hAnsi="MS PGothic"/>
          <w:sz w:val="18"/>
          <w:szCs w:val="18"/>
          <w:color w:val="auto"/>
        </w:rPr>
        <w:t>‑</w:t>
      </w:r>
      <w:r>
        <w:rPr>
          <w:rFonts w:ascii="Arial" w:cs="Arial" w:eastAsia="Arial" w:hAnsi="Arial"/>
          <w:sz w:val="18"/>
          <w:szCs w:val="18"/>
          <w:color w:val="auto"/>
        </w:rPr>
        <w:t xml:space="preserve"> year cliff for new employee awards, and are exercisable from the date of grant for a period of ten years. For options and restricted stock awards granted to date,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 performed common stock valuations with the assistance of a third</w:t>
      </w:r>
      <w:r>
        <w:rPr>
          <w:rFonts w:ascii="MS PGothic" w:cs="MS PGothic" w:eastAsia="MS PGothic" w:hAnsi="MS PGothic"/>
          <w:sz w:val="18"/>
          <w:szCs w:val="18"/>
          <w:color w:val="auto"/>
        </w:rPr>
        <w:t>‑</w:t>
      </w:r>
      <w:r>
        <w:rPr>
          <w:rFonts w:ascii="Arial" w:cs="Arial" w:eastAsia="Arial" w:hAnsi="Arial"/>
          <w:sz w:val="18"/>
          <w:szCs w:val="18"/>
          <w:color w:val="auto"/>
        </w:rPr>
        <w:t>party specialist, as of January 6, 2014, July 30, 2014, November 10, 2014, February 1, 2015 and March 1, 2015 to determine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unvested restricted stock and related information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Weighted-Average</w:t>
            </w:r>
          </w:p>
        </w:tc>
      </w:tr>
      <w:tr>
        <w:trPr>
          <w:trHeight w:val="176"/>
        </w:trPr>
        <w:tc>
          <w:tcPr>
            <w:tcW w:w="5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425,279</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 w:type="dxa"/>
            <w:vAlign w:val="bottom"/>
            <w:shd w:val="clear" w:color="auto" w:fill="CCEEFF"/>
          </w:tcPr>
          <w:p>
            <w:pPr>
              <w:spacing w:after="0"/>
              <w:rPr>
                <w:sz w:val="18"/>
                <w:szCs w:val="18"/>
                <w:color w:val="auto"/>
              </w:rPr>
            </w:pPr>
          </w:p>
        </w:tc>
      </w:tr>
      <w:tr>
        <w:trPr>
          <w:trHeight w:val="176"/>
        </w:trPr>
        <w:tc>
          <w:tcPr>
            <w:tcW w:w="51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(82,045)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Repurchased</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(15,434)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0.55</w:t>
            </w:r>
          </w:p>
        </w:tc>
        <w:tc>
          <w:tcPr>
            <w:tcW w:w="40" w:type="dxa"/>
            <w:vAlign w:val="bottom"/>
          </w:tcPr>
          <w:p>
            <w:pPr>
              <w:spacing w:after="0"/>
              <w:rPr>
                <w:sz w:val="18"/>
                <w:szCs w:val="18"/>
                <w:color w:val="auto"/>
              </w:rPr>
            </w:pPr>
          </w:p>
        </w:tc>
      </w:tr>
      <w:tr>
        <w:trPr>
          <w:trHeight w:val="217"/>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March 31, 2015</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327,800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96"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The Company has granted restricted stock to non</w:t>
      </w:r>
      <w:r>
        <w:rPr>
          <w:rFonts w:ascii="MS PGothic" w:cs="MS PGothic" w:eastAsia="MS PGothic" w:hAnsi="MS PGothic"/>
          <w:sz w:val="17"/>
          <w:szCs w:val="17"/>
          <w:color w:val="auto"/>
        </w:rPr>
        <w:t>‑</w:t>
      </w:r>
      <w:r>
        <w:rPr>
          <w:rFonts w:ascii="Arial" w:cs="Arial" w:eastAsia="Arial" w:hAnsi="Arial"/>
          <w:sz w:val="17"/>
          <w:szCs w:val="17"/>
          <w:color w:val="auto"/>
        </w:rPr>
        <w:t>employees which contain both performance</w:t>
      </w:r>
      <w:r>
        <w:rPr>
          <w:rFonts w:ascii="MS PGothic" w:cs="MS PGothic" w:eastAsia="MS PGothic" w:hAnsi="MS PGothic"/>
          <w:sz w:val="17"/>
          <w:szCs w:val="17"/>
          <w:color w:val="auto"/>
        </w:rPr>
        <w:t>‑</w:t>
      </w:r>
      <w:r>
        <w:rPr>
          <w:rFonts w:ascii="Arial" w:cs="Arial" w:eastAsia="Arial" w:hAnsi="Arial"/>
          <w:sz w:val="17"/>
          <w:szCs w:val="17"/>
          <w:color w:val="auto"/>
        </w:rPr>
        <w:t>based and service</w:t>
      </w:r>
      <w:r>
        <w:rPr>
          <w:rFonts w:ascii="MS PGothic" w:cs="MS PGothic" w:eastAsia="MS PGothic" w:hAnsi="MS PGothic"/>
          <w:sz w:val="17"/>
          <w:szCs w:val="17"/>
          <w:color w:val="auto"/>
        </w:rPr>
        <w:t>‑</w:t>
      </w:r>
      <w:r>
        <w:rPr>
          <w:rFonts w:ascii="Arial" w:cs="Arial" w:eastAsia="Arial" w:hAnsi="Arial"/>
          <w:sz w:val="17"/>
          <w:szCs w:val="17"/>
          <w:color w:val="auto"/>
        </w:rPr>
        <w:t>based vesting criteria.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these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is recognized if the performance condition is considered probable of achievement using management’s best estimates. In the three months ended March 31, 2014 management concluded that the milestones associated with 90,909 shares of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were probable of achievement, and the Company began to record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using the accelerated attribution method, accordingly. The Company recorded $0.1 million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non</w:t>
      </w:r>
      <w:r>
        <w:rPr>
          <w:rFonts w:ascii="MS PGothic" w:cs="MS PGothic" w:eastAsia="MS PGothic" w:hAnsi="MS PGothic"/>
          <w:sz w:val="17"/>
          <w:szCs w:val="17"/>
          <w:color w:val="auto"/>
        </w:rPr>
        <w:t>‑</w:t>
      </w:r>
      <w:r>
        <w:rPr>
          <w:rFonts w:ascii="Arial" w:cs="Arial" w:eastAsia="Arial" w:hAnsi="Arial"/>
          <w:sz w:val="17"/>
          <w:szCs w:val="17"/>
          <w:color w:val="auto"/>
        </w:rPr>
        <w:t>employee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in the three months end March 31, 2014. In the three months ended December 31, 2014, management concluded that the milestones associated with an additional 90,909 shares of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were probable of achievement, and the Company began to record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using the accelerated attribution method accordingly. The Company recorded $0.2 million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non</w:t>
      </w:r>
      <w:r>
        <w:rPr>
          <w:rFonts w:ascii="MS PGothic" w:cs="MS PGothic" w:eastAsia="MS PGothic" w:hAnsi="MS PGothic"/>
          <w:sz w:val="17"/>
          <w:szCs w:val="17"/>
          <w:color w:val="auto"/>
        </w:rPr>
        <w:t>‑</w:t>
      </w:r>
      <w:r>
        <w:rPr>
          <w:rFonts w:ascii="Arial" w:cs="Arial" w:eastAsia="Arial" w:hAnsi="Arial"/>
          <w:sz w:val="17"/>
          <w:szCs w:val="17"/>
          <w:color w:val="auto"/>
        </w:rPr>
        <w:t>employee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in the three months end March 31, 2015 related to both milestone achievements.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Remaining</w:t>
            </w: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5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Intrinsic</w:t>
            </w:r>
          </w:p>
        </w:tc>
      </w:tr>
      <w:tr>
        <w:trPr>
          <w:trHeight w:val="176"/>
        </w:trPr>
        <w:tc>
          <w:tcPr>
            <w:tcW w:w="5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Value(3)</w:t>
            </w:r>
          </w:p>
        </w:tc>
      </w:tr>
      <w:tr>
        <w:trPr>
          <w:trHeight w:val="171"/>
        </w:trPr>
        <w:tc>
          <w:tcPr>
            <w:tcW w:w="5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bottom w:val="single" w:sz="8" w:color="CCEEFF"/>
            </w:tcBorders>
          </w:tcPr>
          <w:p>
            <w:pPr>
              <w:spacing w:after="0"/>
              <w:rPr>
                <w:sz w:val="14"/>
                <w:szCs w:val="14"/>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1,501,912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572,638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(12,652)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Canceled</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(10,270)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2,051,628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54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March 31, 2015</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241,376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92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8.97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1,787</w:t>
            </w:r>
          </w:p>
        </w:tc>
        <w:tc>
          <w:tcPr>
            <w:tcW w:w="60" w:type="dxa"/>
            <w:vAlign w:val="bottom"/>
            <w:tcBorders>
              <w:bottom w:val="single" w:sz="8" w:color="CCEEFF"/>
            </w:tcBorders>
          </w:tcPr>
          <w:p>
            <w:pPr>
              <w:spacing w:after="0"/>
              <w:rPr>
                <w:sz w:val="18"/>
                <w:szCs w:val="18"/>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March 31, 2015(2)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1,949,469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167640</wp:posOffset>
            </wp:positionV>
            <wp:extent cx="14916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(1) Includes 164,529 unvested shares of common stock related to early exercises of stock options.</w:t>
      </w:r>
    </w:p>
    <w:p>
      <w:pPr>
        <w:spacing w:after="0" w:line="185" w:lineRule="exact"/>
        <w:rPr>
          <w:sz w:val="20"/>
          <w:szCs w:val="20"/>
          <w:color w:val="auto"/>
        </w:rPr>
      </w:pPr>
    </w:p>
    <w:p>
      <w:pPr>
        <w:ind w:left="220" w:right="120" w:hanging="215"/>
        <w:spacing w:after="0" w:line="235" w:lineRule="auto"/>
        <w:rPr>
          <w:sz w:val="20"/>
          <w:szCs w:val="20"/>
          <w:color w:val="auto"/>
        </w:rPr>
      </w:pPr>
      <w:r>
        <w:rPr>
          <w:rFonts w:ascii="Arial" w:cs="Arial" w:eastAsia="Arial" w:hAnsi="Arial"/>
          <w:sz w:val="18"/>
          <w:szCs w:val="18"/>
          <w:color w:val="auto"/>
        </w:rPr>
        <w:t>(2)Represents the number of vested options as of March 31, 2015, plus the number of unvested options expected to vest as of March 31, 2015.</w:t>
      </w:r>
    </w:p>
    <w:p>
      <w:pPr>
        <w:spacing w:after="0" w:line="162" w:lineRule="exact"/>
        <w:rPr>
          <w:sz w:val="20"/>
          <w:szCs w:val="20"/>
          <w:color w:val="auto"/>
        </w:rPr>
      </w:pPr>
    </w:p>
    <w:p>
      <w:pPr>
        <w:ind w:left="220" w:right="40" w:hanging="215"/>
        <w:spacing w:after="0" w:line="235" w:lineRule="auto"/>
        <w:rPr>
          <w:sz w:val="20"/>
          <w:szCs w:val="20"/>
          <w:color w:val="auto"/>
        </w:rPr>
      </w:pPr>
      <w:r>
        <w:rPr>
          <w:rFonts w:ascii="Arial" w:cs="Arial" w:eastAsia="Arial" w:hAnsi="Arial"/>
          <w:sz w:val="18"/>
          <w:szCs w:val="18"/>
          <w:color w:val="auto"/>
        </w:rPr>
        <w:t>(3)Intrinsic value represents the amount by which the fair market value as of March 31, 2015 of the underlying common stock exceeds the exercise price of the option.</w:t>
      </w:r>
    </w:p>
    <w:p>
      <w:pPr>
        <w:spacing w:after="0" w:line="162"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8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 - 1.67 %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486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2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86.14 %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91.36 %</w:t>
            </w:r>
          </w:p>
        </w:tc>
      </w:tr>
    </w:tbl>
    <w:p>
      <w:pPr>
        <w:spacing w:after="0" w:line="337" w:lineRule="exact"/>
        <w:rPr>
          <w:sz w:val="20"/>
          <w:szCs w:val="20"/>
          <w:color w:val="auto"/>
        </w:rPr>
      </w:pPr>
    </w:p>
    <w:p>
      <w:pPr>
        <w:jc w:val="both"/>
        <w:ind w:right="240" w:firstLine="648"/>
        <w:spacing w:after="0" w:line="194" w:lineRule="exact"/>
        <w:rPr>
          <w:sz w:val="20"/>
          <w:szCs w:val="20"/>
          <w:color w:val="auto"/>
        </w:rPr>
      </w:pPr>
      <w:r>
        <w:rPr>
          <w:rFonts w:ascii="Arial" w:cs="Arial" w:eastAsia="Arial" w:hAnsi="Arial"/>
          <w:sz w:val="17"/>
          <w:szCs w:val="17"/>
          <w:color w:val="auto"/>
        </w:rPr>
        <w:t>The weighted</w:t>
      </w:r>
      <w:r>
        <w:rPr>
          <w:rFonts w:ascii="MS PGothic" w:cs="MS PGothic" w:eastAsia="MS PGothic" w:hAnsi="MS PGothic"/>
          <w:sz w:val="17"/>
          <w:szCs w:val="17"/>
          <w:color w:val="auto"/>
        </w:rPr>
        <w:t>‑</w:t>
      </w:r>
      <w:r>
        <w:rPr>
          <w:rFonts w:ascii="Arial" w:cs="Arial" w:eastAsia="Arial" w:hAnsi="Arial"/>
          <w:sz w:val="17"/>
          <w:szCs w:val="17"/>
          <w:color w:val="auto"/>
        </w:rPr>
        <w:t>average grant date fair value of options granted in the three months ended March 31, 2015 and 2014 was $6.45 and $1.41, respectively. The total intrinsic value of options exercised in the three months ended March 31, 2015 was $0.1 million. There were no options exercised in the three months ended March 31, 2014.</w:t>
      </w:r>
    </w:p>
    <w:p>
      <w:pPr>
        <w:spacing w:after="0" w:line="161" w:lineRule="exact"/>
        <w:rPr>
          <w:sz w:val="20"/>
          <w:szCs w:val="20"/>
          <w:color w:val="auto"/>
        </w:rPr>
      </w:pPr>
    </w:p>
    <w:p>
      <w:pPr>
        <w:ind w:right="30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statements of operations is as follows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r>
      <w:tr>
        <w:trPr>
          <w:trHeight w:val="169"/>
        </w:trPr>
        <w:tc>
          <w:tcPr>
            <w:tcW w:w="56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tcPr>
          <w:p>
            <w:pPr>
              <w:spacing w:after="0"/>
              <w:rPr>
                <w:sz w:val="18"/>
                <w:szCs w:val="18"/>
                <w:color w:val="auto"/>
              </w:rPr>
            </w:pP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right="460" w:firstLine="648"/>
        <w:spacing w:after="0" w:line="189" w:lineRule="exact"/>
        <w:rPr>
          <w:sz w:val="20"/>
          <w:szCs w:val="20"/>
          <w:color w:val="auto"/>
        </w:rPr>
      </w:pPr>
      <w:r>
        <w:rPr>
          <w:rFonts w:ascii="Arial" w:cs="Arial" w:eastAsia="Arial" w:hAnsi="Arial"/>
          <w:sz w:val="18"/>
          <w:szCs w:val="18"/>
          <w:color w:val="auto"/>
        </w:rPr>
        <w:t>At March 31, 2015, there was $7.5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3.17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 Applicable to Common Stockholders</w:t>
      </w:r>
    </w:p>
    <w:p>
      <w:pPr>
        <w:spacing w:after="0" w:line="12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6"/>
          <w:szCs w:val="16"/>
          <w:color w:val="auto"/>
        </w:rPr>
        <w:t>‑</w:t>
      </w:r>
      <w:r>
        <w:rPr>
          <w:rFonts w:ascii="Arial" w:cs="Arial" w:eastAsia="Arial" w:hAnsi="Arial"/>
          <w:sz w:val="16"/>
          <w:szCs w:val="16"/>
          <w:color w:val="auto"/>
        </w:rPr>
        <w:t>dilutive; therefore, basic and diluted net loss per share applicable to common stockholders were the same for all periods presented.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6"/>
          <w:szCs w:val="16"/>
          <w:color w:val="auto"/>
        </w:rPr>
        <w:t>‑</w:t>
      </w:r>
      <w:r>
        <w:rPr>
          <w:rFonts w:ascii="Arial" w:cs="Arial" w:eastAsia="Arial" w:hAnsi="Arial"/>
          <w:sz w:val="16"/>
          <w:szCs w:val="16"/>
          <w:color w:val="auto"/>
        </w:rPr>
        <w:t>dilutive effect.</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1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340" w:type="dxa"/>
            <w:vAlign w:val="bottom"/>
          </w:tcPr>
          <w:p>
            <w:pPr>
              <w:spacing w:after="0"/>
              <w:rPr>
                <w:sz w:val="14"/>
                <w:szCs w:val="14"/>
                <w:color w:val="auto"/>
              </w:rPr>
            </w:pPr>
          </w:p>
        </w:tc>
        <w:tc>
          <w:tcPr>
            <w:tcW w:w="1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March 31,</w:t>
            </w:r>
          </w:p>
        </w:tc>
      </w:tr>
      <w:tr>
        <w:trPr>
          <w:trHeight w:val="169"/>
        </w:trPr>
        <w:tc>
          <w:tcPr>
            <w:tcW w:w="534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4"/>
                <w:szCs w:val="14"/>
                <w:color w:val="auto"/>
              </w:rPr>
            </w:pPr>
          </w:p>
        </w:tc>
      </w:tr>
      <w:tr>
        <w:trPr>
          <w:trHeight w:val="21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15,467,479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11,075,750</w:t>
            </w:r>
          </w:p>
        </w:tc>
        <w:tc>
          <w:tcPr>
            <w:tcW w:w="40" w:type="dxa"/>
            <w:vAlign w:val="bottom"/>
            <w:shd w:val="clear" w:color="auto" w:fill="CCEEFF"/>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42,423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27,272</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2,051,628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482,156</w:t>
            </w:r>
          </w:p>
        </w:tc>
        <w:tc>
          <w:tcPr>
            <w:tcW w:w="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Unvested restricted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327,800</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720,276</w:t>
            </w:r>
          </w:p>
        </w:tc>
        <w:tc>
          <w:tcPr>
            <w:tcW w:w="40" w:type="dxa"/>
            <w:vAlign w:val="bottom"/>
            <w:tcBorders>
              <w:bottom w:val="single" w:sz="8" w:color="CCEEFF"/>
            </w:tcBorders>
          </w:tcPr>
          <w:p>
            <w:pPr>
              <w:spacing w:after="0"/>
              <w:rPr>
                <w:sz w:val="18"/>
                <w:szCs w:val="18"/>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17,889,330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12,305,454</w:t>
            </w:r>
          </w:p>
        </w:tc>
        <w:tc>
          <w:tcPr>
            <w:tcW w:w="4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weighted average number of common shares used in net loss per share applicable to common stockholders on a basic and diluted basis were 1,681,236 and 1,285,168 for the three months ended March 31,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In March 2015, the Company entered into a research, development and commercialization agreement with Alexion to research, develop and commercialize drug candidates for an undisclosed activated kinase target, which is the cause of a rare genetic disease. Under the terms of this agreement, the Company is responsible for research and pre</w:t>
      </w:r>
      <w:r>
        <w:rPr>
          <w:rFonts w:ascii="MS PGothic" w:cs="MS PGothic" w:eastAsia="MS PGothic" w:hAnsi="MS PGothic"/>
          <w:sz w:val="18"/>
          <w:szCs w:val="18"/>
          <w:color w:val="auto"/>
        </w:rPr>
        <w:t>‑</w:t>
      </w:r>
      <w:r>
        <w:rPr>
          <w:rFonts w:ascii="Arial" w:cs="Arial" w:eastAsia="Arial" w:hAnsi="Arial"/>
          <w:sz w:val="18"/>
          <w:szCs w:val="18"/>
          <w:color w:val="auto"/>
        </w:rPr>
        <w:t xml:space="preserve"> clinical development activities related to drug candidates and Alexion is responsible for all clinical development, manufacturing and commercialization activities related to drug candidates.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Alexion is responsible for funding 100% of the Company’s research and development costs incurred under the research plan, including pass</w:t>
      </w:r>
      <w:r>
        <w:rPr>
          <w:rFonts w:ascii="MS PGothic" w:cs="MS PGothic" w:eastAsia="MS PGothic" w:hAnsi="MS PGothic"/>
          <w:sz w:val="17"/>
          <w:szCs w:val="17"/>
          <w:color w:val="auto"/>
        </w:rPr>
        <w:t>‑</w:t>
      </w:r>
      <w:r>
        <w:rPr>
          <w:rFonts w:ascii="Arial" w:cs="Arial" w:eastAsia="Arial" w:hAnsi="Arial"/>
          <w:sz w:val="17"/>
          <w:szCs w:val="17"/>
          <w:color w:val="auto"/>
        </w:rPr>
        <w:t>through costs and its employees’ time devoted to the research plan at a negotiated yearly rate per full</w:t>
      </w:r>
      <w:r>
        <w:rPr>
          <w:rFonts w:ascii="MS PGothic" w:cs="MS PGothic" w:eastAsia="MS PGothic" w:hAnsi="MS PGothic"/>
          <w:sz w:val="17"/>
          <w:szCs w:val="17"/>
          <w:color w:val="auto"/>
        </w:rPr>
        <w:t>‑</w:t>
      </w:r>
      <w:r>
        <w:rPr>
          <w:rFonts w:ascii="Arial" w:cs="Arial" w:eastAsia="Arial" w:hAnsi="Arial"/>
          <w:sz w:val="17"/>
          <w:szCs w:val="17"/>
          <w:color w:val="auto"/>
        </w:rPr>
        <w:t>time equivalent for its employees’ time and their associated overhead expenses. The Company received a $15.0 million non</w:t>
      </w:r>
      <w:r>
        <w:rPr>
          <w:rFonts w:ascii="MS PGothic" w:cs="MS PGothic" w:eastAsia="MS PGothic" w:hAnsi="MS PGothic"/>
          <w:sz w:val="17"/>
          <w:szCs w:val="17"/>
          <w:color w:val="auto"/>
        </w:rPr>
        <w:t>‑</w:t>
      </w:r>
      <w:r>
        <w:rPr>
          <w:rFonts w:ascii="Arial" w:cs="Arial" w:eastAsia="Arial" w:hAnsi="Arial"/>
          <w:sz w:val="17"/>
          <w:szCs w:val="17"/>
          <w:color w:val="auto"/>
        </w:rPr>
        <w:t>refundable upfront payment in March 2015 upon execution of the agreement and is eligible to receive over $250 million in payments upon the successful achievement of pre</w:t>
      </w:r>
      <w:r>
        <w:rPr>
          <w:rFonts w:ascii="MS PGothic" w:cs="MS PGothic" w:eastAsia="MS PGothic" w:hAnsi="MS PGothic"/>
          <w:sz w:val="17"/>
          <w:szCs w:val="17"/>
          <w:color w:val="auto"/>
        </w:rPr>
        <w:t>‑</w:t>
      </w:r>
      <w:r>
        <w:rPr>
          <w:rFonts w:ascii="Arial" w:cs="Arial" w:eastAsia="Arial" w:hAnsi="Arial"/>
          <w:sz w:val="17"/>
          <w:szCs w:val="17"/>
          <w:color w:val="auto"/>
        </w:rPr>
        <w:t>specified pre</w:t>
      </w:r>
      <w:r>
        <w:rPr>
          <w:rFonts w:ascii="MS PGothic" w:cs="MS PGothic" w:eastAsia="MS PGothic" w:hAnsi="MS PGothic"/>
          <w:sz w:val="17"/>
          <w:szCs w:val="17"/>
          <w:color w:val="auto"/>
        </w:rPr>
        <w:t>‑</w:t>
      </w:r>
      <w:r>
        <w:rPr>
          <w:rFonts w:ascii="Arial" w:cs="Arial" w:eastAsia="Arial" w:hAnsi="Arial"/>
          <w:sz w:val="17"/>
          <w:szCs w:val="17"/>
          <w:color w:val="auto"/>
        </w:rPr>
        <w:t>clinical, clinical, regulatory and commercial milestones as follows: (i) up to $6.0 million in pre</w:t>
      </w:r>
      <w:r>
        <w:rPr>
          <w:rFonts w:ascii="MS PGothic" w:cs="MS PGothic" w:eastAsia="MS PGothic" w:hAnsi="MS PGothic"/>
          <w:sz w:val="17"/>
          <w:szCs w:val="17"/>
          <w:color w:val="auto"/>
        </w:rPr>
        <w:t>‑</w:t>
      </w:r>
      <w:r>
        <w:rPr>
          <w:rFonts w:ascii="Arial" w:cs="Arial" w:eastAsia="Arial" w:hAnsi="Arial"/>
          <w:sz w:val="17"/>
          <w:szCs w:val="17"/>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7"/>
          <w:szCs w:val="17"/>
          <w:color w:val="auto"/>
        </w:rPr>
        <w:t>‑</w:t>
      </w:r>
      <w:r>
        <w:rPr>
          <w:rFonts w:ascii="Arial" w:cs="Arial" w:eastAsia="Arial" w:hAnsi="Arial"/>
          <w:sz w:val="17"/>
          <w:szCs w:val="17"/>
          <w:color w:val="auto"/>
        </w:rPr>
        <w:t>single to low</w:t>
      </w:r>
      <w:r>
        <w:rPr>
          <w:rFonts w:ascii="MS PGothic" w:cs="MS PGothic" w:eastAsia="MS PGothic" w:hAnsi="MS PGothic"/>
          <w:sz w:val="17"/>
          <w:szCs w:val="17"/>
          <w:color w:val="auto"/>
        </w:rPr>
        <w:t>‑</w:t>
      </w:r>
      <w:r>
        <w:rPr>
          <w:rFonts w:ascii="Arial" w:cs="Arial" w:eastAsia="Arial" w:hAnsi="Arial"/>
          <w:sz w:val="17"/>
          <w:szCs w:val="17"/>
          <w:color w:val="auto"/>
        </w:rPr>
        <w:t>double digit percentages royalties,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licensed-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valid claim of specified patents covering such licensed product, (ii) the expiration of the applicable regulatory exclusivity period, and (iii) 10 or 15 years from specified commercial sales. There are no refund provisions in the agreement.</w:t>
      </w:r>
    </w:p>
    <w:p>
      <w:pPr>
        <w:spacing w:after="0" w:line="124"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Alexion has the right to terminate the Alexion agreement if the Company undergoes a change of control or become an affiliate of a biotechnology or pharmaceutical company, and may terminate at</w:t>
      </w:r>
      <w:r>
        <w:rPr>
          <w:rFonts w:ascii="MS PGothic" w:cs="MS PGothic" w:eastAsia="MS PGothic" w:hAnsi="MS PGothic"/>
          <w:sz w:val="18"/>
          <w:szCs w:val="18"/>
          <w:color w:val="auto"/>
        </w:rPr>
        <w:t>‑</w:t>
      </w:r>
      <w:r>
        <w:rPr>
          <w:rFonts w:ascii="Arial" w:cs="Arial" w:eastAsia="Arial" w:hAnsi="Arial"/>
          <w:sz w:val="18"/>
          <w:szCs w:val="18"/>
          <w:color w:val="auto"/>
        </w:rPr>
        <w:t>will upon 90 days, prior written notice. The Company and Alexion have the right to terminate the agreement in the event of the other party’s uncured breach or insolvency, and in certain other circumstances agreed to by the parties</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agreement. During the three months ended March 31, 2015, the Company recognized revenue of $0.7 million related to the agreement.</w:t>
      </w:r>
    </w:p>
    <w:p>
      <w:pPr>
        <w:spacing w:after="0" w:line="121" w:lineRule="exact"/>
        <w:rPr>
          <w:sz w:val="20"/>
          <w:szCs w:val="20"/>
          <w:color w:val="auto"/>
        </w:rPr>
      </w:pPr>
    </w:p>
    <w:p>
      <w:pPr>
        <w:ind w:right="780" w:firstLine="648"/>
        <w:spacing w:after="0" w:line="235" w:lineRule="auto"/>
        <w:rPr>
          <w:sz w:val="20"/>
          <w:szCs w:val="20"/>
          <w:color w:val="auto"/>
        </w:rPr>
      </w:pPr>
      <w:r>
        <w:rPr>
          <w:rFonts w:ascii="Arial" w:cs="Arial" w:eastAsia="Arial" w:hAnsi="Arial"/>
          <w:sz w:val="18"/>
          <w:szCs w:val="18"/>
          <w:color w:val="auto"/>
        </w:rPr>
        <w:t>The Company evaluated whether the milestones that may be received in connection with the agreement are substantive or non-substantive milestones.</w:t>
      </w:r>
    </w:p>
    <w:p>
      <w:pPr>
        <w:spacing w:after="0" w:line="121"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Company concluded that the first pre-clinical milestone in the agreement is non-substantive due to the certainty at the date the arrangement was entered into that the event will be achieved. The Company will recognize revenues from the related milestone payment over the period of performance. During May 2015, the Company achieved the first pre-clinical milestone of $1.75 million under the terms of the agreement.</w:t>
      </w:r>
    </w:p>
    <w:p>
      <w:pPr>
        <w:spacing w:after="0" w:line="12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Milestones that are not considered substantive because the Company does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3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9.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89"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 Company has received consulting and management services from one of its investors, Third Rock Ventures LLC (Third Rock Ventures). The Company paid Third Rock Ventures $0.1 million for these services during the three months ended March 31, 2014. The Company did not receive any consulting services from Third Rock Ventures during the three months ended March 31, 2015.</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4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7"/>
          <w:szCs w:val="17"/>
          <w:color w:val="auto"/>
        </w:rPr>
        <w:t>On April 8, 2015, the 2015 Stock Option and Incentive Plan was adopted by the board of directors and approved by the stockholders and became effective upon the completion of the IPO. The 2015 Stock Option Plan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2" w:lineRule="exact"/>
        <w:rPr>
          <w:sz w:val="20"/>
          <w:szCs w:val="20"/>
          <w:color w:val="auto"/>
        </w:rPr>
      </w:pPr>
      <w:r>
        <w:rPr>
          <w:rFonts w:ascii="Arial" w:cs="Arial" w:eastAsia="Arial" w:hAnsi="Arial"/>
          <w:sz w:val="17"/>
          <w:szCs w:val="17"/>
          <w:color w:val="auto"/>
        </w:rPr>
        <w:t>replaced the 2011 Stock Option Plan. Any options or awards outstanding under the Company’s 2011 Stock Option Plan remained outstanding and effective. The 2015 Stock Option Plan provides the Company flexibility to use various equity</w:t>
      </w:r>
      <w:r>
        <w:rPr>
          <w:rFonts w:ascii="MS PGothic" w:cs="MS PGothic" w:eastAsia="MS PGothic" w:hAnsi="MS PGothic"/>
          <w:sz w:val="17"/>
          <w:szCs w:val="17"/>
          <w:color w:val="auto"/>
        </w:rPr>
        <w:t>‑</w:t>
      </w:r>
      <w:r>
        <w:rPr>
          <w:rFonts w:ascii="Arial" w:cs="Arial" w:eastAsia="Arial" w:hAnsi="Arial"/>
          <w:sz w:val="17"/>
          <w:szCs w:val="17"/>
          <w:color w:val="auto"/>
        </w:rPr>
        <w:t>based incentive and other awards as compensation tools to motivate its workforce. These tools include stock options, stock appreciation rights, restricted stock, restricted stock units, unrestricted stock, performance share awards and cash</w:t>
      </w:r>
      <w:r>
        <w:rPr>
          <w:rFonts w:ascii="MS PGothic" w:cs="MS PGothic" w:eastAsia="MS PGothic" w:hAnsi="MS PGothic"/>
          <w:sz w:val="17"/>
          <w:szCs w:val="17"/>
          <w:color w:val="auto"/>
        </w:rPr>
        <w:t>‑</w:t>
      </w:r>
      <w:r>
        <w:rPr>
          <w:rFonts w:ascii="Arial" w:cs="Arial" w:eastAsia="Arial" w:hAnsi="Arial"/>
          <w:sz w:val="17"/>
          <w:szCs w:val="17"/>
          <w:color w:val="auto"/>
        </w:rPr>
        <w:t>based awards. The Company initially reserved 1,460,084 shares of common stock for the issuance of awards under the 2015 Stock Option Plan, which will be cumulatively increased on January 1 of each calendar year by 4% of the number of shares of common stock issued and outstanding on the immediately preceding December 31 or such lesser amount as specified by the compensation committee of the board of directors. This number is subject to adjustment in the event of a stock split, stock dividend or other change in our capitalization.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44"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On April 8, 2015, the Company’s stockholders approved the 2015 Employee Stock Purchase Plan. A total of 243,347 shares of common stock were initially authorized for issuance under this plan. The 2015 Employee Stock Purchase Plan became effective upon the completion of the IPO.</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91"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financial statements and related notes appearing elsewhere in this Quarterly Report on Form 10-Q and the audited financial information and the notes thereto included in our final prospectus for our initial public offering filed pursuant to Rule 424(b) under the Securities Act of 1933, as amended, or the Securities Act, with the Securities and Exchange Commission, or the SEC on April 30, 2015, or the Prospectus.</w:t>
      </w:r>
    </w:p>
    <w:p>
      <w:pPr>
        <w:spacing w:after="0" w:line="122"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22" w:lineRule="exact"/>
        <w:rPr>
          <w:sz w:val="20"/>
          <w:szCs w:val="20"/>
          <w:color w:val="auto"/>
        </w:rPr>
      </w:pPr>
    </w:p>
    <w:p>
      <w:pPr>
        <w:ind w:right="360" w:firstLine="648"/>
        <w:spacing w:after="0" w:line="289" w:lineRule="auto"/>
        <w:rPr>
          <w:sz w:val="20"/>
          <w:szCs w:val="20"/>
          <w:color w:val="auto"/>
        </w:rPr>
      </w:pPr>
      <w:r>
        <w:rPr>
          <w:rFonts w:ascii="Arial" w:cs="Arial" w:eastAsia="Arial" w:hAnsi="Arial"/>
          <w:sz w:val="16"/>
          <w:szCs w:val="16"/>
          <w:i w:val="1"/>
          <w:iCs w:val="1"/>
          <w:color w:val="auto"/>
        </w:rPr>
        <w:t>The following information and any forward-looking statements should be considered in light of factors discussed elsewhere in the Quarterly Report on Form 10-Q, including those risks identified under Part II, Item 1A. Risk Factors.</w:t>
      </w:r>
    </w:p>
    <w:p>
      <w:pPr>
        <w:spacing w:after="0" w:line="84" w:lineRule="exact"/>
        <w:rPr>
          <w:sz w:val="20"/>
          <w:szCs w:val="20"/>
          <w:color w:val="auto"/>
        </w:rPr>
      </w:pPr>
    </w:p>
    <w:p>
      <w:pPr>
        <w:spacing w:after="0" w:line="216"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w:t>
      </w:r>
      <w:r>
        <w:rPr>
          <w:rFonts w:ascii="MS PGothic" w:cs="MS PGothic" w:eastAsia="MS PGothic" w:hAnsi="MS PGothic"/>
          <w:sz w:val="17"/>
          <w:szCs w:val="17"/>
          <w:color w:val="auto"/>
        </w:rPr>
        <w:t>‑</w:t>
      </w:r>
      <w:r>
        <w:rPr>
          <w:rFonts w:ascii="Arial" w:cs="Arial" w:eastAsia="Arial" w:hAnsi="Arial"/>
          <w:sz w:val="17"/>
          <w:szCs w:val="17"/>
          <w:color w:val="auto"/>
        </w:rPr>
        <w:t>285, which targets KIT Exon 17 and PDGFRα D842V, abnormally active receptor tyrosine kinase mutants that are drivers of cancer and proliferative disorders. BLU</w:t>
      </w:r>
      <w:r>
        <w:rPr>
          <w:rFonts w:ascii="MS PGothic" w:cs="MS PGothic" w:eastAsia="MS PGothic" w:hAnsi="MS PGothic"/>
          <w:sz w:val="17"/>
          <w:szCs w:val="17"/>
          <w:color w:val="auto"/>
        </w:rPr>
        <w:t>‑</w:t>
      </w:r>
      <w:r>
        <w:rPr>
          <w:rFonts w:ascii="Arial" w:cs="Arial" w:eastAsia="Arial" w:hAnsi="Arial"/>
          <w:sz w:val="17"/>
          <w:szCs w:val="17"/>
          <w:color w:val="auto"/>
        </w:rPr>
        <w:t>285 will initially be developed for patients with systemic mastocytosis, a myeloproliferative disorder of the mast cells, and defined subsets of patients with gastrointestinal stromal tumor, the most common sarcoma, or tumor of bone or connective tissue, of the gastrointestinal tract. Our other lead drug candidate is BLU</w:t>
      </w:r>
      <w:r>
        <w:rPr>
          <w:rFonts w:ascii="MS PGothic" w:cs="MS PGothic" w:eastAsia="MS PGothic" w:hAnsi="MS PGothic"/>
          <w:sz w:val="17"/>
          <w:szCs w:val="17"/>
          <w:color w:val="auto"/>
        </w:rPr>
        <w:t>‑</w:t>
      </w:r>
      <w:r>
        <w:rPr>
          <w:rFonts w:ascii="Arial" w:cs="Arial" w:eastAsia="Arial" w:hAnsi="Arial"/>
          <w:sz w:val="17"/>
          <w:szCs w:val="17"/>
          <w:color w:val="auto"/>
        </w:rPr>
        <w:t>554, which targets FGFR4, a kinase that is aberrantly activated and is a driver of disease in a defined subset of patients with hepatocellular carcinoma, the most common type of liver cancer. Both drug candidates have demonstrated proof of concept in pre</w:t>
      </w:r>
      <w:r>
        <w:rPr>
          <w:rFonts w:ascii="MS PGothic" w:cs="MS PGothic" w:eastAsia="MS PGothic" w:hAnsi="MS PGothic"/>
          <w:sz w:val="17"/>
          <w:szCs w:val="17"/>
          <w:color w:val="auto"/>
        </w:rPr>
        <w:t>‑</w:t>
      </w:r>
      <w:r>
        <w:rPr>
          <w:rFonts w:ascii="Arial" w:cs="Arial" w:eastAsia="Arial" w:hAnsi="Arial"/>
          <w:sz w:val="17"/>
          <w:szCs w:val="17"/>
          <w:color w:val="auto"/>
        </w:rPr>
        <w:t>clinical models and we are on track to file Investigational New Drug applications, or INDs, in mid</w:t>
      </w:r>
      <w:r>
        <w:rPr>
          <w:rFonts w:ascii="MS PGothic" w:cs="MS PGothic" w:eastAsia="MS PGothic" w:hAnsi="MS PGothic"/>
          <w:sz w:val="17"/>
          <w:szCs w:val="17"/>
          <w:color w:val="auto"/>
        </w:rPr>
        <w:t>‑</w:t>
      </w:r>
      <w:r>
        <w:rPr>
          <w:rFonts w:ascii="Arial" w:cs="Arial" w:eastAsia="Arial" w:hAnsi="Arial"/>
          <w:sz w:val="17"/>
          <w:szCs w:val="17"/>
          <w:color w:val="auto"/>
        </w:rPr>
        <w:t>2015 and initiate our Phase 1 clinical trials in mid</w:t>
      </w:r>
      <w:r>
        <w:rPr>
          <w:rFonts w:ascii="MS PGothic" w:cs="MS PGothic" w:eastAsia="MS PGothic" w:hAnsi="MS PGothic"/>
          <w:sz w:val="17"/>
          <w:szCs w:val="17"/>
          <w:color w:val="auto"/>
        </w:rPr>
        <w:t>‑</w:t>
      </w:r>
      <w:r>
        <w:rPr>
          <w:rFonts w:ascii="Arial" w:cs="Arial" w:eastAsia="Arial" w:hAnsi="Arial"/>
          <w:sz w:val="17"/>
          <w:szCs w:val="17"/>
          <w:color w:val="auto"/>
        </w:rPr>
        <w:t>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w:t>
      </w:r>
      <w:r>
        <w:rPr>
          <w:rFonts w:ascii="MS PGothic" w:cs="MS PGothic" w:eastAsia="MS PGothic" w:hAnsi="MS PGothic"/>
          <w:sz w:val="17"/>
          <w:szCs w:val="17"/>
          <w:color w:val="auto"/>
        </w:rPr>
        <w:t>‑</w:t>
      </w:r>
      <w:r>
        <w:rPr>
          <w:rFonts w:ascii="Arial" w:cs="Arial" w:eastAsia="Arial" w:hAnsi="Arial"/>
          <w:sz w:val="17"/>
          <w:szCs w:val="17"/>
          <w:color w:val="auto"/>
        </w:rPr>
        <w:t>integrated biopharmaceutical company.</w:t>
      </w:r>
    </w:p>
    <w:p>
      <w:pPr>
        <w:spacing w:after="0" w:line="163"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In March 2015, we entered into a research, development and commercialization agreement, with Alexion Pharma Holding, or Alexion, to research, develop and commercialize drug candidates for an undisclosed activated kinase target, which is the cause of a rare genetic disease. Under the terms of this agreement, we are responsible for research and pre</w:t>
      </w:r>
      <w:r>
        <w:rPr>
          <w:rFonts w:ascii="MS PGothic" w:cs="MS PGothic" w:eastAsia="MS PGothic" w:hAnsi="MS PGothic"/>
          <w:sz w:val="18"/>
          <w:szCs w:val="18"/>
          <w:color w:val="auto"/>
        </w:rPr>
        <w:t>‑</w:t>
      </w:r>
      <w:r>
        <w:rPr>
          <w:rFonts w:ascii="Arial" w:cs="Arial" w:eastAsia="Arial" w:hAnsi="Arial"/>
          <w:sz w:val="18"/>
          <w:szCs w:val="18"/>
          <w:color w:val="auto"/>
        </w:rPr>
        <w:t xml:space="preserve"> clinical development activities related to drug candidates and Alexion is responsible for all clinical development, manufacturing and commercialization activities related to drug candidates.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Alexion is responsible for funding 100% of our research and development costs incurred under the research plan, including pass</w:t>
      </w:r>
      <w:r>
        <w:rPr>
          <w:rFonts w:ascii="MS PGothic" w:cs="MS PGothic" w:eastAsia="MS PGothic" w:hAnsi="MS PGothic"/>
          <w:sz w:val="16"/>
          <w:szCs w:val="16"/>
          <w:color w:val="auto"/>
        </w:rPr>
        <w:t>‑</w:t>
      </w:r>
      <w:r>
        <w:rPr>
          <w:rFonts w:ascii="Arial" w:cs="Arial" w:eastAsia="Arial" w:hAnsi="Arial"/>
          <w:sz w:val="16"/>
          <w:szCs w:val="16"/>
          <w:color w:val="auto"/>
        </w:rPr>
        <w:t>through costs and our employees’ time devoted to the research plan at a negotiated yearly rate per full</w:t>
      </w:r>
      <w:r>
        <w:rPr>
          <w:rFonts w:ascii="MS PGothic" w:cs="MS PGothic" w:eastAsia="MS PGothic" w:hAnsi="MS PGothic"/>
          <w:sz w:val="16"/>
          <w:szCs w:val="16"/>
          <w:color w:val="auto"/>
        </w:rPr>
        <w:t>‑</w:t>
      </w:r>
      <w:r>
        <w:rPr>
          <w:rFonts w:ascii="Arial" w:cs="Arial" w:eastAsia="Arial" w:hAnsi="Arial"/>
          <w:sz w:val="16"/>
          <w:szCs w:val="16"/>
          <w:color w:val="auto"/>
        </w:rPr>
        <w:t>time equivalent for our employees’ time and their associated overhead expenses. We received a $15.0 million non</w:t>
      </w:r>
      <w:r>
        <w:rPr>
          <w:rFonts w:ascii="MS PGothic" w:cs="MS PGothic" w:eastAsia="MS PGothic" w:hAnsi="MS PGothic"/>
          <w:sz w:val="16"/>
          <w:szCs w:val="16"/>
          <w:color w:val="auto"/>
        </w:rPr>
        <w:t>‑</w:t>
      </w:r>
      <w:r>
        <w:rPr>
          <w:rFonts w:ascii="Arial" w:cs="Arial" w:eastAsia="Arial" w:hAnsi="Arial"/>
          <w:sz w:val="16"/>
          <w:szCs w:val="16"/>
          <w:color w:val="auto"/>
        </w:rPr>
        <w:t>refundable upfront payment in March 2015 upon execution of the agreement and are eligible to receive over $250 million in payments upon the successful achievement of pre</w:t>
      </w:r>
      <w:r>
        <w:rPr>
          <w:rFonts w:ascii="MS PGothic" w:cs="MS PGothic" w:eastAsia="MS PGothic" w:hAnsi="MS PGothic"/>
          <w:sz w:val="16"/>
          <w:szCs w:val="16"/>
          <w:color w:val="auto"/>
        </w:rPr>
        <w:t>‑</w:t>
      </w:r>
      <w:r>
        <w:rPr>
          <w:rFonts w:ascii="Arial" w:cs="Arial" w:eastAsia="Arial" w:hAnsi="Arial"/>
          <w:sz w:val="16"/>
          <w:szCs w:val="16"/>
          <w:color w:val="auto"/>
        </w:rPr>
        <w:t>specified pre</w:t>
      </w:r>
      <w:r>
        <w:rPr>
          <w:rFonts w:ascii="MS PGothic" w:cs="MS PGothic" w:eastAsia="MS PGothic" w:hAnsi="MS PGothic"/>
          <w:sz w:val="16"/>
          <w:szCs w:val="16"/>
          <w:color w:val="auto"/>
        </w:rPr>
        <w:t>‑</w:t>
      </w:r>
      <w:r>
        <w:rPr>
          <w:rFonts w:ascii="Arial" w:cs="Arial" w:eastAsia="Arial" w:hAnsi="Arial"/>
          <w:sz w:val="16"/>
          <w:szCs w:val="16"/>
          <w:color w:val="auto"/>
        </w:rPr>
        <w:t>clinical, clinical, regulatory and commercial milestones as follows: (i) up to $6.0 million in pre</w:t>
      </w:r>
      <w:r>
        <w:rPr>
          <w:rFonts w:ascii="MS PGothic" w:cs="MS PGothic" w:eastAsia="MS PGothic" w:hAnsi="MS PGothic"/>
          <w:sz w:val="16"/>
          <w:szCs w:val="16"/>
          <w:color w:val="auto"/>
        </w:rPr>
        <w:t>‑</w:t>
      </w:r>
      <w:r>
        <w:rPr>
          <w:rFonts w:ascii="Arial" w:cs="Arial" w:eastAsia="Arial" w:hAnsi="Arial"/>
          <w:sz w:val="16"/>
          <w:szCs w:val="16"/>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us tiered royalties, ranging from mid</w:t>
      </w:r>
      <w:r>
        <w:rPr>
          <w:rFonts w:ascii="MS PGothic" w:cs="MS PGothic" w:eastAsia="MS PGothic" w:hAnsi="MS PGothic"/>
          <w:sz w:val="16"/>
          <w:szCs w:val="16"/>
          <w:color w:val="auto"/>
        </w:rPr>
        <w:t>‑</w:t>
      </w:r>
      <w:r>
        <w:rPr>
          <w:rFonts w:ascii="Arial" w:cs="Arial" w:eastAsia="Arial" w:hAnsi="Arial"/>
          <w:sz w:val="16"/>
          <w:szCs w:val="16"/>
          <w:color w:val="auto"/>
        </w:rPr>
        <w:t>single to low</w:t>
      </w:r>
      <w:r>
        <w:rPr>
          <w:rFonts w:ascii="MS PGothic" w:cs="MS PGothic" w:eastAsia="MS PGothic" w:hAnsi="MS PGothic"/>
          <w:sz w:val="16"/>
          <w:szCs w:val="16"/>
          <w:color w:val="auto"/>
        </w:rPr>
        <w:t>‑</w:t>
      </w:r>
      <w:r>
        <w:rPr>
          <w:rFonts w:ascii="Arial" w:cs="Arial" w:eastAsia="Arial" w:hAnsi="Arial"/>
          <w:sz w:val="16"/>
          <w:szCs w:val="16"/>
          <w:color w:val="auto"/>
        </w:rPr>
        <w:t>double digit percentages royalties,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and licensed-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expire valid claim of specified patents covering such licensed product, (ii) the expiration of the applicable regulatory exclusivity period, and (iii) 10 or 15 years from specified commercial sales.</w:t>
      </w:r>
    </w:p>
    <w:p>
      <w:pPr>
        <w:spacing w:after="0" w:line="166"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Alexion has the right to terminate the agreement if we undergo a change of control or become an affiliate of a biotechnology or pharmaceutical company, and may terminate at</w:t>
      </w:r>
      <w:r>
        <w:rPr>
          <w:rFonts w:ascii="MS PGothic" w:cs="MS PGothic" w:eastAsia="MS PGothic" w:hAnsi="MS PGothic"/>
          <w:sz w:val="18"/>
          <w:szCs w:val="18"/>
          <w:color w:val="auto"/>
        </w:rPr>
        <w:t>‑</w:t>
      </w:r>
      <w:r>
        <w:rPr>
          <w:rFonts w:ascii="Arial" w:cs="Arial" w:eastAsia="Arial" w:hAnsi="Arial"/>
          <w:sz w:val="18"/>
          <w:szCs w:val="18"/>
          <w:color w:val="auto"/>
        </w:rPr>
        <w:t>will upon 90 days, prior written notice. We and Alexion have the right to terminate the Alexion agreement in the event of the other party’s uncured breach or insolvency, and in certain other circumstances agreed to by the parties.</w:t>
      </w:r>
    </w:p>
    <w:p>
      <w:pPr>
        <w:spacing w:after="0" w:line="95"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During the three months ended March 31, 2015, we recognized revenue of $0.7 million related to the Alexion agreement. 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w:t>
      </w:r>
      <w:r>
        <w:rPr>
          <w:rFonts w:ascii="MS PGothic" w:cs="MS PGothic" w:eastAsia="MS PGothic" w:hAnsi="MS PGothic"/>
          <w:sz w:val="16"/>
          <w:szCs w:val="16"/>
          <w:color w:val="auto"/>
        </w:rPr>
        <w:t>‑</w:t>
      </w:r>
      <w:r>
        <w:rPr>
          <w:rFonts w:ascii="Arial" w:cs="Arial" w:eastAsia="Arial" w:hAnsi="Arial"/>
          <w:sz w:val="16"/>
          <w:szCs w:val="16"/>
          <w:color w:val="auto"/>
        </w:rPr>
        <w:t>clinical studies,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including Good Laboratory Practice, or GLP, toxicology studies and preparing to commence planned clinical development activities. We expect to begin conducting clinical trials in mid</w:t>
      </w:r>
      <w:r>
        <w:rPr>
          <w:rFonts w:ascii="MS PGothic" w:cs="MS PGothic" w:eastAsia="MS PGothic" w:hAnsi="MS PGothic"/>
          <w:sz w:val="16"/>
          <w:szCs w:val="16"/>
          <w:color w:val="auto"/>
        </w:rPr>
        <w:t>‑</w:t>
      </w:r>
      <w:r>
        <w:rPr>
          <w:rFonts w:ascii="Arial" w:cs="Arial" w:eastAsia="Arial" w:hAnsi="Arial"/>
          <w:sz w:val="16"/>
          <w:szCs w:val="16"/>
          <w:color w:val="auto"/>
        </w:rPr>
        <w:t>2015. We do not have any drugs approved for sale and have not generated any revenue from drug sales. From inception through March 31, 2015, we had funded our operations primarily through private placements of our convertible preferred stock and debt financing. We raised an aggregate of $125.1 million of gross proceeds to fund our operations, of which $115.1 million was from the issuance of convertible preferred stock and $10.0 million was from a debt financing. On May 5, 2015, we completed the sale of 9,367,708 shares of our common stock (inclusive of 1,221,874 shares of common stock sold by us pursuant to the full exercise of an option to purchase additional shares granted to the underwriters in connection with the offering) in our initial public offering, or IPO, at a price to the public of $18.00 per share, resulting in net proceeds of $154.2 million after deducting underwriting discounts and commissions and estimated offering costs payable by us. The shares began trading on the NASDAQ Global Select Market on April 30, 2015. Upon the closing of the IPO, all outstanding shares of convertible preferred stock converted into 15,467,479 shares of common stock; and warrants exercisable for convertible preferred stock were automatically converted into warrants exercisable for 42,423shares of common stock. Additionally, we are now authorized to issue 120,000,000 shares of common stock and 5,000,000 shares of preferred stock.</w:t>
      </w:r>
    </w:p>
    <w:p>
      <w:pPr>
        <w:spacing w:after="0" w:line="17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Since inception, we have incurred significant operating losses. Our net losses were $11.6 million and $7.0. million for the three months ended March 31, 2015 and 2014, respectively. As of March 31, 2015, we had an accumulated deficit of $93.8 million. We expect to continue to incur significant expenses and operating losses over the next several years. We anticipate that our expenses will increase significantly in connection with our ongoing activities, as we:</w:t>
      </w:r>
    </w:p>
    <w:p>
      <w:pPr>
        <w:spacing w:after="0" w:line="155" w:lineRule="exact"/>
        <w:rPr>
          <w:sz w:val="20"/>
          <w:szCs w:val="20"/>
          <w:color w:val="auto"/>
        </w:rPr>
      </w:pPr>
    </w:p>
    <w:p>
      <w:pPr>
        <w:ind w:left="700" w:right="540" w:hanging="53"/>
        <w:spacing w:after="0" w:line="203" w:lineRule="exact"/>
        <w:rPr>
          <w:sz w:val="20"/>
          <w:szCs w:val="20"/>
          <w:color w:val="auto"/>
        </w:rPr>
      </w:pPr>
      <w:r>
        <w:rPr>
          <w:rFonts w:ascii="Arial" w:cs="Arial" w:eastAsia="Arial" w:hAnsi="Arial"/>
          <w:sz w:val="18"/>
          <w:szCs w:val="18"/>
          <w:color w:val="auto"/>
        </w:rPr>
        <w:t>·complete IND enabling activities and commence the planned clinical development activities for our lead drug candidates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w:t>
      </w:r>
    </w:p>
    <w:p>
      <w:pPr>
        <w:spacing w:after="0" w:line="162" w:lineRule="exact"/>
        <w:rPr>
          <w:sz w:val="20"/>
          <w:szCs w:val="20"/>
          <w:color w:val="auto"/>
        </w:rPr>
      </w:pPr>
    </w:p>
    <w:p>
      <w:pPr>
        <w:ind w:left="740" w:hanging="8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research, development and business personnel;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0" w:lineRule="exact"/>
        <w:rPr>
          <w:rFonts w:ascii="Arial" w:cs="Arial" w:eastAsia="Arial" w:hAnsi="Arial"/>
          <w:sz w:val="18"/>
          <w:szCs w:val="18"/>
          <w:color w:val="auto"/>
        </w:rPr>
      </w:pPr>
    </w:p>
    <w:p>
      <w:pPr>
        <w:ind w:left="3360"/>
        <w:spacing w:after="0"/>
        <w:rPr>
          <w:rFonts w:ascii="Arial" w:cs="Arial" w:eastAsia="Arial" w:hAnsi="Arial"/>
          <w:sz w:val="18"/>
          <w:szCs w:val="18"/>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60" w:firstLine="648"/>
        <w:spacing w:after="0" w:line="233" w:lineRule="auto"/>
        <w:rPr>
          <w:sz w:val="20"/>
          <w:szCs w:val="20"/>
          <w:color w:val="auto"/>
        </w:rPr>
      </w:pPr>
      <w:r>
        <w:rPr>
          <w:rFonts w:ascii="Arial" w:cs="Arial" w:eastAsia="Arial" w:hAnsi="Arial"/>
          <w:sz w:val="16"/>
          <w:szCs w:val="16"/>
          <w:color w:val="auto"/>
        </w:rPr>
        <w:t>To date, we have not generated any revenue from drug sales and do not expect to generate any revenue from the sale of drugs in the near future. Our revenue consists of collaboration revenue under our agreement with Alexion, including amounts that are recognized related to an upfront payment and amounts due to us for research and development services. In the future, revenue may include milestone payments earned under the collaboration agreement and royalties on any net product sales. We expect that any revenue we generate will fluctuate from quarter to quarter as a result of the timing</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amount of license fees, research and development reimbursements, payments for manufacturing services, and milestone and other payments.</w:t>
      </w:r>
    </w:p>
    <w:p>
      <w:pPr>
        <w:spacing w:after="0" w:line="161"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drug candidates, which include:</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5" w:lineRule="exact"/>
        <w:rPr>
          <w:sz w:val="20"/>
          <w:szCs w:val="20"/>
          <w:color w:val="auto"/>
        </w:rPr>
      </w:pPr>
    </w:p>
    <w:p>
      <w:pPr>
        <w:ind w:left="700" w:right="40" w:hanging="53"/>
        <w:spacing w:after="0" w:line="203" w:lineRule="exact"/>
        <w:rPr>
          <w:sz w:val="20"/>
          <w:szCs w:val="20"/>
          <w:color w:val="auto"/>
        </w:rPr>
      </w:pPr>
      <w:r>
        <w:rPr>
          <w:rFonts w:ascii="Arial" w:cs="Arial" w:eastAsia="Arial" w:hAnsi="Arial"/>
          <w:sz w:val="18"/>
          <w:szCs w:val="18"/>
          <w:color w:val="auto"/>
        </w:rPr>
        <w:t>·expenses incurred under agreements with third parties that conduct research and development, pre</w:t>
      </w:r>
      <w:r>
        <w:rPr>
          <w:rFonts w:ascii="MS PGothic" w:cs="MS PGothic" w:eastAsia="MS PGothic" w:hAnsi="MS PGothic"/>
          <w:sz w:val="18"/>
          <w:szCs w:val="18"/>
          <w:color w:val="auto"/>
        </w:rPr>
        <w:t>‑</w:t>
      </w:r>
      <w:r>
        <w:rPr>
          <w:rFonts w:ascii="Arial" w:cs="Arial" w:eastAsia="Arial" w:hAnsi="Arial"/>
          <w:sz w:val="18"/>
          <w:szCs w:val="18"/>
          <w:color w:val="auto"/>
        </w:rPr>
        <w:t>clinical activities and manufacturing on our behalf;</w:t>
      </w:r>
    </w:p>
    <w:p>
      <w:pPr>
        <w:spacing w:after="0" w:line="162" w:lineRule="exact"/>
        <w:rPr>
          <w:sz w:val="20"/>
          <w:szCs w:val="20"/>
          <w:color w:val="auto"/>
        </w:rPr>
      </w:pPr>
    </w:p>
    <w:p>
      <w:pPr>
        <w:ind w:left="900" w:hanging="24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lab supplies and pre</w:t>
      </w:r>
      <w:r>
        <w:rPr>
          <w:rFonts w:ascii="MS PGothic" w:cs="MS PGothic" w:eastAsia="MS PGothic" w:hAnsi="MS PGothic"/>
          <w:sz w:val="18"/>
          <w:szCs w:val="18"/>
          <w:color w:val="auto"/>
        </w:rPr>
        <w:t>‑</w:t>
      </w:r>
      <w:r>
        <w:rPr>
          <w:rFonts w:ascii="Arial" w:cs="Arial" w:eastAsia="Arial" w:hAnsi="Arial"/>
          <w:sz w:val="18"/>
          <w:szCs w:val="18"/>
          <w:color w:val="auto"/>
        </w:rPr>
        <w:t>clinical study materials; and</w:t>
      </w:r>
    </w:p>
    <w:p>
      <w:pPr>
        <w:spacing w:after="0" w:line="185" w:lineRule="exact"/>
        <w:rPr>
          <w:sz w:val="20"/>
          <w:szCs w:val="20"/>
          <w:color w:val="auto"/>
        </w:rPr>
      </w:pPr>
    </w:p>
    <w:p>
      <w:pPr>
        <w:ind w:left="700" w:right="40" w:hanging="53"/>
        <w:spacing w:after="0" w:line="235" w:lineRule="auto"/>
        <w:rPr>
          <w:sz w:val="20"/>
          <w:szCs w:val="20"/>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3"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5" w:lineRule="exact"/>
        <w:rPr>
          <w:sz w:val="20"/>
          <w:szCs w:val="20"/>
          <w:color w:val="auto"/>
        </w:rPr>
      </w:pPr>
    </w:p>
    <w:p>
      <w:pPr>
        <w:ind w:left="760" w:hanging="10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420"/>
        <w:spacing w:after="0" w:line="352" w:lineRule="exact"/>
        <w:rPr>
          <w:sz w:val="20"/>
          <w:szCs w:val="20"/>
          <w:color w:val="auto"/>
        </w:rPr>
      </w:pPr>
      <w:r>
        <w:rPr>
          <w:rFonts w:ascii="Arial" w:cs="Arial" w:eastAsia="Arial" w:hAnsi="Arial"/>
          <w:sz w:val="17"/>
          <w:szCs w:val="17"/>
          <w:color w:val="auto"/>
        </w:rPr>
        <w:t>·establishing commercial manufacturing capabilities or 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·obtaining and maintaining patent and trade secret protection and regulatory exclusivity for our drug candidates; ·commercializing the drug candidates, if and when approved, whether alone or in collaboration with others; and · continued acceptable safety profile of the drugs following approval.</w:t>
      </w:r>
    </w:p>
    <w:p>
      <w:pPr>
        <w:spacing w:after="0" w:line="162" w:lineRule="exact"/>
        <w:rPr>
          <w:sz w:val="20"/>
          <w:szCs w:val="20"/>
          <w:color w:val="auto"/>
        </w:rPr>
      </w:pPr>
    </w:p>
    <w:p>
      <w:pPr>
        <w:ind w:right="3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8"/>
          <w:szCs w:val="18"/>
          <w:color w:val="auto"/>
        </w:rPr>
        <w:t>‑</w:t>
      </w:r>
      <w:r>
        <w:rPr>
          <w:rFonts w:ascii="Arial" w:cs="Arial" w:eastAsia="Arial" w:hAnsi="Arial"/>
          <w:sz w:val="18"/>
          <w:szCs w:val="18"/>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significant portion of our research and development costs have been external costs, which we track on a</w:t>
      </w:r>
    </w:p>
    <w:p>
      <w:pPr>
        <w:spacing w:after="0" w:line="176" w:lineRule="exact"/>
        <w:rPr>
          <w:sz w:val="20"/>
          <w:szCs w:val="20"/>
          <w:color w:val="auto"/>
        </w:rPr>
      </w:pPr>
      <w:r>
        <w:rPr>
          <w:rFonts w:ascii="Arial" w:cs="Arial" w:eastAsia="Arial" w:hAnsi="Arial"/>
          <w:sz w:val="16"/>
          <w:szCs w:val="16"/>
          <w:color w:val="auto"/>
        </w:rPr>
        <w:t>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following nomination as a development candidate. Our internal research and development costs are</w:t>
      </w:r>
    </w:p>
    <w:p>
      <w:pPr>
        <w:spacing w:after="0" w:line="176" w:lineRule="exact"/>
        <w:rPr>
          <w:sz w:val="20"/>
          <w:szCs w:val="20"/>
          <w:color w:val="auto"/>
        </w:rPr>
      </w:pPr>
      <w:r>
        <w:rPr>
          <w:rFonts w:ascii="Arial" w:cs="Arial" w:eastAsia="Arial" w:hAnsi="Arial"/>
          <w:sz w:val="16"/>
          <w:szCs w:val="16"/>
          <w:color w:val="auto"/>
        </w:rPr>
        <w:t>primarily personnel</w:t>
      </w:r>
      <w:r>
        <w:rPr>
          <w:rFonts w:ascii="MS PGothic" w:cs="MS PGothic" w:eastAsia="MS PGothic" w:hAnsi="MS PGothic"/>
          <w:sz w:val="16"/>
          <w:szCs w:val="16"/>
          <w:color w:val="auto"/>
        </w:rPr>
        <w:t>‑</w:t>
      </w:r>
      <w:r>
        <w:rPr>
          <w:rFonts w:ascii="Arial" w:cs="Arial" w:eastAsia="Arial" w:hAnsi="Arial"/>
          <w:sz w:val="16"/>
          <w:szCs w:val="16"/>
          <w:color w:val="auto"/>
        </w:rPr>
        <w:t>related costs, depreciation and other indirect costs. We do not track our internal research and development</w:t>
      </w:r>
    </w:p>
    <w:p>
      <w:pPr>
        <w:spacing w:after="0" w:line="176" w:lineRule="exact"/>
        <w:rPr>
          <w:sz w:val="20"/>
          <w:szCs w:val="20"/>
          <w:color w:val="auto"/>
        </w:rPr>
      </w:pPr>
      <w:r>
        <w:rPr>
          <w:rFonts w:ascii="Arial" w:cs="Arial" w:eastAsia="Arial" w:hAnsi="Arial"/>
          <w:sz w:val="16"/>
          <w:szCs w:val="16"/>
          <w:color w:val="auto"/>
        </w:rPr>
        <w:t>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as they are deployed across multiple projects under development. The following</w:t>
      </w:r>
    </w:p>
    <w:p>
      <w:pPr>
        <w:spacing w:after="0" w:line="229" w:lineRule="auto"/>
        <w:rPr>
          <w:sz w:val="20"/>
          <w:szCs w:val="20"/>
          <w:color w:val="auto"/>
        </w:rPr>
      </w:pPr>
      <w:r>
        <w:rPr>
          <w:rFonts w:ascii="Arial" w:cs="Arial" w:eastAsia="Arial" w:hAnsi="Arial"/>
          <w:sz w:val="16"/>
          <w:szCs w:val="16"/>
          <w:color w:val="auto"/>
        </w:rPr>
        <w:t>table summarizes our external research and development expenses, by program for the three months ended March 31, 2015</w:t>
      </w:r>
    </w:p>
    <w:p>
      <w:pPr>
        <w:spacing w:after="0" w:line="176" w:lineRule="exact"/>
        <w:rPr>
          <w:sz w:val="20"/>
          <w:szCs w:val="20"/>
          <w:color w:val="auto"/>
        </w:rPr>
      </w:pPr>
      <w:r>
        <w:rPr>
          <w:rFonts w:ascii="Arial" w:cs="Arial" w:eastAsia="Arial" w:hAnsi="Arial"/>
          <w:sz w:val="16"/>
          <w:szCs w:val="16"/>
          <w:color w:val="auto"/>
        </w:rPr>
        <w:t>and 2014. Pre</w:t>
      </w:r>
      <w:r>
        <w:rPr>
          <w:rFonts w:ascii="MS PGothic" w:cs="MS PGothic" w:eastAsia="MS PGothic" w:hAnsi="MS PGothic"/>
          <w:sz w:val="16"/>
          <w:szCs w:val="16"/>
          <w:color w:val="auto"/>
        </w:rPr>
        <w:t>‑</w:t>
      </w:r>
      <w:r>
        <w:rPr>
          <w:rFonts w:ascii="Arial" w:cs="Arial" w:eastAsia="Arial" w:hAnsi="Arial"/>
          <w:sz w:val="16"/>
          <w:szCs w:val="16"/>
          <w:color w:val="auto"/>
        </w:rPr>
        <w:t>development candidate expenses, unallocated costs and internal research and development costs have been</w:t>
      </w:r>
    </w:p>
    <w:p>
      <w:pPr>
        <w:spacing w:after="0"/>
        <w:rPr>
          <w:sz w:val="20"/>
          <w:szCs w:val="20"/>
          <w:color w:val="auto"/>
        </w:rPr>
      </w:pPr>
      <w:r>
        <w:rPr>
          <w:rFonts w:ascii="Arial" w:cs="Arial" w:eastAsia="Arial" w:hAnsi="Arial"/>
          <w:sz w:val="18"/>
          <w:szCs w:val="18"/>
          <w:color w:val="auto"/>
        </w:rPr>
        <w:t>classified separately.</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Pr>
          <w:p>
            <w:pPr>
              <w:spacing w:after="0"/>
              <w:rPr>
                <w:sz w:val="13"/>
                <w:szCs w:val="13"/>
                <w:color w:val="auto"/>
              </w:rPr>
            </w:pPr>
          </w:p>
        </w:tc>
      </w:tr>
      <w:tr>
        <w:trPr>
          <w:trHeight w:val="156"/>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BLU-285 external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BLU-554 external costs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Pre-development candidate expenses and unallocated costs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research and development costs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60" w:type="dxa"/>
            <w:vAlign w:val="bottom"/>
            <w:tcBorders>
              <w:bottom w:val="single" w:sz="8" w:color="CCEEFF"/>
            </w:tcBorders>
          </w:tcPr>
          <w:p>
            <w:pPr>
              <w:spacing w:after="0"/>
              <w:rPr>
                <w:sz w:val="18"/>
                <w:szCs w:val="18"/>
                <w:color w:val="auto"/>
              </w:rPr>
            </w:pPr>
          </w:p>
        </w:tc>
      </w:tr>
      <w:tr>
        <w:trPr>
          <w:trHeight w:val="217"/>
        </w:trPr>
        <w:tc>
          <w:tcPr>
            <w:tcW w:w="6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substantial increase in external costs associated with BLU-285 and BLU-554 for the three months ended March 31, 2015 over the three months ended March 31, 2014 was driven by the timing of the nomination of the programs as development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resources functions.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includes expense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including the initiation of our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w:t>
      </w:r>
      <w:r>
        <w:rPr>
          <w:rFonts w:ascii="MS PGothic" w:cs="MS PGothic" w:eastAsia="MS PGothic" w:hAnsi="MS PGothic"/>
          <w:sz w:val="16"/>
          <w:szCs w:val="16"/>
          <w:color w:val="auto"/>
        </w:rPr>
        <w:t>‑</w:t>
      </w:r>
      <w:r>
        <w:rPr>
          <w:rFonts w:ascii="Arial" w:cs="Arial" w:eastAsia="Arial" w:hAnsi="Arial"/>
          <w:sz w:val="16"/>
          <w:szCs w:val="16"/>
          <w:color w:val="auto"/>
        </w:rPr>
        <w:t>related services, director and officer insurance premiums and investor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Other income (expense) consists primarily of interest expense on amounts outstanding under a loan and security agreement, or Loan and Security Agreement, that we entered into with Silicon Valley Bank in May 2013, amortization of debt discount and the re</w:t>
      </w:r>
      <w:r>
        <w:rPr>
          <w:rFonts w:ascii="MS PGothic" w:cs="MS PGothic" w:eastAsia="MS PGothic" w:hAnsi="MS PGothic"/>
          <w:sz w:val="18"/>
          <w:szCs w:val="18"/>
          <w:color w:val="auto"/>
        </w:rPr>
        <w:t>‑</w:t>
      </w:r>
      <w:r>
        <w:rPr>
          <w:rFonts w:ascii="Arial" w:cs="Arial" w:eastAsia="Arial" w:hAnsi="Arial"/>
          <w:sz w:val="18"/>
          <w:szCs w:val="18"/>
          <w:color w:val="auto"/>
        </w:rPr>
        <w:t>measurement gain or loss associated with the change in the fair value of the convertible preferred stock warrant liability.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Our critical accounting policies are those policies which require the most significant judgments and estimates in the preparation of our financial statements. Management has determined that our most critical accounting policies are those relating to revenue recognition, accrued research and development expenses and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 xml:space="preserve">We recognize revenue from license and collaboration agreements in accordance with Financial Accounting Standards Board, or FASB, Accounting Standards Codification, or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or ASC 605. Accordingly, revenue is recognized when all of the following criteria are met:</w:t>
      </w:r>
    </w:p>
    <w:p>
      <w:pPr>
        <w:spacing w:after="0" w:line="107" w:lineRule="exact"/>
        <w:rPr>
          <w:sz w:val="20"/>
          <w:szCs w:val="20"/>
          <w:color w:val="auto"/>
        </w:rPr>
      </w:pPr>
    </w:p>
    <w:p>
      <w:pPr>
        <w:ind w:left="780" w:hanging="12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760" w:hanging="109"/>
        <w:spacing w:after="0" w:line="20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740" w:hanging="89"/>
        <w:spacing w:after="0" w:line="20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09" w:lineRule="exact"/>
        <w:rPr>
          <w:sz w:val="20"/>
          <w:szCs w:val="20"/>
          <w:color w:val="auto"/>
        </w:rPr>
      </w:pPr>
    </w:p>
    <w:p>
      <w:pPr>
        <w:ind w:right="26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the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2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Our revenue is currently generated through our collaboration agreement with Alexion. The terms of this agreement contain multiple elements, or deliverables, including an exclusive license to research, develop, manufacture and commercialize the licensed products and the compounds in the field in the territory, as well as research and development activities to be performed by us on behalf of Alexion related to the licensed product candidates. In addition, the terms of this agreement include payments to us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we have received the upfront payment and certain research and development service payments but have not received any milestone payments or earned royalty revenue as a result of product sales.</w:t>
      </w:r>
    </w:p>
    <w:p>
      <w:pPr>
        <w:spacing w:after="0" w:line="127"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When evaluating multiple element arrangements, we consider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we consider factors such as the research, manufacturing and commercialization capabilities of the collaboration partner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Our collaboration agreement with Alexion does not contain a general right of return relative to the delivered item(s).</w:t>
      </w:r>
    </w:p>
    <w:p>
      <w:pPr>
        <w:spacing w:after="0" w:line="121"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We typically use BESP to estimate the selling price, since it generally does not have VSOE or TPE of selling price for its units of accounting. Determining the BESP for a unit of accounting requires significant judgment. In developing the BESP for a unit of accounting, we consider applicable market conditions and relevant entity-specific factors, including factors that were contemplated in negotiating the agreement with the customer and estimated costs. We validate the BESP for units of accounting by evaluating whether changes in the key assumptions used to determine the BESP will have a significant effect on the allocation of arrangement consideration between multiple units of accounting.</w:t>
      </w:r>
    </w:p>
    <w:p>
      <w:pPr>
        <w:spacing w:after="0" w:line="130"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the event that an element of a multiple element arrangement does not represent a separate unit of accounting, we recognize revenue from the combined element over the period over which we expect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we recognize revenue under the arrangement using the proportional performance method. If there is no discernible pattern of performance and/or objectively measurable performance measures do not exist, then we recognize revenue under the arrangement on a straight-line basis over the period the we are expected to complete our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23" w:lineRule="exact"/>
        <w:rPr>
          <w:sz w:val="20"/>
          <w:szCs w:val="20"/>
          <w:color w:val="auto"/>
        </w:rPr>
      </w:pPr>
    </w:p>
    <w:p>
      <w:pPr>
        <w:ind w:right="3360" w:firstLine="648"/>
        <w:spacing w:after="0" w:line="407" w:lineRule="auto"/>
        <w:rPr>
          <w:sz w:val="20"/>
          <w:szCs w:val="20"/>
          <w:color w:val="auto"/>
        </w:rPr>
      </w:pPr>
      <w:r>
        <w:rPr>
          <w:rFonts w:ascii="Arial" w:cs="Arial" w:eastAsia="Arial" w:hAnsi="Arial"/>
          <w:sz w:val="18"/>
          <w:szCs w:val="18"/>
          <w:color w:val="auto"/>
        </w:rPr>
        <w:t xml:space="preserve">Our multiple-element revenue arrangements may include the following </w:t>
      </w:r>
      <w:r>
        <w:rPr>
          <w:rFonts w:ascii="Arial" w:cs="Arial" w:eastAsia="Arial" w:hAnsi="Arial"/>
          <w:sz w:val="18"/>
          <w:szCs w:val="18"/>
          <w:i w:val="1"/>
          <w:iCs w:val="1"/>
          <w:color w:val="auto"/>
        </w:rPr>
        <w:t>Exclusive Licenses</w:t>
      </w:r>
    </w:p>
    <w:p>
      <w:pPr>
        <w:ind w:right="140" w:firstLine="648"/>
        <w:spacing w:after="0" w:line="237" w:lineRule="auto"/>
        <w:rPr>
          <w:sz w:val="20"/>
          <w:szCs w:val="20"/>
          <w:color w:val="auto"/>
        </w:rPr>
      </w:pPr>
      <w:r>
        <w:rPr>
          <w:rFonts w:ascii="Arial" w:cs="Arial" w:eastAsia="Arial" w:hAnsi="Arial"/>
          <w:sz w:val="16"/>
          <w:szCs w:val="16"/>
          <w:color w:val="auto"/>
        </w:rPr>
        <w:t>The deliverables under our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We may recognize the arrangement consideration allocated to licenses upon delivery of the license if facts and circumstances indicate that the license has stand-alone value from the undelivered elements, which generally include research and development services. We defer arrangement consideration allocated to licenses if facts and circumstances indicate that the delivered license does not have stand-alone value from the undelivered elements.</w:t>
      </w:r>
    </w:p>
    <w:p>
      <w:pPr>
        <w:spacing w:after="0" w:line="127"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When management believes a license does not have stand-alone value from the other deliverables to be provided in the arrangement, we recognize revenue attributed to the license on a proportional basis over our contractual or estimated performance period, which is typically the term of our research and development obligations. If management cannot reasonably estimate when our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licensing agreement. Such a change could have a material impact on the amount of revenue the Company records in future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144"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deliverables under our collaboration agreements may include research and development services to be performed by us on behalf of the partner. Payments or reimbursements resulting from our research and development efforts are recognized as the services are performed and presented on a gross basis because we are the principal for such efforts, so long as there is persuasive evidence of an arrangement, the fee is fixed or determinable, and collection of the related amount is reasonably assured.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4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160" w:firstLine="324"/>
        <w:spacing w:after="0" w:line="224" w:lineRule="auto"/>
        <w:rPr>
          <w:sz w:val="20"/>
          <w:szCs w:val="20"/>
          <w:color w:val="auto"/>
        </w:rPr>
      </w:pPr>
      <w:r>
        <w:rPr>
          <w:rFonts w:ascii="Arial" w:cs="Arial" w:eastAsia="Arial" w:hAnsi="Arial"/>
          <w:sz w:val="18"/>
          <w:szCs w:val="18"/>
          <w:color w:val="auto"/>
        </w:rPr>
        <w:t>At the inception of an arrangement that includes milestone payments, we evaluate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380" w:right="60" w:hanging="53"/>
        <w:spacing w:after="0" w:line="289" w:lineRule="auto"/>
        <w:rPr>
          <w:sz w:val="20"/>
          <w:szCs w:val="20"/>
          <w:color w:val="auto"/>
        </w:rPr>
      </w:pPr>
      <w:r>
        <w:rPr>
          <w:rFonts w:ascii="Arial" w:cs="Arial" w:eastAsia="Arial" w:hAnsi="Arial"/>
          <w:sz w:val="16"/>
          <w:szCs w:val="16"/>
          <w:color w:val="auto"/>
        </w:rPr>
        <w:t>·the consideration is commensurate with either our performance to achieve the milestone or the enhancement of the value of the delivered item(s) as a result of a specific outcome resulting from the our performance to achieve the milestone;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the consideration relates solely to past performance; and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44" w:lineRule="exact"/>
        <w:rPr>
          <w:sz w:val="20"/>
          <w:szCs w:val="20"/>
          <w:color w:val="auto"/>
        </w:rPr>
      </w:pPr>
    </w:p>
    <w:p>
      <w:pPr>
        <w:ind w:firstLine="324"/>
        <w:spacing w:after="0" w:line="233" w:lineRule="auto"/>
        <w:rPr>
          <w:sz w:val="20"/>
          <w:szCs w:val="20"/>
          <w:color w:val="auto"/>
        </w:rPr>
      </w:pPr>
      <w:r>
        <w:rPr>
          <w:rFonts w:ascii="Arial" w:cs="Arial" w:eastAsia="Arial" w:hAnsi="Arial"/>
          <w:sz w:val="16"/>
          <w:szCs w:val="16"/>
          <w:color w:val="auto"/>
        </w:rPr>
        <w:t>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milestone. Milestones that are considered substantive will be recognized in their entirety upon successful accomplishment of the milestone, assuming all other revenue recognition criteria are met.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ind w:right="160" w:firstLine="324"/>
        <w:spacing w:after="0" w:line="224" w:lineRule="auto"/>
        <w:rPr>
          <w:sz w:val="20"/>
          <w:szCs w:val="20"/>
          <w:color w:val="auto"/>
        </w:rPr>
      </w:pPr>
      <w:r>
        <w:rPr>
          <w:rFonts w:ascii="Arial" w:cs="Arial" w:eastAsia="Arial" w:hAnsi="Arial"/>
          <w:sz w:val="18"/>
          <w:szCs w:val="18"/>
          <w:color w:val="auto"/>
        </w:rPr>
        <w:t>We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3"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There have been no significant changes to our accounting policies discussed in our Prospectus related to accrued research and development expenses and stock-based compensation.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2015 and 2014</w:t>
      </w:r>
    </w:p>
    <w:p>
      <w:pPr>
        <w:spacing w:after="0" w:line="185" w:lineRule="exact"/>
        <w:rPr>
          <w:sz w:val="20"/>
          <w:szCs w:val="20"/>
          <w:color w:val="auto"/>
        </w:rPr>
      </w:pPr>
    </w:p>
    <w:p>
      <w:pPr>
        <w:ind w:right="399"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March 31, 2015 and 2014, together with the changes in those items in dollars and as a percentage: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11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6"/>
          </w:tcPr>
          <w:p>
            <w:pPr>
              <w:ind w:left="280"/>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8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line="163" w:lineRule="exact"/>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(11,572)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(7,027)</w:t>
            </w:r>
          </w:p>
        </w:tc>
        <w:tc>
          <w:tcPr>
            <w:tcW w:w="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(4,545)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519" w:firstLine="648"/>
        <w:spacing w:after="0" w:line="258" w:lineRule="auto"/>
        <w:rPr>
          <w:sz w:val="20"/>
          <w:szCs w:val="20"/>
          <w:color w:val="auto"/>
        </w:rPr>
      </w:pPr>
      <w:r>
        <w:rPr>
          <w:rFonts w:ascii="Arial" w:cs="Arial" w:eastAsia="Arial" w:hAnsi="Arial"/>
          <w:sz w:val="17"/>
          <w:szCs w:val="17"/>
          <w:color w:val="auto"/>
        </w:rPr>
        <w:t>Collaboration revenue was $0.7 million for the three months ended March 31, 2015 under our agreement with Alexion. We did not record any collaboration revenue during the three months ended March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139" w:firstLine="648"/>
        <w:spacing w:after="0" w:line="224" w:lineRule="auto"/>
        <w:rPr>
          <w:sz w:val="20"/>
          <w:szCs w:val="20"/>
          <w:color w:val="auto"/>
        </w:rPr>
      </w:pPr>
      <w:r>
        <w:rPr>
          <w:rFonts w:ascii="Arial" w:cs="Arial" w:eastAsia="Arial" w:hAnsi="Arial"/>
          <w:sz w:val="18"/>
          <w:szCs w:val="18"/>
          <w:color w:val="auto"/>
        </w:rPr>
        <w:t>Research and development expense increased $3.8 million from $5.4 million for the three months ended March 31, 2014 to $9.2 million for the three months ended March 31, 2015, an increase of 72%. The increase in research and development expense was primarily attributable to the following:</w:t>
      </w:r>
    </w:p>
    <w:p>
      <w:pPr>
        <w:spacing w:after="0" w:line="163" w:lineRule="exact"/>
        <w:rPr>
          <w:sz w:val="20"/>
          <w:szCs w:val="20"/>
          <w:color w:val="auto"/>
        </w:rPr>
      </w:pPr>
    </w:p>
    <w:p>
      <w:pPr>
        <w:ind w:left="700" w:right="119" w:hanging="53"/>
        <w:spacing w:after="0" w:line="194" w:lineRule="exact"/>
        <w:rPr>
          <w:sz w:val="20"/>
          <w:szCs w:val="20"/>
          <w:color w:val="auto"/>
        </w:rPr>
      </w:pPr>
      <w:r>
        <w:rPr>
          <w:rFonts w:ascii="Arial" w:cs="Arial" w:eastAsia="Arial" w:hAnsi="Arial"/>
          <w:sz w:val="18"/>
          <w:szCs w:val="18"/>
          <w:color w:val="auto"/>
        </w:rPr>
        <w:t>·approximately $1.4 million primarily due to an increase of 28% in headcount, largely driven by growth in the non-clinical and clinical organizations as our programs advance towards clinical trials as well as higher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63" w:lineRule="exact"/>
        <w:rPr>
          <w:sz w:val="20"/>
          <w:szCs w:val="20"/>
          <w:color w:val="auto"/>
        </w:rPr>
      </w:pPr>
    </w:p>
    <w:p>
      <w:pPr>
        <w:ind w:left="700" w:right="119" w:hanging="53"/>
        <w:spacing w:after="0" w:line="203" w:lineRule="exact"/>
        <w:rPr>
          <w:sz w:val="20"/>
          <w:szCs w:val="20"/>
          <w:color w:val="auto"/>
        </w:rPr>
      </w:pPr>
      <w:r>
        <w:rPr>
          <w:rFonts w:ascii="Arial" w:cs="Arial" w:eastAsia="Arial" w:hAnsi="Arial"/>
          <w:sz w:val="18"/>
          <w:szCs w:val="18"/>
          <w:color w:val="auto"/>
        </w:rPr>
        <w:t>·approximately $1.3 million for external IND</w:t>
      </w:r>
      <w:r>
        <w:rPr>
          <w:rFonts w:ascii="MS PGothic" w:cs="MS PGothic" w:eastAsia="MS PGothic" w:hAnsi="MS PGothic"/>
          <w:sz w:val="18"/>
          <w:szCs w:val="18"/>
          <w:color w:val="auto"/>
        </w:rPr>
        <w:t>‑</w:t>
      </w:r>
      <w:r>
        <w:rPr>
          <w:rFonts w:ascii="Arial" w:cs="Arial" w:eastAsia="Arial" w:hAnsi="Arial"/>
          <w:sz w:val="18"/>
          <w:szCs w:val="18"/>
          <w:color w:val="auto"/>
        </w:rPr>
        <w:t>enabling pre</w:t>
      </w:r>
      <w:r>
        <w:rPr>
          <w:rFonts w:ascii="MS PGothic" w:cs="MS PGothic" w:eastAsia="MS PGothic" w:hAnsi="MS PGothic"/>
          <w:sz w:val="18"/>
          <w:szCs w:val="18"/>
          <w:color w:val="auto"/>
        </w:rPr>
        <w:t>‑</w:t>
      </w:r>
      <w:r>
        <w:rPr>
          <w:rFonts w:ascii="Arial" w:cs="Arial" w:eastAsia="Arial" w:hAnsi="Arial"/>
          <w:sz w:val="18"/>
          <w:szCs w:val="18"/>
          <w:color w:val="auto"/>
        </w:rPr>
        <w:t>clinical and toxicology studies as well as manufacturing activities for our two lead programs;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·approximately $0.6 million in clinical activities as we advance our two lead programs towards clinical trials; and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·approximately $0.5 million as we continue to build our platform and advance our discovery pipeline forward.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1"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General and administrative expense increased by $1.2 million from $1.6 million for the three months ended March 31, 2014 to $2.8 million for the three months ended March 31, 2015, an increase of 76%. The increase in general and administrative expense was primarily attributable to the following:</w:t>
      </w:r>
    </w:p>
    <w:p>
      <w:pPr>
        <w:spacing w:after="0" w:line="163" w:lineRule="exact"/>
        <w:rPr>
          <w:sz w:val="20"/>
          <w:szCs w:val="20"/>
          <w:color w:val="auto"/>
        </w:rPr>
      </w:pPr>
    </w:p>
    <w:p>
      <w:pPr>
        <w:jc w:val="both"/>
        <w:ind w:left="700" w:right="60" w:hanging="53"/>
        <w:spacing w:after="0" w:line="194" w:lineRule="exact"/>
        <w:rPr>
          <w:sz w:val="20"/>
          <w:szCs w:val="20"/>
          <w:color w:val="auto"/>
        </w:rPr>
      </w:pPr>
      <w:r>
        <w:rPr>
          <w:rFonts w:ascii="Arial" w:cs="Arial" w:eastAsia="Arial" w:hAnsi="Arial"/>
          <w:sz w:val="18"/>
          <w:szCs w:val="18"/>
          <w:color w:val="auto"/>
        </w:rPr>
        <w:t>·approximately $0.7 million in increased personnel costs primarily due to an increase of 66% in business personnel headcount to support the Company’s overall growth as a publicly traded entity as well as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and</w:t>
      </w:r>
    </w:p>
    <w:p>
      <w:pPr>
        <w:spacing w:after="0" w:line="163" w:lineRule="exact"/>
        <w:rPr>
          <w:sz w:val="20"/>
          <w:szCs w:val="20"/>
          <w:color w:val="auto"/>
        </w:rPr>
      </w:pPr>
    </w:p>
    <w:p>
      <w:pPr>
        <w:jc w:val="both"/>
        <w:ind w:left="700" w:right="60" w:hanging="53"/>
        <w:spacing w:after="0" w:line="235" w:lineRule="auto"/>
        <w:rPr>
          <w:sz w:val="20"/>
          <w:szCs w:val="20"/>
          <w:color w:val="auto"/>
        </w:rPr>
      </w:pPr>
      <w:r>
        <w:rPr>
          <w:rFonts w:ascii="Arial" w:cs="Arial" w:eastAsia="Arial" w:hAnsi="Arial"/>
          <w:sz w:val="18"/>
          <w:szCs w:val="18"/>
          <w:color w:val="auto"/>
        </w:rPr>
        <w:t>·approximately $0.3 million in increase in professional fees including external legal fees, corporate communications and public relations costs.</w:t>
      </w:r>
    </w:p>
    <w:p>
      <w:pPr>
        <w:spacing w:after="0" w:line="162"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17"/>
          <w:szCs w:val="17"/>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Other expense increased by $0.06 million to less than $0.04 million for the three months ended March 31, 2015 from less than $0.02 million of income for the three months ended March 31, 2014. The increase in other expense was primarily related to the impact of the re</w:t>
      </w:r>
      <w:r>
        <w:rPr>
          <w:rFonts w:ascii="MS PGothic" w:cs="MS PGothic" w:eastAsia="MS PGothic" w:hAnsi="MS PGothic"/>
          <w:sz w:val="18"/>
          <w:szCs w:val="18"/>
          <w:color w:val="auto"/>
        </w:rPr>
        <w:t>‑</w:t>
      </w:r>
      <w:r>
        <w:rPr>
          <w:rFonts w:ascii="Arial" w:cs="Arial" w:eastAsia="Arial" w:hAnsi="Arial"/>
          <w:sz w:val="18"/>
          <w:szCs w:val="18"/>
          <w:color w:val="auto"/>
        </w:rPr>
        <w:t>measurement associated with the change in the fair value of the convertible preferred stock warrant liability.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increased by $0.1 million to $0.2 million for the three months ended March 31, 2015 from</w:t>
      </w:r>
    </w:p>
    <w:p>
      <w:pPr>
        <w:spacing w:after="0" w:line="229" w:lineRule="auto"/>
        <w:rPr>
          <w:sz w:val="20"/>
          <w:szCs w:val="20"/>
          <w:color w:val="auto"/>
        </w:rPr>
      </w:pPr>
      <w:r>
        <w:rPr>
          <w:rFonts w:ascii="Arial" w:cs="Arial" w:eastAsia="Arial" w:hAnsi="Arial"/>
          <w:sz w:val="16"/>
          <w:szCs w:val="16"/>
          <w:color w:val="auto"/>
        </w:rPr>
        <w:t>$0.1 million for the three months ended March 31, 2014. The increase in interest expense was primarily related to a higher</w:t>
      </w:r>
    </w:p>
    <w:p>
      <w:pPr>
        <w:spacing w:after="0"/>
        <w:rPr>
          <w:sz w:val="20"/>
          <w:szCs w:val="20"/>
          <w:color w:val="auto"/>
        </w:rPr>
      </w:pPr>
      <w:r>
        <w:rPr>
          <w:rFonts w:ascii="Arial" w:cs="Arial" w:eastAsia="Arial" w:hAnsi="Arial"/>
          <w:sz w:val="17"/>
          <w:szCs w:val="17"/>
          <w:color w:val="auto"/>
        </w:rPr>
        <w:t>outstanding principal balance under the Loan and Security Agreement for the three months ended March 31, 2015.</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Through March 31, 2015, we financed our operations primarily through gross proceeds of $115.1 million from private placements of our convertible preferred stock and proceeds of $10.0 million from the Loan and Security Agreement. On May 5, 2015, we completed the sale of 9,367,708 shares of our common stock(inclusive of 1,221,874 shares of common stock sold by the Company pursuant to the full exercise of an option to purchase additional shares granted to the underwriters in connection with the offering) in our IPO at a price to the public of $18.00 per share, resulting in net proceeds of $154.2 million after deducting underwriting discounts and commissions and estimated offering costs payable by us.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we had cash and cash equivalents of $50.3 million.</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80"/>
          </w:cols>
          <w:pgMar w:left="1380" w:top="111"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cash flows for the three months ended March 31, 2015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4660" w:type="dxa"/>
            <w:vAlign w:val="bottom"/>
            <w:tcBorders>
              <w:bottom w:val="single" w:sz="8" w:color="CCEEFF"/>
            </w:tcBorders>
            <w:vMerge w:val="continue"/>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(1,285)</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Net cash provided by operating activities was $4.9 million during the three months ended March 31, 2015 compared to net cash used in operating activities of $6.6 million during the three months ended March 31, 2014. The increase in cash provided by operating activities was primarily due to the receipt of the upfront payment from Alexion, partially offset by an increase in net loss of $4.5 million for the three months ended March 31, 2015 as compared to the three months ended March 31, 2014.</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Net cash used in investing activities was $1.3 million during the three months ended March 31, 2015 compared to net cash used in investing activities of $0.1 million during the three months ended March 31, 2014. Net cash used in investing activities for the three months ended March 31, 2015 consisted of a security deposit payment for the new office lease agreement entered into by the Company as well as purchases of property and equipment. Net cash used in investing activities for the three months ended March 31, 2014 consisted of purchases of property and equipment.</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Net cash used in financing activities was $0.5 million during the three months ended March 31, 2015 compared to net cash provided by financing activities of $24.9 million during the three months ended March 31, 2014. The cash used in financing activities for the three months ended March 31, 2015 was primarily the result of principal payments under our Loan and Security Agreement. The cash provided by financing activities for the three months ended March 31, 2014 was the result of $24.9 million of net proceeds received from the private placement of our Series B convertible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8"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We expect that our existing cash and cash equivalents, along with proceeds from our IPO which closed on April 29, 2015, will enable us to fund our operating expenses and capital expenditure requirements through at least early 2017. Our future capital requirements will depend on many factors, including:</w:t>
      </w:r>
    </w:p>
    <w:p>
      <w:pPr>
        <w:spacing w:after="0" w:line="163" w:lineRule="exact"/>
        <w:rPr>
          <w:sz w:val="20"/>
          <w:szCs w:val="20"/>
          <w:color w:val="auto"/>
        </w:rPr>
      </w:pPr>
    </w:p>
    <w:p>
      <w:pPr>
        <w:ind w:left="700" w:right="360" w:hanging="53"/>
        <w:spacing w:after="0" w:line="203" w:lineRule="exact"/>
        <w:rPr>
          <w:sz w:val="20"/>
          <w:szCs w:val="20"/>
          <w:color w:val="auto"/>
        </w:rPr>
      </w:pPr>
      <w:r>
        <w:rPr>
          <w:rFonts w:ascii="Arial" w:cs="Arial" w:eastAsia="Arial" w:hAnsi="Arial"/>
          <w:sz w:val="18"/>
          <w:szCs w:val="18"/>
          <w:color w:val="auto"/>
        </w:rPr>
        <w:t>·the scope, progress, results and costs of drug discovery, pre</w:t>
      </w:r>
      <w:r>
        <w:rPr>
          <w:rFonts w:ascii="MS PGothic" w:cs="MS PGothic" w:eastAsia="MS PGothic" w:hAnsi="MS PGothic"/>
          <w:sz w:val="18"/>
          <w:szCs w:val="18"/>
          <w:color w:val="auto"/>
        </w:rPr>
        <w:t>‑</w:t>
      </w:r>
      <w:r>
        <w:rPr>
          <w:rFonts w:ascii="Arial" w:cs="Arial" w:eastAsia="Arial" w:hAnsi="Arial"/>
          <w:sz w:val="18"/>
          <w:szCs w:val="18"/>
          <w:color w:val="auto"/>
        </w:rPr>
        <w:t>clinical development, laboratory testing and clinical trials for our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85" w:lineRule="exact"/>
        <w:rPr>
          <w:sz w:val="20"/>
          <w:szCs w:val="20"/>
          <w:color w:val="auto"/>
        </w:rPr>
      </w:pPr>
    </w:p>
    <w:p>
      <w:pPr>
        <w:ind w:left="740" w:hanging="8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establish and maintain collaborations on favorable terms, if at all;</w:t>
      </w:r>
    </w:p>
    <w:p>
      <w:pPr>
        <w:spacing w:after="0" w:line="185" w:lineRule="exact"/>
        <w:rPr>
          <w:sz w:val="20"/>
          <w:szCs w:val="20"/>
          <w:color w:val="auto"/>
        </w:rPr>
      </w:pPr>
    </w:p>
    <w:p>
      <w:pPr>
        <w:ind w:left="700" w:right="240" w:hanging="53"/>
        <w:spacing w:after="0" w:line="235" w:lineRule="auto"/>
        <w:rPr>
          <w:sz w:val="20"/>
          <w:szCs w:val="20"/>
          <w:color w:val="auto"/>
        </w:rPr>
      </w:pPr>
      <w:r>
        <w:rPr>
          <w:rFonts w:ascii="Arial" w:cs="Arial" w:eastAsia="Arial" w:hAnsi="Arial"/>
          <w:sz w:val="18"/>
          <w:szCs w:val="18"/>
          <w:color w:val="auto"/>
        </w:rPr>
        <w:t>·the achievement of milestones or occurrence of other developments that trigger payments under any collaboration agreements we obtain;</w:t>
      </w:r>
    </w:p>
    <w:p>
      <w:pPr>
        <w:spacing w:after="0" w:line="162" w:lineRule="exact"/>
        <w:rPr>
          <w:sz w:val="20"/>
          <w:szCs w:val="20"/>
          <w:color w:val="auto"/>
        </w:rPr>
      </w:pPr>
    </w:p>
    <w:p>
      <w:pPr>
        <w:ind w:left="700" w:right="260" w:hanging="53"/>
        <w:spacing w:after="0" w:line="235"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2" w:lineRule="exact"/>
        <w:rPr>
          <w:sz w:val="20"/>
          <w:szCs w:val="20"/>
          <w:color w:val="auto"/>
        </w:rPr>
      </w:pPr>
    </w:p>
    <w:p>
      <w:pPr>
        <w:ind w:left="700" w:right="40" w:hanging="53"/>
        <w:spacing w:after="0" w:line="203" w:lineRule="exact"/>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2" w:lineRule="exact"/>
        <w:rPr>
          <w:sz w:val="20"/>
          <w:szCs w:val="20"/>
          <w:color w:val="auto"/>
        </w:rPr>
      </w:pPr>
    </w:p>
    <w:p>
      <w:pPr>
        <w:ind w:left="660" w:right="2380"/>
        <w:spacing w:after="0" w:line="311" w:lineRule="exact"/>
        <w:rPr>
          <w:sz w:val="20"/>
          <w:szCs w:val="20"/>
          <w:color w:val="auto"/>
        </w:rPr>
      </w:pPr>
      <w:r>
        <w:rPr>
          <w:rFonts w:ascii="Arial" w:cs="Arial" w:eastAsia="Arial" w:hAnsi="Arial"/>
          <w:sz w:val="16"/>
          <w:szCs w:val="16"/>
          <w:color w:val="auto"/>
        </w:rPr>
        <w:t>·the extent to which we acquire or in</w:t>
      </w:r>
      <w:r>
        <w:rPr>
          <w:rFonts w:ascii="MS PGothic" w:cs="MS PGothic" w:eastAsia="MS PGothic" w:hAnsi="MS PGothic"/>
          <w:sz w:val="16"/>
          <w:szCs w:val="16"/>
          <w:color w:val="auto"/>
        </w:rPr>
        <w:t>‑</w:t>
      </w:r>
      <w:r>
        <w:rPr>
          <w:rFonts w:ascii="Arial" w:cs="Arial" w:eastAsia="Arial" w:hAnsi="Arial"/>
          <w:sz w:val="16"/>
          <w:szCs w:val="16"/>
          <w:color w:val="auto"/>
        </w:rPr>
        <w:t>license other drug candidates and technologies; ·the costs of securing manufacturing arrangements for commercial production; and</w:t>
      </w:r>
    </w:p>
    <w:p>
      <w:pPr>
        <w:spacing w:after="0" w:line="162" w:lineRule="exact"/>
        <w:rPr>
          <w:sz w:val="20"/>
          <w:szCs w:val="20"/>
          <w:color w:val="auto"/>
        </w:rPr>
      </w:pPr>
    </w:p>
    <w:p>
      <w:pPr>
        <w:ind w:left="700" w:right="440" w:hanging="53"/>
        <w:spacing w:after="0" w:line="235"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6"/>
          <w:szCs w:val="16"/>
          <w:color w:val="auto"/>
        </w:rPr>
        <w:t>Identifying potential drug candidates and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6"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 with Alexion.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There have been no material changes to our contractual obligations and commitments from those described under “Management’s Discussion and Analysis of Financial Condition and Results of Operations” included in the Prospectus.</w:t>
      </w:r>
    </w:p>
    <w:p>
      <w:pPr>
        <w:spacing w:after="0" w:line="12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Securities and Exchange Commission rules.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investments, including cash and cash equivalents, are in a money market fund that invests in U.S. Treasury obligations.</w:t>
      </w:r>
    </w:p>
    <w:p>
      <w:pPr>
        <w:spacing w:after="0" w:line="161" w:lineRule="exact"/>
        <w:rPr>
          <w:sz w:val="20"/>
          <w:szCs w:val="20"/>
          <w:color w:val="auto"/>
        </w:rPr>
      </w:pPr>
    </w:p>
    <w:p>
      <w:pPr>
        <w:ind w:right="280" w:firstLine="648"/>
        <w:spacing w:after="0" w:line="249" w:lineRule="auto"/>
        <w:rPr>
          <w:sz w:val="20"/>
          <w:szCs w:val="20"/>
          <w:color w:val="auto"/>
        </w:rPr>
      </w:pPr>
      <w:r>
        <w:rPr>
          <w:rFonts w:ascii="Arial" w:cs="Arial" w:eastAsia="Arial" w:hAnsi="Arial"/>
          <w:sz w:val="16"/>
          <w:szCs w:val="16"/>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March 31, 2015 and 2014, we had minimal or no liabilities denominated in foreign currencies.</w:t>
      </w:r>
    </w:p>
    <w:p>
      <w:pPr>
        <w:spacing w:after="0" w:line="15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2015 and 2014.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7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60"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Our management, with the participation of our Chief Executive Officer and Chief Business / Principal Accounting and Finance Officer, has evaluated the effectiveness of our disclosure controls and procedures as of March 31, 2015, the end of the period covered by this Quarterly Report on Form 10-Q. Based upon such evaluation, our Chief Executive Officer and Chief Business Officer / Principal Accounting and Finance Officer have concluded that our disclosure controls and procedures were effective at the reasonable assurance level as of such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1" w:right="139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right="140" w:firstLine="648"/>
        <w:spacing w:after="0" w:line="23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uncertainties, together with all other information in this Quarterly Report on Form 10-Q, including our financial statements and related notes,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w:t>
      </w:r>
    </w:p>
    <w:p>
      <w:pPr>
        <w:spacing w:after="0" w:line="1" w:lineRule="exact"/>
        <w:rPr>
          <w:sz w:val="20"/>
          <w:szCs w:val="20"/>
          <w:color w:val="auto"/>
        </w:rPr>
      </w:pPr>
    </w:p>
    <w:p>
      <w:pPr>
        <w:ind w:right="580"/>
        <w:spacing w:after="0" w:line="226" w:lineRule="auto"/>
        <w:rPr>
          <w:sz w:val="20"/>
          <w:szCs w:val="20"/>
          <w:color w:val="auto"/>
        </w:rPr>
      </w:pPr>
      <w:r>
        <w:rPr>
          <w:rFonts w:ascii="Arial" w:cs="Arial" w:eastAsia="Arial" w:hAnsi="Arial"/>
          <w:sz w:val="18"/>
          <w:szCs w:val="18"/>
          <w:i w:val="1"/>
          <w:iCs w:val="1"/>
          <w:color w:val="auto"/>
        </w:rPr>
        <w:t>Additional risks that we currently do not know about or that we currently believe to be immaterial may also impair our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60" w:firstLine="648"/>
        <w:spacing w:after="0" w:line="183" w:lineRule="exact"/>
        <w:rPr>
          <w:sz w:val="20"/>
          <w:szCs w:val="20"/>
          <w:color w:val="auto"/>
        </w:rPr>
      </w:pPr>
      <w:r>
        <w:rPr>
          <w:rFonts w:ascii="Arial" w:cs="Arial" w:eastAsia="Arial" w:hAnsi="Arial"/>
          <w:sz w:val="18"/>
          <w:szCs w:val="18"/>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w:t>
      </w:r>
      <w:r>
        <w:rPr>
          <w:rFonts w:ascii="MS PGothic" w:cs="MS PGothic" w:eastAsia="MS PGothic" w:hAnsi="MS PGothic"/>
          <w:sz w:val="18"/>
          <w:szCs w:val="18"/>
          <w:color w:val="auto"/>
        </w:rPr>
        <w:t>‑</w:t>
      </w:r>
      <w:r>
        <w:rPr>
          <w:rFonts w:ascii="Arial" w:cs="Arial" w:eastAsia="Arial" w:hAnsi="Arial"/>
          <w:sz w:val="18"/>
          <w:szCs w:val="18"/>
          <w:color w:val="auto"/>
        </w:rPr>
        <w:t>clinical studies of our most advanced drug candidates. We have only recently identified lead drug candidates for two of our programs. We have never generated any revenue from drug sales. We have not obtained regulatory approvals for any of our drug candidates.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have not yet demonstrated our ability to initiate or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68"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compound library, novel target discovery engine and initial drug candidates. We have funded our operations to date through proceeds from sales of convertible preferred stock and, to a lesser extent, through a loan and security agreement, or Loan and Security Agreement, that we entered into with Silicon Valley Bank in May 2013. Through March 31, 2015, we raised an aggregate of $125.1 million of gross proceeds from such transactions. As of March 31, 2015, our cash and cash equivalents and investments were $50.3 million. On May 5, 2015, we completed the sale of 9,367,708 shares of our common stock (inclusive of 1,221,874 shares of common stock sold by the Company pursuant to the full exercise of an option to purchase additional shares granted to the underwriters in connection with the offering) in our IPO at a price to the public of $18.00 per share, resulting in net proceeds of $154.2 million after deducting underwriting discounts and commissions and estimated offering costs payable by us. We have incurred net losses in each year since our inception, and we had an accumulated deficit of $93.8 million as of March 31, 2015. Our net losses were $11.6 million and $7.0 million for the three months ended March 31, 2015 and 2014, respectively. Substantially all of our operating losses have resulted from costs incurred in connection with our research and development programs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beginning clinical trials of our drug candidates. In addition, if we obtain marketing approval for our drug candidates, we will incur significant sales, marketing and outsourced</w:t>
      </w:r>
      <w:r>
        <w:rPr>
          <w:rFonts w:ascii="MS PGothic" w:cs="MS PGothic" w:eastAsia="MS PGothic" w:hAnsi="MS PGothic"/>
          <w:sz w:val="17"/>
          <w:szCs w:val="17"/>
          <w:color w:val="auto"/>
        </w:rPr>
        <w:t>‑</w:t>
      </w:r>
      <w:r>
        <w:rPr>
          <w:rFonts w:ascii="Arial" w:cs="Arial" w:eastAsia="Arial" w:hAnsi="Arial"/>
          <w:sz w:val="17"/>
          <w:szCs w:val="17"/>
          <w:color w:val="auto"/>
        </w:rPr>
        <w:t>manufacturing expenses. As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basis.Our ability to become profitable depends upon our ability to generate revenue. To date, we have not generated any revenue from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and we do not know and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or one of our other drug candidates. Our ability to generate revenue depends on a number of factors, including, but not limited to, our ability 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·initiate and successfully complete clinical trials that meet their clinical endpoints;</w:t>
      </w:r>
    </w:p>
    <w:p>
      <w:pPr>
        <w:spacing w:after="0" w:line="185" w:lineRule="exact"/>
        <w:rPr>
          <w:sz w:val="20"/>
          <w:szCs w:val="20"/>
          <w:color w:val="auto"/>
        </w:rPr>
      </w:pPr>
    </w:p>
    <w:p>
      <w:pPr>
        <w:ind w:left="700" w:right="200" w:hanging="53"/>
        <w:spacing w:after="0" w:line="235" w:lineRule="auto"/>
        <w:rPr>
          <w:sz w:val="20"/>
          <w:szCs w:val="20"/>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2" w:lineRule="exact"/>
        <w:rPr>
          <w:sz w:val="20"/>
          <w:szCs w:val="20"/>
          <w:color w:val="auto"/>
        </w:rPr>
      </w:pPr>
    </w:p>
    <w:p>
      <w:pPr>
        <w:ind w:left="700" w:right="1020" w:hanging="53"/>
        <w:spacing w:after="0" w:line="235" w:lineRule="auto"/>
        <w:rPr>
          <w:sz w:val="20"/>
          <w:szCs w:val="20"/>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·achieve market acceptance of our drug candidates in the medical community and with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85"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development of pharmaceutical drugs is capital</w:t>
      </w:r>
      <w:r>
        <w:rPr>
          <w:rFonts w:ascii="MS PGothic" w:cs="MS PGothic" w:eastAsia="MS PGothic" w:hAnsi="MS PGothic"/>
          <w:sz w:val="17"/>
          <w:szCs w:val="17"/>
          <w:color w:val="auto"/>
        </w:rPr>
        <w:t>‑</w:t>
      </w:r>
      <w:r>
        <w:rPr>
          <w:rFonts w:ascii="Arial" w:cs="Arial" w:eastAsia="Arial" w:hAnsi="Arial"/>
          <w:sz w:val="17"/>
          <w:szCs w:val="17"/>
          <w:color w:val="auto"/>
        </w:rPr>
        <w:t>intensive. We are currently advancing our drug candidates through pre</w:t>
      </w:r>
      <w:r>
        <w:rPr>
          <w:rFonts w:ascii="MS PGothic" w:cs="MS PGothic" w:eastAsia="MS PGothic" w:hAnsi="MS PGothic"/>
          <w:sz w:val="17"/>
          <w:szCs w:val="17"/>
          <w:color w:val="auto"/>
        </w:rPr>
        <w:t>‑</w:t>
      </w:r>
      <w:r>
        <w:rPr>
          <w:rFonts w:ascii="Arial" w:cs="Arial" w:eastAsia="Arial" w:hAnsi="Arial"/>
          <w:sz w:val="17"/>
          <w:szCs w:val="17"/>
          <w:color w:val="auto"/>
        </w:rPr>
        <w:t>clinical development and anticipate beginning clinical trials for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in mid</w:t>
      </w:r>
      <w:r>
        <w:rPr>
          <w:rFonts w:ascii="MS PGothic" w:cs="MS PGothic" w:eastAsia="MS PGothic" w:hAnsi="MS PGothic"/>
          <w:sz w:val="17"/>
          <w:szCs w:val="17"/>
          <w:color w:val="auto"/>
        </w:rPr>
        <w:t>‑</w:t>
      </w:r>
      <w:r>
        <w:rPr>
          <w:rFonts w:ascii="Arial" w:cs="Arial" w:eastAsia="Arial" w:hAnsi="Arial"/>
          <w:sz w:val="17"/>
          <w:szCs w:val="17"/>
          <w:color w:val="auto"/>
        </w:rPr>
        <w:t>2015. We expect our expenses to increase in connection with our ongoing activities, particularly as we continue the research and development of, initiate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Pharma Holding, or Alexion, or other collaborators. We may also need to raise additional funds sooner if we choose to pursue additional indications and/or geographies for our drug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expect that the net proceeds from our IPO, together with our existing cash and cash equivalents, will be sufficient to fund our operations through at least early 2017. Our future capital requirements will depend on and could increase significantly as a result of many factors, including:</w:t>
      </w:r>
    </w:p>
    <w:p>
      <w:pPr>
        <w:spacing w:after="0" w:line="163" w:lineRule="exact"/>
        <w:rPr>
          <w:sz w:val="20"/>
          <w:szCs w:val="20"/>
          <w:color w:val="auto"/>
        </w:rPr>
      </w:pPr>
    </w:p>
    <w:p>
      <w:pPr>
        <w:ind w:left="700" w:right="320" w:hanging="53"/>
        <w:spacing w:after="0" w:line="203" w:lineRule="exact"/>
        <w:rPr>
          <w:sz w:val="20"/>
          <w:szCs w:val="20"/>
          <w:color w:val="auto"/>
        </w:rPr>
      </w:pPr>
      <w:r>
        <w:rPr>
          <w:rFonts w:ascii="Arial" w:cs="Arial" w:eastAsia="Arial" w:hAnsi="Arial"/>
          <w:sz w:val="18"/>
          <w:szCs w:val="18"/>
          <w:color w:val="auto"/>
        </w:rPr>
        <w:t>·the scope, progress, results and costs of drug discovery, pre</w:t>
      </w:r>
      <w:r>
        <w:rPr>
          <w:rFonts w:ascii="MS PGothic" w:cs="MS PGothic" w:eastAsia="MS PGothic" w:hAnsi="MS PGothic"/>
          <w:sz w:val="18"/>
          <w:szCs w:val="18"/>
          <w:color w:val="auto"/>
        </w:rPr>
        <w:t>‑</w:t>
      </w:r>
      <w:r>
        <w:rPr>
          <w:rFonts w:ascii="Arial" w:cs="Arial" w:eastAsia="Arial" w:hAnsi="Arial"/>
          <w:sz w:val="18"/>
          <w:szCs w:val="18"/>
          <w:color w:val="auto"/>
        </w:rPr>
        <w:t xml:space="preserve"> clinical development, laboratory testing and clinical trials for our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85" w:lineRule="exact"/>
        <w:rPr>
          <w:sz w:val="20"/>
          <w:szCs w:val="20"/>
          <w:color w:val="auto"/>
        </w:rPr>
      </w:pPr>
    </w:p>
    <w:p>
      <w:pPr>
        <w:ind w:left="780" w:hanging="12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collaboration with Alexion;</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establish and maintain additional collaborations on favorable terms, if at all;</w:t>
      </w:r>
    </w:p>
    <w:p>
      <w:pPr>
        <w:spacing w:after="0" w:line="185" w:lineRule="exact"/>
        <w:rPr>
          <w:sz w:val="20"/>
          <w:szCs w:val="20"/>
          <w:color w:val="auto"/>
        </w:rPr>
      </w:pPr>
    </w:p>
    <w:p>
      <w:pPr>
        <w:ind w:left="700" w:right="460" w:hanging="53"/>
        <w:spacing w:after="0" w:line="235" w:lineRule="auto"/>
        <w:rPr>
          <w:sz w:val="20"/>
          <w:szCs w:val="20"/>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62" w:lineRule="exact"/>
        <w:rPr>
          <w:sz w:val="20"/>
          <w:szCs w:val="20"/>
          <w:color w:val="auto"/>
        </w:rPr>
      </w:pPr>
    </w:p>
    <w:p>
      <w:pPr>
        <w:ind w:left="700" w:right="260" w:hanging="53"/>
        <w:spacing w:after="0" w:line="235"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2" w:lineRule="exact"/>
        <w:rPr>
          <w:sz w:val="20"/>
          <w:szCs w:val="20"/>
          <w:color w:val="auto"/>
        </w:rPr>
      </w:pPr>
    </w:p>
    <w:p>
      <w:pPr>
        <w:ind w:left="700" w:right="40" w:hanging="53"/>
        <w:spacing w:after="0" w:line="203" w:lineRule="exact"/>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drug candidates and technologies.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of securing manufacturing arrangements for commercial production; and</w:t>
      </w:r>
    </w:p>
    <w:p>
      <w:pPr>
        <w:spacing w:after="0" w:line="185" w:lineRule="exact"/>
        <w:rPr>
          <w:sz w:val="20"/>
          <w:szCs w:val="20"/>
          <w:color w:val="auto"/>
        </w:rPr>
      </w:pPr>
    </w:p>
    <w:p>
      <w:pPr>
        <w:ind w:left="700" w:right="400" w:hanging="53"/>
        <w:spacing w:after="0" w:line="235"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clearances to market our drug candidates.</w:t>
      </w:r>
    </w:p>
    <w:p>
      <w:pPr>
        <w:spacing w:after="0" w:line="146" w:lineRule="exact"/>
        <w:rPr>
          <w:sz w:val="20"/>
          <w:szCs w:val="20"/>
          <w:color w:val="auto"/>
        </w:rPr>
      </w:pPr>
    </w:p>
    <w:p>
      <w:pPr>
        <w:jc w:val="center"/>
        <w:ind w:right="100"/>
        <w:spacing w:after="0" w:line="207" w:lineRule="exact"/>
        <w:rPr>
          <w:sz w:val="20"/>
          <w:szCs w:val="20"/>
          <w:color w:val="auto"/>
        </w:rPr>
      </w:pPr>
      <w:r>
        <w:rPr>
          <w:rFonts w:ascii="Arial" w:cs="Arial" w:eastAsia="Arial" w:hAnsi="Arial"/>
          <w:sz w:val="18"/>
          <w:szCs w:val="18"/>
          <w:color w:val="auto"/>
        </w:rPr>
        <w:t>Identifying potential drug candidates and conducting pre</w:t>
      </w:r>
      <w:r>
        <w:rPr>
          <w:rFonts w:ascii="MS PGothic" w:cs="MS PGothic" w:eastAsia="MS PGothic" w:hAnsi="MS PGothic"/>
          <w:sz w:val="18"/>
          <w:szCs w:val="18"/>
          <w:color w:val="auto"/>
        </w:rPr>
        <w:t>‑</w:t>
      </w:r>
      <w:r>
        <w:rPr>
          <w:rFonts w:ascii="Arial" w:cs="Arial" w:eastAsia="Arial" w:hAnsi="Arial"/>
          <w:sz w:val="18"/>
          <w:szCs w:val="18"/>
          <w:color w:val="auto"/>
        </w:rPr>
        <w:t>clinical development testing and clinical trials is a</w:t>
      </w:r>
    </w:p>
    <w:p>
      <w:pPr>
        <w:ind w:right="60"/>
        <w:spacing w:after="0" w:line="183" w:lineRule="exact"/>
        <w:rPr>
          <w:sz w:val="20"/>
          <w:szCs w:val="20"/>
          <w:color w:val="auto"/>
        </w:rPr>
      </w:pPr>
      <w:r>
        <w:rPr>
          <w:rFonts w:ascii="Arial" w:cs="Arial" w:eastAsia="Arial" w:hAnsi="Arial"/>
          <w:sz w:val="18"/>
          <w:szCs w:val="18"/>
          <w:color w:val="auto"/>
        </w:rPr>
        <w:t>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4"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47"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private and public equity offerings, debt financings, collaborations, strategic alliances and licensing arrangements. We do not have any committed external source of funds, other than our collaboration with Alexion, which is limited in scope and duration, and funds already borrowed under the Loan and Security Agreement.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2"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21" w:lineRule="exact"/>
        <w:rPr>
          <w:sz w:val="20"/>
          <w:szCs w:val="20"/>
          <w:color w:val="auto"/>
        </w:rPr>
      </w:pPr>
    </w:p>
    <w:p>
      <w:pPr>
        <w:ind w:right="60"/>
        <w:spacing w:after="0" w:line="194" w:lineRule="exact"/>
        <w:rPr>
          <w:sz w:val="20"/>
          <w:szCs w:val="20"/>
          <w:color w:val="auto"/>
        </w:rPr>
      </w:pPr>
      <w:r>
        <w:rPr>
          <w:rFonts w:ascii="Arial" w:cs="Arial" w:eastAsia="Arial" w:hAnsi="Arial"/>
          <w:sz w:val="15"/>
          <w:szCs w:val="15"/>
          <w:b w:val="1"/>
          <w:bCs w:val="1"/>
          <w:i w:val="1"/>
          <w:iCs w:val="1"/>
          <w:color w:val="auto"/>
        </w:rPr>
        <w:t>We are very early in our development efforts. All of our lead drug candidates are still in pre</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clinical development. If we are unable to advance our drug candidates to clinical development, obtain regulatory approval and ultimately commercialize our drug candidates or experience significant delays in doing so, our business will be materially harmed</w:t>
      </w:r>
      <w:r>
        <w:rPr>
          <w:rFonts w:ascii="Arial" w:cs="Arial" w:eastAsia="Arial" w:hAnsi="Arial"/>
          <w:sz w:val="15"/>
          <w:szCs w:val="15"/>
          <w:color w:val="auto"/>
        </w:rPr>
        <w:t>.</w:t>
      </w:r>
    </w:p>
    <w:p>
      <w:pPr>
        <w:spacing w:after="0" w:line="8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We are very early in our development efforts, and all of our lead drug candidates are still in pre</w:t>
      </w:r>
      <w:r>
        <w:rPr>
          <w:rFonts w:ascii="MS PGothic" w:cs="MS PGothic" w:eastAsia="MS PGothic" w:hAnsi="MS PGothic"/>
          <w:sz w:val="16"/>
          <w:szCs w:val="16"/>
          <w:color w:val="auto"/>
        </w:rPr>
        <w:t>‑</w:t>
      </w:r>
      <w:r>
        <w:rPr>
          <w:rFonts w:ascii="Arial" w:cs="Arial" w:eastAsia="Arial" w:hAnsi="Arial"/>
          <w:sz w:val="16"/>
          <w:szCs w:val="16"/>
          <w:color w:val="auto"/>
        </w:rPr>
        <w:t>clinical development. We have only recently identified lead drug candidates for two of our programs. We have invested substantially all of our efforts and financial resources in the identification and pre</w:t>
      </w:r>
      <w:r>
        <w:rPr>
          <w:rFonts w:ascii="MS PGothic" w:cs="MS PGothic" w:eastAsia="MS PGothic" w:hAnsi="MS PGothic"/>
          <w:sz w:val="16"/>
          <w:szCs w:val="16"/>
          <w:color w:val="auto"/>
        </w:rPr>
        <w:t>‑</w:t>
      </w:r>
      <w:r>
        <w:rPr>
          <w:rFonts w:ascii="Arial" w:cs="Arial" w:eastAsia="Arial" w:hAnsi="Arial"/>
          <w:sz w:val="16"/>
          <w:szCs w:val="16"/>
          <w:color w:val="auto"/>
        </w:rPr>
        <w:t>clinical development of kinase inhibitors, including the development of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w:t>
      </w:r>
      <w:r>
        <w:rPr>
          <w:rFonts w:ascii="MS PGothic" w:cs="MS PGothic" w:eastAsia="MS PGothic" w:hAnsi="MS PGothic"/>
          <w:sz w:val="16"/>
          <w:szCs w:val="16"/>
          <w:color w:val="auto"/>
        </w:rPr>
        <w:t>‑</w:t>
      </w:r>
      <w:r>
        <w:rPr>
          <w:rFonts w:ascii="Arial" w:cs="Arial" w:eastAsia="Arial" w:hAnsi="Arial"/>
          <w:sz w:val="16"/>
          <w:szCs w:val="16"/>
          <w:color w:val="auto"/>
        </w:rPr>
        <w:t>clinical and clinical development, management of clinical, pre</w:t>
      </w:r>
      <w:r>
        <w:rPr>
          <w:rFonts w:ascii="MS PGothic" w:cs="MS PGothic" w:eastAsia="MS PGothic" w:hAnsi="MS PGothic"/>
          <w:sz w:val="16"/>
          <w:szCs w:val="16"/>
          <w:color w:val="auto"/>
        </w:rPr>
        <w:t>‑</w:t>
      </w:r>
      <w:r>
        <w:rPr>
          <w:rFonts w:ascii="Arial" w:cs="Arial" w:eastAsia="Arial" w:hAnsi="Arial"/>
          <w:sz w:val="16"/>
          <w:szCs w:val="16"/>
          <w:color w:val="auto"/>
        </w:rPr>
        <w:t>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Companion diagnostics are subject to regulation as medical devices and must themselves be approved for marketing by the U.S. Food and Drug Administration, or FDA, or certain other foreign regulatory agencies before we may commercialize our drug candidates. The success of our drug candidates will depend on several factors, including the following:</w:t>
      </w:r>
    </w:p>
    <w:p>
      <w:pPr>
        <w:spacing w:after="0" w:line="9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successful completion of pre</w:t>
      </w:r>
      <w:r>
        <w:rPr>
          <w:rFonts w:ascii="MS PGothic" w:cs="MS PGothic" w:eastAsia="MS PGothic" w:hAnsi="MS PGothic"/>
          <w:sz w:val="18"/>
          <w:szCs w:val="18"/>
          <w:color w:val="auto"/>
        </w:rPr>
        <w:t>‑</w:t>
      </w:r>
      <w:r>
        <w:rPr>
          <w:rFonts w:ascii="Arial" w:cs="Arial" w:eastAsia="Arial" w:hAnsi="Arial"/>
          <w:sz w:val="18"/>
          <w:szCs w:val="18"/>
          <w:color w:val="auto"/>
        </w:rPr>
        <w:t>clinical studies;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Investigational New Drug applications, or INDs, for our planned clinical trials or future clinical trials;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successful enrollment in, and completion of, clinical trials;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·successful development of companion diagnostics for use with our drug candidates;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receipt of regulatory approvals from applicable regulatory authorities;</w:t>
      </w:r>
    </w:p>
    <w:p>
      <w:pPr>
        <w:spacing w:after="0" w:line="117" w:lineRule="exact"/>
        <w:rPr>
          <w:sz w:val="20"/>
          <w:szCs w:val="20"/>
          <w:color w:val="auto"/>
        </w:rPr>
      </w:pPr>
    </w:p>
    <w:p>
      <w:pPr>
        <w:ind w:left="700" w:right="420" w:hanging="53"/>
        <w:spacing w:after="0" w:line="203" w:lineRule="exact"/>
        <w:rPr>
          <w:sz w:val="20"/>
          <w:szCs w:val="20"/>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clinical supply and commercial manufacturing;</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·obtaining and maintaining patent and trade secret protection or regulatory exclusivity for our drug candidates;</w:t>
      </w:r>
    </w:p>
    <w:p>
      <w:pPr>
        <w:spacing w:after="0" w:line="129" w:lineRule="exact"/>
        <w:rPr>
          <w:sz w:val="20"/>
          <w:szCs w:val="20"/>
          <w:color w:val="auto"/>
        </w:rPr>
      </w:pPr>
    </w:p>
    <w:p>
      <w:pPr>
        <w:ind w:left="700" w:right="280" w:hanging="53"/>
        <w:spacing w:after="0" w:line="235" w:lineRule="auto"/>
        <w:rPr>
          <w:sz w:val="20"/>
          <w:szCs w:val="20"/>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·acceptance of the drug candidates, if and when approved, by patients, the medical community and third party payors;</w:t>
      </w:r>
    </w:p>
    <w:p>
      <w:pPr>
        <w:spacing w:after="0" w:line="140" w:lineRule="exact"/>
        <w:rPr>
          <w:sz w:val="20"/>
          <w:szCs w:val="20"/>
          <w:color w:val="auto"/>
        </w:rPr>
      </w:pPr>
    </w:p>
    <w:p>
      <w:pPr>
        <w:ind w:left="780" w:hanging="12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w:t>
      </w:r>
      <w:r>
        <w:rPr>
          <w:rFonts w:ascii="MS PGothic" w:cs="MS PGothic" w:eastAsia="MS PGothic" w:hAnsi="MS PGothic"/>
          <w:sz w:val="17"/>
          <w:szCs w:val="17"/>
          <w:color w:val="auto"/>
        </w:rPr>
        <w:t>‑</w:t>
      </w:r>
      <w:r>
        <w:rPr>
          <w:rFonts w:ascii="Arial" w:cs="Arial" w:eastAsia="Arial" w:hAnsi="Arial"/>
          <w:sz w:val="17"/>
          <w:szCs w:val="17"/>
          <w:color w:val="auto"/>
        </w:rPr>
        <w:t>clinical studies, we may not succeed in demonstrating safety and efficacy of the drug candidate in clinical trials.</w:t>
      </w:r>
    </w:p>
    <w:p>
      <w:pPr>
        <w:spacing w:after="0" w:line="16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59"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All of our lead drug candidates are in pre</w:t>
      </w:r>
      <w:r>
        <w:rPr>
          <w:rFonts w:ascii="MS PGothic" w:cs="MS PGothic" w:eastAsia="MS PGothic" w:hAnsi="MS PGothic"/>
          <w:sz w:val="17"/>
          <w:szCs w:val="17"/>
          <w:color w:val="auto"/>
        </w:rPr>
        <w:t>‑</w:t>
      </w:r>
      <w:r>
        <w:rPr>
          <w:rFonts w:ascii="Arial" w:cs="Arial" w:eastAsia="Arial" w:hAnsi="Arial"/>
          <w:sz w:val="17"/>
          <w:szCs w:val="17"/>
          <w:color w:val="auto"/>
        </w:rPr>
        <w:t>clinical development and their risk of failure is high. It is impossible to</w:t>
      </w:r>
    </w:p>
    <w:p>
      <w:pPr>
        <w:spacing w:after="0" w:line="215" w:lineRule="auto"/>
        <w:rPr>
          <w:sz w:val="20"/>
          <w:szCs w:val="20"/>
          <w:color w:val="auto"/>
        </w:rPr>
      </w:pPr>
      <w:r>
        <w:rPr>
          <w:rFonts w:ascii="Arial" w:cs="Arial" w:eastAsia="Arial" w:hAnsi="Arial"/>
          <w:sz w:val="17"/>
          <w:szCs w:val="17"/>
          <w:color w:val="auto"/>
        </w:rPr>
        <w:t>predict when or if any of our drug candidates will prove effective and safe in humans or will receive regulatory approval.</w:t>
      </w:r>
    </w:p>
    <w:p>
      <w:pPr>
        <w:spacing w:after="0" w:line="216" w:lineRule="auto"/>
        <w:rPr>
          <w:sz w:val="20"/>
          <w:szCs w:val="20"/>
          <w:color w:val="auto"/>
        </w:rPr>
      </w:pPr>
      <w:r>
        <w:rPr>
          <w:rFonts w:ascii="Arial" w:cs="Arial" w:eastAsia="Arial" w:hAnsi="Arial"/>
          <w:sz w:val="17"/>
          <w:szCs w:val="17"/>
          <w:color w:val="auto"/>
        </w:rPr>
        <w:t>Before obtaining marketing approval from regulatory authorities for the sale of any drug candidate, we must complete</w:t>
      </w:r>
    </w:p>
    <w:p>
      <w:pPr>
        <w:spacing w:after="0" w:line="176"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clinical studies and then conduct extensive clinical trials to demonstrate the safety and efficacy of our drug candidates in</w:t>
      </w:r>
    </w:p>
    <w:p>
      <w:pPr>
        <w:spacing w:after="0" w:line="229" w:lineRule="auto"/>
        <w:rPr>
          <w:sz w:val="20"/>
          <w:szCs w:val="20"/>
          <w:color w:val="auto"/>
        </w:rPr>
      </w:pPr>
      <w:r>
        <w:rPr>
          <w:rFonts w:ascii="Arial" w:cs="Arial" w:eastAsia="Arial" w:hAnsi="Arial"/>
          <w:sz w:val="16"/>
          <w:szCs w:val="16"/>
          <w:color w:val="auto"/>
        </w:rPr>
        <w:t>humans. Clinical testing is expensive, difficult to design and implement, can take many years to complete and is uncertain as</w:t>
      </w:r>
    </w:p>
    <w:p>
      <w:pPr>
        <w:spacing w:after="0" w:line="176" w:lineRule="exact"/>
        <w:rPr>
          <w:sz w:val="20"/>
          <w:szCs w:val="20"/>
          <w:color w:val="auto"/>
        </w:rPr>
      </w:pPr>
      <w:r>
        <w:rPr>
          <w:rFonts w:ascii="Arial" w:cs="Arial" w:eastAsia="Arial" w:hAnsi="Arial"/>
          <w:sz w:val="16"/>
          <w:szCs w:val="16"/>
          <w:color w:val="auto"/>
        </w:rPr>
        <w:t>to outcome. A failure of one or more clinical trials can occur at any stage of testing. The outcome of pre</w:t>
      </w:r>
      <w:r>
        <w:rPr>
          <w:rFonts w:ascii="MS PGothic" w:cs="MS PGothic" w:eastAsia="MS PGothic" w:hAnsi="MS PGothic"/>
          <w:sz w:val="16"/>
          <w:szCs w:val="16"/>
          <w:color w:val="auto"/>
        </w:rPr>
        <w:t>‑</w:t>
      </w:r>
      <w:r>
        <w:rPr>
          <w:rFonts w:ascii="Arial" w:cs="Arial" w:eastAsia="Arial" w:hAnsi="Arial"/>
          <w:sz w:val="16"/>
          <w:szCs w:val="16"/>
          <w:color w:val="auto"/>
        </w:rPr>
        <w:t>clinical development</w:t>
      </w:r>
    </w:p>
    <w:p>
      <w:pPr>
        <w:spacing w:after="0" w:line="229" w:lineRule="auto"/>
        <w:rPr>
          <w:sz w:val="20"/>
          <w:szCs w:val="20"/>
          <w:color w:val="auto"/>
        </w:rPr>
      </w:pPr>
      <w:r>
        <w:rPr>
          <w:rFonts w:ascii="Arial" w:cs="Arial" w:eastAsia="Arial" w:hAnsi="Arial"/>
          <w:sz w:val="16"/>
          <w:szCs w:val="16"/>
          <w:color w:val="auto"/>
        </w:rPr>
        <w:t>testing and early clinical trials may not be predictive of the success of later clinical trials, and interim results of a clinical trial</w:t>
      </w:r>
    </w:p>
    <w:p>
      <w:pPr>
        <w:spacing w:after="0" w:line="176" w:lineRule="exact"/>
        <w:rPr>
          <w:sz w:val="20"/>
          <w:szCs w:val="20"/>
          <w:color w:val="auto"/>
        </w:rPr>
      </w:pPr>
      <w:r>
        <w:rPr>
          <w:rFonts w:ascii="Arial" w:cs="Arial" w:eastAsia="Arial" w:hAnsi="Arial"/>
          <w:sz w:val="16"/>
          <w:szCs w:val="16"/>
          <w:color w:val="auto"/>
        </w:rPr>
        <w:t>do not necessarily predict final results. Moreover, pre</w:t>
      </w:r>
      <w:r>
        <w:rPr>
          <w:rFonts w:ascii="MS PGothic" w:cs="MS PGothic" w:eastAsia="MS PGothic" w:hAnsi="MS PGothic"/>
          <w:sz w:val="16"/>
          <w:szCs w:val="16"/>
          <w:color w:val="auto"/>
        </w:rPr>
        <w:t>‑</w:t>
      </w:r>
      <w:r>
        <w:rPr>
          <w:rFonts w:ascii="Arial" w:cs="Arial" w:eastAsia="Arial" w:hAnsi="Arial"/>
          <w:sz w:val="16"/>
          <w:szCs w:val="16"/>
          <w:color w:val="auto"/>
        </w:rPr>
        <w:t>clinical and clinical data are often susceptible to varying interpretations</w:t>
      </w:r>
    </w:p>
    <w:p>
      <w:pPr>
        <w:spacing w:after="0" w:line="176" w:lineRule="exact"/>
        <w:rPr>
          <w:sz w:val="20"/>
          <w:szCs w:val="20"/>
          <w:color w:val="auto"/>
        </w:rPr>
      </w:pPr>
      <w:r>
        <w:rPr>
          <w:rFonts w:ascii="Arial" w:cs="Arial" w:eastAsia="Arial" w:hAnsi="Arial"/>
          <w:sz w:val="16"/>
          <w:szCs w:val="16"/>
          <w:color w:val="auto"/>
        </w:rPr>
        <w:t>and analyses, and many companies that have believed their drug candidates performed satisfactorily in pre</w:t>
      </w:r>
      <w:r>
        <w:rPr>
          <w:rFonts w:ascii="MS PGothic" w:cs="MS PGothic" w:eastAsia="MS PGothic" w:hAnsi="MS PGothic"/>
          <w:sz w:val="16"/>
          <w:szCs w:val="16"/>
          <w:color w:val="auto"/>
        </w:rPr>
        <w:t>‑</w:t>
      </w:r>
      <w:r>
        <w:rPr>
          <w:rFonts w:ascii="Arial" w:cs="Arial" w:eastAsia="Arial" w:hAnsi="Arial"/>
          <w:sz w:val="16"/>
          <w:szCs w:val="16"/>
          <w:color w:val="auto"/>
        </w:rPr>
        <w:t>clinical studies and</w:t>
      </w:r>
    </w:p>
    <w:p>
      <w:pPr>
        <w:spacing w:after="0" w:line="176" w:lineRule="exact"/>
        <w:rPr>
          <w:sz w:val="20"/>
          <w:szCs w:val="20"/>
          <w:color w:val="auto"/>
        </w:rPr>
      </w:pPr>
      <w:r>
        <w:rPr>
          <w:rFonts w:ascii="Arial" w:cs="Arial" w:eastAsia="Arial" w:hAnsi="Arial"/>
          <w:sz w:val="16"/>
          <w:szCs w:val="16"/>
          <w:color w:val="auto"/>
        </w:rPr>
        <w:t>clinical trials have nonetheless failed to obtain marketing approval of their product candidates. Our pre</w:t>
      </w:r>
      <w:r>
        <w:rPr>
          <w:rFonts w:ascii="MS PGothic" w:cs="MS PGothic" w:eastAsia="MS PGothic" w:hAnsi="MS PGothic"/>
          <w:sz w:val="16"/>
          <w:szCs w:val="16"/>
          <w:color w:val="auto"/>
        </w:rPr>
        <w:t>‑</w:t>
      </w:r>
      <w:r>
        <w:rPr>
          <w:rFonts w:ascii="Arial" w:cs="Arial" w:eastAsia="Arial" w:hAnsi="Arial"/>
          <w:sz w:val="16"/>
          <w:szCs w:val="16"/>
          <w:color w:val="auto"/>
        </w:rPr>
        <w:t>clinical studies and</w:t>
      </w:r>
    </w:p>
    <w:p>
      <w:pPr>
        <w:spacing w:after="0"/>
        <w:rPr>
          <w:sz w:val="20"/>
          <w:szCs w:val="20"/>
          <w:color w:val="auto"/>
        </w:rPr>
      </w:pPr>
      <w:r>
        <w:rPr>
          <w:rFonts w:ascii="Arial" w:cs="Arial" w:eastAsia="Arial" w:hAnsi="Arial"/>
          <w:sz w:val="18"/>
          <w:szCs w:val="18"/>
          <w:color w:val="auto"/>
        </w:rPr>
        <w:t>future clinical trials may not be successful.</w:t>
      </w:r>
    </w:p>
    <w:p>
      <w:pPr>
        <w:spacing w:after="0" w:line="169" w:lineRule="exact"/>
        <w:rPr>
          <w:sz w:val="20"/>
          <w:szCs w:val="20"/>
          <w:color w:val="auto"/>
        </w:rPr>
      </w:pPr>
    </w:p>
    <w:p>
      <w:pPr>
        <w:ind w:right="60" w:firstLine="648"/>
        <w:spacing w:after="0" w:line="189" w:lineRule="exact"/>
        <w:rPr>
          <w:sz w:val="20"/>
          <w:szCs w:val="20"/>
          <w:color w:val="auto"/>
        </w:rPr>
      </w:pPr>
      <w:r>
        <w:rPr>
          <w:rFonts w:ascii="Arial" w:cs="Arial" w:eastAsia="Arial" w:hAnsi="Arial"/>
          <w:sz w:val="17"/>
          <w:szCs w:val="17"/>
          <w:color w:val="auto"/>
        </w:rPr>
        <w:t>We plan to commence a Phase 1 clinical trial of BLU</w:t>
      </w:r>
      <w:r>
        <w:rPr>
          <w:rFonts w:ascii="MS PGothic" w:cs="MS PGothic" w:eastAsia="MS PGothic" w:hAnsi="MS PGothic"/>
          <w:sz w:val="17"/>
          <w:szCs w:val="17"/>
          <w:color w:val="auto"/>
        </w:rPr>
        <w:t>‑</w:t>
      </w:r>
      <w:r>
        <w:rPr>
          <w:rFonts w:ascii="Arial" w:cs="Arial" w:eastAsia="Arial" w:hAnsi="Arial"/>
          <w:sz w:val="17"/>
          <w:szCs w:val="17"/>
          <w:color w:val="auto"/>
        </w:rPr>
        <w:t>285 as a treatment for systemic mastocytosis, or SM, a Phase 1 clinical trial of BLU</w:t>
      </w:r>
      <w:r>
        <w:rPr>
          <w:rFonts w:ascii="MS PGothic" w:cs="MS PGothic" w:eastAsia="MS PGothic" w:hAnsi="MS PGothic"/>
          <w:sz w:val="17"/>
          <w:szCs w:val="17"/>
          <w:color w:val="auto"/>
        </w:rPr>
        <w:t>‑</w:t>
      </w:r>
      <w:r>
        <w:rPr>
          <w:rFonts w:ascii="Arial" w:cs="Arial" w:eastAsia="Arial" w:hAnsi="Arial"/>
          <w:sz w:val="17"/>
          <w:szCs w:val="17"/>
          <w:color w:val="auto"/>
        </w:rPr>
        <w:t>285 as a treatment for gastrointestinal stromal tumor, or GIST, and a Phase 1 clinical trial of BLU</w:t>
      </w:r>
      <w:r>
        <w:rPr>
          <w:rFonts w:ascii="MS PGothic" w:cs="MS PGothic" w:eastAsia="MS PGothic" w:hAnsi="MS PGothic"/>
          <w:sz w:val="17"/>
          <w:szCs w:val="17"/>
          <w:color w:val="auto"/>
        </w:rPr>
        <w:t>‑</w:t>
      </w:r>
      <w:r>
        <w:rPr>
          <w:rFonts w:ascii="Arial" w:cs="Arial" w:eastAsia="Arial" w:hAnsi="Arial"/>
          <w:sz w:val="17"/>
          <w:szCs w:val="17"/>
          <w:color w:val="auto"/>
        </w:rPr>
        <w:t>554 as a treatment for hepatocellular carcinoma, or HCC. Commencing each of these clinical trials is subject to finalizing the trial design based on ongoing discussions with the FDA and other regulatory authorities. For example,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0" w:lineRule="exact"/>
        <w:rPr>
          <w:sz w:val="20"/>
          <w:szCs w:val="20"/>
          <w:color w:val="auto"/>
        </w:rPr>
      </w:pPr>
      <w:r>
        <w:rPr>
          <w:rFonts w:ascii="Arial" w:cs="Arial" w:eastAsia="Arial" w:hAnsi="Arial"/>
          <w:sz w:val="17"/>
          <w:szCs w:val="17"/>
          <w:color w:val="auto"/>
        </w:rPr>
        <w:t>based on our ongoing pre</w:t>
      </w:r>
      <w:r>
        <w:rPr>
          <w:rFonts w:ascii="MS PGothic" w:cs="MS PGothic" w:eastAsia="MS PGothic" w:hAnsi="MS PGothic"/>
          <w:sz w:val="17"/>
          <w:szCs w:val="17"/>
          <w:color w:val="auto"/>
        </w:rPr>
        <w:t>‑</w:t>
      </w:r>
      <w:r>
        <w:rPr>
          <w:rFonts w:ascii="Arial" w:cs="Arial" w:eastAsia="Arial" w:hAnsi="Arial"/>
          <w:sz w:val="17"/>
          <w:szCs w:val="17"/>
          <w:color w:val="auto"/>
        </w:rPr>
        <w:t>IND discussions relating to our BLU</w:t>
      </w:r>
      <w:r>
        <w:rPr>
          <w:rFonts w:ascii="MS PGothic" w:cs="MS PGothic" w:eastAsia="MS PGothic" w:hAnsi="MS PGothic"/>
          <w:sz w:val="17"/>
          <w:szCs w:val="17"/>
          <w:color w:val="auto"/>
        </w:rPr>
        <w:t>‑</w:t>
      </w:r>
      <w:r>
        <w:rPr>
          <w:rFonts w:ascii="Arial" w:cs="Arial" w:eastAsia="Arial" w:hAnsi="Arial"/>
          <w:sz w:val="17"/>
          <w:szCs w:val="17"/>
          <w:color w:val="auto"/>
        </w:rPr>
        <w:t>285 program, we may be required to submit data from our ongoing 13</w:t>
      </w:r>
      <w:r>
        <w:rPr>
          <w:rFonts w:ascii="MS PGothic" w:cs="MS PGothic" w:eastAsia="MS PGothic" w:hAnsi="MS PGothic"/>
          <w:sz w:val="17"/>
          <w:szCs w:val="17"/>
          <w:color w:val="auto"/>
        </w:rPr>
        <w:t>‑</w:t>
      </w:r>
      <w:r>
        <w:rPr>
          <w:rFonts w:ascii="Arial" w:cs="Arial" w:eastAsia="Arial" w:hAnsi="Arial"/>
          <w:sz w:val="17"/>
          <w:szCs w:val="17"/>
          <w:color w:val="auto"/>
        </w:rPr>
        <w:t>week toxicology studies to further support our recommended safe starting dose and define the dose limiting toxicity. In the event that the FDA requires us to submit data from such studies or we are required to satisfy other FDA requests, the start of our clinical trials for BLU</w:t>
      </w:r>
      <w:r>
        <w:rPr>
          <w:rFonts w:ascii="MS PGothic" w:cs="MS PGothic" w:eastAsia="MS PGothic" w:hAnsi="MS PGothic"/>
          <w:sz w:val="17"/>
          <w:szCs w:val="17"/>
          <w:color w:val="auto"/>
        </w:rPr>
        <w:t>‑</w:t>
      </w:r>
      <w:r>
        <w:rPr>
          <w:rFonts w:ascii="Arial" w:cs="Arial" w:eastAsia="Arial" w:hAnsi="Arial"/>
          <w:sz w:val="17"/>
          <w:szCs w:val="17"/>
          <w:color w:val="auto"/>
        </w:rPr>
        <w:t>285 may be delayed. Even after we receive and incorporate guidance from these regulatory authorities, the FDA or other regulatory authorities could disagree that we have satisfied their requirements to commence our clinical trials or change their position on the acceptability of our trial designs or the clinical endpoints selected, which may require us to complete additional pre</w:t>
      </w:r>
      <w:r>
        <w:rPr>
          <w:rFonts w:ascii="MS PGothic" w:cs="MS PGothic" w:eastAsia="MS PGothic" w:hAnsi="MS PGothic"/>
          <w:sz w:val="17"/>
          <w:szCs w:val="17"/>
          <w:color w:val="auto"/>
        </w:rPr>
        <w:t>‑</w:t>
      </w:r>
      <w:r>
        <w:rPr>
          <w:rFonts w:ascii="Arial" w:cs="Arial" w:eastAsia="Arial" w:hAnsi="Arial"/>
          <w:sz w:val="17"/>
          <w:szCs w:val="17"/>
          <w:color w:val="auto"/>
        </w:rPr>
        <w:t>clinical studies or clinical trials or impose stricter approval conditions than we currently expect. Successful completion of our clinical trials is a prerequisite to submitting a new drug application, or NDA, to the FDA and a Marketing Authorization Application, or MAA, in Europe for each drug candidate and, consequently, the ultimate approval and commercial marketing of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our other drug candidates. We do not know whether any of our clinical trials will begin or be completed on schedule, if at all.</w:t>
      </w:r>
    </w:p>
    <w:p>
      <w:pPr>
        <w:spacing w:after="0" w:line="167" w:lineRule="exact"/>
        <w:rPr>
          <w:sz w:val="20"/>
          <w:szCs w:val="20"/>
          <w:color w:val="auto"/>
        </w:rPr>
      </w:pPr>
    </w:p>
    <w:p>
      <w:pPr>
        <w:ind w:firstLine="648"/>
        <w:spacing w:after="0" w:line="194" w:lineRule="exact"/>
        <w:rPr>
          <w:sz w:val="20"/>
          <w:szCs w:val="20"/>
          <w:color w:val="auto"/>
        </w:rPr>
      </w:pPr>
      <w:r>
        <w:rPr>
          <w:rFonts w:ascii="Arial" w:cs="Arial" w:eastAsia="Arial" w:hAnsi="Arial"/>
          <w:sz w:val="17"/>
          <w:szCs w:val="17"/>
          <w:color w:val="auto"/>
        </w:rPr>
        <w:t>We may experience delays in completing our pre</w:t>
      </w:r>
      <w:r>
        <w:rPr>
          <w:rFonts w:ascii="MS PGothic" w:cs="MS PGothic" w:eastAsia="MS PGothic" w:hAnsi="MS PGothic"/>
          <w:sz w:val="17"/>
          <w:szCs w:val="17"/>
          <w:color w:val="auto"/>
        </w:rPr>
        <w:t>‑</w:t>
      </w:r>
      <w:r>
        <w:rPr>
          <w:rFonts w:ascii="Arial" w:cs="Arial" w:eastAsia="Arial" w:hAnsi="Arial"/>
          <w:sz w:val="17"/>
          <w:szCs w:val="17"/>
          <w:color w:val="auto"/>
        </w:rPr>
        <w:t>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61" w:lineRule="exact"/>
        <w:rPr>
          <w:sz w:val="20"/>
          <w:szCs w:val="20"/>
          <w:color w:val="auto"/>
        </w:rPr>
      </w:pPr>
    </w:p>
    <w:p>
      <w:pPr>
        <w:ind w:left="700" w:right="140" w:hanging="53"/>
        <w:spacing w:after="0" w:line="235" w:lineRule="auto"/>
        <w:rPr>
          <w:sz w:val="20"/>
          <w:szCs w:val="20"/>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62" w:lineRule="exact"/>
        <w:rPr>
          <w:sz w:val="20"/>
          <w:szCs w:val="20"/>
          <w:color w:val="auto"/>
        </w:rPr>
      </w:pPr>
    </w:p>
    <w:p>
      <w:pPr>
        <w:ind w:left="700" w:right="40" w:hanging="53"/>
        <w:spacing w:after="0" w:line="224" w:lineRule="auto"/>
        <w:rPr>
          <w:sz w:val="20"/>
          <w:szCs w:val="20"/>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63" w:lineRule="exact"/>
        <w:rPr>
          <w:sz w:val="20"/>
          <w:szCs w:val="20"/>
          <w:color w:val="auto"/>
        </w:rPr>
      </w:pPr>
    </w:p>
    <w:p>
      <w:pPr>
        <w:ind w:left="700" w:right="60" w:hanging="53"/>
        <w:spacing w:after="0" w:line="194" w:lineRule="exact"/>
        <w:rPr>
          <w:sz w:val="20"/>
          <w:szCs w:val="20"/>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w:t>
      </w:r>
      <w:r>
        <w:rPr>
          <w:rFonts w:ascii="MS PGothic" w:cs="MS PGothic" w:eastAsia="MS PGothic" w:hAnsi="MS PGothic"/>
          <w:sz w:val="18"/>
          <w:szCs w:val="18"/>
          <w:color w:val="auto"/>
        </w:rPr>
        <w:t>‑</w:t>
      </w:r>
      <w:r>
        <w:rPr>
          <w:rFonts w:ascii="Arial" w:cs="Arial" w:eastAsia="Arial" w:hAnsi="Arial"/>
          <w:sz w:val="18"/>
          <w:szCs w:val="18"/>
          <w:color w:val="auto"/>
        </w:rPr>
        <w:t>clinical studies or clinical trials or we may decide to abandon drug development programs;</w:t>
      </w:r>
    </w:p>
    <w:p>
      <w:pPr>
        <w:spacing w:after="0" w:line="163" w:lineRule="exact"/>
        <w:rPr>
          <w:sz w:val="20"/>
          <w:szCs w:val="20"/>
          <w:color w:val="auto"/>
        </w:rPr>
      </w:pPr>
    </w:p>
    <w:p>
      <w:pPr>
        <w:jc w:val="both"/>
        <w:ind w:left="700" w:right="20" w:hanging="53"/>
        <w:spacing w:after="0" w:line="194" w:lineRule="exact"/>
        <w:rPr>
          <w:sz w:val="20"/>
          <w:szCs w:val="20"/>
          <w:color w:val="auto"/>
        </w:rPr>
      </w:pPr>
      <w:r>
        <w:rPr>
          <w:rFonts w:ascii="Arial" w:cs="Arial" w:eastAsia="Arial" w:hAnsi="Arial"/>
          <w:sz w:val="18"/>
          <w:szCs w:val="18"/>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 at a higher rate than we anticipate;</w:t>
      </w:r>
    </w:p>
    <w:p>
      <w:pPr>
        <w:spacing w:after="0" w:line="163" w:lineRule="exact"/>
        <w:rPr>
          <w:sz w:val="20"/>
          <w:szCs w:val="20"/>
          <w:color w:val="auto"/>
        </w:rPr>
      </w:pPr>
    </w:p>
    <w:p>
      <w:pPr>
        <w:ind w:left="700" w:right="160" w:hanging="53"/>
        <w:spacing w:after="0" w:line="224" w:lineRule="auto"/>
        <w:rPr>
          <w:sz w:val="20"/>
          <w:szCs w:val="20"/>
          <w:color w:val="auto"/>
        </w:rPr>
      </w:pPr>
      <w:r>
        <w:rPr>
          <w:rFonts w:ascii="Arial" w:cs="Arial" w:eastAsia="Arial" w:hAnsi="Arial"/>
          <w:sz w:val="18"/>
          <w:szCs w:val="18"/>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3" w:lineRule="exact"/>
        <w:rPr>
          <w:sz w:val="20"/>
          <w:szCs w:val="20"/>
          <w:color w:val="auto"/>
        </w:rPr>
      </w:pPr>
    </w:p>
    <w:p>
      <w:pPr>
        <w:ind w:left="700" w:right="180" w:hanging="53"/>
        <w:spacing w:after="0" w:line="224" w:lineRule="auto"/>
        <w:rPr>
          <w:sz w:val="20"/>
          <w:szCs w:val="20"/>
          <w:color w:val="auto"/>
        </w:rPr>
      </w:pPr>
      <w:r>
        <w:rPr>
          <w:rFonts w:ascii="Arial" w:cs="Arial" w:eastAsia="Arial" w:hAnsi="Arial"/>
          <w:sz w:val="18"/>
          <w:szCs w:val="18"/>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clinical trials of our drug candidates may be greater than we anticipate;</w:t>
      </w:r>
    </w:p>
    <w:p>
      <w:pPr>
        <w:spacing w:after="0" w:line="185" w:lineRule="exact"/>
        <w:rPr>
          <w:sz w:val="20"/>
          <w:szCs w:val="20"/>
          <w:color w:val="auto"/>
        </w:rPr>
      </w:pPr>
    </w:p>
    <w:p>
      <w:pPr>
        <w:ind w:left="700" w:right="600" w:hanging="53"/>
        <w:spacing w:after="0" w:line="235" w:lineRule="auto"/>
        <w:rPr>
          <w:sz w:val="20"/>
          <w:szCs w:val="20"/>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62" w:lineRule="exact"/>
        <w:rPr>
          <w:sz w:val="20"/>
          <w:szCs w:val="20"/>
          <w:color w:val="auto"/>
        </w:rPr>
      </w:pPr>
    </w:p>
    <w:p>
      <w:pPr>
        <w:ind w:left="700" w:right="240" w:hanging="53"/>
        <w:spacing w:after="0" w:line="189" w:lineRule="exact"/>
        <w:rPr>
          <w:sz w:val="20"/>
          <w:szCs w:val="20"/>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w:t>
      </w:r>
      <w:r>
        <w:rPr>
          <w:rFonts w:ascii="MS PGothic" w:cs="MS PGothic" w:eastAsia="MS PGothic" w:hAnsi="MS PGothic"/>
          <w:sz w:val="18"/>
          <w:szCs w:val="18"/>
          <w:color w:val="auto"/>
        </w:rPr>
        <w:t>‑</w:t>
      </w:r>
      <w:r>
        <w:rPr>
          <w:rFonts w:ascii="Arial" w:cs="Arial" w:eastAsia="Arial" w:hAnsi="Arial"/>
          <w:sz w:val="18"/>
          <w:szCs w:val="18"/>
          <w:color w:val="auto"/>
        </w:rPr>
        <w:t>clinical or clinical testing of other cancer therapies that raise safety or efficacy concerns about our drug candidates; and</w:t>
      </w:r>
    </w:p>
    <w:p>
      <w:pPr>
        <w:spacing w:after="0" w:line="163"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67"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47" w:lineRule="exact"/>
        <w:rPr>
          <w:sz w:val="20"/>
          <w:szCs w:val="20"/>
          <w:color w:val="auto"/>
        </w:rPr>
      </w:pPr>
    </w:p>
    <w:p>
      <w:pPr>
        <w:ind w:left="740" w:hanging="8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84" w:lineRule="exact"/>
        <w:rPr>
          <w:rFonts w:ascii="Arial" w:cs="Arial" w:eastAsia="Arial" w:hAnsi="Arial"/>
          <w:sz w:val="18"/>
          <w:szCs w:val="18"/>
          <w:color w:val="auto"/>
        </w:rPr>
      </w:pPr>
    </w:p>
    <w:p>
      <w:pPr>
        <w:ind w:left="820" w:hanging="16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 approval for indications or patient populations that are not as broad as intended or desired;</w:t>
      </w:r>
    </w:p>
    <w:p>
      <w:pPr>
        <w:spacing w:after="0" w:line="185" w:lineRule="exact"/>
        <w:rPr>
          <w:sz w:val="20"/>
          <w:szCs w:val="20"/>
          <w:color w:val="auto"/>
        </w:rPr>
      </w:pPr>
    </w:p>
    <w:p>
      <w:pPr>
        <w:ind w:left="760" w:hanging="109"/>
        <w:spacing w:after="0" w:line="207" w:lineRule="exact"/>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8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w:t>
      </w:r>
      <w:r>
        <w:rPr>
          <w:rFonts w:ascii="MS PGothic" w:cs="MS PGothic" w:eastAsia="MS PGothic" w:hAnsi="MS PGothic"/>
          <w:sz w:val="18"/>
          <w:szCs w:val="18"/>
          <w:color w:val="auto"/>
        </w:rPr>
        <w:t>‑</w:t>
      </w:r>
      <w:r>
        <w:rPr>
          <w:rFonts w:ascii="Arial" w:cs="Arial" w:eastAsia="Arial" w:hAnsi="Arial"/>
          <w:sz w:val="18"/>
          <w:szCs w:val="18"/>
          <w:color w:val="auto"/>
        </w:rPr>
        <w:t>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w:t>
      </w:r>
      <w:r>
        <w:rPr>
          <w:rFonts w:ascii="MS PGothic" w:cs="MS PGothic" w:eastAsia="MS PGothic" w:hAnsi="MS PGothic"/>
          <w:sz w:val="18"/>
          <w:szCs w:val="18"/>
          <w:color w:val="auto"/>
        </w:rPr>
        <w:t>‑</w:t>
      </w:r>
      <w:r>
        <w:rPr>
          <w:rFonts w:ascii="Arial" w:cs="Arial" w:eastAsia="Arial" w:hAnsi="Arial"/>
          <w:sz w:val="18"/>
          <w:szCs w:val="18"/>
          <w:color w:val="auto"/>
        </w:rPr>
        <w:t>clinical or future clinical development programs may harm our business, financial condition and prospects significantly.</w:t>
      </w:r>
    </w:p>
    <w:p>
      <w:pPr>
        <w:spacing w:after="0" w:line="16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patients with genomically defined diseases,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780" w:hanging="12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760" w:hanging="109"/>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w:t>
      </w:r>
    </w:p>
    <w:p>
      <w:pPr>
        <w:spacing w:after="0" w:line="184" w:lineRule="exact"/>
        <w:rPr>
          <w:rFonts w:ascii="Arial" w:cs="Arial" w:eastAsia="Arial" w:hAnsi="Arial"/>
          <w:sz w:val="18"/>
          <w:szCs w:val="18"/>
          <w:color w:val="auto"/>
        </w:rPr>
      </w:pPr>
    </w:p>
    <w:p>
      <w:pPr>
        <w:ind w:left="760" w:hanging="109"/>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1" w:right="139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hanging="8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760" w:hanging="10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780" w:hanging="12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580"/>
        <w:spacing w:after="0" w:line="258" w:lineRule="auto"/>
        <w:rPr>
          <w:sz w:val="20"/>
          <w:szCs w:val="20"/>
          <w:color w:val="auto"/>
        </w:rPr>
      </w:pPr>
      <w:r>
        <w:rPr>
          <w:rFonts w:ascii="Arial" w:cs="Arial" w:eastAsia="Arial" w:hAnsi="Arial"/>
          <w:sz w:val="17"/>
          <w:szCs w:val="17"/>
          <w:b w:val="1"/>
          <w:bCs w:val="1"/>
          <w:i w:val="1"/>
          <w:iCs w:val="1"/>
          <w:color w:val="auto"/>
        </w:rPr>
        <w:t>Genomically defined diseases may have relatively low prevalence and it may be difficult to identify patients with the genomic driver of the disease, which may lead to delays in enrollment for our trials.</w:t>
      </w:r>
    </w:p>
    <w:p>
      <w:pPr>
        <w:spacing w:after="0" w:line="14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Following our general drug development strategy, we have designed our planned Phase 1 clinical trials of each of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and expect to design future trials, to include some patients with the applicable genomic alteration that causes the disease with a view to assessing possible early evidence of potential therapeutic effect. Genomically defined diseases, however, may have relatively low prevalence and it may be difficult to identify patients with the applicable genomic alteration. We intend to engage third parties to develop companion diagnostics for use in our clinical trials, but such third parties may not be successful in developing such companion diagnostics, furthering the difficulty in identifying patients with the applicable genomic alteration for our clinical trials. Our inability to enroll a sufficient number of patients with the applicable genomic alteration for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Further, if we are unable to include patients with the applicable genomic alteration, this could compromise our ability to seek participation in FDA’s expedited review and approval programs, including Breakthrough Therapy Designation and Fast Track Designation, or otherwise to seek to accelerate clinical development and regulatory timelines.</w:t>
      </w:r>
    </w:p>
    <w:p>
      <w:pPr>
        <w:spacing w:after="0" w:line="166"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94"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Our drug candidates and the related companion diagnostics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 xml:space="preserve"> party CROs and/or regulatory consultants to assist us in this process. Securing regulatory approval requires the submission of extensive pre</w:t>
      </w:r>
      <w:r>
        <w:rPr>
          <w:rFonts w:ascii="MS PGothic" w:cs="MS PGothic" w:eastAsia="MS PGothic" w:hAnsi="MS PGothic"/>
          <w:sz w:val="17"/>
          <w:szCs w:val="17"/>
          <w:color w:val="auto"/>
        </w:rPr>
        <w:t>‑</w:t>
      </w:r>
      <w:r>
        <w:rPr>
          <w:rFonts w:ascii="Arial" w:cs="Arial" w:eastAsia="Arial" w:hAnsi="Arial"/>
          <w:sz w:val="17"/>
          <w:szCs w:val="17"/>
          <w:color w:val="auto"/>
        </w:rPr>
        <w:t xml:space="preserve"> 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90"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7"/>
          <w:szCs w:val="17"/>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Pre</w:t>
      </w:r>
      <w:r>
        <w:rPr>
          <w:rFonts w:ascii="MS PGothic" w:cs="MS PGothic" w:eastAsia="MS PGothic" w:hAnsi="MS PGothic"/>
          <w:sz w:val="17"/>
          <w:szCs w:val="17"/>
          <w:color w:val="auto"/>
        </w:rPr>
        <w:t>‑</w:t>
      </w:r>
      <w:r>
        <w:rPr>
          <w:rFonts w:ascii="Arial" w:cs="Arial" w:eastAsia="Arial" w:hAnsi="Arial"/>
          <w:sz w:val="17"/>
          <w:szCs w:val="17"/>
          <w:color w:val="auto"/>
        </w:rPr>
        <w:t>Market Approval, or PMA, or equivalent application types,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189" w:lineRule="exact"/>
        <w:rPr>
          <w:sz w:val="20"/>
          <w:szCs w:val="20"/>
          <w:color w:val="auto"/>
        </w:rPr>
      </w:pPr>
      <w:r>
        <w:rPr>
          <w:rFonts w:ascii="Arial" w:cs="Arial" w:eastAsia="Arial" w:hAnsi="Arial"/>
          <w:sz w:val="17"/>
          <w:szCs w:val="17"/>
          <w:color w:val="auto"/>
        </w:rPr>
        <w:t>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w:t>
      </w:r>
      <w:r>
        <w:rPr>
          <w:rFonts w:ascii="MS PGothic" w:cs="MS PGothic" w:eastAsia="MS PGothic" w:hAnsi="MS PGothic"/>
          <w:sz w:val="17"/>
          <w:szCs w:val="17"/>
          <w:color w:val="auto"/>
        </w:rPr>
        <w:t>‑</w:t>
      </w:r>
      <w:r>
        <w:rPr>
          <w:rFonts w:ascii="Arial" w:cs="Arial" w:eastAsia="Arial" w:hAnsi="Arial"/>
          <w:sz w:val="17"/>
          <w:szCs w:val="17"/>
          <w:color w:val="auto"/>
        </w:rPr>
        <w:t>clinical, clinical or other studies. Our drug candidates could be delayed in receiving, or fail to receive, regulatory approval for many reasons, including the following:</w:t>
      </w:r>
    </w:p>
    <w:p>
      <w:pPr>
        <w:spacing w:after="0" w:line="95"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4" w:lineRule="exact"/>
        <w:rPr>
          <w:sz w:val="20"/>
          <w:szCs w:val="20"/>
          <w:color w:val="auto"/>
        </w:rPr>
      </w:pPr>
    </w:p>
    <w:p>
      <w:pPr>
        <w:ind w:left="700" w:right="160" w:hanging="53"/>
        <w:spacing w:after="0" w:line="224"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96" w:lineRule="exact"/>
        <w:rPr>
          <w:sz w:val="20"/>
          <w:szCs w:val="20"/>
          <w:color w:val="auto"/>
        </w:rPr>
      </w:pPr>
    </w:p>
    <w:p>
      <w:pPr>
        <w:ind w:left="700" w:right="380" w:hanging="53"/>
        <w:spacing w:after="0" w:line="235"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be unable to demonstrate that a drug candidate’s clinical and other benefits outweigh its safety risks;</w:t>
      </w:r>
    </w:p>
    <w:p>
      <w:pPr>
        <w:spacing w:after="0" w:line="129" w:lineRule="exact"/>
        <w:rPr>
          <w:sz w:val="20"/>
          <w:szCs w:val="20"/>
          <w:color w:val="auto"/>
        </w:rPr>
      </w:pPr>
    </w:p>
    <w:p>
      <w:pPr>
        <w:ind w:left="700" w:right="120" w:hanging="53"/>
        <w:spacing w:after="0" w:line="203" w:lineRule="exact"/>
        <w:rPr>
          <w:sz w:val="20"/>
          <w:szCs w:val="20"/>
          <w:color w:val="auto"/>
        </w:rPr>
      </w:pPr>
      <w:r>
        <w:rPr>
          <w:rFonts w:ascii="Arial" w:cs="Arial" w:eastAsia="Arial" w:hAnsi="Arial"/>
          <w:sz w:val="18"/>
          <w:szCs w:val="18"/>
          <w:color w:val="auto"/>
        </w:rPr>
        <w:t>·the FDA or comparable foreign regulatory authorities may disagree with our interpretation of data from pre</w:t>
      </w:r>
      <w:r>
        <w:rPr>
          <w:rFonts w:ascii="MS PGothic" w:cs="MS PGothic" w:eastAsia="MS PGothic" w:hAnsi="MS PGothic"/>
          <w:sz w:val="18"/>
          <w:szCs w:val="18"/>
          <w:color w:val="auto"/>
        </w:rPr>
        <w:t>‑</w:t>
      </w:r>
      <w:r>
        <w:rPr>
          <w:rFonts w:ascii="Arial" w:cs="Arial" w:eastAsia="Arial" w:hAnsi="Arial"/>
          <w:sz w:val="18"/>
          <w:szCs w:val="18"/>
          <w:color w:val="auto"/>
        </w:rPr>
        <w:t>clinical studies or clinical trials;</w:t>
      </w:r>
    </w:p>
    <w:p>
      <w:pPr>
        <w:spacing w:after="0" w:line="94" w:lineRule="exact"/>
        <w:rPr>
          <w:sz w:val="20"/>
          <w:szCs w:val="20"/>
          <w:color w:val="auto"/>
        </w:rPr>
      </w:pPr>
    </w:p>
    <w:p>
      <w:pPr>
        <w:ind w:left="700" w:right="280" w:hanging="53"/>
        <w:spacing w:after="0" w:line="258" w:lineRule="auto"/>
        <w:rPr>
          <w:sz w:val="20"/>
          <w:szCs w:val="20"/>
          <w:color w:val="auto"/>
        </w:rPr>
      </w:pPr>
      <w:r>
        <w:rPr>
          <w:rFonts w:ascii="Arial" w:cs="Arial" w:eastAsia="Arial" w:hAnsi="Arial"/>
          <w:sz w:val="17"/>
          <w:szCs w:val="17"/>
          <w:color w:val="auto"/>
        </w:rPr>
        <w:t>·the data collected from clinical trials of our drug candidates may not be sufficient to support the submission of an NDA or other submission or to obtain regulatory approval in the United States or elsewhere;</w:t>
      </w:r>
    </w:p>
    <w:p>
      <w:pPr>
        <w:spacing w:after="0" w:line="79" w:lineRule="exact"/>
        <w:rPr>
          <w:sz w:val="20"/>
          <w:szCs w:val="20"/>
          <w:color w:val="auto"/>
        </w:rPr>
      </w:pPr>
    </w:p>
    <w:p>
      <w:pPr>
        <w:ind w:left="700" w:right="180" w:hanging="53"/>
        <w:spacing w:after="0" w:line="203" w:lineRule="exact"/>
        <w:rPr>
          <w:sz w:val="20"/>
          <w:szCs w:val="20"/>
          <w:color w:val="auto"/>
        </w:rPr>
      </w:pPr>
      <w:r>
        <w:rPr>
          <w:rFonts w:ascii="Arial" w:cs="Arial" w:eastAsia="Arial" w:hAnsi="Arial"/>
          <w:sz w:val="18"/>
          <w:szCs w:val="18"/>
          <w:color w:val="auto"/>
        </w:rPr>
        <w:t>·the FDA or comparable foreign regulatory authorities may fail to approve the manufacturing processes or facilities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with which we contract for clinical and commercial supplies; and</w:t>
      </w:r>
    </w:p>
    <w:p>
      <w:pPr>
        <w:spacing w:after="0" w:line="94" w:lineRule="exact"/>
        <w:rPr>
          <w:sz w:val="20"/>
          <w:szCs w:val="20"/>
          <w:color w:val="auto"/>
        </w:rPr>
      </w:pPr>
    </w:p>
    <w:p>
      <w:pPr>
        <w:ind w:left="700" w:right="500" w:hanging="53"/>
        <w:spacing w:after="0" w:line="235" w:lineRule="auto"/>
        <w:rPr>
          <w:sz w:val="20"/>
          <w:szCs w:val="20"/>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94" w:lineRule="exact"/>
        <w:rPr>
          <w:sz w:val="20"/>
          <w:szCs w:val="20"/>
          <w:color w:val="auto"/>
        </w:rPr>
      </w:pPr>
    </w:p>
    <w:p>
      <w:pPr>
        <w:ind w:right="80"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81"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63"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Undesirable side effects caused by our drug candidates could cause us to interrupt, delay or halt pre</w:t>
      </w:r>
      <w:r>
        <w:rPr>
          <w:rFonts w:ascii="MS PGothic" w:cs="MS PGothic" w:eastAsia="MS PGothic" w:hAnsi="MS PGothic"/>
          <w:sz w:val="17"/>
          <w:szCs w:val="17"/>
          <w:color w:val="auto"/>
        </w:rPr>
        <w:t>‑</w:t>
      </w:r>
      <w:r>
        <w:rPr>
          <w:rFonts w:ascii="Arial" w:cs="Arial" w:eastAsia="Arial" w:hAnsi="Arial"/>
          <w:sz w:val="17"/>
          <w:szCs w:val="17"/>
          <w:color w:val="auto"/>
        </w:rPr>
        <w:t>clinical studies or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drug candidates, as is the case with all oncology drugs,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10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authorities may withdraw or limit their approval of such drug candidates;</w:t>
      </w:r>
    </w:p>
    <w:p>
      <w:pPr>
        <w:spacing w:after="0" w:line="185" w:lineRule="exact"/>
        <w:rPr>
          <w:sz w:val="20"/>
          <w:szCs w:val="20"/>
          <w:color w:val="auto"/>
        </w:rPr>
      </w:pPr>
    </w:p>
    <w:p>
      <w:pPr>
        <w:ind w:left="700" w:right="1120" w:hanging="53"/>
        <w:spacing w:after="0" w:line="235" w:lineRule="auto"/>
        <w:rPr>
          <w:sz w:val="20"/>
          <w:szCs w:val="20"/>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be required to create a medication guide outlining the risks of such side effects for distribution to patients;</w:t>
      </w:r>
    </w:p>
    <w:p>
      <w:pPr>
        <w:spacing w:after="0" w:line="208" w:lineRule="exact"/>
        <w:rPr>
          <w:sz w:val="20"/>
          <w:szCs w:val="20"/>
          <w:color w:val="auto"/>
        </w:rPr>
      </w:pPr>
    </w:p>
    <w:p>
      <w:pPr>
        <w:ind w:left="700" w:right="440" w:hanging="53"/>
        <w:spacing w:after="0" w:line="235" w:lineRule="auto"/>
        <w:rPr>
          <w:sz w:val="20"/>
          <w:szCs w:val="20"/>
          <w:color w:val="auto"/>
        </w:rPr>
      </w:pPr>
      <w:r>
        <w:rPr>
          <w:rFonts w:ascii="Arial" w:cs="Arial" w:eastAsia="Arial" w:hAnsi="Arial"/>
          <w:sz w:val="18"/>
          <w:szCs w:val="18"/>
          <w:color w:val="auto"/>
        </w:rPr>
        <w:t>·we may be required to change the way such drug candidates are distributed or administered, conduct additional clinical trials or change the labeling of the drug candidates;</w:t>
      </w:r>
    </w:p>
    <w:p>
      <w:pPr>
        <w:spacing w:after="0" w:line="162" w:lineRule="exact"/>
        <w:rPr>
          <w:sz w:val="20"/>
          <w:szCs w:val="20"/>
          <w:color w:val="auto"/>
        </w:rPr>
      </w:pPr>
    </w:p>
    <w:p>
      <w:pPr>
        <w:ind w:left="700" w:hanging="53"/>
        <w:spacing w:after="0" w:line="224" w:lineRule="auto"/>
        <w:rPr>
          <w:sz w:val="20"/>
          <w:szCs w:val="20"/>
          <w:color w:val="auto"/>
        </w:rPr>
      </w:pPr>
      <w:r>
        <w:rPr>
          <w:rFonts w:ascii="Arial" w:cs="Arial" w:eastAsia="Arial" w:hAnsi="Arial"/>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be subject to regulatory investigations and government enforcement actions;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we may decide to remove such drug candidates from the marketplace;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could be sued and held liable for injury caused to individuals exposed to or taking our drug candidates; and</w:t>
      </w:r>
    </w:p>
    <w:p>
      <w:pPr>
        <w:spacing w:after="0" w:line="196" w:lineRule="exact"/>
        <w:rPr>
          <w:sz w:val="20"/>
          <w:szCs w:val="20"/>
          <w:color w:val="auto"/>
        </w:rPr>
      </w:pPr>
    </w:p>
    <w:p>
      <w:pPr>
        <w:ind w:left="880" w:hanging="22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61" w:lineRule="exact"/>
        <w:rPr>
          <w:sz w:val="20"/>
          <w:szCs w:val="20"/>
          <w:color w:val="auto"/>
        </w:rPr>
      </w:pPr>
    </w:p>
    <w:p>
      <w:pPr>
        <w:jc w:val="both"/>
        <w:ind w:right="640"/>
        <w:spacing w:after="0" w:line="224"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6"/>
          <w:szCs w:val="16"/>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60"/>
        <w:spacing w:after="0" w:line="224" w:lineRule="auto"/>
        <w:rPr>
          <w:sz w:val="20"/>
          <w:szCs w:val="20"/>
          <w:color w:val="auto"/>
        </w:rPr>
      </w:pPr>
      <w:r>
        <w:rPr>
          <w:rFonts w:ascii="Arial" w:cs="Arial" w:eastAsia="Arial" w:hAnsi="Arial"/>
          <w:sz w:val="18"/>
          <w:szCs w:val="18"/>
          <w:color w:val="auto"/>
        </w:rPr>
        <w:t>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3"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1"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may seek Fast Track Designation for some of our drug candidates. If a drug is intended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2" w:lineRule="exact"/>
        <w:rPr>
          <w:sz w:val="20"/>
          <w:szCs w:val="20"/>
          <w:color w:val="auto"/>
        </w:rPr>
      </w:pPr>
    </w:p>
    <w:p>
      <w:pPr>
        <w:ind w:right="60"/>
        <w:spacing w:after="0" w:line="324" w:lineRule="auto"/>
        <w:rPr>
          <w:sz w:val="20"/>
          <w:szCs w:val="20"/>
          <w:color w:val="auto"/>
        </w:rPr>
      </w:pPr>
      <w:r>
        <w:rPr>
          <w:rFonts w:ascii="Arial" w:cs="Arial" w:eastAsia="Arial" w:hAnsi="Arial"/>
          <w:sz w:val="15"/>
          <w:szCs w:val="15"/>
          <w:b w:val="1"/>
          <w:bCs w:val="1"/>
          <w:i w:val="1"/>
          <w:iCs w:val="1"/>
          <w:color w:val="auto"/>
        </w:rPr>
        <w:t>We may seek Orphan Drug Designation for some of our drug candidates, and we may be unsuccessful or may be unable to maintain the benefits associated with Orphan Drug Designation, including the potential for market exclusivity.</w:t>
      </w:r>
    </w:p>
    <w:p>
      <w:pPr>
        <w:spacing w:after="0" w:line="10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As part of our business strategy, we may seek Orphan Drug Designation for our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8"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Similarly, in Europe,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6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drug candidates, we may never receive such designations. Even if we do receive such designations, there is no guarantee that we will enjoy the benefits of those designations.</w:t>
      </w:r>
    </w:p>
    <w:p>
      <w:pPr>
        <w:spacing w:after="0" w:line="163"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Additionally,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 the</w:t>
      </w:r>
    </w:p>
    <w:p>
      <w:pPr>
        <w:spacing w:after="0" w:line="229" w:lineRule="auto"/>
        <w:rPr>
          <w:sz w:val="20"/>
          <w:szCs w:val="20"/>
          <w:color w:val="auto"/>
        </w:rPr>
      </w:pPr>
      <w:r>
        <w:rPr>
          <w:rFonts w:ascii="Arial" w:cs="Arial" w:eastAsia="Arial" w:hAnsi="Arial"/>
          <w:sz w:val="16"/>
          <w:szCs w:val="16"/>
          <w:color w:val="auto"/>
        </w:rPr>
        <w:t>drug will be subject to extensive and ongoing regulatory requirements. These requirements include submissions of safety and</w:t>
      </w:r>
    </w:p>
    <w:p>
      <w:pPr>
        <w:spacing w:after="0" w:line="176" w:lineRule="exact"/>
        <w:rPr>
          <w:sz w:val="20"/>
          <w:szCs w:val="20"/>
          <w:color w:val="auto"/>
        </w:rPr>
      </w:pPr>
      <w:r>
        <w:rPr>
          <w:rFonts w:ascii="Arial" w:cs="Arial" w:eastAsia="Arial" w:hAnsi="Arial"/>
          <w:sz w:val="16"/>
          <w:szCs w:val="16"/>
          <w:color w:val="auto"/>
        </w:rPr>
        <w:t>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and reports, registration, as well as continued compliance with current Good Manufacturing</w:t>
      </w:r>
    </w:p>
    <w:p>
      <w:pPr>
        <w:spacing w:after="0" w:line="176" w:lineRule="exact"/>
        <w:rPr>
          <w:sz w:val="20"/>
          <w:szCs w:val="20"/>
          <w:color w:val="auto"/>
        </w:rPr>
      </w:pPr>
      <w:r>
        <w:rPr>
          <w:rFonts w:ascii="Arial" w:cs="Arial" w:eastAsia="Arial" w:hAnsi="Arial"/>
          <w:sz w:val="17"/>
          <w:szCs w:val="17"/>
          <w:color w:val="auto"/>
        </w:rPr>
        <w:t>Practices, or cGMPs,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Any</w:t>
      </w:r>
    </w:p>
    <w:p>
      <w:pPr>
        <w:spacing w:after="0" w:line="229" w:lineRule="auto"/>
        <w:rPr>
          <w:sz w:val="20"/>
          <w:szCs w:val="20"/>
          <w:color w:val="auto"/>
        </w:rPr>
      </w:pPr>
      <w:r>
        <w:rPr>
          <w:rFonts w:ascii="Arial" w:cs="Arial" w:eastAsia="Arial" w:hAnsi="Arial"/>
          <w:sz w:val="16"/>
          <w:szCs w:val="16"/>
          <w:color w:val="auto"/>
        </w:rPr>
        <w:t>regulatory approvals that we receive for our drug candidates may also be subject to limitations on the approved indicated uses</w:t>
      </w:r>
    </w:p>
    <w:p>
      <w:pPr>
        <w:spacing w:after="0" w:line="204" w:lineRule="auto"/>
        <w:rPr>
          <w:sz w:val="20"/>
          <w:szCs w:val="20"/>
          <w:color w:val="auto"/>
        </w:rPr>
      </w:pPr>
      <w:r>
        <w:rPr>
          <w:rFonts w:ascii="Arial" w:cs="Arial" w:eastAsia="Arial" w:hAnsi="Arial"/>
          <w:sz w:val="18"/>
          <w:szCs w:val="18"/>
          <w:color w:val="auto"/>
        </w:rPr>
        <w:t>for which the drug may be marketed or to the conditions of approval, or contain requirements for potentially costly</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 of the drug. Later</w:t>
      </w:r>
    </w:p>
    <w:p>
      <w:pPr>
        <w:spacing w:after="0" w:line="229" w:lineRule="auto"/>
        <w:rPr>
          <w:sz w:val="20"/>
          <w:szCs w:val="20"/>
          <w:color w:val="auto"/>
        </w:rPr>
      </w:pPr>
      <w:r>
        <w:rPr>
          <w:rFonts w:ascii="Arial" w:cs="Arial" w:eastAsia="Arial" w:hAnsi="Arial"/>
          <w:sz w:val="16"/>
          <w:szCs w:val="16"/>
          <w:color w:val="auto"/>
        </w:rPr>
        <w:t>discovery of previously unknown problems with a drug, including adverse events of unanticipated severity or frequency, or</w:t>
      </w:r>
    </w:p>
    <w:p>
      <w:pPr>
        <w:spacing w:after="0" w:line="176" w:lineRule="exact"/>
        <w:rPr>
          <w:sz w:val="20"/>
          <w:szCs w:val="20"/>
          <w:color w:val="auto"/>
        </w:rPr>
      </w:pPr>
      <w:r>
        <w:rPr>
          <w:rFonts w:ascii="Arial" w:cs="Arial" w:eastAsia="Arial" w:hAnsi="Arial"/>
          <w:sz w:val="16"/>
          <w:szCs w:val="16"/>
          <w:color w:val="auto"/>
        </w:rPr>
        <w:t>with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or manufacturing processes, or failure to comply with regulatory requirements, may result</w:t>
      </w:r>
    </w:p>
    <w:p>
      <w:pPr>
        <w:spacing w:after="0"/>
        <w:rPr>
          <w:sz w:val="20"/>
          <w:szCs w:val="20"/>
          <w:color w:val="auto"/>
        </w:rPr>
      </w:pPr>
      <w:r>
        <w:rPr>
          <w:rFonts w:ascii="Arial" w:cs="Arial" w:eastAsia="Arial" w:hAnsi="Arial"/>
          <w:sz w:val="18"/>
          <w:szCs w:val="18"/>
          <w:color w:val="auto"/>
        </w:rPr>
        <w:t>in, among other things:</w:t>
      </w:r>
    </w:p>
    <w:p>
      <w:pPr>
        <w:spacing w:after="0" w:line="169" w:lineRule="exact"/>
        <w:rPr>
          <w:sz w:val="20"/>
          <w:szCs w:val="20"/>
          <w:color w:val="auto"/>
        </w:rPr>
      </w:pPr>
    </w:p>
    <w:p>
      <w:pPr>
        <w:ind w:left="700" w:right="320" w:hanging="53"/>
        <w:spacing w:after="0" w:line="235" w:lineRule="auto"/>
        <w:rPr>
          <w:sz w:val="20"/>
          <w:szCs w:val="20"/>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fines, warning letters or holds on clinical trials;</w:t>
      </w:r>
    </w:p>
    <w:p>
      <w:pPr>
        <w:spacing w:after="0" w:line="185" w:lineRule="exact"/>
        <w:rPr>
          <w:sz w:val="20"/>
          <w:szCs w:val="20"/>
          <w:color w:val="auto"/>
        </w:rPr>
      </w:pPr>
    </w:p>
    <w:p>
      <w:pPr>
        <w:ind w:left="700" w:right="680" w:hanging="53"/>
        <w:spacing w:after="0" w:line="235"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drug license approvals;</w:t>
      </w:r>
    </w:p>
    <w:p>
      <w:pPr>
        <w:spacing w:after="0" w:line="162" w:lineRule="exact"/>
        <w:rPr>
          <w:sz w:val="20"/>
          <w:szCs w:val="20"/>
          <w:color w:val="auto"/>
        </w:rPr>
      </w:pPr>
    </w:p>
    <w:p>
      <w:pPr>
        <w:ind w:left="660" w:right="2640"/>
        <w:spacing w:after="0" w:line="454" w:lineRule="auto"/>
        <w:rPr>
          <w:sz w:val="20"/>
          <w:szCs w:val="20"/>
          <w:color w:val="auto"/>
        </w:rPr>
      </w:pPr>
      <w:r>
        <w:rPr>
          <w:rFonts w:ascii="Arial" w:cs="Arial" w:eastAsia="Arial" w:hAnsi="Arial"/>
          <w:sz w:val="18"/>
          <w:szCs w:val="18"/>
          <w:color w:val="auto"/>
        </w:rPr>
        <w:t>·drug seizure or detention, or refusal to permit the import or export of drugs; and · injunctions or the imposition of civil or criminal penalties.</w:t>
      </w:r>
    </w:p>
    <w:p>
      <w:pPr>
        <w:ind w:right="4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development platform to build a pipeline of drug candidates.</w:t>
      </w:r>
    </w:p>
    <w:p>
      <w:pPr>
        <w:spacing w:after="0" w:line="15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in genomically defined diseases with high unmet medical need in order to build a pipeline of drug candidates. Although our research and development efforts to date have resulted in a pipeline of drug candidates, we may not be able to continue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95"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82"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6"/>
          <w:szCs w:val="16"/>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4,500 addressable patients with advanced forms of SM and approximately 16,000 addressable patients with indolent SM in the United States, France, Germany, Italy, Spain, the United Kingdom and Japan, or the Major Markets; (ii) 500 addressable patients with PDGFRα D842V</w:t>
      </w:r>
      <w:r>
        <w:rPr>
          <w:rFonts w:ascii="MS PGothic" w:cs="MS PGothic" w:eastAsia="MS PGothic" w:hAnsi="MS PGothic"/>
          <w:sz w:val="16"/>
          <w:szCs w:val="16"/>
          <w:color w:val="auto"/>
        </w:rPr>
        <w:t>‑</w:t>
      </w:r>
      <w:r>
        <w:rPr>
          <w:rFonts w:ascii="Arial" w:cs="Arial" w:eastAsia="Arial" w:hAnsi="Arial"/>
          <w:sz w:val="16"/>
          <w:szCs w:val="16"/>
          <w:color w:val="auto"/>
        </w:rPr>
        <w:t>driven, unresectable or metastatic GIST in the Major Markets and approximately 20,000 addressable patients in the Major Markets with unresectable or metastatic frontline GIST; and (iii) 18,000 first line and 6,000 second line addressable HCC patients with aberrantly active FGFR4, signaling in the Major Markets.</w:t>
      </w:r>
    </w:p>
    <w:p>
      <w:pPr>
        <w:spacing w:after="0" w:line="100"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The total addressable market opportunity for BLU</w:t>
      </w:r>
      <w:r>
        <w:rPr>
          <w:rFonts w:ascii="MS PGothic" w:cs="MS PGothic" w:eastAsia="MS PGothic" w:hAnsi="MS PGothic"/>
          <w:sz w:val="17"/>
          <w:szCs w:val="17"/>
          <w:color w:val="auto"/>
        </w:rPr>
        <w:t>‑</w:t>
      </w:r>
      <w:r>
        <w:rPr>
          <w:rFonts w:ascii="Arial" w:cs="Arial" w:eastAsia="Arial" w:hAnsi="Arial"/>
          <w:sz w:val="17"/>
          <w:szCs w:val="17"/>
          <w:color w:val="auto"/>
        </w:rPr>
        <w:t>285 for the treatment of patients with SM and GIST and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patients with aberrantly active FGFR4 signaling will ultimately depend upon, among other things, the diagnosis criteria included in the final label for each of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9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81"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181" w:lineRule="exact"/>
        <w:rPr>
          <w:sz w:val="20"/>
          <w:szCs w:val="20"/>
          <w:color w:val="auto"/>
        </w:rPr>
      </w:pPr>
      <w:r>
        <w:rPr>
          <w:rFonts w:ascii="Arial" w:cs="Arial" w:eastAsia="Arial" w:hAnsi="Arial"/>
          <w:sz w:val="18"/>
          <w:szCs w:val="18"/>
          <w:color w:val="auto"/>
        </w:rPr>
        <w:t>Specifically, there are a large number of companies developing or marketing treatments for cancer, including many major pharmaceutical and biotechnology companies. If BLU</w:t>
      </w:r>
      <w:r>
        <w:rPr>
          <w:rFonts w:ascii="MS PGothic" w:cs="MS PGothic" w:eastAsia="MS PGothic" w:hAnsi="MS PGothic"/>
          <w:sz w:val="18"/>
          <w:szCs w:val="18"/>
          <w:color w:val="auto"/>
        </w:rPr>
        <w:t>‑</w:t>
      </w:r>
      <w:r>
        <w:rPr>
          <w:rFonts w:ascii="Arial" w:cs="Arial" w:eastAsia="Arial" w:hAnsi="Arial"/>
          <w:sz w:val="18"/>
          <w:szCs w:val="18"/>
          <w:color w:val="auto"/>
        </w:rPr>
        <w:t>285 receives marketing approval for advanced SM, GIST and/or for patients with GIST with the PDGFRα D842V mutation, it may face competition from other drug candidates in development for these indications, including drug candidates in development from AB Science S.A., Plexxikon Inc.,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Daiichi Sankyo Company, Limited, Deciphera Pharmaceuticals, LLC, Novartis AG, AROG Pharmaceuticals, Inc. and ARIAD Pharmaceuticals, Inc. Further, if BLU</w:t>
      </w:r>
      <w:r>
        <w:rPr>
          <w:rFonts w:ascii="MS PGothic" w:cs="MS PGothic" w:eastAsia="MS PGothic" w:hAnsi="MS PGothic"/>
          <w:sz w:val="18"/>
          <w:szCs w:val="18"/>
          <w:color w:val="auto"/>
        </w:rPr>
        <w:t>‑</w:t>
      </w:r>
      <w:r>
        <w:rPr>
          <w:rFonts w:ascii="Arial" w:cs="Arial" w:eastAsia="Arial" w:hAnsi="Arial"/>
          <w:sz w:val="18"/>
          <w:szCs w:val="18"/>
          <w:color w:val="auto"/>
        </w:rPr>
        <w:t>554 receives marketing approval for patients with HCC with FGF19 overexpression, it will face competition from sorafenib, the only approved systemic medical therapy for HCC. In addition, we are aware of potentially competitive drug candidates in development by AstraZeneca plc, Bayer AG, Johnson &amp; Johnson, Novartis AG, Taiho Pharmaceutical Co., Ltd., Celgene Corporation, Sanofi S.A., Eisai Inc., H3 Biomedicine Inc. and Xoma Ltd.</w:t>
      </w:r>
    </w:p>
    <w:p>
      <w:pPr>
        <w:spacing w:after="0" w:line="169"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w:t>
      </w:r>
      <w:r>
        <w:rPr>
          <w:rFonts w:ascii="MS PGothic" w:cs="MS PGothic" w:eastAsia="MS PGothic" w:hAnsi="MS PGothic"/>
          <w:sz w:val="16"/>
          <w:szCs w:val="16"/>
          <w:color w:val="auto"/>
        </w:rPr>
        <w:t>‑</w:t>
      </w:r>
      <w:r>
        <w:rPr>
          <w:rFonts w:ascii="Arial" w:cs="Arial" w:eastAsia="Arial" w:hAnsi="Arial"/>
          <w:sz w:val="16"/>
          <w:szCs w:val="16"/>
          <w:color w:val="auto"/>
        </w:rPr>
        <w:t>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3" w:lineRule="exact"/>
        <w:rPr>
          <w:sz w:val="20"/>
          <w:szCs w:val="20"/>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800" w:hanging="14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780" w:hanging="12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63" w:lineRule="exact"/>
        <w:rPr>
          <w:sz w:val="20"/>
          <w:szCs w:val="20"/>
          <w:color w:val="auto"/>
        </w:rPr>
      </w:pPr>
    </w:p>
    <w:p>
      <w:pPr>
        <w:jc w:val="both"/>
        <w:ind w:right="480"/>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diagnostics, we expect to rely in part or in whole on third parties for their design, manufacture and commercialization. We and our collaborators may encounter difficulties in developing and obtaining approval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drug candidates. If we, or any third parties that we engage to assist us, are unable to successfully develop and commercialize companion diagnostics for our drug candidates, or experience delays in doing so:</w:t>
      </w:r>
    </w:p>
    <w:p>
      <w:pPr>
        <w:spacing w:after="0" w:line="170" w:lineRule="exact"/>
        <w:rPr>
          <w:sz w:val="20"/>
          <w:szCs w:val="20"/>
          <w:color w:val="auto"/>
        </w:rPr>
      </w:pPr>
    </w:p>
    <w:p>
      <w:pPr>
        <w:ind w:left="700" w:right="180" w:hanging="53"/>
        <w:spacing w:after="0" w:line="235" w:lineRule="auto"/>
        <w:rPr>
          <w:sz w:val="20"/>
          <w:szCs w:val="20"/>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2" w:lineRule="exact"/>
        <w:rPr>
          <w:sz w:val="20"/>
          <w:szCs w:val="20"/>
          <w:color w:val="auto"/>
        </w:rPr>
      </w:pPr>
    </w:p>
    <w:p>
      <w:pPr>
        <w:ind w:left="700" w:right="320" w:hanging="53"/>
        <w:spacing w:after="0" w:line="235" w:lineRule="auto"/>
        <w:rPr>
          <w:sz w:val="20"/>
          <w:szCs w:val="20"/>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2" w:lineRule="exact"/>
        <w:rPr>
          <w:sz w:val="20"/>
          <w:szCs w:val="20"/>
          <w:color w:val="auto"/>
        </w:rPr>
      </w:pPr>
    </w:p>
    <w:p>
      <w:pPr>
        <w:jc w:val="both"/>
        <w:ind w:left="700" w:right="180" w:hanging="53"/>
        <w:spacing w:after="0" w:line="289" w:lineRule="auto"/>
        <w:rPr>
          <w:sz w:val="20"/>
          <w:szCs w:val="20"/>
          <w:color w:val="auto"/>
        </w:rPr>
      </w:pPr>
      <w:r>
        <w:rPr>
          <w:rFonts w:ascii="Arial" w:cs="Arial" w:eastAsia="Arial" w:hAnsi="Arial"/>
          <w:sz w:val="16"/>
          <w:szCs w:val="16"/>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4" w:lineRule="exact"/>
        <w:rPr>
          <w:sz w:val="20"/>
          <w:szCs w:val="20"/>
          <w:color w:val="auto"/>
        </w:rPr>
      </w:pPr>
    </w:p>
    <w:p>
      <w:pPr>
        <w:ind w:right="720"/>
        <w:spacing w:after="0" w:line="203" w:lineRule="exact"/>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coverage and reimbursement policies, which would harm our business.</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1" w:right="139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1"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drugs.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2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w:t>
      </w:r>
      <w:r>
        <w:rPr>
          <w:rFonts w:ascii="MS PGothic" w:cs="MS PGothic" w:eastAsia="MS PGothic" w:hAnsi="MS PGothic"/>
          <w:sz w:val="16"/>
          <w:szCs w:val="16"/>
          <w:color w:val="auto"/>
        </w:rPr>
        <w:t>‑</w:t>
      </w:r>
      <w:r>
        <w:rPr>
          <w:rFonts w:ascii="Arial" w:cs="Arial" w:eastAsia="Arial" w:hAnsi="Arial"/>
          <w:sz w:val="16"/>
          <w:szCs w:val="16"/>
          <w:color w:val="auto"/>
        </w:rPr>
        <w:t>party payors often rely upon Medicare coverage policy and payment limitations in setting their own reimbursement policies. Our inability to promptly obtain coverage and profitable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approved drugs that we develop could have a material adverse effect on our operating results, our ability to raise capital needed to commercialize drugs and our overall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16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7"/>
          <w:szCs w:val="17"/>
          <w:color w:val="auto"/>
        </w:rPr>
        <w:t>‑</w:t>
      </w:r>
      <w:r>
        <w:rPr>
          <w:rFonts w:ascii="Arial" w:cs="Arial" w:eastAsia="Arial" w:hAnsi="Arial"/>
          <w:sz w:val="17"/>
          <w:szCs w:val="17"/>
          <w:color w:val="auto"/>
        </w:rPr>
        <w:t>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sale discounts off negotiated prices of applicable brand drugs to eligible beneficiaries during their coverage gap period, as a condition for the manufacturer’s outpatient drugs to be covered under Medicare Part D.</w:t>
      </w:r>
    </w:p>
    <w:p>
      <w:pPr>
        <w:spacing w:after="0" w:line="122"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2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40"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6"/>
          <w:szCs w:val="16"/>
          <w:color w:val="auto"/>
        </w:rPr>
        <w:t>‑</w:t>
      </w:r>
      <w:r>
        <w:rPr>
          <w:rFonts w:ascii="Arial" w:cs="Arial" w:eastAsia="Arial" w:hAnsi="Arial"/>
          <w:sz w:val="16"/>
          <w:szCs w:val="16"/>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to recruit and retain adequate numbers of effective sales and marketing personnel;</w:t>
      </w:r>
    </w:p>
    <w:p>
      <w:pPr>
        <w:spacing w:after="0" w:line="185" w:lineRule="exact"/>
        <w:rPr>
          <w:sz w:val="20"/>
          <w:szCs w:val="20"/>
          <w:color w:val="auto"/>
        </w:rPr>
      </w:pPr>
    </w:p>
    <w:p>
      <w:pPr>
        <w:ind w:left="700" w:right="640" w:hanging="53"/>
        <w:spacing w:after="0" w:line="235" w:lineRule="auto"/>
        <w:rPr>
          <w:sz w:val="20"/>
          <w:szCs w:val="20"/>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2" w:lineRule="exact"/>
        <w:rPr>
          <w:sz w:val="20"/>
          <w:szCs w:val="20"/>
          <w:color w:val="auto"/>
        </w:rPr>
      </w:pPr>
    </w:p>
    <w:p>
      <w:pPr>
        <w:ind w:left="700" w:right="200" w:hanging="53"/>
        <w:spacing w:after="0" w:line="235" w:lineRule="auto"/>
        <w:rPr>
          <w:sz w:val="20"/>
          <w:szCs w:val="20"/>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96"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candidates. Further, our business, results of operations, financial condition and prospects will be materially adversely affected.</w:t>
      </w:r>
    </w:p>
    <w:p>
      <w:pPr>
        <w:spacing w:after="0" w:line="208" w:lineRule="exact"/>
        <w:rPr>
          <w:sz w:val="20"/>
          <w:szCs w:val="20"/>
          <w:color w:val="auto"/>
        </w:rPr>
      </w:pPr>
    </w:p>
    <w:p>
      <w:pPr>
        <w:ind w:right="200"/>
        <w:spacing w:after="0" w:line="194" w:lineRule="exact"/>
        <w:rPr>
          <w:sz w:val="20"/>
          <w:szCs w:val="20"/>
          <w:color w:val="auto"/>
        </w:rPr>
      </w:pPr>
      <w:r>
        <w:rPr>
          <w:rFonts w:ascii="Arial" w:cs="Arial" w:eastAsia="Arial" w:hAnsi="Arial"/>
          <w:sz w:val="15"/>
          <w:szCs w:val="15"/>
          <w:b w:val="1"/>
          <w:bCs w:val="1"/>
          <w:i w:val="1"/>
          <w:iCs w:val="1"/>
          <w:color w:val="auto"/>
        </w:rPr>
        <w:t>Our relationships with customers and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will be subject to applicable anti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3" w:lineRule="exact"/>
        <w:rPr>
          <w:sz w:val="20"/>
          <w:szCs w:val="20"/>
          <w:color w:val="auto"/>
        </w:rPr>
      </w:pPr>
    </w:p>
    <w:p>
      <w:pPr>
        <w:jc w:val="both"/>
        <w:ind w:right="40" w:firstLine="648"/>
        <w:spacing w:after="0" w:line="180" w:lineRule="exact"/>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w:t>
      </w:r>
      <w:r>
        <w:rPr>
          <w:rFonts w:ascii="MS PGothic" w:cs="MS PGothic" w:eastAsia="MS PGothic" w:hAnsi="MS PGothic"/>
          <w:sz w:val="16"/>
          <w:szCs w:val="16"/>
          <w:color w:val="auto"/>
        </w:rPr>
        <w:t>‑</w:t>
      </w:r>
      <w:r>
        <w:rPr>
          <w:rFonts w:ascii="Arial" w:cs="Arial" w:eastAsia="Arial" w:hAnsi="Arial"/>
          <w:sz w:val="16"/>
          <w:szCs w:val="16"/>
          <w:color w:val="auto"/>
        </w:rPr>
        <w:t>party payors play a primary role in the recommendation and prescription of any drug candidates for which we obtain marketing approval.</w:t>
      </w:r>
    </w:p>
    <w:p>
      <w:pPr>
        <w:spacing w:after="0" w:line="1" w:lineRule="exact"/>
        <w:rPr>
          <w:sz w:val="20"/>
          <w:szCs w:val="20"/>
          <w:color w:val="auto"/>
        </w:rPr>
      </w:pPr>
    </w:p>
    <w:p>
      <w:pPr>
        <w:ind w:right="20"/>
        <w:spacing w:after="0" w:line="185" w:lineRule="exact"/>
        <w:rPr>
          <w:sz w:val="20"/>
          <w:szCs w:val="20"/>
          <w:color w:val="auto"/>
        </w:rPr>
      </w:pPr>
      <w:r>
        <w:rPr>
          <w:rFonts w:ascii="Arial" w:cs="Arial" w:eastAsia="Arial" w:hAnsi="Arial"/>
          <w:sz w:val="18"/>
          <w:szCs w:val="18"/>
          <w:color w:val="auto"/>
        </w:rPr>
        <w:t>Our future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4" w:lineRule="exact"/>
        <w:rPr>
          <w:sz w:val="20"/>
          <w:szCs w:val="20"/>
          <w:color w:val="auto"/>
        </w:rPr>
      </w:pPr>
    </w:p>
    <w:p>
      <w:pPr>
        <w:ind w:left="700" w:right="40" w:hanging="53"/>
        <w:spacing w:after="0" w:line="185" w:lineRule="exact"/>
        <w:rPr>
          <w:sz w:val="20"/>
          <w:szCs w:val="20"/>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sz w:val="20"/>
          <w:szCs w:val="20"/>
          <w:color w:val="auto"/>
        </w:rPr>
      </w:pPr>
    </w:p>
    <w:p>
      <w:pPr>
        <w:ind w:left="700" w:hanging="53"/>
        <w:spacing w:after="0" w:line="185" w:lineRule="exact"/>
        <w:rPr>
          <w:sz w:val="20"/>
          <w:szCs w:val="20"/>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of fraudulent claim for purposes of the False Claims Act;</w:t>
      </w:r>
    </w:p>
    <w:p>
      <w:pPr>
        <w:spacing w:after="0" w:line="95" w:lineRule="exact"/>
        <w:rPr>
          <w:sz w:val="20"/>
          <w:szCs w:val="20"/>
          <w:color w:val="auto"/>
        </w:rPr>
      </w:pPr>
    </w:p>
    <w:p>
      <w:pPr>
        <w:ind w:left="700" w:right="20" w:hanging="53"/>
        <w:spacing w:after="0" w:line="185" w:lineRule="exact"/>
        <w:rPr>
          <w:sz w:val="20"/>
          <w:szCs w:val="20"/>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95" w:lineRule="exact"/>
        <w:rPr>
          <w:sz w:val="20"/>
          <w:szCs w:val="20"/>
          <w:color w:val="auto"/>
        </w:rPr>
      </w:pPr>
    </w:p>
    <w:p>
      <w:pPr>
        <w:ind w:left="700" w:right="200" w:hanging="53"/>
        <w:spacing w:after="0" w:line="229" w:lineRule="auto"/>
        <w:rPr>
          <w:sz w:val="20"/>
          <w:szCs w:val="20"/>
          <w:color w:val="auto"/>
        </w:rPr>
      </w:pPr>
      <w:r>
        <w:rPr>
          <w:rFonts w:ascii="Arial" w:cs="Arial" w:eastAsia="Arial" w:hAnsi="Arial"/>
          <w:sz w:val="17"/>
          <w:szCs w:val="17"/>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94" w:lineRule="exact"/>
        <w:rPr>
          <w:sz w:val="20"/>
          <w:szCs w:val="20"/>
          <w:color w:val="auto"/>
        </w:rPr>
      </w:pPr>
    </w:p>
    <w:p>
      <w:pPr>
        <w:ind w:left="700" w:right="40" w:hanging="53"/>
        <w:spacing w:after="0" w:line="244" w:lineRule="auto"/>
        <w:rPr>
          <w:sz w:val="20"/>
          <w:szCs w:val="20"/>
          <w:color w:val="auto"/>
        </w:rPr>
      </w:pPr>
      <w:r>
        <w:rPr>
          <w:rFonts w:ascii="Arial" w:cs="Arial" w:eastAsia="Arial" w:hAnsi="Arial"/>
          <w:sz w:val="16"/>
          <w:szCs w:val="16"/>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91" w:lineRule="exact"/>
        <w:rPr>
          <w:sz w:val="20"/>
          <w:szCs w:val="20"/>
          <w:color w:val="auto"/>
        </w:rPr>
      </w:pPr>
    </w:p>
    <w:p>
      <w:pPr>
        <w:ind w:left="700" w:right="320" w:hanging="53"/>
        <w:spacing w:after="0" w:line="194" w:lineRule="exact"/>
        <w:rPr>
          <w:sz w:val="20"/>
          <w:szCs w:val="20"/>
          <w:color w:val="auto"/>
        </w:rPr>
      </w:pPr>
      <w:r>
        <w:rPr>
          <w:rFonts w:ascii="Arial" w:cs="Arial" w:eastAsia="Arial" w:hAnsi="Arial"/>
          <w:sz w:val="17"/>
          <w:szCs w:val="17"/>
          <w:color w:val="auto"/>
        </w:rPr>
        <w:t>·analogous state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that may apply to sales or marketing arrangements and claims involving healthcare items or services reimbursed by non</w:t>
      </w:r>
      <w:r>
        <w:rPr>
          <w:rFonts w:ascii="MS PGothic" w:cs="MS PGothic" w:eastAsia="MS PGothic" w:hAnsi="MS PGothic"/>
          <w:sz w:val="17"/>
          <w:szCs w:val="17"/>
          <w:color w:val="auto"/>
        </w:rPr>
        <w:t>‑</w:t>
      </w:r>
      <w:r>
        <w:rPr>
          <w:rFonts w:ascii="Arial" w:cs="Arial" w:eastAsia="Arial" w:hAnsi="Arial"/>
          <w:sz w:val="17"/>
          <w:szCs w:val="17"/>
          <w:color w:val="auto"/>
        </w:rPr>
        <w:t>governmental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and some state laws require</w:t>
      </w:r>
    </w:p>
    <w:p>
      <w:pPr>
        <w:spacing w:after="0" w:line="37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80"/>
        <w:spacing w:after="0" w:line="244" w:lineRule="auto"/>
        <w:rPr>
          <w:sz w:val="20"/>
          <w:szCs w:val="20"/>
          <w:color w:val="auto"/>
        </w:rPr>
      </w:pPr>
      <w:r>
        <w:rPr>
          <w:rFonts w:ascii="Arial" w:cs="Arial" w:eastAsia="Arial" w:hAnsi="Arial"/>
          <w:sz w:val="16"/>
          <w:szCs w:val="16"/>
          <w:color w:val="auto"/>
        </w:rPr>
        <w:t>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91" w:lineRule="exact"/>
        <w:rPr>
          <w:sz w:val="20"/>
          <w:szCs w:val="20"/>
          <w:color w:val="auto"/>
        </w:rPr>
      </w:pPr>
    </w:p>
    <w:p>
      <w:pPr>
        <w:ind w:firstLine="648"/>
        <w:spacing w:after="0" w:line="209"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02"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8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customers’ ability to obtain reimbursement for our drug candidates in foreign markets;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to directly control commercial activities because we are relying on third parties;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burden of complying with complex and changing foreign regulatory, tax, accounting and legal requirements;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·different medical practices and customs in foreign countries affecting acceptance in the marketplace;</w:t>
      </w:r>
    </w:p>
    <w:p>
      <w:pPr>
        <w:spacing w:after="0" w:line="185" w:lineRule="exact"/>
        <w:rPr>
          <w:sz w:val="20"/>
          <w:szCs w:val="20"/>
          <w:color w:val="auto"/>
        </w:rPr>
      </w:pPr>
    </w:p>
    <w:p>
      <w:pPr>
        <w:ind w:left="800" w:hanging="149"/>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84" w:lineRule="exact"/>
        <w:rPr>
          <w:rFonts w:ascii="Arial" w:cs="Arial" w:eastAsia="Arial" w:hAnsi="Arial"/>
          <w:sz w:val="18"/>
          <w:szCs w:val="18"/>
          <w:color w:val="auto"/>
        </w:rPr>
      </w:pPr>
    </w:p>
    <w:p>
      <w:pPr>
        <w:ind w:left="780" w:hanging="12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84" w:lineRule="exact"/>
        <w:rPr>
          <w:rFonts w:ascii="Arial" w:cs="Arial" w:eastAsia="Arial" w:hAnsi="Arial"/>
          <w:sz w:val="18"/>
          <w:szCs w:val="18"/>
          <w:color w:val="auto"/>
        </w:rPr>
      </w:pPr>
    </w:p>
    <w:p>
      <w:pPr>
        <w:ind w:left="840" w:hanging="189"/>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84" w:lineRule="exact"/>
        <w:rPr>
          <w:rFonts w:ascii="Arial" w:cs="Arial" w:eastAsia="Arial" w:hAnsi="Arial"/>
          <w:sz w:val="18"/>
          <w:szCs w:val="18"/>
          <w:color w:val="auto"/>
        </w:rPr>
      </w:pPr>
    </w:p>
    <w:p>
      <w:pPr>
        <w:ind w:left="800" w:hanging="149"/>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85" w:lineRule="exact"/>
        <w:rPr>
          <w:sz w:val="20"/>
          <w:szCs w:val="20"/>
          <w:color w:val="auto"/>
        </w:rPr>
      </w:pPr>
    </w:p>
    <w:p>
      <w:pPr>
        <w:ind w:left="660" w:right="2240"/>
        <w:spacing w:after="0" w:line="311" w:lineRule="exact"/>
        <w:rPr>
          <w:sz w:val="20"/>
          <w:szCs w:val="20"/>
          <w:color w:val="auto"/>
        </w:rPr>
      </w:pPr>
      <w:r>
        <w:rPr>
          <w:rFonts w:ascii="Arial" w:cs="Arial" w:eastAsia="Arial" w:hAnsi="Arial"/>
          <w:sz w:val="18"/>
          <w:szCs w:val="18"/>
          <w:color w:val="auto"/>
        </w:rPr>
        <w:t>·the existence of 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 foreign currency exchange rate fluctuations; and</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85"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219" w:lineRule="exact"/>
        <w:rPr>
          <w:sz w:val="20"/>
          <w:szCs w:val="20"/>
          <w:color w:val="auto"/>
        </w:rPr>
      </w:pPr>
    </w:p>
    <w:p>
      <w:pPr>
        <w:ind w:right="180" w:firstLine="648"/>
        <w:spacing w:after="0" w:line="185" w:lineRule="exact"/>
        <w:rPr>
          <w:sz w:val="20"/>
          <w:szCs w:val="20"/>
          <w:color w:val="auto"/>
        </w:rPr>
      </w:pPr>
      <w:r>
        <w:rPr>
          <w:rFonts w:ascii="Arial" w:cs="Arial" w:eastAsia="Arial" w:hAnsi="Arial"/>
          <w:sz w:val="18"/>
          <w:szCs w:val="18"/>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Arial" w:cs="Arial" w:eastAsia="Arial" w:hAnsi="Arial"/>
          <w:sz w:val="18"/>
          <w:szCs w:val="18"/>
          <w:color w:val="auto"/>
        </w:rPr>
        <w:t>effectiveness of our drug candidate to other available therapies. If reimbursement of our drugs is unavailable or limited in scope or amount, or if pricing is set at unsatisfactory levels, our business could be harmed, possibly materially.</w:t>
      </w:r>
    </w:p>
    <w:p>
      <w:pPr>
        <w:spacing w:after="0" w:line="162"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3"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w:t>
      </w:r>
      <w:r>
        <w:rPr>
          <w:rFonts w:ascii="MS PGothic" w:cs="MS PGothic" w:eastAsia="MS PGothic" w:hAnsi="MS PGothic"/>
          <w:sz w:val="17"/>
          <w:szCs w:val="17"/>
          <w:color w:val="auto"/>
        </w:rPr>
        <w:t>‑</w:t>
      </w:r>
      <w:r>
        <w:rPr>
          <w:rFonts w:ascii="Arial" w:cs="Arial" w:eastAsia="Arial" w:hAnsi="Arial"/>
          <w:sz w:val="17"/>
          <w:szCs w:val="17"/>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In addition, our collaboration with Alexion and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expect to rely on medical institutions, clinical investigators, contract laboratories and other third parties, such as CROs, to conduct or otherwise support clinical trials for our drug candidates. We expect to rely heavily on these parties for execution of clinical trials for our drug candidates and control only certain aspects of their activities. Nevertheless, we will be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certain timeframes. Failure to do so can result in fines, adverse publicity and civil and criminal sanctions.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95" w:lineRule="exact"/>
        <w:rPr>
          <w:sz w:val="20"/>
          <w:szCs w:val="20"/>
          <w:color w:val="auto"/>
        </w:rPr>
      </w:pPr>
    </w:p>
    <w:p>
      <w:pPr>
        <w:ind w:left="900" w:hanging="24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780" w:hanging="12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800" w:hanging="149"/>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17"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If any of our relationships with these third</w:t>
      </w:r>
      <w:r>
        <w:rPr>
          <w:rFonts w:ascii="MS PGothic" w:cs="MS PGothic" w:eastAsia="MS PGothic" w:hAnsi="MS PGothic"/>
          <w:sz w:val="18"/>
          <w:szCs w:val="18"/>
          <w:color w:val="auto"/>
        </w:rPr>
        <w:t>‑</w:t>
      </w:r>
      <w:r>
        <w:rPr>
          <w:rFonts w:ascii="Arial" w:cs="Arial" w:eastAsia="Arial" w:hAnsi="Arial"/>
          <w:sz w:val="18"/>
          <w:szCs w:val="18"/>
          <w:color w:val="auto"/>
        </w:rPr>
        <w:t>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97" w:lineRule="exact"/>
        <w:rPr>
          <w:sz w:val="20"/>
          <w:szCs w:val="20"/>
          <w:color w:val="auto"/>
        </w:rPr>
      </w:pPr>
    </w:p>
    <w:p>
      <w:pPr>
        <w:ind w:right="160"/>
        <w:spacing w:after="0" w:line="189" w:lineRule="exact"/>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clinical development and expect to continue to do so for clinical testing and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95"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w:t>
      </w:r>
      <w:r>
        <w:rPr>
          <w:rFonts w:ascii="MS PGothic" w:cs="MS PGothic" w:eastAsia="MS PGothic" w:hAnsi="MS PGothic"/>
          <w:sz w:val="18"/>
          <w:szCs w:val="18"/>
          <w:color w:val="auto"/>
        </w:rPr>
        <w:t>‑</w:t>
      </w:r>
      <w:r>
        <w:rPr>
          <w:rFonts w:ascii="Arial" w:cs="Arial" w:eastAsia="Arial" w:hAnsi="Arial"/>
          <w:sz w:val="18"/>
          <w:szCs w:val="18"/>
          <w:color w:val="auto"/>
        </w:rPr>
        <w:t>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81"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95"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to do so on acceptable terms. Even if we are able to establish agreements with third party manufacturers, reliance on third party manufacturers entails additional risks, including:</w:t>
      </w:r>
    </w:p>
    <w:p>
      <w:pPr>
        <w:spacing w:after="0" w:line="82" w:lineRule="exact"/>
        <w:rPr>
          <w:sz w:val="20"/>
          <w:szCs w:val="20"/>
          <w:color w:val="auto"/>
        </w:rPr>
      </w:pPr>
    </w:p>
    <w:p>
      <w:pPr>
        <w:ind w:left="740" w:hanging="89"/>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·the possible misappropriation of our proprietary information, including our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and</w:t>
      </w:r>
    </w:p>
    <w:p>
      <w:pPr>
        <w:spacing w:after="0" w:line="129" w:lineRule="exact"/>
        <w:rPr>
          <w:sz w:val="20"/>
          <w:szCs w:val="20"/>
          <w:color w:val="auto"/>
        </w:rPr>
      </w:pPr>
    </w:p>
    <w:p>
      <w:pPr>
        <w:ind w:left="700" w:right="40" w:hanging="53"/>
        <w:spacing w:after="0" w:line="235" w:lineRule="auto"/>
        <w:rPr>
          <w:sz w:val="20"/>
          <w:szCs w:val="20"/>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94"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96"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9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82" w:lineRule="exact"/>
        <w:rPr>
          <w:sz w:val="20"/>
          <w:szCs w:val="20"/>
          <w:color w:val="auto"/>
        </w:rPr>
      </w:pPr>
    </w:p>
    <w:p>
      <w:pPr>
        <w:ind w:right="50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96"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active pharmaceutical ingredients, or API, drug product and drug substance used in our lead drug candidates are supplied to us from single</w:t>
      </w:r>
      <w:r>
        <w:rPr>
          <w:rFonts w:ascii="MS PGothic" w:cs="MS PGothic" w:eastAsia="MS PGothic" w:hAnsi="MS PGothic"/>
          <w:sz w:val="17"/>
          <w:szCs w:val="17"/>
          <w:color w:val="auto"/>
        </w:rPr>
        <w:t>‑</w:t>
      </w:r>
      <w:r>
        <w:rPr>
          <w:rFonts w:ascii="Arial" w:cs="Arial" w:eastAsia="Arial" w:hAnsi="Arial"/>
          <w:sz w:val="17"/>
          <w:szCs w:val="17"/>
          <w:color w:val="auto"/>
        </w:rPr>
        <w:t>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7"/>
          <w:szCs w:val="17"/>
          <w:color w:val="auto"/>
        </w:rPr>
        <w:t>‑</w:t>
      </w:r>
      <w:r>
        <w:rPr>
          <w:rFonts w:ascii="Arial" w:cs="Arial" w:eastAsia="Arial" w:hAnsi="Arial"/>
          <w:sz w:val="17"/>
          <w:szCs w:val="17"/>
          <w:color w:val="auto"/>
        </w:rPr>
        <w:t>source supply of any such API, drug product or drug substance in the event any of our current suppliers of such API, drug product and drug substance cease their operations for any reason.</w:t>
      </w:r>
    </w:p>
    <w:p>
      <w:pPr>
        <w:spacing w:after="0" w:line="95"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w:t>
      </w:r>
      <w:r>
        <w:rPr>
          <w:rFonts w:ascii="MS PGothic" w:cs="MS PGothic" w:eastAsia="MS PGothic" w:hAnsi="MS PGothic"/>
          <w:sz w:val="17"/>
          <w:szCs w:val="17"/>
          <w:color w:val="auto"/>
        </w:rPr>
        <w:t>‑</w:t>
      </w:r>
      <w:r>
        <w:rPr>
          <w:rFonts w:ascii="Arial" w:cs="Arial" w:eastAsia="Arial" w:hAnsi="Arial"/>
          <w:sz w:val="17"/>
          <w:szCs w:val="17"/>
          <w:color w:val="auto"/>
        </w:rPr>
        <w:t>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81"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80"/>
        <w:spacing w:after="0" w:line="289" w:lineRule="auto"/>
        <w:rPr>
          <w:sz w:val="20"/>
          <w:szCs w:val="20"/>
          <w:color w:val="auto"/>
        </w:rPr>
      </w:pPr>
      <w:r>
        <w:rPr>
          <w:rFonts w:ascii="Arial" w:cs="Arial" w:eastAsia="Arial" w:hAnsi="Arial"/>
          <w:sz w:val="16"/>
          <w:szCs w:val="16"/>
          <w:color w:val="auto"/>
        </w:rPr>
        <w:t>drug substance from alternate sources at acceptable prices in a timely manner could impede, delay, limit or prevent our development efforts, which could harm our business, results of operations, financial condition and prospects.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9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and our core technologies, including our novel target discovery engine and our proprietary compound library and other know</w:t>
      </w:r>
      <w:r>
        <w:rPr>
          <w:rFonts w:ascii="MS PGothic" w:cs="MS PGothic" w:eastAsia="MS PGothic" w:hAnsi="MS PGothic"/>
          <w:sz w:val="17"/>
          <w:szCs w:val="17"/>
          <w:color w:val="auto"/>
        </w:rPr>
        <w:t>‑</w:t>
      </w:r>
      <w:r>
        <w:rPr>
          <w:rFonts w:ascii="Arial" w:cs="Arial" w:eastAsia="Arial" w:hAnsi="Arial"/>
          <w:sz w:val="17"/>
          <w:szCs w:val="17"/>
          <w:color w:val="auto"/>
        </w:rPr>
        <w:t>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proprietary and intellectual property position.</w:t>
      </w:r>
    </w:p>
    <w:p>
      <w:pPr>
        <w:spacing w:after="0" w:line="95"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We own a patent and patent applications that relate to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 as composition of matter. We also own applications relating to composition of matter for KIT Exon 17 inhibitors with different compound families, composition of matter for FGFR4 inhibitors with multiple compound families, and composition of matter for inhibitors of the predicted RET resistant mutants, as well as methods of use for these novel compounds.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is expected to expire in 2033, and any patents issuing from our pending patent applications are projected to expire between 2034 and 2036.</w:t>
      </w:r>
    </w:p>
    <w:p>
      <w:pPr>
        <w:spacing w:after="0" w:line="81" w:lineRule="exact"/>
        <w:rPr>
          <w:sz w:val="20"/>
          <w:szCs w:val="20"/>
          <w:color w:val="auto"/>
        </w:rPr>
      </w:pPr>
    </w:p>
    <w:p>
      <w:pPr>
        <w:ind w:right="60" w:firstLine="648"/>
        <w:spacing w:after="0" w:line="189" w:lineRule="exact"/>
        <w:rPr>
          <w:sz w:val="20"/>
          <w:szCs w:val="20"/>
          <w:color w:val="auto"/>
        </w:rPr>
      </w:pPr>
      <w:r>
        <w:rPr>
          <w:rFonts w:ascii="Arial" w:cs="Arial" w:eastAsia="Arial" w:hAnsi="Arial"/>
          <w:sz w:val="17"/>
          <w:szCs w:val="17"/>
          <w:color w:val="auto"/>
        </w:rPr>
        <w:t>As of March 31, 2015, we owned four pending U.S. patent applications, nine pending foreign patent applications and three pending Patent Cooperation Treaty, or PCT, patent applications that relate to our KIT Exon 17 program. Any U.S. or ex</w:t>
      </w:r>
      <w:r>
        <w:rPr>
          <w:rFonts w:ascii="MS PGothic" w:cs="MS PGothic" w:eastAsia="MS PGothic" w:hAnsi="MS PGothic"/>
          <w:sz w:val="17"/>
          <w:szCs w:val="17"/>
          <w:color w:val="auto"/>
        </w:rPr>
        <w:t>‑</w:t>
      </w:r>
      <w:r>
        <w:rPr>
          <w:rFonts w:ascii="Arial" w:cs="Arial" w:eastAsia="Arial" w:hAnsi="Arial"/>
          <w:sz w:val="17"/>
          <w:szCs w:val="17"/>
          <w:color w:val="auto"/>
        </w:rPr>
        <w:t>U.S. patents issuing from the pending applications covering BLU</w:t>
      </w:r>
      <w:r>
        <w:rPr>
          <w:rFonts w:ascii="MS PGothic" w:cs="MS PGothic" w:eastAsia="MS PGothic" w:hAnsi="MS PGothic"/>
          <w:sz w:val="17"/>
          <w:szCs w:val="17"/>
          <w:color w:val="auto"/>
        </w:rPr>
        <w:t>‑</w:t>
      </w:r>
      <w:r>
        <w:rPr>
          <w:rFonts w:ascii="Arial" w:cs="Arial" w:eastAsia="Arial" w:hAnsi="Arial"/>
          <w:sz w:val="17"/>
          <w:szCs w:val="17"/>
          <w:color w:val="auto"/>
        </w:rPr>
        <w:t>285 will have a statutory expiration date of October 2034. Patent term adjustments or patent term extensions could result in later expiration dates.</w:t>
      </w:r>
    </w:p>
    <w:p>
      <w:pPr>
        <w:spacing w:after="0" w:line="9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As of March 31, 2015, we owned one issued U.S. patent, three pending U.S. patent applications, 32 foreign patent applications corresponding to two of these pending U.S. applications, and two pending PCT patent applications that relate to our FGFR4 program. Each of the U.S. and ex</w:t>
      </w:r>
      <w:r>
        <w:rPr>
          <w:rFonts w:ascii="MS PGothic" w:cs="MS PGothic" w:eastAsia="MS PGothic" w:hAnsi="MS PGothic"/>
          <w:sz w:val="18"/>
          <w:szCs w:val="18"/>
          <w:color w:val="auto"/>
        </w:rPr>
        <w:t>‑</w:t>
      </w:r>
      <w:r>
        <w:rPr>
          <w:rFonts w:ascii="Arial" w:cs="Arial" w:eastAsia="Arial" w:hAnsi="Arial"/>
          <w:sz w:val="18"/>
          <w:szCs w:val="18"/>
          <w:color w:val="auto"/>
        </w:rPr>
        <w:t>U.S. patent issuing from the pending applications covering BLU</w:t>
      </w:r>
      <w:r>
        <w:rPr>
          <w:rFonts w:ascii="MS PGothic" w:cs="MS PGothic" w:eastAsia="MS PGothic" w:hAnsi="MS PGothic"/>
          <w:sz w:val="18"/>
          <w:szCs w:val="18"/>
          <w:color w:val="auto"/>
        </w:rPr>
        <w:t>‑</w:t>
      </w:r>
      <w:r>
        <w:rPr>
          <w:rFonts w:ascii="Arial" w:cs="Arial" w:eastAsia="Arial" w:hAnsi="Arial"/>
          <w:sz w:val="18"/>
          <w:szCs w:val="18"/>
          <w:color w:val="auto"/>
        </w:rPr>
        <w:t>554 will have a statutory expiration date of July 2033, December 2033, or October 2034. Patent term adjustments or patent term extensions could result in later expiration dates.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we owned one pending U.S. patent application that relates to our RET program.</w:t>
      </w:r>
    </w:p>
    <w:p>
      <w:pPr>
        <w:spacing w:after="0" w:line="104"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March 31, 2015, we owned six pending U.S. patent applications and four PCT patent applications related to our platform.</w:t>
      </w:r>
    </w:p>
    <w:p>
      <w:pPr>
        <w:spacing w:after="0" w:line="94"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94"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68"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addition, the patent prosecution process is expensive and time</w:t>
      </w:r>
      <w:r>
        <w:rPr>
          <w:rFonts w:ascii="MS PGothic" w:cs="MS PGothic" w:eastAsia="MS PGothic" w:hAnsi="MS PGothic"/>
          <w:sz w:val="16"/>
          <w:szCs w:val="16"/>
          <w:color w:val="auto"/>
        </w:rPr>
        <w:t>‑</w:t>
      </w:r>
      <w:r>
        <w:rPr>
          <w:rFonts w:ascii="Arial" w:cs="Arial" w:eastAsia="Arial" w:hAnsi="Arial"/>
          <w:sz w:val="16"/>
          <w:szCs w:val="16"/>
          <w:color w:val="auto"/>
        </w:rPr>
        <w:t xml:space="preserve"> 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w:t>
      </w:r>
      <w:r>
        <w:rPr>
          <w:rFonts w:ascii="MS PGothic" w:cs="MS PGothic" w:eastAsia="MS PGothic" w:hAnsi="MS PGothic"/>
          <w:sz w:val="16"/>
          <w:szCs w:val="16"/>
          <w:color w:val="auto"/>
        </w:rPr>
        <w:t>‑</w:t>
      </w:r>
      <w:r>
        <w:rPr>
          <w:rFonts w:ascii="Arial" w:cs="Arial" w:eastAsia="Arial" w:hAnsi="Arial"/>
          <w:sz w:val="16"/>
          <w:szCs w:val="16"/>
          <w:color w:val="auto"/>
        </w:rPr>
        <w:t xml:space="preserve">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w:t>
      </w:r>
      <w:r>
        <w:rPr>
          <w:rFonts w:ascii="MS PGothic" w:cs="MS PGothic" w:eastAsia="MS PGothic" w:hAnsi="MS PGothic"/>
          <w:sz w:val="16"/>
          <w:szCs w:val="16"/>
          <w:color w:val="auto"/>
        </w:rPr>
        <w:t>‑</w:t>
      </w:r>
      <w:r>
        <w:rPr>
          <w:rFonts w:ascii="Arial" w:cs="Arial" w:eastAsia="Arial" w:hAnsi="Arial"/>
          <w:sz w:val="16"/>
          <w:szCs w:val="16"/>
          <w:color w:val="auto"/>
        </w:rPr>
        <w:t>grant review or interference proceedings challenging our patent rights or the patent rights of others from</w:t>
      </w:r>
      <w:r>
        <w:rPr>
          <w:rFonts w:ascii="Arial" w:cs="Arial" w:eastAsia="Arial" w:hAnsi="Arial"/>
          <w:sz w:val="16"/>
          <w:szCs w:val="16"/>
          <w:i w:val="1"/>
          <w:iCs w:val="1"/>
          <w:color w:val="auto"/>
        </w:rPr>
        <w:t xml:space="preserve"> </w:t>
      </w:r>
      <w:r>
        <w:rPr>
          <w:rFonts w:ascii="Arial" w:cs="Arial" w:eastAsia="Arial" w:hAnsi="Arial"/>
          <w:sz w:val="16"/>
          <w:szCs w:val="16"/>
          <w:color w:val="auto"/>
        </w:rPr>
        <w:t>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w:t>
      </w:r>
      <w:r>
        <w:rPr>
          <w:rFonts w:ascii="MS PGothic" w:cs="MS PGothic" w:eastAsia="MS PGothic" w:hAnsi="MS PGothic"/>
          <w:sz w:val="18"/>
          <w:szCs w:val="18"/>
          <w:color w:val="auto"/>
        </w:rPr>
        <w:t>‑</w:t>
      </w:r>
      <w:r>
        <w:rPr>
          <w:rFonts w:ascii="Arial" w:cs="Arial" w:eastAsia="Arial" w:hAnsi="Arial"/>
          <w:sz w:val="18"/>
          <w:szCs w:val="18"/>
          <w:color w:val="auto"/>
        </w:rPr>
        <w:t>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w:t>
      </w:r>
      <w:r>
        <w:rPr>
          <w:rFonts w:ascii="MS PGothic" w:cs="MS PGothic" w:eastAsia="MS PGothic" w:hAnsi="MS PGothic"/>
          <w:sz w:val="16"/>
          <w:szCs w:val="16"/>
          <w:color w:val="auto"/>
        </w:rPr>
        <w:t>‑</w:t>
      </w:r>
      <w:r>
        <w:rPr>
          <w:rFonts w:ascii="Arial" w:cs="Arial" w:eastAsia="Arial" w:hAnsi="Arial"/>
          <w:sz w:val="16"/>
          <w:szCs w:val="16"/>
          <w:color w:val="auto"/>
        </w:rPr>
        <w:t xml:space="preserve"> 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40" w:firstLine="648"/>
        <w:spacing w:after="0" w:line="230"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w:t>
      </w:r>
    </w:p>
    <w:p>
      <w:pPr>
        <w:spacing w:after="0" w:line="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w:t>
      </w:r>
      <w:r>
        <w:rPr>
          <w:rFonts w:ascii="MS PGothic" w:cs="MS PGothic" w:eastAsia="MS PGothic" w:hAnsi="MS PGothic"/>
          <w:sz w:val="16"/>
          <w:szCs w:val="16"/>
          <w:color w:val="auto"/>
        </w:rPr>
        <w:t>‑</w:t>
      </w:r>
      <w:r>
        <w:rPr>
          <w:rFonts w:ascii="Arial" w:cs="Arial" w:eastAsia="Arial" w:hAnsi="Arial"/>
          <w:sz w:val="16"/>
          <w:szCs w:val="16"/>
          <w:color w:val="auto"/>
        </w:rPr>
        <w:t>practicing entities that have no relevant drug revenue and against whom our own patent portfolio may thus have no deterrent effect.</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w:t>
      </w:r>
      <w:r>
        <w:rPr>
          <w:rFonts w:ascii="MS PGothic" w:cs="MS PGothic" w:eastAsia="MS PGothic" w:hAnsi="MS PGothic"/>
          <w:sz w:val="17"/>
          <w:szCs w:val="17"/>
          <w:color w:val="auto"/>
        </w:rPr>
        <w:t>‑</w:t>
      </w:r>
      <w:r>
        <w:rPr>
          <w:rFonts w:ascii="Arial" w:cs="Arial" w:eastAsia="Arial" w:hAnsi="Arial"/>
          <w:sz w:val="17"/>
          <w:szCs w:val="17"/>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62"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w:t>
      </w:r>
      <w:r>
        <w:rPr>
          <w:rFonts w:ascii="MS PGothic" w:cs="MS PGothic" w:eastAsia="MS PGothic" w:hAnsi="MS PGothic"/>
          <w:sz w:val="17"/>
          <w:szCs w:val="17"/>
          <w:color w:val="auto"/>
        </w:rPr>
        <w:t>‑</w:t>
      </w:r>
      <w:r>
        <w:rPr>
          <w:rFonts w:ascii="Arial" w:cs="Arial" w:eastAsia="Arial" w:hAnsi="Arial"/>
          <w:sz w:val="17"/>
          <w:szCs w:val="17"/>
          <w:color w:val="auto"/>
        </w:rPr>
        <w:t>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7" w:lineRule="exact"/>
        <w:rPr>
          <w:sz w:val="20"/>
          <w:szCs w:val="20"/>
          <w:color w:val="auto"/>
        </w:rPr>
      </w:pPr>
      <w:r>
        <w:rPr>
          <w:rFonts w:ascii="Arial" w:cs="Arial" w:eastAsia="Arial" w:hAnsi="Arial"/>
          <w:sz w:val="17"/>
          <w:szCs w:val="17"/>
          <w:color w:val="auto"/>
        </w:rPr>
        <w:t>of novelty, obviousness or non</w:t>
      </w:r>
      <w:r>
        <w:rPr>
          <w:rFonts w:ascii="MS PGothic" w:cs="MS PGothic" w:eastAsia="MS PGothic" w:hAnsi="MS PGothic"/>
          <w:sz w:val="17"/>
          <w:szCs w:val="17"/>
          <w:color w:val="auto"/>
        </w:rPr>
        <w:t>‑</w:t>
      </w:r>
      <w:r>
        <w:rPr>
          <w:rFonts w:ascii="Arial" w:cs="Arial" w:eastAsia="Arial" w:hAnsi="Arial"/>
          <w:sz w:val="17"/>
          <w:szCs w:val="17"/>
          <w:color w:val="auto"/>
        </w:rPr>
        <w:t>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1"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5" w:lineRule="exact"/>
        <w:rPr>
          <w:sz w:val="20"/>
          <w:szCs w:val="20"/>
          <w:color w:val="auto"/>
        </w:rPr>
      </w:pPr>
    </w:p>
    <w:p>
      <w:pPr>
        <w:ind w:right="120"/>
        <w:spacing w:after="0" w:line="194" w:lineRule="exact"/>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r>
      <w:r>
        <w:rPr>
          <w:rFonts w:ascii="MS PGothic" w:cs="MS PGothic" w:eastAsia="MS PGothic" w:hAnsi="MS PGothic"/>
          <w:sz w:val="17"/>
          <w:szCs w:val="17"/>
          <w:color w:val="auto"/>
        </w:rPr>
        <w:t>‑</w:t>
      </w:r>
      <w:r>
        <w:rPr>
          <w:rFonts w:ascii="Arial" w:cs="Arial" w:eastAsia="Arial" w:hAnsi="Arial"/>
          <w:sz w:val="17"/>
          <w:szCs w:val="17"/>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right="420" w:firstLine="648"/>
        <w:spacing w:after="0" w:line="289" w:lineRule="auto"/>
        <w:rPr>
          <w:sz w:val="20"/>
          <w:szCs w:val="20"/>
          <w:color w:val="auto"/>
        </w:rPr>
      </w:pPr>
      <w:r>
        <w:rPr>
          <w:rFonts w:ascii="Arial" w:cs="Arial" w:eastAsia="Arial" w:hAnsi="Arial"/>
          <w:sz w:val="16"/>
          <w:szCs w:val="16"/>
          <w:color w:val="auto"/>
        </w:rPr>
        <w:t>Filing, prosecuting and defending patents on our drug candidates in all countries throughout the world would be prohibitively expensive. The requirements for patentability may differ in certain countries, particularly in developing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9"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Leahy</w:t>
      </w:r>
      <w:r>
        <w:rPr>
          <w:rFonts w:ascii="MS PGothic" w:cs="MS PGothic" w:eastAsia="MS PGothic" w:hAnsi="MS PGothic"/>
          <w:sz w:val="17"/>
          <w:szCs w:val="17"/>
          <w:color w:val="auto"/>
        </w:rPr>
        <w:t>‑</w:t>
      </w:r>
      <w:r>
        <w:rPr>
          <w:rFonts w:ascii="Arial" w:cs="Arial" w:eastAsia="Arial" w:hAnsi="Arial"/>
          <w:sz w:val="17"/>
          <w:szCs w:val="17"/>
          <w:color w:val="auto"/>
        </w:rPr>
        <w:t>Smith Act, signed into law on September 16, 2011, could increase those uncertainties and costs.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7"/>
          <w:szCs w:val="17"/>
          <w:color w:val="auto"/>
        </w:rPr>
        <w:t>‑</w:t>
      </w:r>
      <w:r>
        <w:rPr>
          <w:rFonts w:ascii="Arial" w:cs="Arial" w:eastAsia="Arial" w:hAnsi="Arial"/>
          <w:sz w:val="17"/>
          <w:szCs w:val="17"/>
          <w:color w:val="auto"/>
        </w:rPr>
        <w:t>effective avenues for competitors to challenge the validity of patents. In addition, the Leahy</w:t>
      </w:r>
      <w:r>
        <w:rPr>
          <w:rFonts w:ascii="MS PGothic" w:cs="MS PGothic" w:eastAsia="MS PGothic" w:hAnsi="MS PGothic"/>
          <w:sz w:val="17"/>
          <w:szCs w:val="17"/>
          <w:color w:val="auto"/>
        </w:rPr>
        <w:t>‑</w:t>
      </w:r>
      <w:r>
        <w:rPr>
          <w:rFonts w:ascii="Arial" w:cs="Arial" w:eastAsia="Arial" w:hAnsi="Arial"/>
          <w:sz w:val="17"/>
          <w:szCs w:val="17"/>
          <w:color w:val="auto"/>
        </w:rPr>
        <w:t>Smith Act has transformed the U.S. patent system into a “first to file” system. The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provisions, however, only became effective on March 16, 2013. Accordingly, it is not yet clear what, if any, impact the Leahy</w:t>
      </w:r>
      <w:r>
        <w:rPr>
          <w:rFonts w:ascii="MS PGothic" w:cs="MS PGothic" w:eastAsia="MS PGothic" w:hAnsi="MS PGothic"/>
          <w:sz w:val="17"/>
          <w:szCs w:val="17"/>
          <w:color w:val="auto"/>
        </w:rPr>
        <w:t>‑</w:t>
      </w:r>
      <w:r>
        <w:rPr>
          <w:rFonts w:ascii="Arial" w:cs="Arial" w:eastAsia="Arial" w:hAnsi="Arial"/>
          <w:sz w:val="17"/>
          <w:szCs w:val="17"/>
          <w:color w:val="auto"/>
        </w:rPr>
        <w:t>Smith Act will have on the operation of our business. However, the Leahy</w:t>
      </w:r>
      <w:r>
        <w:rPr>
          <w:rFonts w:ascii="MS PGothic" w:cs="MS PGothic" w:eastAsia="MS PGothic" w:hAnsi="MS PGothic"/>
          <w:sz w:val="17"/>
          <w:szCs w:val="17"/>
          <w:color w:val="auto"/>
        </w:rPr>
        <w:t>‑</w:t>
      </w:r>
      <w:r>
        <w:rPr>
          <w:rFonts w:ascii="Arial" w:cs="Arial" w:eastAsia="Arial" w:hAnsi="Arial"/>
          <w:sz w:val="17"/>
          <w:szCs w:val="17"/>
          <w:color w:val="auto"/>
        </w:rPr>
        <w:t xml:space="preserve"> 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9"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w:t>
      </w:r>
      <w:r>
        <w:rPr>
          <w:rFonts w:ascii="MS PGothic" w:cs="MS PGothic" w:eastAsia="MS PGothic" w:hAnsi="MS PGothic"/>
          <w:sz w:val="16"/>
          <w:szCs w:val="16"/>
          <w:color w:val="auto"/>
        </w:rPr>
        <w:t>‑</w:t>
      </w:r>
      <w:r>
        <w:rPr>
          <w:rFonts w:ascii="Arial" w:cs="Arial" w:eastAsia="Arial" w:hAnsi="Arial"/>
          <w:sz w:val="16"/>
          <w:szCs w:val="16"/>
          <w:color w:val="auto"/>
        </w:rPr>
        <w:t>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our competitive position. With respect to the building of our proprietary compound library, we consider trade secrets and know</w:t>
      </w:r>
      <w:r>
        <w:rPr>
          <w:rFonts w:ascii="MS PGothic" w:cs="MS PGothic" w:eastAsia="MS PGothic" w:hAnsi="MS PGothic"/>
          <w:sz w:val="16"/>
          <w:szCs w:val="16"/>
          <w:color w:val="auto"/>
        </w:rPr>
        <w:t>‑</w:t>
      </w:r>
      <w:r>
        <w:rPr>
          <w:rFonts w:ascii="Arial" w:cs="Arial" w:eastAsia="Arial" w:hAnsi="Arial"/>
          <w:sz w:val="16"/>
          <w:szCs w:val="16"/>
          <w:color w:val="auto"/>
        </w:rPr>
        <w:t>how to be our primary intellectual property. We seek to protect our proprietary technology and processes, in part, by entering into confidentiality agreements with our collaborators, scientific advisors, employees and consultants, and invention assignment agreements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with our consultants and employees. We may not be able to prevent the unauthorized disclosure or use of our technical</w:t>
      </w:r>
    </w:p>
    <w:p>
      <w:pPr>
        <w:ind w:right="20"/>
        <w:spacing w:after="0" w:line="180" w:lineRule="exact"/>
        <w:rPr>
          <w:sz w:val="20"/>
          <w:szCs w:val="20"/>
          <w:color w:val="auto"/>
        </w:rPr>
      </w:pPr>
      <w:r>
        <w:rPr>
          <w:rFonts w:ascii="Arial" w:cs="Arial" w:eastAsia="Arial" w:hAnsi="Arial"/>
          <w:sz w:val="17"/>
          <w:szCs w:val="17"/>
          <w:color w:val="auto"/>
        </w:rPr>
        <w:t>know</w:t>
      </w:r>
      <w:r>
        <w:rPr>
          <w:rFonts w:ascii="MS PGothic" w:cs="MS PGothic" w:eastAsia="MS PGothic" w:hAnsi="MS PGothic"/>
          <w:sz w:val="17"/>
          <w:szCs w:val="17"/>
          <w:color w:val="auto"/>
        </w:rPr>
        <w:t>‑</w:t>
      </w:r>
      <w:r>
        <w:rPr>
          <w:rFonts w:ascii="Arial" w:cs="Arial" w:eastAsia="Arial" w:hAnsi="Arial"/>
          <w:sz w:val="17"/>
          <w:szCs w:val="17"/>
          <w:color w:val="auto"/>
        </w:rPr>
        <w:t>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65"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5" w:lineRule="exact"/>
        <w:rPr>
          <w:sz w:val="20"/>
          <w:szCs w:val="20"/>
          <w:color w:val="auto"/>
        </w:rPr>
      </w:pPr>
    </w:p>
    <w:p>
      <w:pPr>
        <w:ind w:right="180"/>
        <w:spacing w:after="0" w:line="203" w:lineRule="exact"/>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competition or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solicitation agreements with our competitors.</w:t>
      </w:r>
    </w:p>
    <w:p>
      <w:pPr>
        <w:spacing w:after="0" w:line="162"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w:t>
      </w:r>
      <w:r>
        <w:rPr>
          <w:rFonts w:ascii="MS PGothic" w:cs="MS PGothic" w:eastAsia="MS PGothic" w:hAnsi="MS PGothic"/>
          <w:sz w:val="16"/>
          <w:szCs w:val="16"/>
          <w:color w:val="auto"/>
        </w:rPr>
        <w:t>‑</w:t>
      </w:r>
      <w:r>
        <w:rPr>
          <w:rFonts w:ascii="Arial" w:cs="Arial" w:eastAsia="Arial" w:hAnsi="Arial"/>
          <w:sz w:val="16"/>
          <w:szCs w:val="16"/>
          <w:color w:val="auto"/>
        </w:rPr>
        <w:t>how or trade secrets of others in their work for us, we may in the future be subject to claims that we caused an employee to breach the terms of his or her non</w:t>
      </w:r>
      <w:r>
        <w:rPr>
          <w:rFonts w:ascii="MS PGothic" w:cs="MS PGothic" w:eastAsia="MS PGothic" w:hAnsi="MS PGothic"/>
          <w:sz w:val="16"/>
          <w:szCs w:val="16"/>
          <w:color w:val="auto"/>
        </w:rPr>
        <w:t>‑</w:t>
      </w:r>
      <w:r>
        <w:rPr>
          <w:rFonts w:ascii="Arial" w:cs="Arial" w:eastAsia="Arial" w:hAnsi="Arial"/>
          <w:sz w:val="16"/>
          <w:szCs w:val="16"/>
          <w:color w:val="auto"/>
        </w:rPr>
        <w:t>competition or non</w:t>
      </w:r>
      <w:r>
        <w:rPr>
          <w:rFonts w:ascii="MS PGothic" w:cs="MS PGothic" w:eastAsia="MS PGothic" w:hAnsi="MS PGothic"/>
          <w:sz w:val="16"/>
          <w:szCs w:val="16"/>
          <w:color w:val="auto"/>
        </w:rPr>
        <w:t>‑</w:t>
      </w:r>
      <w:r>
        <w:rPr>
          <w:rFonts w:ascii="Arial" w:cs="Arial" w:eastAsia="Arial" w:hAnsi="Arial"/>
          <w:sz w:val="16"/>
          <w:szCs w:val="16"/>
          <w:color w:val="auto"/>
        </w:rPr>
        <w:t>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Employee Matters, Managing Growth and</w:t>
      </w:r>
    </w:p>
    <w:p>
      <w:pPr>
        <w:jc w:val="center"/>
        <w:spacing w:after="0"/>
        <w:rPr>
          <w:sz w:val="20"/>
          <w:szCs w:val="20"/>
          <w:color w:val="auto"/>
        </w:rPr>
      </w:pPr>
      <w:r>
        <w:rPr>
          <w:rFonts w:ascii="Arial" w:cs="Arial" w:eastAsia="Arial" w:hAnsi="Arial"/>
          <w:sz w:val="18"/>
          <w:szCs w:val="18"/>
          <w:b w:val="1"/>
          <w:bCs w:val="1"/>
          <w:color w:val="auto"/>
        </w:rPr>
        <w:t>Other Risks Related to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Jeffrey W. Albers, our President and Chief Executive Officer, Anthony L. Boral, our Senior Vice President, Clinical Development, Kyle D. Kuvalanka, our Chief Business Officer, and Christoph Lengauer, our Chief Scientific Officer, as well as the other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As of March 31, 2015 we had 60 full</w:t>
      </w:r>
      <w:r>
        <w:rPr>
          <w:rFonts w:ascii="MS PGothic" w:cs="MS PGothic" w:eastAsia="MS PGothic" w:hAnsi="MS PGothic"/>
          <w:sz w:val="16"/>
          <w:szCs w:val="16"/>
          <w:color w:val="auto"/>
        </w:rPr>
        <w:t>‑</w:t>
      </w:r>
      <w:r>
        <w:rPr>
          <w:rFonts w:ascii="Arial" w:cs="Arial" w:eastAsia="Arial" w:hAnsi="Arial"/>
          <w:sz w:val="16"/>
          <w:szCs w:val="16"/>
          <w:color w:val="auto"/>
        </w:rPr>
        <w:t>time employees, and 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5" w:lineRule="exact"/>
        <w:rPr>
          <w:sz w:val="20"/>
          <w:szCs w:val="20"/>
          <w:color w:val="auto"/>
        </w:rPr>
      </w:pPr>
      <w:r>
        <w:rPr>
          <w:rFonts w:ascii="Arial" w:cs="Arial" w:eastAsia="Arial" w:hAnsi="Arial"/>
          <w:sz w:val="17"/>
          <w:szCs w:val="17"/>
          <w:color w:val="auto"/>
        </w:rPr>
        <w:t>occurred that prevented us from using all or a significant portion of our headquarters, that damaged critical infrastructure, such as the manufacturing facilities of our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5" w:lineRule="exact"/>
        <w:rPr>
          <w:sz w:val="20"/>
          <w:szCs w:val="20"/>
          <w:color w:val="auto"/>
        </w:rPr>
      </w:pPr>
    </w:p>
    <w:p>
      <w:pPr>
        <w:ind w:right="320"/>
        <w:spacing w:after="0" w:line="203" w:lineRule="exact"/>
        <w:rPr>
          <w:sz w:val="20"/>
          <w:szCs w:val="20"/>
          <w:color w:val="auto"/>
        </w:rPr>
      </w:pPr>
      <w:r>
        <w:rPr>
          <w:rFonts w:ascii="Arial" w:cs="Arial" w:eastAsia="Arial" w:hAnsi="Arial"/>
          <w:sz w:val="15"/>
          <w:szCs w:val="15"/>
          <w:b w:val="1"/>
          <w:bCs w:val="1"/>
          <w:i w:val="1"/>
          <w:iCs w:val="1"/>
          <w:color w:val="auto"/>
        </w:rPr>
        <w:t>Our internal computer systems, or those of 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CROs or other contractors or consultants, may fail or suffer security breaches, which could result in a material disruption of our drug candidates’ development programs.</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Despite the implementation of security measures, our internal computer systems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8" w:lineRule="exact"/>
        <w:rPr>
          <w:sz w:val="20"/>
          <w:szCs w:val="20"/>
          <w:color w:val="auto"/>
        </w:rPr>
      </w:pPr>
    </w:p>
    <w:p>
      <w:pPr>
        <w:ind w:right="420"/>
        <w:spacing w:after="0" w:line="203" w:lineRule="exact"/>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compliance with regulatory standards and requirements and insider trading.</w:t>
      </w:r>
    </w:p>
    <w:p>
      <w:pPr>
        <w:spacing w:after="0" w:line="162" w:lineRule="exact"/>
        <w:rPr>
          <w:sz w:val="20"/>
          <w:szCs w:val="20"/>
          <w:color w:val="auto"/>
        </w:rPr>
      </w:pPr>
    </w:p>
    <w:p>
      <w:pPr>
        <w:ind w:right="60" w:firstLine="648"/>
        <w:spacing w:after="0" w:line="178" w:lineRule="exact"/>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w:t>
      </w:r>
      <w:r>
        <w:rPr>
          <w:rFonts w:ascii="MS PGothic" w:cs="MS PGothic" w:eastAsia="MS PGothic" w:hAnsi="MS PGothic"/>
          <w:sz w:val="16"/>
          <w:szCs w:val="16"/>
          <w:color w:val="auto"/>
        </w:rPr>
        <w:t>‑</w:t>
      </w:r>
      <w:r>
        <w:rPr>
          <w:rFonts w:ascii="Arial" w:cs="Arial" w:eastAsia="Arial" w:hAnsi="Arial"/>
          <w:sz w:val="16"/>
          <w:szCs w:val="16"/>
          <w:color w:val="auto"/>
        </w:rPr>
        <w:t>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For example, we expect that these rules and regulations may make it more difficult and more expensive for us to obtain director and officer liability insurance.</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IPO was completed on May 5, 2015, where we sold shares of common stock at a price of $18.00 per</w:t>
      </w:r>
    </w:p>
    <w:p>
      <w:pPr>
        <w:ind w:right="80"/>
        <w:spacing w:after="0" w:line="268" w:lineRule="auto"/>
        <w:rPr>
          <w:sz w:val="20"/>
          <w:szCs w:val="20"/>
          <w:color w:val="auto"/>
        </w:rPr>
      </w:pPr>
      <w:r>
        <w:rPr>
          <w:rFonts w:ascii="Arial" w:cs="Arial" w:eastAsia="Arial" w:hAnsi="Arial"/>
          <w:sz w:val="16"/>
          <w:szCs w:val="16"/>
          <w:color w:val="auto"/>
        </w:rPr>
        <w:t>share. There has been a public market for our common stock for only a short period of time. Although our common stock is listed on the NASDAQ Global Select Market, an active public market for our common stock may not emerge or be sustained.</w:t>
      </w:r>
    </w:p>
    <w:p>
      <w:pPr>
        <w:spacing w:after="0" w:line="140"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In addition, the market price of our common stock may fluctuate significantly in response to a number of factors, most of which we cannot control including among others:</w:t>
      </w:r>
    </w:p>
    <w:p>
      <w:pPr>
        <w:spacing w:after="0" w:line="162" w:lineRule="exact"/>
        <w:rPr>
          <w:sz w:val="20"/>
          <w:szCs w:val="20"/>
          <w:color w:val="auto"/>
        </w:rPr>
      </w:pPr>
    </w:p>
    <w:p>
      <w:pPr>
        <w:ind w:left="780" w:hanging="12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sz w:val="20"/>
          <w:szCs w:val="20"/>
          <w:color w:val="auto"/>
        </w:rPr>
      </w:pPr>
    </w:p>
    <w:p>
      <w:pPr>
        <w:ind w:left="660" w:right="1280"/>
        <w:spacing w:after="0" w:line="402" w:lineRule="auto"/>
        <w:rPr>
          <w:sz w:val="20"/>
          <w:szCs w:val="20"/>
          <w:color w:val="auto"/>
        </w:rPr>
      </w:pPr>
      <w:r>
        <w:rPr>
          <w:rFonts w:ascii="Arial" w:cs="Arial" w:eastAsia="Arial" w:hAnsi="Arial"/>
          <w:sz w:val="18"/>
          <w:szCs w:val="18"/>
          <w:color w:val="auto"/>
        </w:rPr>
        <w:t>·developments or disputes concerning patent applications, issued patents or other proprietary rights; · the recruitment or departure of key personnel;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of expenses related to any of our drug candidates or clinical development programs;</w:t>
      </w:r>
    </w:p>
    <w:p>
      <w:pPr>
        <w:spacing w:after="0" w:line="11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 xml:space="preserve"> license additional drug candidates or drugs;</w:t>
      </w:r>
    </w:p>
    <w:p>
      <w:pPr>
        <w:spacing w:after="0" w:line="117" w:lineRule="exact"/>
        <w:rPr>
          <w:sz w:val="20"/>
          <w:szCs w:val="20"/>
          <w:color w:val="auto"/>
        </w:rPr>
      </w:pPr>
    </w:p>
    <w:p>
      <w:pPr>
        <w:ind w:left="700" w:right="420" w:hanging="53"/>
        <w:spacing w:after="0" w:line="235" w:lineRule="auto"/>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sz w:val="20"/>
          <w:szCs w:val="20"/>
          <w:color w:val="auto"/>
        </w:rPr>
      </w:pPr>
    </w:p>
    <w:p>
      <w:pPr>
        <w:ind w:left="760" w:hanging="10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760" w:hanging="10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760" w:hanging="10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at or above the price you paid.</w:t>
      </w:r>
    </w:p>
    <w:p>
      <w:pPr>
        <w:spacing w:after="0" w:line="94"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8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94"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95"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w:t>
      </w:r>
    </w:p>
    <w:p>
      <w:pPr>
        <w:spacing w:after="0" w:line="81"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holdings of our executive officers, directors, principal stockholders and their affiliates, including investment funds affiliated with Third Rock Ventures and entities affiliated with Fidelity Biosciences Corp., or Fidelity, represent beneficial ownership, in the aggregate, of approximately 61% of our outstanding common stock as of March 31, 2015.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delaying, deferring or preventing a change of control of us;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·impeding a merger, consolidation, takeover or other business combination involving us; 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94"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Provisions in our amended and restated certificate of incorporation and amended and restated by</w:t>
      </w:r>
      <w:r>
        <w:rPr>
          <w:rFonts w:ascii="MS PGothic" w:cs="MS PGothic" w:eastAsia="MS PGothic" w:hAnsi="MS PGothic"/>
          <w:sz w:val="17"/>
          <w:szCs w:val="17"/>
          <w:color w:val="auto"/>
        </w:rPr>
        <w:t>‑</w:t>
      </w:r>
      <w:r>
        <w:rPr>
          <w:rFonts w:ascii="Arial" w:cs="Arial" w:eastAsia="Arial" w:hAnsi="Arial"/>
          <w:sz w:val="17"/>
          <w:szCs w:val="17"/>
          <w:color w:val="auto"/>
        </w:rPr>
        <w:t>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85" w:lineRule="exact"/>
        <w:rPr>
          <w:sz w:val="20"/>
          <w:szCs w:val="20"/>
          <w:color w:val="auto"/>
        </w:rPr>
      </w:pPr>
    </w:p>
    <w:p>
      <w:pPr>
        <w:jc w:val="both"/>
        <w:ind w:right="180" w:firstLine="648"/>
        <w:spacing w:after="0" w:line="22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We have broad discretion in how we use the proceeds from our IPO and may not use these proceeds effectively, which could affect our results of operations and cause our stock price to decline.</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We will have considerable discretion in the application of the net proceeds from our recently completed IPO. As a result, investors will be relying upon management’s judgment with only limited information about our specific intentions for the use of the balance of the net proceeds from the IPO. We may use the net proceeds for purposes that do not yield a significant return or any return at all for our stockholders. In addition, pending their use, we may invest the net proceeds from this the IPO in a manner that does not produce income or that loses value.</w:t>
      </w:r>
    </w:p>
    <w:p>
      <w:pPr>
        <w:spacing w:after="0" w:line="161"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2" w:lineRule="exact"/>
        <w:rPr>
          <w:sz w:val="20"/>
          <w:szCs w:val="20"/>
          <w:color w:val="auto"/>
        </w:rPr>
      </w:pPr>
    </w:p>
    <w:p>
      <w:pPr>
        <w:ind w:right="60" w:firstLine="648"/>
        <w:spacing w:after="0" w:line="178"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(i) the last day of the fiscal year in which we have total annual gross revenues of $1 billion or more; (ii) the last day of the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w:t>
      </w:r>
      <w:r>
        <w:rPr>
          <w:rFonts w:ascii="MS PGothic" w:cs="MS PGothic" w:eastAsia="MS PGothic" w:hAnsi="MS PGothic"/>
          <w:sz w:val="16"/>
          <w:szCs w:val="16"/>
          <w:color w:val="auto"/>
        </w:rPr>
        <w:t>‑</w:t>
      </w:r>
      <w:r>
        <w:rPr>
          <w:rFonts w:ascii="Arial" w:cs="Arial" w:eastAsia="Arial" w:hAnsi="Arial"/>
          <w:sz w:val="16"/>
          <w:szCs w:val="16"/>
          <w:color w:val="auto"/>
        </w:rPr>
        <w:t>affiliates exceeds</w:t>
      </w:r>
    </w:p>
    <w:p>
      <w:pPr>
        <w:spacing w:after="0" w:line="2"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3" w:lineRule="exact"/>
        <w:rPr>
          <w:sz w:val="20"/>
          <w:szCs w:val="20"/>
          <w:color w:val="auto"/>
        </w:rPr>
      </w:pPr>
    </w:p>
    <w:p>
      <w:pPr>
        <w:ind w:left="700" w:right="140" w:hanging="53"/>
        <w:spacing w:after="0" w:line="203" w:lineRule="exact"/>
        <w:rPr>
          <w:sz w:val="20"/>
          <w:szCs w:val="20"/>
          <w:color w:val="auto"/>
        </w:rPr>
      </w:pPr>
      <w:r>
        <w:rPr>
          <w:rFonts w:ascii="Arial" w:cs="Arial" w:eastAsia="Arial" w:hAnsi="Arial"/>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162" w:lineRule="exact"/>
        <w:rPr>
          <w:sz w:val="20"/>
          <w:szCs w:val="20"/>
          <w:color w:val="auto"/>
        </w:rPr>
      </w:pPr>
    </w:p>
    <w:p>
      <w:pPr>
        <w:ind w:left="700" w:right="20" w:hanging="53"/>
        <w:spacing w:after="0" w:line="224"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3" w:lineRule="exact"/>
        <w:rPr>
          <w:sz w:val="20"/>
          <w:szCs w:val="20"/>
          <w:color w:val="auto"/>
        </w:rPr>
      </w:pPr>
    </w:p>
    <w:p>
      <w:pPr>
        <w:jc w:val="both"/>
        <w:ind w:left="700" w:right="420" w:hanging="53"/>
        <w:spacing w:after="0" w:line="224" w:lineRule="auto"/>
        <w:rPr>
          <w:sz w:val="20"/>
          <w:szCs w:val="20"/>
          <w:color w:val="auto"/>
        </w:rPr>
      </w:pPr>
      <w:r>
        <w:rPr>
          <w:rFonts w:ascii="Arial" w:cs="Arial" w:eastAsia="Arial" w:hAnsi="Arial"/>
          <w:sz w:val="18"/>
          <w:szCs w:val="18"/>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reduced disclosure obligations regarding executive compensation; and</w:t>
      </w:r>
    </w:p>
    <w:p>
      <w:pPr>
        <w:spacing w:after="0" w:line="185" w:lineRule="exact"/>
        <w:rPr>
          <w:sz w:val="20"/>
          <w:szCs w:val="20"/>
          <w:color w:val="auto"/>
        </w:rPr>
      </w:pPr>
    </w:p>
    <w:p>
      <w:pPr>
        <w:ind w:left="700" w:right="840" w:hanging="53"/>
        <w:spacing w:after="0" w:line="258" w:lineRule="auto"/>
        <w:rPr>
          <w:sz w:val="20"/>
          <w:szCs w:val="20"/>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7" w:lineRule="exact"/>
        <w:rPr>
          <w:sz w:val="20"/>
          <w:szCs w:val="20"/>
          <w:color w:val="auto"/>
        </w:rPr>
      </w:pPr>
    </w:p>
    <w:p>
      <w:pPr>
        <w:jc w:val="both"/>
        <w:ind w:right="280" w:firstLine="648"/>
        <w:spacing w:after="0" w:line="224"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3"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62"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Additionally, under the Loan and Security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20" w:firstLine="648"/>
        <w:spacing w:after="0" w:line="182" w:lineRule="exact"/>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w:t>
      </w:r>
      <w:r>
        <w:rPr>
          <w:rFonts w:ascii="MS PGothic" w:cs="MS PGothic" w:eastAsia="MS PGothic" w:hAnsi="MS PGothic"/>
          <w:sz w:val="16"/>
          <w:szCs w:val="16"/>
          <w:color w:val="auto"/>
        </w:rPr>
        <w:t>‑</w:t>
      </w:r>
      <w:r>
        <w:rPr>
          <w:rFonts w:ascii="Arial" w:cs="Arial" w:eastAsia="Arial" w:hAnsi="Arial"/>
          <w:sz w:val="16"/>
          <w:szCs w:val="16"/>
          <w:color w:val="auto"/>
        </w:rPr>
        <w:t>change net operating loss carryforwards and certain other pre</w:t>
      </w:r>
      <w:r>
        <w:rPr>
          <w:rFonts w:ascii="MS PGothic" w:cs="MS PGothic" w:eastAsia="MS PGothic" w:hAnsi="MS PGothic"/>
          <w:sz w:val="16"/>
          <w:szCs w:val="16"/>
          <w:color w:val="auto"/>
        </w:rPr>
        <w:t>‑</w:t>
      </w:r>
      <w:r>
        <w:rPr>
          <w:rFonts w:ascii="Arial" w:cs="Arial" w:eastAsia="Arial" w:hAnsi="Arial"/>
          <w:sz w:val="16"/>
          <w:szCs w:val="16"/>
          <w:color w:val="auto"/>
        </w:rPr>
        <w:t>change tax attributes to offset its post</w:t>
      </w:r>
      <w:r>
        <w:rPr>
          <w:rFonts w:ascii="MS PGothic" w:cs="MS PGothic" w:eastAsia="MS PGothic" w:hAnsi="MS PGothic"/>
          <w:sz w:val="16"/>
          <w:szCs w:val="16"/>
          <w:color w:val="auto"/>
        </w:rPr>
        <w:t>‑</w:t>
      </w:r>
      <w:r>
        <w:rPr>
          <w:rFonts w:ascii="Arial" w:cs="Arial" w:eastAsia="Arial" w:hAnsi="Arial"/>
          <w:sz w:val="16"/>
          <w:szCs w:val="16"/>
          <w:color w:val="auto"/>
        </w:rPr>
        <w:t>change income may be limited. We may have experienced such ownership changes in the past, and we may experience ownership changes in the future as a result of this offering or subsequent shifts in our stock ownership, some of which are outside the Company’s control. As of December 31, 2014, we had federal net operating loss carryforwards of approximately $78.1 million, and our ability to utilize those net operating loss carryforwards could be limited by an “ownership change” as described above, which could result in increased tax liability to the Company.</w:t>
      </w:r>
    </w:p>
    <w:p>
      <w:pPr>
        <w:spacing w:after="0" w:line="163" w:lineRule="exact"/>
        <w:rPr>
          <w:sz w:val="20"/>
          <w:szCs w:val="20"/>
          <w:color w:val="auto"/>
        </w:rPr>
      </w:pPr>
    </w:p>
    <w:p>
      <w:pPr>
        <w:ind w:right="3920"/>
        <w:spacing w:after="0" w:line="393"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Unregistered Sales of Equity Securities</w:t>
      </w:r>
    </w:p>
    <w:p>
      <w:pPr>
        <w:spacing w:after="0" w:line="1" w:lineRule="exact"/>
        <w:rPr>
          <w:sz w:val="20"/>
          <w:szCs w:val="20"/>
          <w:color w:val="auto"/>
        </w:rPr>
      </w:pPr>
    </w:p>
    <w:p>
      <w:pPr>
        <w:ind w:right="140" w:firstLine="441"/>
        <w:spacing w:after="0" w:line="216" w:lineRule="auto"/>
        <w:rPr>
          <w:sz w:val="20"/>
          <w:szCs w:val="20"/>
          <w:color w:val="auto"/>
        </w:rPr>
      </w:pPr>
      <w:r>
        <w:rPr>
          <w:rFonts w:ascii="Arial" w:cs="Arial" w:eastAsia="Arial" w:hAnsi="Arial"/>
          <w:sz w:val="18"/>
          <w:szCs w:val="18"/>
          <w:color w:val="auto"/>
        </w:rPr>
        <w:t>During the three months ended March 31, 2015, we issued and sold an aggregate of 10,547 shares of common stock to certain employees and consultants for cash consideration in the aggregate amount of $19,723 upon the exercise of stock options. These issuances were undertaken in reliance upon the exemption from registration requirements of Rule 701 of the Securities Act as offers and sales of securities under compensatory benefit plans and contracts relating to compensation in compliance with Rule 701.</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underwriters were used in the foregoing transactions.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293" w:lineRule="exact"/>
        <w:rPr>
          <w:sz w:val="20"/>
          <w:szCs w:val="20"/>
          <w:color w:val="auto"/>
        </w:rPr>
      </w:pPr>
    </w:p>
    <w:p>
      <w:pPr>
        <w:ind w:right="220" w:firstLine="441"/>
        <w:spacing w:after="0" w:line="289" w:lineRule="auto"/>
        <w:rPr>
          <w:sz w:val="20"/>
          <w:szCs w:val="20"/>
          <w:color w:val="auto"/>
        </w:rPr>
      </w:pPr>
      <w:r>
        <w:rPr>
          <w:rFonts w:ascii="Arial" w:cs="Arial" w:eastAsia="Arial" w:hAnsi="Arial"/>
          <w:sz w:val="16"/>
          <w:szCs w:val="16"/>
          <w:color w:val="auto"/>
        </w:rPr>
        <w:t>On May 5, 2015, we closed the sale of 9,367,708 shares of common stock to the public including 1,221,874 shares of common stock issued upon the full exercise by the underwriters of their option to purchase additional shares at a price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of $18.00 per share, before underwriting discounts. The offer and sale of the shares in our initial public offering was registered under the Securities Act pursuant to a registration statement on Form S-1 (File No. 333-202938), which was filed with the SEC on March 23, 2015 and amended subsequently and declared effective by the SEC on April 29, 2015. Following the sale of the shares in connection with the closing of our initial public offering, the offering terminated. The offering did not terminate before all the securities registered in the registration statements were sold. Goldman, Sachs &amp; Co. and Cowen and Company acted as joint book-running managers for the offering. JMP Securities acted as a co-manager for the offering. Wedbush PacGrow also acted as a co-manager for the offering.</w:t>
      </w:r>
    </w:p>
    <w:p>
      <w:pPr>
        <w:spacing w:after="0" w:line="162" w:lineRule="exact"/>
        <w:rPr>
          <w:sz w:val="20"/>
          <w:szCs w:val="20"/>
          <w:color w:val="auto"/>
        </w:rPr>
      </w:pPr>
    </w:p>
    <w:p>
      <w:pPr>
        <w:ind w:right="180" w:firstLine="486"/>
        <w:spacing w:after="0" w:line="214" w:lineRule="auto"/>
        <w:rPr>
          <w:sz w:val="20"/>
          <w:szCs w:val="20"/>
          <w:color w:val="auto"/>
        </w:rPr>
      </w:pPr>
      <w:r>
        <w:rPr>
          <w:rFonts w:ascii="Arial" w:cs="Arial" w:eastAsia="Arial" w:hAnsi="Arial"/>
          <w:sz w:val="18"/>
          <w:szCs w:val="18"/>
          <w:color w:val="auto"/>
        </w:rPr>
        <w:t>We raised approximately $154.2 million in net proceeds after deducting underwriting discounts and commissions and estimated offering costs payable by us. None of these expenses consisted of direct or indirect payments made by us to directors, officers or persons owning 10% or more of our common stock or to their associates, or to our affiliates. There has been no material change in the planned use of proceeds from our initial public offering as described in our final prospectus filed with the SEC on April 30, 2015 pursuant to Rule 424(b)(4). We invested the funds received in cash equivalents in accordance with our investment policy.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879" w:firstLine="441"/>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2"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7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Blueprint Medicines Corporation</w:t>
      </w:r>
    </w:p>
    <w:p>
      <w:pPr>
        <w:spacing w:after="0" w:line="212" w:lineRule="exact"/>
        <w:rPr>
          <w:sz w:val="20"/>
          <w:szCs w:val="20"/>
          <w:color w:val="auto"/>
        </w:rPr>
      </w:pPr>
    </w:p>
    <w:p>
      <w:pPr>
        <w:spacing w:after="0"/>
        <w:tabs>
          <w:tab w:leader="none" w:pos="4380" w:val="left"/>
          <w:tab w:leader="none" w:pos="480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6350</wp:posOffset>
            </wp:positionV>
            <wp:extent cx="274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Jeffrey W. Albers</w:t>
      </w:r>
    </w:p>
    <w:p>
      <w:pPr>
        <w:ind w:left="482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80" w:val="left"/>
          <w:tab w:leader="none" w:pos="480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Kyle D.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6350</wp:posOffset>
            </wp:positionV>
            <wp:extent cx="274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Kyle D. Kuvalanka</w:t>
      </w:r>
    </w:p>
    <w:p>
      <w:pPr>
        <w:ind w:left="4820"/>
        <w:spacing w:after="0" w:line="234" w:lineRule="auto"/>
        <w:rPr>
          <w:sz w:val="20"/>
          <w:szCs w:val="20"/>
          <w:color w:val="auto"/>
        </w:rPr>
      </w:pPr>
      <w:r>
        <w:rPr>
          <w:rFonts w:ascii="Arial" w:cs="Arial" w:eastAsia="Arial" w:hAnsi="Arial"/>
          <w:sz w:val="18"/>
          <w:szCs w:val="18"/>
          <w:i w:val="1"/>
          <w:iCs w:val="1"/>
          <w:color w:val="auto"/>
        </w:rPr>
        <w:t>Chief Business Officer (Principal Financial and</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2"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79"/>
          </w:cols>
          <w:pgMar w:left="1380" w:top="112" w:right="1440" w:bottom="1440" w:gutter="0" w:footer="0" w:header="0"/>
        </w:sect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557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3.2</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3.3</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31.1 *</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31.2 *</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 +</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101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425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ind w:right="39"/>
        <w:spacing w:after="0" w:line="246" w:lineRule="auto"/>
        <w:rPr>
          <w:sz w:val="20"/>
          <w:szCs w:val="20"/>
          <w:color w:val="auto"/>
        </w:rPr>
      </w:pPr>
      <w:r>
        <w:rPr>
          <w:rFonts w:ascii="Arial" w:cs="Arial" w:eastAsia="Arial" w:hAnsi="Arial"/>
          <w:sz w:val="16"/>
          <w:szCs w:val="16"/>
          <w:color w:val="auto"/>
        </w:rPr>
        <w:t>Form of Fifth Amended and Restated Certificate of Incorporation (incorporated by reference to Exhibit 3.2 to the Company’s Registration Statement on Form S-1 (File No. 333-202938) filed on March 23, 2015).</w:t>
      </w:r>
    </w:p>
    <w:p>
      <w:pPr>
        <w:spacing w:after="0" w:line="1" w:lineRule="exact"/>
        <w:rPr>
          <w:sz w:val="20"/>
          <w:szCs w:val="20"/>
          <w:color w:val="auto"/>
        </w:rPr>
      </w:pPr>
    </w:p>
    <w:p>
      <w:pPr>
        <w:ind w:right="299"/>
        <w:spacing w:after="0" w:line="232" w:lineRule="auto"/>
        <w:rPr>
          <w:sz w:val="20"/>
          <w:szCs w:val="20"/>
          <w:color w:val="auto"/>
        </w:rPr>
      </w:pPr>
      <w:r>
        <w:rPr>
          <w:rFonts w:ascii="Arial" w:cs="Arial" w:eastAsia="Arial" w:hAnsi="Arial"/>
          <w:sz w:val="17"/>
          <w:szCs w:val="17"/>
          <w:color w:val="auto"/>
        </w:rPr>
        <w:t>Form of Amended and Restated Bylaws (incorporated by reference to Exhibit 3.3 to the to the Company’s Registration Statement on Form S-1 (File No. 333-202938) filed on March 23, 2015).</w:t>
      </w:r>
    </w:p>
    <w:p>
      <w:pPr>
        <w:ind w:right="19"/>
        <w:spacing w:after="0" w:line="229" w:lineRule="auto"/>
        <w:rPr>
          <w:sz w:val="20"/>
          <w:szCs w:val="20"/>
          <w:color w:val="auto"/>
        </w:rPr>
      </w:pPr>
      <w:r>
        <w:rPr>
          <w:rFonts w:ascii="Arial" w:cs="Arial" w:eastAsia="Arial" w:hAnsi="Arial"/>
          <w:sz w:val="18"/>
          <w:szCs w:val="18"/>
          <w:color w:val="auto"/>
        </w:rPr>
        <w:t>Specimen Common Stock Certificate (incorporated by reference to Exhibit 4.1 to the Company’s Registration Statement on Form S-1 (File No. 333-202938), as amended, filed on April 20, 2015). Certificate of Principal Executive Officer pursuant to Exchange Act rules 13a-14 or 15d-14.</w:t>
      </w:r>
    </w:p>
    <w:p>
      <w:pPr>
        <w:spacing w:after="0"/>
        <w:rPr>
          <w:sz w:val="20"/>
          <w:szCs w:val="20"/>
          <w:color w:val="auto"/>
        </w:rPr>
      </w:pPr>
      <w:r>
        <w:rPr>
          <w:rFonts w:ascii="Arial" w:cs="Arial" w:eastAsia="Arial" w:hAnsi="Arial"/>
          <w:sz w:val="18"/>
          <w:szCs w:val="18"/>
          <w:color w:val="auto"/>
        </w:rPr>
        <w:t>Certificate of Principal Financial Officer pursuant to Exchange Act rules 13a-14 or 15d-14.</w:t>
      </w:r>
    </w:p>
    <w:p>
      <w:pPr>
        <w:spacing w:after="0" w:line="9" w:lineRule="exact"/>
        <w:rPr>
          <w:sz w:val="20"/>
          <w:szCs w:val="20"/>
          <w:color w:val="auto"/>
        </w:rPr>
      </w:pPr>
    </w:p>
    <w:p>
      <w:pPr>
        <w:ind w:right="219"/>
        <w:spacing w:after="0" w:line="220" w:lineRule="auto"/>
        <w:rPr>
          <w:sz w:val="20"/>
          <w:szCs w:val="20"/>
          <w:color w:val="auto"/>
        </w:rPr>
      </w:pPr>
      <w:r>
        <w:rPr>
          <w:rFonts w:ascii="Arial" w:cs="Arial" w:eastAsia="Arial" w:hAnsi="Arial"/>
          <w:sz w:val="18"/>
          <w:szCs w:val="18"/>
          <w:color w:val="auto"/>
        </w:rPr>
        <w:t>Certification of Principal Executive Officer and Principal Financial Officer pursuant to Exchange Act rules 13a-14(b) or 15d-14(b) and 18 U.S.C. Section 1350.</w:t>
      </w:r>
    </w:p>
    <w:p>
      <w:pPr>
        <w:ind w:right="19"/>
        <w:spacing w:after="0" w:line="226" w:lineRule="auto"/>
        <w:rPr>
          <w:sz w:val="20"/>
          <w:szCs w:val="20"/>
          <w:color w:val="auto"/>
        </w:rPr>
      </w:pPr>
      <w:r>
        <w:rPr>
          <w:rFonts w:ascii="Arial" w:cs="Arial" w:eastAsia="Arial" w:hAnsi="Arial"/>
          <w:sz w:val="18"/>
          <w:szCs w:val="18"/>
          <w:color w:val="auto"/>
        </w:rPr>
        <w:t>Interactive Data Files Pursuant to Rule 405 of Regulation S-T: (i) Condensed Balance Sheets as of March 31, 2015 and December 31, 2014, (ii) Condensed Statements of Operations for the three months ended March 31, 2015 and 2014, (iii) Condensed Statements of Cash Flows for the three months ended March 31, 2015 and 2014 and (iv) 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48895</wp:posOffset>
            </wp:positionV>
            <wp:extent cx="149161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180"/>
            <w:col w:w="7919"/>
          </w:cols>
          <w:pgMar w:left="1380" w:top="112" w:right="1440"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jc w:val="both"/>
        <w:ind w:left="200" w:right="79" w:hanging="198"/>
        <w:spacing w:after="0" w:line="235"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2" w:right="1440"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Jeffrey W. Albers, certify that: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Blueprint Medicines Corporation;</w:t>
      </w:r>
    </w:p>
    <w:p>
      <w:pPr>
        <w:spacing w:after="0" w:line="131" w:lineRule="exact"/>
        <w:rPr>
          <w:sz w:val="20"/>
          <w:szCs w:val="20"/>
          <w:color w:val="auto"/>
        </w:rPr>
      </w:pPr>
    </w:p>
    <w:p>
      <w:pPr>
        <w:jc w:val="both"/>
        <w:ind w:left="460" w:right="140"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460" w:right="100"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sz w:val="20"/>
          <w:szCs w:val="20"/>
          <w:color w:val="auto"/>
        </w:rPr>
      </w:pPr>
    </w:p>
    <w:p>
      <w:pPr>
        <w:ind w:left="460" w:right="260" w:hanging="134"/>
        <w:spacing w:after="0" w:line="25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93" w:lineRule="exact"/>
        <w:rPr>
          <w:sz w:val="20"/>
          <w:szCs w:val="20"/>
          <w:color w:val="auto"/>
        </w:rPr>
      </w:pPr>
    </w:p>
    <w:p>
      <w:pPr>
        <w:ind w:left="1240" w:right="120" w:hanging="256"/>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(Paragraph omitted pursuant to SEC Release Nos. 33-8238/34-47986 and 33-8392/34-49313);</w:t>
      </w:r>
    </w:p>
    <w:p>
      <w:pPr>
        <w:spacing w:after="0" w:line="131" w:lineRule="exact"/>
        <w:rPr>
          <w:sz w:val="20"/>
          <w:szCs w:val="20"/>
          <w:color w:val="auto"/>
        </w:rPr>
      </w:pPr>
    </w:p>
    <w:p>
      <w:pPr>
        <w:jc w:val="both"/>
        <w:ind w:left="1240" w:right="100" w:hanging="256"/>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sz w:val="20"/>
          <w:szCs w:val="20"/>
          <w:color w:val="auto"/>
        </w:rPr>
      </w:pPr>
    </w:p>
    <w:p>
      <w:pPr>
        <w:ind w:left="1240" w:right="20" w:hanging="256"/>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460" w:right="340"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sz w:val="20"/>
          <w:szCs w:val="20"/>
          <w:color w:val="auto"/>
        </w:rPr>
      </w:pPr>
    </w:p>
    <w:p>
      <w:pPr>
        <w:ind w:left="1240" w:right="200" w:hanging="256"/>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sz w:val="20"/>
          <w:szCs w:val="20"/>
          <w:color w:val="auto"/>
        </w:rPr>
      </w:pPr>
    </w:p>
    <w:p>
      <w:pPr>
        <w:ind w:left="1240" w:hanging="256"/>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380" w:right="2900" w:hanging="4766"/>
        <w:spacing w:after="0" w:line="250" w:lineRule="auto"/>
        <w:tabs>
          <w:tab w:leader="none" w:pos="436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7"/>
          <w:szCs w:val="17"/>
          <w:color w:val="auto"/>
        </w:rPr>
        <w:t>By: /s/ Jeffrey W. Albers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-120015</wp:posOffset>
            </wp:positionV>
            <wp:extent cx="28213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4760"/>
        <w:spacing w:after="0" w:line="21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343535</wp:posOffset>
            </wp:positionV>
            <wp:extent cx="584835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Kyle D. Kuvalanka, certify that: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Blueprint Medicines Corporation;</w:t>
      </w:r>
    </w:p>
    <w:p>
      <w:pPr>
        <w:spacing w:after="0" w:line="131" w:lineRule="exact"/>
        <w:rPr>
          <w:sz w:val="20"/>
          <w:szCs w:val="20"/>
          <w:color w:val="auto"/>
        </w:rPr>
      </w:pPr>
    </w:p>
    <w:p>
      <w:pPr>
        <w:jc w:val="both"/>
        <w:ind w:left="460" w:right="140"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460" w:right="100"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sz w:val="20"/>
          <w:szCs w:val="20"/>
          <w:color w:val="auto"/>
        </w:rPr>
      </w:pPr>
    </w:p>
    <w:p>
      <w:pPr>
        <w:ind w:left="460" w:right="260" w:hanging="134"/>
        <w:spacing w:after="0" w:line="25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93" w:lineRule="exact"/>
        <w:rPr>
          <w:sz w:val="20"/>
          <w:szCs w:val="20"/>
          <w:color w:val="auto"/>
        </w:rPr>
      </w:pPr>
    </w:p>
    <w:p>
      <w:pPr>
        <w:ind w:left="1240" w:right="120" w:hanging="256"/>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(Paragraph omitted pursuant to SEC Release Nos. 33-8238/34-47986 and 33-8392/34-49313);</w:t>
      </w:r>
    </w:p>
    <w:p>
      <w:pPr>
        <w:spacing w:after="0" w:line="131" w:lineRule="exact"/>
        <w:rPr>
          <w:sz w:val="20"/>
          <w:szCs w:val="20"/>
          <w:color w:val="auto"/>
        </w:rPr>
      </w:pPr>
    </w:p>
    <w:p>
      <w:pPr>
        <w:jc w:val="both"/>
        <w:ind w:left="1240" w:right="100" w:hanging="256"/>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sz w:val="20"/>
          <w:szCs w:val="20"/>
          <w:color w:val="auto"/>
        </w:rPr>
      </w:pPr>
    </w:p>
    <w:p>
      <w:pPr>
        <w:ind w:left="1240" w:right="20" w:hanging="256"/>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460" w:right="340"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sz w:val="20"/>
          <w:szCs w:val="20"/>
          <w:color w:val="auto"/>
        </w:rPr>
      </w:pPr>
    </w:p>
    <w:p>
      <w:pPr>
        <w:ind w:left="1240" w:right="200" w:hanging="256"/>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sz w:val="20"/>
          <w:szCs w:val="20"/>
          <w:color w:val="auto"/>
        </w:rPr>
      </w:pPr>
    </w:p>
    <w:p>
      <w:pPr>
        <w:ind w:left="1240" w:hanging="256"/>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7"/>
          <w:szCs w:val="17"/>
          <w:color w:val="auto"/>
        </w:rPr>
        <w:t>By:  /s/ Kyle D.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6350</wp:posOffset>
            </wp:positionV>
            <wp:extent cx="27787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4760"/>
        <w:spacing w:after="0" w:line="232" w:lineRule="auto"/>
        <w:rPr>
          <w:sz w:val="20"/>
          <w:szCs w:val="20"/>
          <w:color w:val="auto"/>
        </w:rPr>
      </w:pPr>
      <w:r>
        <w:rPr>
          <w:rFonts w:ascii="Arial" w:cs="Arial" w:eastAsia="Arial" w:hAnsi="Arial"/>
          <w:sz w:val="18"/>
          <w:szCs w:val="18"/>
          <w:color w:val="auto"/>
        </w:rPr>
        <w:t>Kyle D. Kuvalanka</w:t>
      </w:r>
    </w:p>
    <w:p>
      <w:pPr>
        <w:ind w:left="4760"/>
        <w:spacing w:after="0" w:line="219"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343535</wp:posOffset>
            </wp:positionV>
            <wp:extent cx="584835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ind w:left="1400" w:right="21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right="20" w:firstLine="501"/>
        <w:spacing w:after="0" w:line="259" w:lineRule="auto"/>
        <w:rPr>
          <w:sz w:val="20"/>
          <w:szCs w:val="20"/>
          <w:color w:val="auto"/>
        </w:rPr>
      </w:pPr>
      <w:r>
        <w:rPr>
          <w:rFonts w:ascii="Arial" w:cs="Arial" w:eastAsia="Arial" w:hAnsi="Arial"/>
          <w:sz w:val="16"/>
          <w:szCs w:val="16"/>
          <w:color w:val="auto"/>
        </w:rPr>
        <w:t>In connection with the Quarterly Report on Form 10-Q of Blueprint Medicines Corporation (the “Company”) for the period ended March 31, 2015 as filed with the Securities and Exchange Commission on the date hereof (the “Report”), each of the undersigned officers of the Company hereby certifies, pursuant to 18 U.S.C. Section 1350, that to his or her knowledge:</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61" w:lineRule="exact"/>
        <w:rPr>
          <w:sz w:val="20"/>
          <w:szCs w:val="20"/>
          <w:color w:val="auto"/>
        </w:rPr>
      </w:pPr>
    </w:p>
    <w:p>
      <w:pPr>
        <w:ind w:right="20" w:firstLine="503"/>
        <w:spacing w:after="0" w:line="235" w:lineRule="auto"/>
        <w:tabs>
          <w:tab w:leader="none" w:pos="7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6350</wp:posOffset>
            </wp:positionV>
            <wp:extent cx="26416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4640"/>
        <w:spacing w:after="0" w:line="232" w:lineRule="auto"/>
        <w:rPr>
          <w:sz w:val="20"/>
          <w:szCs w:val="20"/>
          <w:color w:val="auto"/>
        </w:rPr>
      </w:pPr>
      <w:r>
        <w:rPr>
          <w:rFonts w:ascii="Arial" w:cs="Arial" w:eastAsia="Arial" w:hAnsi="Arial"/>
          <w:sz w:val="18"/>
          <w:szCs w:val="18"/>
          <w:color w:val="auto"/>
        </w:rPr>
        <w:t>Jeffrey W. Albers</w:t>
      </w:r>
    </w:p>
    <w:p>
      <w:pPr>
        <w:ind w:left="4640"/>
        <w:spacing w:after="0" w:line="235" w:lineRule="auto"/>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-120015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-123190</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color w:val="auto"/>
        </w:rPr>
        <w:t>Date: June 11, 2015</w:t>
      </w:r>
      <w:r>
        <w:rPr>
          <w:sz w:val="20"/>
          <w:szCs w:val="20"/>
          <w:color w:val="auto"/>
        </w:rPr>
        <w:tab/>
      </w:r>
      <w:r>
        <w:rPr>
          <w:rFonts w:ascii="Arial" w:cs="Arial" w:eastAsia="Arial" w:hAnsi="Arial"/>
          <w:sz w:val="17"/>
          <w:szCs w:val="17"/>
          <w:color w:val="auto"/>
        </w:rPr>
        <w:t>By: /s/ Kyle D.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6350</wp:posOffset>
            </wp:positionV>
            <wp:extent cx="25901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4640"/>
        <w:spacing w:after="0" w:line="232" w:lineRule="auto"/>
        <w:rPr>
          <w:sz w:val="20"/>
          <w:szCs w:val="20"/>
          <w:color w:val="auto"/>
        </w:rPr>
      </w:pPr>
      <w:r>
        <w:rPr>
          <w:rFonts w:ascii="Arial" w:cs="Arial" w:eastAsia="Arial" w:hAnsi="Arial"/>
          <w:sz w:val="18"/>
          <w:szCs w:val="18"/>
          <w:color w:val="auto"/>
        </w:rPr>
        <w:t>Kyle D. Kuvalanka</w:t>
      </w:r>
    </w:p>
    <w:p>
      <w:pPr>
        <w:ind w:left="4640"/>
        <w:spacing w:after="0" w:line="219" w:lineRule="auto"/>
        <w:rPr>
          <w:sz w:val="20"/>
          <w:szCs w:val="20"/>
          <w:color w:val="auto"/>
        </w:rPr>
      </w:pPr>
      <w:r>
        <w:rPr>
          <w:rFonts w:ascii="Arial" w:cs="Arial" w:eastAsia="Arial" w:hAnsi="Arial"/>
          <w:sz w:val="18"/>
          <w:szCs w:val="18"/>
          <w:i w:val="1"/>
          <w:iCs w:val="1"/>
          <w:color w:val="auto"/>
        </w:rPr>
        <w:t>Chief Business Officer (Principal Financial and</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343535</wp:posOffset>
            </wp:positionV>
            <wp:extent cx="584835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10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
      <w:numFmt w:val="bullet"/>
      <w:start w:val="1"/>
    </w:lvl>
  </w:abstractNum>
  <w:abstractNum w:abstractNumId="1">
    <w:nsid w:val="3352255A"/>
    <w:multiLevelType w:val="hybridMultilevel"/>
    <w:lvl w:ilvl="0">
      <w:lvlJc w:val="left"/>
      <w:lvlText w:val=" "/>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2019-12-29T16:51:58Z</dcterms:created>
  <dcterms:modified xsi:type="dcterms:W3CDTF">2019-12-29T16:51:58Z</dcterms:modified>
</cp:coreProperties>
</file>