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449,002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3,309,402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3,309,402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7.7%</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 SIDNEY STREET</w:t>
      </w:r>
    </w:p>
    <w:p>
      <w:pPr>
        <w:spacing w:after="0"/>
        <w:rPr>
          <w:sz w:val="20"/>
          <w:szCs w:val="20"/>
          <w:color w:val="auto"/>
        </w:rPr>
      </w:pPr>
      <w:r>
        <w:rPr>
          <w:rFonts w:ascii="Courier New" w:cs="Courier New" w:eastAsia="Courier New" w:hAnsi="Courier New"/>
          <w:sz w:val="18"/>
          <w:szCs w:val="18"/>
          <w:color w:val="auto"/>
        </w:rPr>
        <w:t>CAMBRIDGE, MASSACHUSETTS 02139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09627Y109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2018</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12/31/2017</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2019-12-08T09:38:26Z</dcterms:created>
  <dcterms:modified xsi:type="dcterms:W3CDTF">2019-12-08T09:38:26Z</dcterms:modified>
</cp:coreProperties>
</file>