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-610235</wp:posOffset>
            </wp:positionV>
            <wp:extent cx="8255" cy="610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-618490</wp:posOffset>
            </wp:positionV>
            <wp:extent cx="8255"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125"/>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-593725</wp:posOffset>
            </wp:positionV>
            <wp:extent cx="1263015" cy="569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015" cy="5695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758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58315"/>
                    </a:xfrm>
                    <a:prstGeom prst="rect">
                      <a:avLst/>
                    </a:prstGeom>
                    <a:noFill/>
                  </pic:spPr>
                </pic:pic>
              </a:graphicData>
            </a:graphic>
          </wp:anchor>
        </w:drawing>
      </w:r>
    </w:p>
    <w:p>
      <w:pPr>
        <w:spacing w:after="0" w:line="39"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2920" w:type="dxa"/>
            <w:vAlign w:val="bottom"/>
            <w:gridSpan w:val="6"/>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gridSpan w:val="2"/>
            <w:vMerge w:val="restart"/>
          </w:tcPr>
          <w:p>
            <w:pPr>
              <w:ind w:left="20"/>
              <w:spacing w:after="0"/>
              <w:rPr>
                <w:rFonts w:ascii="Arial" w:cs="Arial" w:eastAsia="Arial" w:hAnsi="Arial"/>
                <w:sz w:val="21"/>
                <w:szCs w:val="21"/>
                <w:u w:val="single" w:color="auto"/>
                <w:color w:val="0000EE"/>
                <w:w w:val="94"/>
              </w:rPr>
            </w:pPr>
            <w:hyperlink r:id="rId13">
              <w:r>
                <w:rPr>
                  <w:rFonts w:ascii="Arial" w:cs="Arial" w:eastAsia="Arial" w:hAnsi="Arial"/>
                  <w:sz w:val="21"/>
                  <w:szCs w:val="21"/>
                  <w:u w:val="single" w:color="auto"/>
                  <w:color w:val="0000EE"/>
                  <w:w w:val="94"/>
                </w:rPr>
                <w:t>Lydon Nicholas</w:t>
              </w:r>
            </w:hyperlink>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580" w:type="dxa"/>
            <w:vAlign w:val="bottom"/>
            <w:gridSpan w:val="7"/>
          </w:tcPr>
          <w:p>
            <w:pPr>
              <w:ind w:left="60"/>
              <w:spacing w:after="0" w:line="104"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Blueprint Medicines Corp</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BPMC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0" w:type="dxa"/>
            <w:vAlign w:val="bottom"/>
          </w:tcPr>
          <w:p>
            <w:pPr>
              <w:spacing w:after="0"/>
              <w:rPr>
                <w:sz w:val="9"/>
                <w:szCs w:val="9"/>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920" w:type="dxa"/>
            <w:vAlign w:val="bottom"/>
            <w:gridSpan w:val="6"/>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(Last)</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(First)</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2920" w:type="dxa"/>
            <w:vAlign w:val="bottom"/>
            <w:gridSpan w:val="6"/>
            <w:vMerge w:val="continue"/>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ind w:left="120"/>
              <w:spacing w:after="0" w:line="122"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ind w:left="260"/>
              <w:spacing w:after="0" w:line="122"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20" w:type="dxa"/>
            <w:vAlign w:val="bottom"/>
            <w:gridSpan w:val="2"/>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540" w:type="dxa"/>
            <w:vAlign w:val="bottom"/>
            <w:gridSpan w:val="4"/>
            <w:vMerge w:val="restart"/>
          </w:tcPr>
          <w:p>
            <w:pPr>
              <w:ind w:left="160"/>
              <w:spacing w:after="0"/>
              <w:rPr>
                <w:sz w:val="20"/>
                <w:szCs w:val="20"/>
                <w:color w:val="auto"/>
              </w:rPr>
            </w:pPr>
            <w:r>
              <w:rPr>
                <w:rFonts w:ascii="Arial" w:cs="Arial" w:eastAsia="Arial" w:hAnsi="Arial"/>
                <w:sz w:val="17"/>
                <w:szCs w:val="17"/>
                <w:color w:val="0000FF"/>
              </w:rPr>
              <w:t>06/19/2020</w:t>
            </w: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40" w:type="dxa"/>
            <w:vAlign w:val="bottom"/>
            <w:gridSpan w:val="5"/>
            <w:vMerge w:val="restart"/>
          </w:tcPr>
          <w:p>
            <w:pPr>
              <w:ind w:left="20"/>
              <w:spacing w:after="0"/>
              <w:rPr>
                <w:sz w:val="20"/>
                <w:szCs w:val="20"/>
                <w:color w:val="auto"/>
              </w:rPr>
            </w:pPr>
            <w:r>
              <w:rPr>
                <w:rFonts w:ascii="Arial" w:cs="Arial" w:eastAsia="Arial" w:hAnsi="Arial"/>
                <w:sz w:val="17"/>
                <w:szCs w:val="17"/>
                <w:color w:val="0000FF"/>
                <w:w w:val="99"/>
              </w:rPr>
              <w:t>C/O BLUEPRINT MEDICINES CORPORATION</w:t>
            </w:r>
          </w:p>
        </w:tc>
        <w:tc>
          <w:tcPr>
            <w:tcW w:w="154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4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gridSpan w:val="3"/>
            <w:vMerge w:val="restart"/>
          </w:tcPr>
          <w:p>
            <w:pPr>
              <w:ind w:left="20"/>
              <w:spacing w:after="0"/>
              <w:rPr>
                <w:sz w:val="20"/>
                <w:szCs w:val="20"/>
                <w:color w:val="auto"/>
              </w:rPr>
            </w:pPr>
            <w:r>
              <w:rPr>
                <w:rFonts w:ascii="Arial" w:cs="Arial" w:eastAsia="Arial" w:hAnsi="Arial"/>
                <w:sz w:val="17"/>
                <w:szCs w:val="17"/>
                <w:color w:val="0000FF"/>
              </w:rPr>
              <w:t>45 SIDNEY STREET</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40" w:type="dxa"/>
            <w:vAlign w:val="bottom"/>
            <w:gridSpan w:val="3"/>
            <w:vMerge w:val="continue"/>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580" w:type="dxa"/>
            <w:vAlign w:val="bottom"/>
            <w:gridSpan w:val="7"/>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580" w:type="dxa"/>
            <w:vAlign w:val="bottom"/>
            <w:gridSpan w:val="7"/>
            <w:vMerge w:val="continue"/>
          </w:tcPr>
          <w:p>
            <w:pPr>
              <w:spacing w:after="0"/>
              <w:rPr>
                <w:sz w:val="8"/>
                <w:szCs w:val="8"/>
                <w:color w:val="auto"/>
              </w:rPr>
            </w:pPr>
          </w:p>
        </w:tc>
        <w:tc>
          <w:tcPr>
            <w:tcW w:w="240" w:type="dxa"/>
            <w:vAlign w:val="bottom"/>
          </w:tcPr>
          <w:p>
            <w:pPr>
              <w:spacing w:after="0"/>
              <w:rPr>
                <w:sz w:val="8"/>
                <w:szCs w:val="8"/>
                <w:color w:val="auto"/>
              </w:rPr>
            </w:pPr>
          </w:p>
        </w:tc>
        <w:tc>
          <w:tcPr>
            <w:tcW w:w="34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48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2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40" w:type="dxa"/>
            <w:vAlign w:val="bottom"/>
            <w:gridSpan w:val="3"/>
          </w:tcPr>
          <w:p>
            <w:pPr>
              <w:ind w:left="20"/>
              <w:spacing w:after="0"/>
              <w:rPr>
                <w:sz w:val="20"/>
                <w:szCs w:val="20"/>
                <w:color w:val="auto"/>
              </w:rPr>
            </w:pPr>
            <w:r>
              <w:rPr>
                <w:rFonts w:ascii="Arial" w:cs="Arial" w:eastAsia="Arial" w:hAnsi="Arial"/>
                <w:sz w:val="17"/>
                <w:szCs w:val="17"/>
                <w:color w:val="0000FF"/>
              </w:rPr>
              <w:t>CAMBRIDGE   MA</w:t>
            </w:r>
          </w:p>
        </w:tc>
        <w:tc>
          <w:tcPr>
            <w:tcW w:w="1140" w:type="dxa"/>
            <w:vAlign w:val="bottom"/>
          </w:tcPr>
          <w:p>
            <w:pPr>
              <w:ind w:left="20"/>
              <w:spacing w:after="0"/>
              <w:rPr>
                <w:sz w:val="20"/>
                <w:szCs w:val="20"/>
                <w:color w:val="auto"/>
              </w:rPr>
            </w:pPr>
            <w:r>
              <w:rPr>
                <w:rFonts w:ascii="Arial" w:cs="Arial" w:eastAsia="Arial" w:hAnsi="Arial"/>
                <w:sz w:val="17"/>
                <w:szCs w:val="17"/>
                <w:color w:val="0000FF"/>
              </w:rPr>
              <w:t>02139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8"/>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ind w:left="120"/>
              <w:spacing w:after="0" w:line="131"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tcPr>
          <w:p>
            <w:pPr>
              <w:ind w:left="620"/>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234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4"/>
          </w:tcPr>
          <w:p>
            <w:pPr>
              <w:ind w:left="6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6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4"/>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740" w:type="dxa"/>
            <w:vAlign w:val="bottom"/>
            <w:gridSpan w:val="4"/>
          </w:tcPr>
          <w:p>
            <w:pPr>
              <w:ind w:left="760"/>
              <w:spacing w:after="0"/>
              <w:rPr>
                <w:sz w:val="20"/>
                <w:szCs w:val="20"/>
                <w:color w:val="auto"/>
              </w:rPr>
            </w:pPr>
            <w:r>
              <w:rPr>
                <w:rFonts w:ascii="Arial" w:cs="Arial" w:eastAsia="Arial" w:hAnsi="Arial"/>
                <w:sz w:val="17"/>
                <w:szCs w:val="17"/>
                <w:color w:val="0000FF"/>
              </w:rPr>
              <w:t>06/19/2020</w:t>
            </w: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1"/>
              <w:spacing w:after="0"/>
              <w:rPr>
                <w:sz w:val="20"/>
                <w:szCs w:val="20"/>
                <w:color w:val="auto"/>
              </w:rPr>
            </w:pPr>
            <w:r>
              <w:rPr>
                <w:rFonts w:ascii="Arial" w:cs="Arial" w:eastAsia="Arial" w:hAnsi="Arial"/>
                <w:sz w:val="13"/>
                <w:szCs w:val="13"/>
                <w:color w:val="0000FF"/>
              </w:rPr>
              <w:t>M</w:t>
            </w:r>
          </w:p>
        </w:tc>
        <w:tc>
          <w:tcPr>
            <w:tcW w:w="700" w:type="dxa"/>
            <w:vAlign w:val="bottom"/>
          </w:tcPr>
          <w:p>
            <w:pPr>
              <w:ind w:left="260"/>
              <w:spacing w:after="0"/>
              <w:rPr>
                <w:sz w:val="20"/>
                <w:szCs w:val="20"/>
                <w:color w:val="auto"/>
              </w:rPr>
            </w:pPr>
            <w:r>
              <w:rPr>
                <w:rFonts w:ascii="Arial" w:cs="Arial" w:eastAsia="Arial" w:hAnsi="Arial"/>
                <w:sz w:val="17"/>
                <w:szCs w:val="17"/>
                <w:color w:val="0000FF"/>
                <w:w w:val="98"/>
              </w:rPr>
              <w:t>1,312</w:t>
            </w:r>
          </w:p>
        </w:tc>
        <w:tc>
          <w:tcPr>
            <w:tcW w:w="660" w:type="dxa"/>
            <w:vAlign w:val="bottom"/>
          </w:tcPr>
          <w:p>
            <w:pPr>
              <w:ind w:left="340"/>
              <w:spacing w:after="0"/>
              <w:rPr>
                <w:sz w:val="20"/>
                <w:szCs w:val="20"/>
                <w:color w:val="auto"/>
              </w:rPr>
            </w:pPr>
            <w:r>
              <w:rPr>
                <w:rFonts w:ascii="Arial" w:cs="Arial" w:eastAsia="Arial" w:hAnsi="Arial"/>
                <w:sz w:val="17"/>
                <w:szCs w:val="17"/>
                <w:color w:val="0000FF"/>
              </w:rPr>
              <w:t>A</w:t>
            </w:r>
          </w:p>
        </w:tc>
        <w:tc>
          <w:tcPr>
            <w:tcW w:w="52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200" w:type="dxa"/>
            <w:vAlign w:val="bottom"/>
          </w:tcPr>
          <w:p>
            <w:pPr>
              <w:spacing w:after="0"/>
              <w:rPr>
                <w:sz w:val="22"/>
                <w:szCs w:val="22"/>
                <w:color w:val="auto"/>
              </w:rPr>
            </w:pPr>
          </w:p>
        </w:tc>
        <w:tc>
          <w:tcPr>
            <w:tcW w:w="1160" w:type="dxa"/>
            <w:vAlign w:val="bottom"/>
            <w:gridSpan w:val="2"/>
          </w:tcPr>
          <w:p>
            <w:pPr>
              <w:ind w:left="340"/>
              <w:spacing w:after="0"/>
              <w:rPr>
                <w:sz w:val="20"/>
                <w:szCs w:val="20"/>
                <w:color w:val="auto"/>
              </w:rPr>
            </w:pPr>
            <w:r>
              <w:rPr>
                <w:rFonts w:ascii="Arial" w:cs="Arial" w:eastAsia="Arial" w:hAnsi="Arial"/>
                <w:sz w:val="17"/>
                <w:szCs w:val="17"/>
                <w:color w:val="0000FF"/>
              </w:rPr>
              <w:t>89,039</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gridSpan w:val="3"/>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4"/>
          </w:tcPr>
          <w:p>
            <w:pPr>
              <w:ind w:left="760"/>
              <w:spacing w:after="0"/>
              <w:rPr>
                <w:sz w:val="20"/>
                <w:szCs w:val="20"/>
                <w:color w:val="auto"/>
              </w:rPr>
            </w:pPr>
            <w:r>
              <w:rPr>
                <w:rFonts w:ascii="Arial" w:cs="Arial" w:eastAsia="Arial" w:hAnsi="Arial"/>
                <w:sz w:val="17"/>
                <w:szCs w:val="17"/>
                <w:color w:val="0000FF"/>
              </w:rPr>
              <w:t>06/22/2020</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88"/>
              </w:rPr>
              <w:t>13,017</w:t>
            </w:r>
          </w:p>
        </w:tc>
        <w:tc>
          <w:tcPr>
            <w:tcW w:w="66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80.29</w:t>
            </w:r>
            <w:r>
              <w:rPr>
                <w:rFonts w:ascii="Arial" w:cs="Arial" w:eastAsia="Arial" w:hAnsi="Arial"/>
                <w:sz w:val="21"/>
                <w:szCs w:val="21"/>
                <w:color w:val="008000"/>
                <w:w w:val="92"/>
                <w:vertAlign w:val="superscript"/>
              </w:rPr>
              <w:t>(3)</w:t>
            </w:r>
          </w:p>
        </w:tc>
        <w:tc>
          <w:tcPr>
            <w:tcW w:w="11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76,022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5"/>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0" w:type="dxa"/>
            <w:vAlign w:val="bottom"/>
            <w:gridSpan w:val="13"/>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ind w:left="260"/>
              <w:spacing w:after="0"/>
              <w:rPr>
                <w:sz w:val="20"/>
                <w:szCs w:val="20"/>
                <w:color w:val="auto"/>
              </w:rPr>
            </w:pPr>
            <w:r>
              <w:rPr>
                <w:rFonts w:ascii="Arial" w:cs="Arial" w:eastAsia="Arial" w:hAnsi="Arial"/>
                <w:sz w:val="11"/>
                <w:szCs w:val="11"/>
                <w:color w:val="008000"/>
              </w:rPr>
              <w:t>(4)</w:t>
            </w: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gridSpan w:val="2"/>
            <w:vMerge w:val="restart"/>
          </w:tcPr>
          <w:p>
            <w:pPr>
              <w:ind w:left="40"/>
              <w:spacing w:after="0"/>
              <w:rPr>
                <w:sz w:val="20"/>
                <w:szCs w:val="20"/>
                <w:color w:val="auto"/>
              </w:rPr>
            </w:pPr>
            <w:r>
              <w:rPr>
                <w:rFonts w:ascii="Arial" w:cs="Arial" w:eastAsia="Arial" w:hAnsi="Arial"/>
                <w:sz w:val="17"/>
                <w:szCs w:val="17"/>
                <w:color w:val="0000FF"/>
              </w:rPr>
              <w:t>1,312</w:t>
            </w: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rPr>
              <w:t>06/19/2020</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vMerge w:val="restart"/>
          </w:tcPr>
          <w:p>
            <w:pPr>
              <w:spacing w:after="0" w:line="143"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1,312</w:t>
            </w:r>
          </w:p>
        </w:tc>
        <w:tc>
          <w:tcPr>
            <w:tcW w:w="78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ind w:left="360"/>
              <w:spacing w:after="0" w:line="143"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-3375025</wp:posOffset>
            </wp:positionV>
            <wp:extent cx="7033260" cy="34175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417570"/>
                    </a:xfrm>
                    <a:prstGeom prst="rect">
                      <a:avLst/>
                    </a:prstGeom>
                    <a:noFill/>
                  </pic:spPr>
                </pic:pic>
              </a:graphicData>
            </a:graphic>
          </wp:anchor>
        </w:drawing>
      </w:r>
    </w:p>
    <w:p>
      <w:pPr>
        <w:spacing w:after="0" w:line="6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Issuer's common stock.</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Effected pursuant to a trading plan adopted on February 27, 2020 pursuant to Rule 10b5-1 under the Securities Exchange Act of 1934, as amended.</w:t>
      </w:r>
    </w:p>
    <w:p>
      <w:pPr>
        <w:spacing w:after="0" w:line="45" w:lineRule="exact"/>
        <w:rPr>
          <w:rFonts w:ascii="Arial" w:cs="Arial" w:eastAsia="Arial" w:hAnsi="Arial"/>
          <w:sz w:val="13"/>
          <w:szCs w:val="13"/>
          <w:color w:val="008000"/>
        </w:rPr>
      </w:pPr>
    </w:p>
    <w:p>
      <w:pPr>
        <w:ind w:left="40" w:right="24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$80.00 to $80.96 per share.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30"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June 19, 2019, the reporting person was granted 1,312 restricted stock units. These restricted stock units are fully vested.</w:t>
      </w:r>
    </w:p>
    <w:p>
      <w:pPr>
        <w:spacing w:after="0" w:line="54"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Christopher Frankenfield,</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06/23/2020</w:t>
            </w: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restart"/>
          </w:tcPr>
          <w:p>
            <w:pPr>
              <w:spacing w:after="0" w:line="188" w:lineRule="exact"/>
              <w:rPr>
                <w:sz w:val="20"/>
                <w:szCs w:val="20"/>
                <w:color w:val="auto"/>
              </w:rPr>
            </w:pPr>
            <w:r>
              <w:rPr>
                <w:rFonts w:ascii="Arial" w:cs="Arial" w:eastAsia="Arial" w:hAnsi="Arial"/>
                <w:sz w:val="17"/>
                <w:szCs w:val="17"/>
                <w:color w:val="0000FF"/>
                <w:w w:val="92"/>
              </w:rPr>
              <w:t>Attorney-in-Fact</w:t>
            </w:r>
          </w:p>
        </w:tc>
        <w:tc>
          <w:tcPr>
            <w:tcW w:w="800" w:type="dxa"/>
            <w:vAlign w:val="bottom"/>
            <w:tcBorders>
              <w:top w:val="single" w:sz="8" w:color="auto"/>
              <w:bottom w:val="single" w:sz="8" w:color="auto"/>
            </w:tcBorders>
            <w:vMerge w:val="restart"/>
          </w:tcPr>
          <w:p>
            <w:pPr>
              <w:spacing w:after="0"/>
              <w:rPr>
                <w:sz w:val="7"/>
                <w:szCs w:val="7"/>
                <w:color w:val="auto"/>
              </w:rPr>
            </w:pPr>
          </w:p>
        </w:tc>
        <w:tc>
          <w:tcPr>
            <w:tcW w:w="26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140" w:type="dxa"/>
            <w:vAlign w:val="bottom"/>
            <w:tcBorders>
              <w:bottom w:val="single" w:sz="8" w:color="auto"/>
            </w:tcBorders>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39935"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2020-06-23T15:15:28Z</dcterms:created>
  <dcterms:modified xsi:type="dcterms:W3CDTF">2020-06-23T15:15:28Z</dcterms:modified>
</cp:coreProperties>
</file>