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909"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Third Rock Ventures II,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11/18/2015</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909"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 w:type="dxa"/>
            <w:vAlign w:val="bottom"/>
          </w:tcPr>
          <w:p>
            <w:pPr>
              <w:spacing w:after="0"/>
              <w:rPr>
                <w:sz w:val="14"/>
                <w:szCs w:val="14"/>
                <w:color w:val="auto"/>
              </w:rPr>
            </w:pPr>
          </w:p>
        </w:tc>
        <w:tc>
          <w:tcPr>
            <w:tcW w:w="16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3"/>
          </w:tcPr>
          <w:p>
            <w:pPr>
              <w:jc w:val="center"/>
              <w:ind w:left="312"/>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561"/>
              <w:spacing w:after="0"/>
              <w:rPr>
                <w:sz w:val="20"/>
                <w:szCs w:val="20"/>
                <w:color w:val="auto"/>
              </w:rPr>
            </w:pPr>
            <w:r>
              <w:rPr>
                <w:rFonts w:ascii="Arial" w:cs="Arial" w:eastAsia="Arial" w:hAnsi="Arial"/>
                <w:sz w:val="18"/>
                <w:szCs w:val="18"/>
                <w:color w:val="0000FF"/>
                <w:w w:val="88"/>
              </w:rPr>
              <w:t>11/18/2015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9"/>
              </w:rPr>
              <w:t>739,306</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6,653,753</w:t>
            </w:r>
          </w:p>
        </w:tc>
        <w:tc>
          <w:tcPr>
            <w:tcW w:w="92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561"/>
              <w:spacing w:after="0"/>
              <w:rPr>
                <w:sz w:val="20"/>
                <w:szCs w:val="20"/>
                <w:color w:val="auto"/>
              </w:rPr>
            </w:pPr>
            <w:r>
              <w:rPr>
                <w:rFonts w:ascii="Arial" w:cs="Arial" w:eastAsia="Arial" w:hAnsi="Arial"/>
                <w:sz w:val="18"/>
                <w:szCs w:val="18"/>
                <w:color w:val="0000FF"/>
                <w:w w:val="88"/>
              </w:rPr>
              <w:t>11/18/2015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11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9"/>
              </w:rPr>
              <w:t>220,387</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220,387</w:t>
            </w:r>
          </w:p>
        </w:tc>
        <w:tc>
          <w:tcPr>
            <w:tcW w:w="92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(4)</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561"/>
              <w:spacing w:after="0"/>
              <w:rPr>
                <w:sz w:val="20"/>
                <w:szCs w:val="20"/>
                <w:color w:val="auto"/>
              </w:rPr>
            </w:pPr>
            <w:r>
              <w:rPr>
                <w:rFonts w:ascii="Arial" w:cs="Arial" w:eastAsia="Arial" w:hAnsi="Arial"/>
                <w:sz w:val="18"/>
                <w:szCs w:val="18"/>
                <w:color w:val="0000FF"/>
                <w:w w:val="88"/>
              </w:rPr>
              <w:t>11/18/2015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110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9"/>
              </w:rPr>
              <w:t>220,387</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1"/>
              <w:spacing w:after="0"/>
              <w:rPr>
                <w:sz w:val="20"/>
                <w:szCs w:val="20"/>
                <w:color w:val="auto"/>
              </w:rPr>
            </w:pPr>
            <w:r>
              <w:rPr>
                <w:rFonts w:ascii="Arial" w:cs="Arial" w:eastAsia="Arial" w:hAnsi="Arial"/>
                <w:sz w:val="18"/>
                <w:szCs w:val="18"/>
                <w:color w:val="0000FF"/>
                <w:w w:val="79"/>
              </w:rPr>
              <w:t>0</w:t>
            </w:r>
          </w:p>
        </w:tc>
        <w:tc>
          <w:tcPr>
            <w:tcW w:w="92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5"/>
                <w:vertAlign w:val="subscript"/>
              </w:rPr>
              <w:t>D</w:t>
            </w:r>
            <w:r>
              <w:rPr>
                <w:rFonts w:ascii="Arial" w:cs="Arial" w:eastAsia="Arial" w:hAnsi="Arial"/>
                <w:sz w:val="11"/>
                <w:szCs w:val="11"/>
                <w:color w:val="008000"/>
                <w:w w:val="85"/>
              </w:rPr>
              <w:t>(4)</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561"/>
              <w:spacing w:after="0"/>
              <w:rPr>
                <w:sz w:val="20"/>
                <w:szCs w:val="20"/>
                <w:color w:val="auto"/>
              </w:rPr>
            </w:pPr>
            <w:r>
              <w:rPr>
                <w:rFonts w:ascii="Arial" w:cs="Arial" w:eastAsia="Arial" w:hAnsi="Arial"/>
                <w:sz w:val="18"/>
                <w:szCs w:val="18"/>
                <w:color w:val="0000FF"/>
                <w:w w:val="88"/>
              </w:rPr>
              <w:t>11/18/2015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(6)</w:t>
            </w:r>
          </w:p>
        </w:tc>
        <w:tc>
          <w:tcPr>
            <w:tcW w:w="74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0"/>
              </w:rPr>
              <w:t>40,290</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1"/>
              <w:spacing w:after="0"/>
              <w:rPr>
                <w:sz w:val="20"/>
                <w:szCs w:val="20"/>
                <w:color w:val="auto"/>
              </w:rPr>
            </w:pPr>
            <w:r>
              <w:rPr>
                <w:rFonts w:ascii="Arial" w:cs="Arial" w:eastAsia="Arial" w:hAnsi="Arial"/>
                <w:sz w:val="18"/>
                <w:szCs w:val="18"/>
                <w:color w:val="0000FF"/>
                <w:w w:val="87"/>
              </w:rPr>
              <w:t>40,290</w:t>
            </w:r>
          </w:p>
        </w:tc>
        <w:tc>
          <w:tcPr>
            <w:tcW w:w="920" w:type="dxa"/>
            <w:vAlign w:val="bottom"/>
            <w:tcBorders>
              <w:bottom w:val="single" w:sz="8" w:color="2C2C2C"/>
            </w:tcBorders>
          </w:tcPr>
          <w:p>
            <w:pPr>
              <w:jc w:val="center"/>
              <w:ind w:right="15"/>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561"/>
              <w:spacing w:after="0"/>
              <w:rPr>
                <w:sz w:val="20"/>
                <w:szCs w:val="20"/>
                <w:color w:val="auto"/>
              </w:rPr>
            </w:pPr>
            <w:r>
              <w:rPr>
                <w:rFonts w:ascii="Arial" w:cs="Arial" w:eastAsia="Arial" w:hAnsi="Arial"/>
                <w:sz w:val="18"/>
                <w:szCs w:val="18"/>
                <w:color w:val="0000FF"/>
                <w:w w:val="88"/>
              </w:rPr>
              <w:t>11/18/2015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(7)</w:t>
            </w:r>
          </w:p>
        </w:tc>
        <w:tc>
          <w:tcPr>
            <w:tcW w:w="74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0"/>
              </w:rPr>
              <w:t>40,290</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1"/>
              <w:spacing w:after="0"/>
              <w:rPr>
                <w:sz w:val="20"/>
                <w:szCs w:val="20"/>
                <w:color w:val="auto"/>
              </w:rPr>
            </w:pPr>
            <w:r>
              <w:rPr>
                <w:rFonts w:ascii="Arial" w:cs="Arial" w:eastAsia="Arial" w:hAnsi="Arial"/>
                <w:sz w:val="18"/>
                <w:szCs w:val="18"/>
                <w:color w:val="0000FF"/>
                <w:w w:val="87"/>
              </w:rPr>
              <w:t>40,290</w:t>
            </w:r>
          </w:p>
        </w:tc>
        <w:tc>
          <w:tcPr>
            <w:tcW w:w="920" w:type="dxa"/>
            <w:vAlign w:val="bottom"/>
            <w:tcBorders>
              <w:bottom w:val="single" w:sz="8" w:color="2C2C2C"/>
            </w:tcBorders>
          </w:tcPr>
          <w:p>
            <w:pPr>
              <w:jc w:val="center"/>
              <w:ind w:right="15"/>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561"/>
              <w:spacing w:after="0"/>
              <w:rPr>
                <w:sz w:val="20"/>
                <w:szCs w:val="20"/>
                <w:color w:val="auto"/>
              </w:rPr>
            </w:pPr>
            <w:r>
              <w:rPr>
                <w:rFonts w:ascii="Arial" w:cs="Arial" w:eastAsia="Arial" w:hAnsi="Arial"/>
                <w:sz w:val="18"/>
                <w:szCs w:val="18"/>
                <w:color w:val="0000FF"/>
                <w:w w:val="88"/>
              </w:rPr>
              <w:t>11/18/2015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(8)</w:t>
            </w:r>
          </w:p>
        </w:tc>
        <w:tc>
          <w:tcPr>
            <w:tcW w:w="740" w:type="dxa"/>
            <w:vAlign w:val="bottom"/>
            <w:tcBorders>
              <w:bottom w:val="single" w:sz="8" w:color="2C2C2C"/>
            </w:tcBorders>
          </w:tcPr>
          <w:p>
            <w:pPr>
              <w:jc w:val="center"/>
              <w:ind w:left="166"/>
              <w:spacing w:after="0"/>
              <w:rPr>
                <w:sz w:val="20"/>
                <w:szCs w:val="20"/>
                <w:color w:val="auto"/>
              </w:rPr>
            </w:pPr>
            <w:r>
              <w:rPr>
                <w:rFonts w:ascii="Arial" w:cs="Arial" w:eastAsia="Arial" w:hAnsi="Arial"/>
                <w:sz w:val="18"/>
                <w:szCs w:val="18"/>
                <w:color w:val="0000FF"/>
                <w:w w:val="90"/>
              </w:rPr>
              <w:t>40,290</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1"/>
              <w:spacing w:after="0"/>
              <w:rPr>
                <w:sz w:val="20"/>
                <w:szCs w:val="20"/>
                <w:color w:val="auto"/>
              </w:rPr>
            </w:pPr>
            <w:r>
              <w:rPr>
                <w:rFonts w:ascii="Arial" w:cs="Arial" w:eastAsia="Arial" w:hAnsi="Arial"/>
                <w:sz w:val="18"/>
                <w:szCs w:val="18"/>
                <w:color w:val="0000FF"/>
                <w:w w:val="87"/>
              </w:rPr>
              <w:t>40,290</w:t>
            </w:r>
          </w:p>
        </w:tc>
        <w:tc>
          <w:tcPr>
            <w:tcW w:w="920" w:type="dxa"/>
            <w:vAlign w:val="bottom"/>
            <w:tcBorders>
              <w:bottom w:val="single" w:sz="8" w:color="2C2C2C"/>
            </w:tcBorders>
          </w:tcPr>
          <w:p>
            <w:pPr>
              <w:jc w:val="center"/>
              <w:ind w:right="15"/>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8"/>
          </w:tcPr>
          <w:p>
            <w:pPr>
              <w:ind w:left="10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40" w:type="dxa"/>
            <w:vAlign w:val="bottom"/>
            <w:gridSpan w:val="13"/>
          </w:tcPr>
          <w:p>
            <w:pPr>
              <w:jc w:val="right"/>
              <w:ind w:right="23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60" w:type="dxa"/>
            <w:vAlign w:val="bottom"/>
            <w:tcBorders>
              <w:top w:val="single" w:sz="8" w:color="2C2C2C"/>
            </w:tcBorders>
          </w:tcPr>
          <w:p>
            <w:pPr>
              <w:spacing w:after="0"/>
              <w:rPr>
                <w:sz w:val="21"/>
                <w:szCs w:val="21"/>
                <w:color w:val="auto"/>
              </w:rPr>
            </w:pPr>
          </w:p>
        </w:tc>
        <w:tc>
          <w:tcPr>
            <w:tcW w:w="9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96"/>
              </w:rPr>
            </w:pPr>
            <w:hyperlink r:id="rId12">
              <w:r>
                <w:rPr>
                  <w:rFonts w:ascii="Arial" w:cs="Arial" w:eastAsia="Arial" w:hAnsi="Arial"/>
                  <w:sz w:val="22"/>
                  <w:szCs w:val="22"/>
                  <w:color w:val="0000EE"/>
                  <w:w w:val="96"/>
                </w:rPr>
                <w:t>Third Rock Ventures II, L.P.</w:t>
              </w:r>
            </w:hyperlink>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C/O THIRD ROCK VENTURES, LLC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Third Rock Ventures GP II,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09"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909" w:orient="portrait"/>
          <w:cols w:equalWidth="0" w:num="1">
            <w:col w:w="11420"/>
          </w:cols>
          <w:pgMar w:left="240" w:top="226" w:right="2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77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677037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TRV GP II,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LEVIN MARK J</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STARR KEVIN 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5"/>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TEPPER ROBERT I</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5"/>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4"/>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4"/>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Third Rock Ventures II, L.P. ("TRV") on a pro rata basis to its partners.</w:t>
      </w:r>
    </w:p>
    <w:p>
      <w:pPr>
        <w:spacing w:after="0" w:line="41" w:lineRule="exact"/>
        <w:rPr>
          <w:rFonts w:ascii="Arial" w:cs="Arial" w:eastAsia="Arial" w:hAnsi="Arial"/>
          <w:sz w:val="14"/>
          <w:szCs w:val="14"/>
          <w:color w:val="008000"/>
        </w:rPr>
      </w:pPr>
    </w:p>
    <w:p>
      <w:pPr>
        <w:ind w:left="20" w:right="4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directly held by TRV. The general partner of TRV is Third Rock Ventures GP II, L.P. ("TRV GP"). The general partner of TRV GP is TRV GP II, LLC ("TRV GP LLC"). The individual managers of TRV GP LLC are Mark Levin ("Levin"), Kevin Starr ("Starr") and Dr. Robert Tepper ("Tepper") and, as such, each of TRV GP, TRV GP LLC, Levin, Starr and Tepper exercises shared voting and investment power over the shares held of record by TRV. Each of the Reporting Persons disclaims beneficial ownership of the shares except to the extent of their pecuniary interest therein, if any.</w:t>
      </w:r>
    </w:p>
    <w:p>
      <w:pPr>
        <w:spacing w:after="0" w:line="2"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TRV GP received shares distributed in kind by TRV on a pro rata basis to its partners.</w:t>
      </w:r>
    </w:p>
    <w:p>
      <w:pPr>
        <w:spacing w:after="0" w:line="41" w:lineRule="exact"/>
        <w:rPr>
          <w:rFonts w:ascii="Arial" w:cs="Arial" w:eastAsia="Arial" w:hAnsi="Arial"/>
          <w:sz w:val="14"/>
          <w:szCs w:val="14"/>
          <w:color w:val="008000"/>
        </w:rPr>
      </w:pPr>
    </w:p>
    <w:p>
      <w:pPr>
        <w:ind w:lef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TRV GP. As such, each of TRV GP LLC, Levin, Starr and Tepper exercises shared voting and investment power over the shares held of record TRV GP. Each of the Reporting Persons disclaims beneficial ownership of the shares except to the extent of its pecuniary interest therein, if any.</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TRV GP on a pro rata basis to its partners.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Levin received shares distributed in kind by TRV GP on a pro rata basis to its partners.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Starr received shares distributed in kind by TRV GP on a pro rata basis to its partners.</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Tepper received shares distributed in kind by TRV GP on a pro rata basis to its partners.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300"/>
          </w:cols>
          <w:pgMar w:left="260" w:top="275" w:right="339" w:bottom="0" w:gutter="0" w:footer="0" w:header="0"/>
        </w:sectPr>
      </w:pP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Third Rock Ventures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93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by Third Rock Ventures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8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its general partner by TRV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7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874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GP II,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3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43660"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Third Rock Ventures GP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620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 by TRV GP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6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268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71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67119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TRV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8858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47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 for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01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47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attorney for Kevin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8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47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0000FF"/>
        </w:rPr>
        <w:t>11/18/2015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11/18/2015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11/18/2015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11/18/2015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11/18/2015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11/18/2015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838" w:orient="portrait"/>
          <w:cols w:equalWidth="0" w:num="2">
            <w:col w:w="9040" w:space="100"/>
            <w:col w:w="2160"/>
          </w:cols>
          <w:pgMar w:left="260" w:top="275" w:right="33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8"/>
          <w:szCs w:val="18"/>
          <w:color w:val="0000FF"/>
        </w:rPr>
        <w:t>attorney for Dr. Robert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76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12" Type="http://schemas.openxmlformats.org/officeDocument/2006/relationships/hyperlink" Target="http://www.sec.gov/cgi-bin/browse-edgar?action=getcompany&amp;CIK=0001488495" TargetMode="External"/><Relationship Id="rId13" Type="http://schemas.openxmlformats.org/officeDocument/2006/relationships/hyperlink" Target="http://www.sec.gov/cgi-bin/browse-edgar?action=getcompany&amp;CIK=0001597264" TargetMode="External"/><Relationship Id="rId14" Type="http://schemas.openxmlformats.org/officeDocument/2006/relationships/hyperlink" Target="http://www.sec.gov/cgi-bin/browse-edgar?action=getcompany&amp;CIK=0001614061" TargetMode="External"/><Relationship Id="rId16" Type="http://schemas.openxmlformats.org/officeDocument/2006/relationships/hyperlink" Target="http://www.sec.gov/cgi-bin/browse-edgar?action=getcompany&amp;CIK=0001614073" TargetMode="External"/><Relationship Id="rId17" Type="http://schemas.openxmlformats.org/officeDocument/2006/relationships/hyperlink" Target="http://www.sec.gov/cgi-bin/browse-edgar?action=getcompany&amp;CIK=0001180428" TargetMode="External"/><Relationship Id="rId18" Type="http://schemas.openxmlformats.org/officeDocument/2006/relationships/hyperlink" Target="http://www.sec.gov/cgi-bin/browse-edgar?action=getcompany&amp;CIK=0001192603" TargetMode="External"/><Relationship Id="rId19" Type="http://schemas.openxmlformats.org/officeDocument/2006/relationships/hyperlink" Target="http://www.sec.gov/cgi-bin/browse-edgar?action=getcompany&amp;CIK=0001192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2019-12-23T16:51:18Z</dcterms:created>
  <dcterms:modified xsi:type="dcterms:W3CDTF">2019-12-23T16:51:18Z</dcterms:modified>
</cp:coreProperties>
</file>