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TABLE OF CONTENTS</w:t>
        </w:r>
      </w:hyperlink>
    </w:p>
    <w:p>
      <w:pPr>
        <w:spacing w:after="0" w:line="213"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333-216573</w:t>
      </w:r>
    </w:p>
    <w:p>
      <w:pPr>
        <w:spacing w:after="0" w:line="190" w:lineRule="exact"/>
        <w:rPr>
          <w:sz w:val="24"/>
          <w:szCs w:val="24"/>
          <w:color w:val="auto"/>
        </w:rPr>
      </w:pPr>
    </w:p>
    <w:p>
      <w:pPr>
        <w:ind w:right="40"/>
        <w:spacing w:after="0" w:line="244" w:lineRule="auto"/>
        <w:rPr>
          <w:sz w:val="20"/>
          <w:szCs w:val="20"/>
          <w:color w:val="auto"/>
        </w:rPr>
      </w:pPr>
      <w:r>
        <w:rPr>
          <w:rFonts w:ascii="Arial" w:cs="Arial" w:eastAsia="Arial" w:hAnsi="Arial"/>
          <w:sz w:val="18"/>
          <w:szCs w:val="18"/>
          <w:b w:val="1"/>
          <w:bCs w:val="1"/>
          <w:color w:val="EF505F"/>
        </w:rPr>
        <w:t>The information in this preliminary prospectus supplement is not complete and may be changed. A registration statement relating to these securities has become effective by rule of the Securities and Exchange Commission. This preliminary prospectus supplement and the accompanying prospectus are not an offer to sell these securities, and we are not soliciting offers to buy these securities, in any state or other jurisdiction where the offer or sale is not permitted.</w:t>
      </w:r>
    </w:p>
    <w:p>
      <w:pPr>
        <w:spacing w:after="0" w:line="185"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EF505F"/>
        </w:rPr>
        <w:t>SUBJECT TO COMPLETION, DATED JANUARY 21, 2020</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 to Prospectus dated March 9, 2017.</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$325,000,000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1522730</wp:posOffset>
            </wp:positionH>
            <wp:positionV relativeFrom="paragraph">
              <wp:posOffset>144780</wp:posOffset>
            </wp:positionV>
            <wp:extent cx="4219575" cy="1466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19575" cy="14662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259" w:lineRule="exact"/>
        <w:rPr>
          <w:sz w:val="24"/>
          <w:szCs w:val="24"/>
          <w:color w:val="auto"/>
        </w:rPr>
      </w:pPr>
    </w:p>
    <w:p>
      <w:pPr>
        <w:ind w:left="4880"/>
        <w:spacing w:after="0"/>
        <w:rPr>
          <w:sz w:val="20"/>
          <w:szCs w:val="20"/>
          <w:color w:val="auto"/>
        </w:rPr>
      </w:pPr>
      <w:r>
        <w:rPr>
          <w:rFonts w:ascii="Arial" w:cs="Arial" w:eastAsia="Arial" w:hAnsi="Arial"/>
          <w:sz w:val="24"/>
          <w:szCs w:val="24"/>
          <w:color w:val="auto"/>
        </w:rPr>
        <w:t>Common Stock</w:t>
      </w:r>
    </w:p>
    <w:p>
      <w:pPr>
        <w:spacing w:after="0" w:line="231" w:lineRule="exact"/>
        <w:rPr>
          <w:sz w:val="24"/>
          <w:szCs w:val="24"/>
          <w:color w:val="auto"/>
        </w:rPr>
      </w:pPr>
    </w:p>
    <w:p>
      <w:pPr>
        <w:ind w:left="500"/>
        <w:spacing w:after="0"/>
        <w:rPr>
          <w:sz w:val="20"/>
          <w:szCs w:val="20"/>
          <w:color w:val="auto"/>
        </w:rPr>
      </w:pPr>
      <w:r>
        <w:rPr>
          <w:rFonts w:ascii="Arial" w:cs="Arial" w:eastAsia="Arial" w:hAnsi="Arial"/>
          <w:sz w:val="18"/>
          <w:szCs w:val="18"/>
          <w:color w:val="auto"/>
        </w:rPr>
        <w:t>We are offering up to $325,000,000 of shares of our common stock.</w:t>
      </w:r>
    </w:p>
    <w:p>
      <w:pPr>
        <w:spacing w:after="0" w:line="212" w:lineRule="exact"/>
        <w:rPr>
          <w:sz w:val="24"/>
          <w:szCs w:val="24"/>
          <w:color w:val="auto"/>
        </w:rPr>
      </w:pPr>
    </w:p>
    <w:p>
      <w:pPr>
        <w:ind w:right="420" w:firstLine="488"/>
        <w:spacing w:after="0" w:line="239" w:lineRule="auto"/>
        <w:rPr>
          <w:sz w:val="20"/>
          <w:szCs w:val="20"/>
          <w:color w:val="auto"/>
        </w:rPr>
      </w:pPr>
      <w:r>
        <w:rPr>
          <w:rFonts w:ascii="Arial" w:cs="Arial" w:eastAsia="Arial" w:hAnsi="Arial"/>
          <w:sz w:val="18"/>
          <w:szCs w:val="18"/>
          <w:color w:val="auto"/>
        </w:rPr>
        <w:t>Our common stock is listed on the Nasdaq Global Select Market under the symbol "BPMC". The last reported sale price of our common stock on the Nasdaq Global Select Market on January 17, 2020 was $81.10 per share.</w:t>
      </w:r>
    </w:p>
    <w:p>
      <w:pPr>
        <w:spacing w:after="0" w:line="191" w:lineRule="exact"/>
        <w:rPr>
          <w:sz w:val="24"/>
          <w:szCs w:val="24"/>
          <w:color w:val="auto"/>
        </w:rPr>
      </w:pPr>
    </w:p>
    <w:p>
      <w:pPr>
        <w:ind w:right="100" w:firstLine="488"/>
        <w:spacing w:after="0" w:line="247" w:lineRule="auto"/>
        <w:rPr>
          <w:sz w:val="20"/>
          <w:szCs w:val="20"/>
          <w:color w:val="auto"/>
        </w:rPr>
      </w:pPr>
      <w:r>
        <w:rPr>
          <w:rFonts w:ascii="Arial" w:cs="Arial" w:eastAsia="Arial" w:hAnsi="Arial"/>
          <w:sz w:val="18"/>
          <w:szCs w:val="18"/>
          <w:i w:val="1"/>
          <w:iCs w:val="1"/>
          <w:color w:val="auto"/>
        </w:rPr>
        <w:t>Investing in our common stock involves a high degree of risk. See "Risk Factors" beginning on page S-14 of this prospectus supplement, as well as in the documents incorporated or deemed to be incorporated by reference into this prospectus supplement and the accompanying prospectus, for a discussion of the factors you should carefully consider before deciding to purchase our common stock.</w:t>
      </w:r>
    </w:p>
    <w:p>
      <w:pPr>
        <w:spacing w:after="0" w:line="181" w:lineRule="exact"/>
        <w:rPr>
          <w:sz w:val="24"/>
          <w:szCs w:val="24"/>
          <w:color w:val="auto"/>
        </w:rPr>
      </w:pPr>
    </w:p>
    <w:p>
      <w:pPr>
        <w:ind w:right="140" w:firstLine="488"/>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adequacy or accuracy of this prospectus supplement or the accompanying prospectus. Any representation to the contrary is a criminal offense.</w:t>
      </w: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14"/>
        </w:trPr>
        <w:tc>
          <w:tcPr>
            <w:tcW w:w="9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Per share</w:t>
            </w: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Total</w:t>
            </w:r>
          </w:p>
        </w:tc>
      </w:tr>
      <w:tr>
        <w:trPr>
          <w:trHeight w:val="205"/>
        </w:trPr>
        <w:tc>
          <w:tcPr>
            <w:tcW w:w="5640" w:type="dxa"/>
            <w:vAlign w:val="bottom"/>
            <w:gridSpan w:val="2"/>
          </w:tcPr>
          <w:p>
            <w:pPr>
              <w:spacing w:after="0" w:line="206" w:lineRule="exact"/>
              <w:rPr>
                <w:sz w:val="20"/>
                <w:szCs w:val="20"/>
                <w:color w:val="auto"/>
              </w:rPr>
            </w:pPr>
            <w:r>
              <w:rPr>
                <w:rFonts w:ascii="Arial" w:cs="Arial" w:eastAsia="Arial" w:hAnsi="Arial"/>
                <w:sz w:val="18"/>
                <w:szCs w:val="18"/>
                <w:color w:val="auto"/>
              </w:rPr>
              <w:t>Public offering price</w:t>
            </w:r>
          </w:p>
        </w:tc>
        <w:tc>
          <w:tcPr>
            <w:tcW w:w="1940" w:type="dxa"/>
            <w:vAlign w:val="bottom"/>
            <w:gridSpan w:val="2"/>
          </w:tcPr>
          <w:p>
            <w:pPr>
              <w:jc w:val="right"/>
              <w:ind w:right="1052"/>
              <w:spacing w:after="0" w:line="206"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52"/>
              <w:spacing w:after="0" w:line="206" w:lineRule="exact"/>
              <w:rPr>
                <w:sz w:val="20"/>
                <w:szCs w:val="20"/>
                <w:color w:val="auto"/>
              </w:rPr>
            </w:pPr>
            <w:r>
              <w:rPr>
                <w:rFonts w:ascii="Arial" w:cs="Arial" w:eastAsia="Arial" w:hAnsi="Arial"/>
                <w:sz w:val="18"/>
                <w:szCs w:val="18"/>
                <w:color w:val="auto"/>
              </w:rPr>
              <w:t>$</w:t>
            </w:r>
          </w:p>
        </w:tc>
      </w:tr>
      <w:tr>
        <w:trPr>
          <w:trHeight w:val="244"/>
        </w:trPr>
        <w:tc>
          <w:tcPr>
            <w:tcW w:w="5640" w:type="dxa"/>
            <w:vAlign w:val="bottom"/>
            <w:gridSpan w:val="2"/>
          </w:tcPr>
          <w:p>
            <w:pPr>
              <w:spacing w:after="0" w:line="243" w:lineRule="exact"/>
              <w:rPr>
                <w:sz w:val="20"/>
                <w:szCs w:val="20"/>
                <w:color w:val="auto"/>
              </w:rPr>
            </w:pPr>
            <w:r>
              <w:rPr>
                <w:rFonts w:ascii="Arial" w:cs="Arial" w:eastAsia="Arial" w:hAnsi="Arial"/>
                <w:sz w:val="17"/>
                <w:szCs w:val="17"/>
                <w:color w:val="auto"/>
              </w:rPr>
              <w:t>Underwriting discount</w:t>
            </w:r>
            <w:r>
              <w:rPr>
                <w:rFonts w:ascii="Arial" w:cs="Arial" w:eastAsia="Arial" w:hAnsi="Arial"/>
                <w:sz w:val="28"/>
                <w:szCs w:val="28"/>
                <w:color w:val="auto"/>
                <w:vertAlign w:val="superscript"/>
              </w:rPr>
              <w:t>(1)</w:t>
            </w:r>
          </w:p>
        </w:tc>
        <w:tc>
          <w:tcPr>
            <w:tcW w:w="1940" w:type="dxa"/>
            <w:vAlign w:val="bottom"/>
            <w:gridSpan w:val="2"/>
          </w:tcPr>
          <w:p>
            <w:pPr>
              <w:jc w:val="right"/>
              <w:ind w:right="1052"/>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52"/>
              <w:spacing w:after="0"/>
              <w:rPr>
                <w:sz w:val="20"/>
                <w:szCs w:val="20"/>
                <w:color w:val="auto"/>
              </w:rPr>
            </w:pPr>
            <w:r>
              <w:rPr>
                <w:rFonts w:ascii="Arial" w:cs="Arial" w:eastAsia="Arial" w:hAnsi="Arial"/>
                <w:sz w:val="18"/>
                <w:szCs w:val="18"/>
                <w:color w:val="auto"/>
              </w:rPr>
              <w:t>$</w:t>
            </w:r>
          </w:p>
        </w:tc>
      </w:tr>
      <w:tr>
        <w:trPr>
          <w:trHeight w:val="211"/>
        </w:trPr>
        <w:tc>
          <w:tcPr>
            <w:tcW w:w="5640" w:type="dxa"/>
            <w:vAlign w:val="bottom"/>
            <w:gridSpan w:val="2"/>
          </w:tcPr>
          <w:p>
            <w:pPr>
              <w:spacing w:after="0"/>
              <w:rPr>
                <w:sz w:val="20"/>
                <w:szCs w:val="20"/>
                <w:color w:val="auto"/>
              </w:rPr>
            </w:pPr>
            <w:r>
              <w:rPr>
                <w:rFonts w:ascii="Arial" w:cs="Arial" w:eastAsia="Arial" w:hAnsi="Arial"/>
                <w:sz w:val="18"/>
                <w:szCs w:val="18"/>
                <w:color w:val="auto"/>
              </w:rPr>
              <w:t>Proceeds, before expenses, to Blueprint Medicines Corporation</w:t>
            </w:r>
          </w:p>
        </w:tc>
        <w:tc>
          <w:tcPr>
            <w:tcW w:w="1940" w:type="dxa"/>
            <w:vAlign w:val="bottom"/>
            <w:gridSpan w:val="2"/>
          </w:tcPr>
          <w:p>
            <w:pPr>
              <w:jc w:val="right"/>
              <w:ind w:right="1052"/>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52"/>
              <w:spacing w:after="0"/>
              <w:rPr>
                <w:sz w:val="20"/>
                <w:szCs w:val="20"/>
                <w:color w:val="auto"/>
              </w:rPr>
            </w:pPr>
            <w:r>
              <w:rPr>
                <w:rFonts w:ascii="Arial" w:cs="Arial" w:eastAsia="Arial" w:hAnsi="Arial"/>
                <w:sz w:val="18"/>
                <w:szCs w:val="18"/>
                <w:color w:val="auto"/>
              </w:rPr>
              <w:t>$</w:t>
            </w:r>
          </w:p>
        </w:tc>
      </w:tr>
      <w:tr>
        <w:trPr>
          <w:trHeight w:val="97"/>
        </w:trPr>
        <w:tc>
          <w:tcPr>
            <w:tcW w:w="94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140" w:lineRule="exact"/>
        <w:rPr>
          <w:sz w:val="24"/>
          <w:szCs w:val="24"/>
          <w:color w:val="auto"/>
        </w:rPr>
      </w:pPr>
    </w:p>
    <w:p>
      <w:pPr>
        <w:ind w:left="1680" w:hanging="531"/>
        <w:spacing w:after="0"/>
        <w:tabs>
          <w:tab w:leader="none" w:pos="168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We refer you to "Underwriting" beginning on page S-25 of this prospectus supplement for additional information regarding underwriter compensation.</w:t>
      </w:r>
    </w:p>
    <w:p>
      <w:pPr>
        <w:spacing w:after="0" w:line="204" w:lineRule="exact"/>
        <w:rPr>
          <w:sz w:val="24"/>
          <w:szCs w:val="24"/>
          <w:color w:val="auto"/>
        </w:rPr>
      </w:pPr>
    </w:p>
    <w:p>
      <w:pPr>
        <w:ind w:right="600" w:firstLine="488"/>
        <w:spacing w:after="0" w:line="299" w:lineRule="auto"/>
        <w:rPr>
          <w:sz w:val="20"/>
          <w:szCs w:val="20"/>
          <w:color w:val="auto"/>
        </w:rPr>
      </w:pPr>
      <w:r>
        <w:rPr>
          <w:rFonts w:ascii="Arial" w:cs="Arial" w:eastAsia="Arial" w:hAnsi="Arial"/>
          <w:sz w:val="16"/>
          <w:szCs w:val="16"/>
          <w:color w:val="auto"/>
        </w:rPr>
        <w:t>We have granted the underwriters an option for a period of 30 days from the date of this prospectus supplement to purchase up to an additional $48,750,000 of shares of our common stock at the public offering price less the underwriting discounts and commissions.</w:t>
      </w:r>
    </w:p>
    <w:p>
      <w:pPr>
        <w:spacing w:after="0" w:line="163" w:lineRule="exact"/>
        <w:rPr>
          <w:sz w:val="24"/>
          <w:szCs w:val="24"/>
          <w:color w:val="auto"/>
        </w:rPr>
      </w:pPr>
    </w:p>
    <w:p>
      <w:pPr>
        <w:ind w:left="500"/>
        <w:spacing w:after="0"/>
        <w:tabs>
          <w:tab w:leader="none" w:pos="9000" w:val="left"/>
        </w:tabs>
        <w:rPr>
          <w:sz w:val="20"/>
          <w:szCs w:val="20"/>
          <w:color w:val="auto"/>
        </w:rPr>
      </w:pPr>
      <w:r>
        <w:rPr>
          <w:rFonts w:ascii="Arial" w:cs="Arial" w:eastAsia="Arial" w:hAnsi="Arial"/>
          <w:sz w:val="18"/>
          <w:szCs w:val="18"/>
          <w:color w:val="auto"/>
        </w:rPr>
        <w:t>The underwriters expect to deliver the shares against payment in New York, New York on or about January</w:t>
      </w:r>
      <w:r>
        <w:rPr>
          <w:sz w:val="20"/>
          <w:szCs w:val="20"/>
          <w:color w:val="auto"/>
        </w:rPr>
        <w:tab/>
      </w:r>
      <w:r>
        <w:rPr>
          <w:rFonts w:ascii="Arial" w:cs="Arial" w:eastAsia="Arial" w:hAnsi="Arial"/>
          <w:sz w:val="16"/>
          <w:szCs w:val="16"/>
          <w:color w:val="auto"/>
        </w:rPr>
        <w:t>, 2020.</w:t>
      </w:r>
    </w:p>
    <w:p>
      <w:pPr>
        <w:spacing w:after="0" w:line="190" w:lineRule="exact"/>
        <w:rPr>
          <w:sz w:val="24"/>
          <w:szCs w:val="24"/>
          <w:color w:val="auto"/>
        </w:rPr>
      </w:pPr>
    </w:p>
    <w:p>
      <w:pPr>
        <w:ind w:left="1440"/>
        <w:spacing w:after="0"/>
        <w:tabs>
          <w:tab w:leader="none" w:pos="8560" w:val="left"/>
        </w:tabs>
        <w:rPr>
          <w:sz w:val="20"/>
          <w:szCs w:val="20"/>
          <w:color w:val="auto"/>
        </w:rPr>
      </w:pPr>
      <w:r>
        <w:rPr>
          <w:rFonts w:ascii="Arial" w:cs="Arial" w:eastAsia="Arial" w:hAnsi="Arial"/>
          <w:sz w:val="18"/>
          <w:szCs w:val="18"/>
          <w:b w:val="1"/>
          <w:bCs w:val="1"/>
          <w:color w:val="auto"/>
        </w:rPr>
        <w:t>Goldman Sachs &amp; Co. LLC</w:t>
      </w:r>
      <w:r>
        <w:rPr>
          <w:sz w:val="20"/>
          <w:szCs w:val="20"/>
          <w:color w:val="auto"/>
        </w:rPr>
        <w:tab/>
      </w:r>
      <w:r>
        <w:rPr>
          <w:rFonts w:ascii="Arial" w:cs="Arial" w:eastAsia="Arial" w:hAnsi="Arial"/>
          <w:sz w:val="16"/>
          <w:szCs w:val="16"/>
          <w:b w:val="1"/>
          <w:bCs w:val="1"/>
          <w:color w:val="auto"/>
        </w:rPr>
        <w:t>Cowen</w:t>
      </w:r>
    </w:p>
    <w:p>
      <w:pPr>
        <w:spacing w:after="0" w:line="239" w:lineRule="exact"/>
        <w:rPr>
          <w:sz w:val="24"/>
          <w:szCs w:val="24"/>
          <w:color w:val="auto"/>
        </w:rPr>
      </w:pPr>
    </w:p>
    <w:p>
      <w:pPr>
        <w:ind w:left="1760"/>
        <w:spacing w:after="0"/>
        <w:tabs>
          <w:tab w:leader="none" w:pos="5060" w:val="left"/>
          <w:tab w:leader="none" w:pos="8140" w:val="left"/>
        </w:tabs>
        <w:rPr>
          <w:sz w:val="20"/>
          <w:szCs w:val="20"/>
          <w:color w:val="auto"/>
        </w:rPr>
      </w:pPr>
      <w:r>
        <w:rPr>
          <w:rFonts w:ascii="Arial" w:cs="Arial" w:eastAsia="Arial" w:hAnsi="Arial"/>
          <w:sz w:val="18"/>
          <w:szCs w:val="18"/>
          <w:b w:val="1"/>
          <w:bCs w:val="1"/>
          <w:color w:val="auto"/>
        </w:rPr>
        <w:t>Canaccord Genuity</w:t>
      </w:r>
      <w:r>
        <w:rPr>
          <w:sz w:val="20"/>
          <w:szCs w:val="20"/>
          <w:color w:val="auto"/>
        </w:rPr>
        <w:tab/>
      </w:r>
      <w:r>
        <w:rPr>
          <w:rFonts w:ascii="Arial" w:cs="Arial" w:eastAsia="Arial" w:hAnsi="Arial"/>
          <w:sz w:val="18"/>
          <w:szCs w:val="18"/>
          <w:b w:val="1"/>
          <w:bCs w:val="1"/>
          <w:color w:val="auto"/>
        </w:rPr>
        <w:t>JMP Securities</w:t>
      </w:r>
      <w:r>
        <w:rPr>
          <w:sz w:val="20"/>
          <w:szCs w:val="20"/>
          <w:color w:val="auto"/>
        </w:rPr>
        <w:tab/>
      </w:r>
      <w:r>
        <w:rPr>
          <w:rFonts w:ascii="Arial" w:cs="Arial" w:eastAsia="Arial" w:hAnsi="Arial"/>
          <w:sz w:val="16"/>
          <w:szCs w:val="16"/>
          <w:b w:val="1"/>
          <w:bCs w:val="1"/>
          <w:color w:val="auto"/>
        </w:rPr>
        <w:t>Raymond James</w:t>
      </w:r>
    </w:p>
    <w:p>
      <w:pPr>
        <w:sectPr>
          <w:pgSz w:w="11900" w:h="16838" w:orient="portrait"/>
          <w:cols w:equalWidth="0" w:num="1">
            <w:col w:w="11420"/>
          </w:cols>
          <w:pgMar w:left="240" w:top="685" w:right="239" w:bottom="906" w:gutter="0" w:footer="0" w:header="0"/>
        </w:sectPr>
      </w:pPr>
    </w:p>
    <w:p>
      <w:pPr>
        <w:spacing w:after="0" w:line="200" w:lineRule="exact"/>
        <w:rPr>
          <w:sz w:val="24"/>
          <w:szCs w:val="24"/>
          <w:color w:val="auto"/>
        </w:rPr>
      </w:pPr>
    </w:p>
    <w:p>
      <w:pPr>
        <w:spacing w:after="0" w:line="317" w:lineRule="exact"/>
        <w:rPr>
          <w:sz w:val="24"/>
          <w:szCs w:val="24"/>
          <w:color w:val="auto"/>
        </w:rPr>
      </w:pPr>
    </w:p>
    <w:p>
      <w:pPr>
        <w:jc w:val="center"/>
        <w:ind w:right="-19"/>
        <w:spacing w:after="0"/>
        <w:tabs>
          <w:tab w:leader="none" w:pos="220" w:val="left"/>
        </w:tabs>
        <w:rPr>
          <w:sz w:val="20"/>
          <w:szCs w:val="20"/>
          <w:color w:val="auto"/>
        </w:rPr>
      </w:pPr>
      <w:r>
        <w:rPr>
          <w:rFonts w:ascii="Arial" w:cs="Arial" w:eastAsia="Arial" w:hAnsi="Arial"/>
          <w:sz w:val="18"/>
          <w:szCs w:val="18"/>
          <w:color w:val="auto"/>
        </w:rPr>
        <w:t>Prospectus Supplement dated January</w:t>
      </w:r>
      <w:r>
        <w:rPr>
          <w:sz w:val="20"/>
          <w:szCs w:val="20"/>
          <w:color w:val="auto"/>
        </w:rPr>
        <w:tab/>
      </w:r>
      <w:r>
        <w:rPr>
          <w:rFonts w:ascii="Arial" w:cs="Arial" w:eastAsia="Arial" w:hAnsi="Arial"/>
          <w:sz w:val="16"/>
          <w:szCs w:val="16"/>
          <w:color w:val="auto"/>
        </w:rPr>
        <w:t>,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906"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600" w:type="dxa"/>
            <w:vAlign w:val="bottom"/>
            <w:gridSpan w:val="2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640"/>
        </w:trPr>
        <w:tc>
          <w:tcPr>
            <w:tcW w:w="1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gridSpan w:val="6"/>
          </w:tcPr>
          <w:p>
            <w:pPr>
              <w:jc w:val="center"/>
              <w:ind w:right="2920"/>
              <w:spacing w:after="0"/>
              <w:rPr>
                <w:sz w:val="20"/>
                <w:szCs w:val="20"/>
                <w:color w:val="auto"/>
              </w:rPr>
            </w:pPr>
            <w:r>
              <w:rPr>
                <w:rFonts w:ascii="Arial" w:cs="Arial" w:eastAsia="Arial" w:hAnsi="Arial"/>
                <w:sz w:val="18"/>
                <w:szCs w:val="18"/>
                <w:b w:val="1"/>
                <w:bCs w:val="1"/>
                <w:color w:val="auto"/>
                <w:w w:val="95"/>
              </w:rPr>
              <w:t>TABLE OF CONTENTS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9"/>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40" w:type="dxa"/>
            <w:vAlign w:val="bottom"/>
            <w:gridSpan w:val="9"/>
          </w:tcPr>
          <w:p>
            <w:pPr>
              <w:jc w:val="center"/>
              <w:ind w:right="2480"/>
              <w:spacing w:after="0"/>
              <w:rPr>
                <w:sz w:val="20"/>
                <w:szCs w:val="20"/>
                <w:color w:val="auto"/>
              </w:rPr>
            </w:pPr>
            <w:r>
              <w:rPr>
                <w:rFonts w:ascii="Arial" w:cs="Arial" w:eastAsia="Arial" w:hAnsi="Arial"/>
                <w:sz w:val="18"/>
                <w:szCs w:val="18"/>
                <w:b w:val="1"/>
                <w:bCs w:val="1"/>
                <w:color w:val="auto"/>
                <w:w w:val="97"/>
              </w:rPr>
              <w:t>PROSPECTUS SUPPLEMENT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28"/>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w w:val="99"/>
              </w:rPr>
              <w:t>Page</w:t>
            </w:r>
          </w:p>
        </w:tc>
        <w:tc>
          <w:tcPr>
            <w:tcW w:w="1280" w:type="dxa"/>
            <w:vAlign w:val="bottom"/>
          </w:tcPr>
          <w:p>
            <w:pPr>
              <w:spacing w:after="0"/>
              <w:rPr>
                <w:sz w:val="24"/>
                <w:szCs w:val="24"/>
                <w:color w:val="auto"/>
              </w:rPr>
            </w:pPr>
          </w:p>
        </w:tc>
      </w:tr>
      <w:tr>
        <w:trPr>
          <w:trHeight w:val="176"/>
        </w:trPr>
        <w:tc>
          <w:tcPr>
            <w:tcW w:w="1140" w:type="dxa"/>
            <w:vAlign w:val="bottom"/>
          </w:tcPr>
          <w:p>
            <w:pPr>
              <w:spacing w:after="0"/>
              <w:rPr>
                <w:sz w:val="15"/>
                <w:szCs w:val="15"/>
                <w:color w:val="auto"/>
              </w:rPr>
            </w:pPr>
          </w:p>
        </w:tc>
        <w:tc>
          <w:tcPr>
            <w:tcW w:w="8460" w:type="dxa"/>
            <w:vAlign w:val="bottom"/>
            <w:gridSpan w:val="23"/>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140" w:type="dxa"/>
            <w:vAlign w:val="bottom"/>
          </w:tcPr>
          <w:p>
            <w:pPr>
              <w:spacing w:after="0"/>
              <w:rPr>
                <w:sz w:val="15"/>
                <w:szCs w:val="15"/>
                <w:color w:val="auto"/>
              </w:rPr>
            </w:pPr>
          </w:p>
        </w:tc>
        <w:tc>
          <w:tcPr>
            <w:tcW w:w="1680" w:type="dxa"/>
            <w:vAlign w:val="bottom"/>
            <w:gridSpan w:val="6"/>
          </w:tcPr>
          <w:p>
            <w:pPr>
              <w:jc w:val="right"/>
              <w:ind w:right="130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S-1</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140" w:type="dxa"/>
            <w:vAlign w:val="bottom"/>
          </w:tcPr>
          <w:p>
            <w:pPr>
              <w:spacing w:after="0"/>
              <w:rPr>
                <w:sz w:val="15"/>
                <w:szCs w:val="15"/>
                <w:color w:val="auto"/>
              </w:rPr>
            </w:pPr>
          </w:p>
        </w:tc>
        <w:tc>
          <w:tcPr>
            <w:tcW w:w="1680" w:type="dxa"/>
            <w:vAlign w:val="bottom"/>
            <w:gridSpan w:val="6"/>
          </w:tcPr>
          <w:p>
            <w:pPr>
              <w:jc w:val="right"/>
              <w:ind w:right="1300"/>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S-2</w:t>
              </w:r>
            </w:hyperlink>
          </w:p>
        </w:tc>
      </w:tr>
      <w:tr>
        <w:trPr>
          <w:trHeight w:val="183"/>
        </w:trPr>
        <w:tc>
          <w:tcPr>
            <w:tcW w:w="1140" w:type="dxa"/>
            <w:vAlign w:val="bottom"/>
          </w:tcPr>
          <w:p>
            <w:pPr>
              <w:spacing w:after="0"/>
              <w:rPr>
                <w:sz w:val="15"/>
                <w:szCs w:val="15"/>
                <w:color w:val="auto"/>
              </w:rPr>
            </w:pPr>
          </w:p>
        </w:tc>
        <w:tc>
          <w:tcPr>
            <w:tcW w:w="29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INCORPORATION BY REFERENCE</w:t>
              </w:r>
            </w:hyperlink>
          </w:p>
        </w:tc>
        <w:tc>
          <w:tcPr>
            <w:tcW w:w="900" w:type="dxa"/>
            <w:vAlign w:val="bottom"/>
            <w:tcBorders>
              <w:top w:val="single" w:sz="8" w:color="0000EE"/>
            </w:tcBorders>
            <w:gridSpan w:val="6"/>
          </w:tcPr>
          <w:p>
            <w:pPr>
              <w:spacing w:after="0"/>
              <w:rPr>
                <w:sz w:val="15"/>
                <w:szCs w:val="15"/>
                <w:color w:val="auto"/>
              </w:rPr>
            </w:pPr>
          </w:p>
        </w:tc>
        <w:tc>
          <w:tcPr>
            <w:tcW w:w="4660" w:type="dxa"/>
            <w:vAlign w:val="bottom"/>
            <w:gridSpan w:val="5"/>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0000EE"/>
              <w:bottom w:val="single" w:sz="8" w:color="0000EE"/>
            </w:tcBorders>
            <w:gridSpan w:val="3"/>
          </w:tcPr>
          <w:p>
            <w:pPr>
              <w:jc w:val="right"/>
              <w:spacing w:after="0" w:line="182"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S-2</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5820" w:type="dxa"/>
            <w:vAlign w:val="bottom"/>
            <w:tcBorders>
              <w:bottom w:val="single" w:sz="8" w:color="0000EE"/>
            </w:tcBorders>
            <w:gridSpan w:val="21"/>
          </w:tcPr>
          <w:p>
            <w:pPr>
              <w:spacing w:after="0" w:line="182"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CAUTIONARY NOTE REGARDING FORWARD-LOOKING STATEMENTS</w:t>
              </w:r>
            </w:hyperlink>
          </w:p>
        </w:tc>
        <w:tc>
          <w:tcPr>
            <w:tcW w:w="26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S-4</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PROSPECTUS SUPPLEMENT SUMMARY</w:t>
              </w:r>
            </w:hyperlink>
          </w:p>
        </w:tc>
        <w:tc>
          <w:tcPr>
            <w:tcW w:w="140" w:type="dxa"/>
            <w:vAlign w:val="bottom"/>
          </w:tcPr>
          <w:p>
            <w:pPr>
              <w:spacing w:after="0"/>
              <w:rPr>
                <w:sz w:val="15"/>
                <w:szCs w:val="15"/>
                <w:color w:val="auto"/>
              </w:rPr>
            </w:pPr>
          </w:p>
        </w:tc>
        <w:tc>
          <w:tcPr>
            <w:tcW w:w="1680" w:type="dxa"/>
            <w:vAlign w:val="bottom"/>
            <w:gridSpan w:val="6"/>
          </w:tcPr>
          <w:p>
            <w:pPr>
              <w:jc w:val="right"/>
              <w:ind w:right="1300"/>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S-6</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32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14">
              <w:r>
                <w:rPr>
                  <w:rFonts w:ascii="Arial" w:cs="Arial" w:eastAsia="Arial" w:hAnsi="Arial"/>
                  <w:sz w:val="18"/>
                  <w:szCs w:val="18"/>
                  <w:color w:val="0000EE"/>
                  <w:w w:val="96"/>
                </w:rPr>
                <w:t>THE OFFERING</w:t>
              </w:r>
            </w:hyperlink>
          </w:p>
        </w:tc>
        <w:tc>
          <w:tcPr>
            <w:tcW w:w="2040" w:type="dxa"/>
            <w:vAlign w:val="bottom"/>
            <w:gridSpan w:val="11"/>
          </w:tcPr>
          <w:p>
            <w:pPr>
              <w:spacing w:after="0"/>
              <w:rPr>
                <w:sz w:val="15"/>
                <w:szCs w:val="15"/>
                <w:color w:val="auto"/>
              </w:rPr>
            </w:pPr>
          </w:p>
        </w:tc>
        <w:tc>
          <w:tcPr>
            <w:tcW w:w="5100" w:type="dxa"/>
            <w:vAlign w:val="bottom"/>
            <w:gridSpan w:val="8"/>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S-12</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30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RISK FACTORS</w:t>
              </w:r>
            </w:hyperlink>
          </w:p>
        </w:tc>
        <w:tc>
          <w:tcPr>
            <w:tcW w:w="7160" w:type="dxa"/>
            <w:vAlign w:val="bottom"/>
            <w:gridSpan w:val="20"/>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S-14</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70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USE OF PROCEEDS</w:t>
              </w:r>
            </w:hyperlink>
          </w:p>
        </w:tc>
        <w:tc>
          <w:tcPr>
            <w:tcW w:w="6760" w:type="dxa"/>
            <w:vAlign w:val="bottom"/>
            <w:gridSpan w:val="15"/>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S-20</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DILUTION</w:t>
              </w:r>
            </w:hyperlink>
          </w:p>
        </w:tc>
        <w:tc>
          <w:tcPr>
            <w:tcW w:w="140" w:type="dxa"/>
            <w:vAlign w:val="bottom"/>
          </w:tcPr>
          <w:p>
            <w:pPr>
              <w:spacing w:after="0"/>
              <w:rPr>
                <w:sz w:val="15"/>
                <w:szCs w:val="15"/>
                <w:color w:val="auto"/>
              </w:rPr>
            </w:pPr>
          </w:p>
        </w:tc>
        <w:tc>
          <w:tcPr>
            <w:tcW w:w="1680" w:type="dxa"/>
            <w:vAlign w:val="bottom"/>
            <w:gridSpan w:val="6"/>
          </w:tcPr>
          <w:p>
            <w:pPr>
              <w:jc w:val="right"/>
              <w:ind w:right="1300"/>
              <w:spacing w:after="0" w:line="182"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S-22</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DIVIDEND POLICY</w:t>
              </w:r>
            </w:hyperlink>
          </w:p>
        </w:tc>
        <w:tc>
          <w:tcPr>
            <w:tcW w:w="140" w:type="dxa"/>
            <w:vAlign w:val="bottom"/>
          </w:tcPr>
          <w:p>
            <w:pPr>
              <w:spacing w:after="0"/>
              <w:rPr>
                <w:sz w:val="15"/>
                <w:szCs w:val="15"/>
                <w:color w:val="auto"/>
              </w:rPr>
            </w:pPr>
          </w:p>
        </w:tc>
        <w:tc>
          <w:tcPr>
            <w:tcW w:w="1680" w:type="dxa"/>
            <w:vAlign w:val="bottom"/>
            <w:gridSpan w:val="6"/>
          </w:tcPr>
          <w:p>
            <w:pPr>
              <w:jc w:val="right"/>
              <w:ind w:right="1300"/>
              <w:spacing w:after="0" w:line="182"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S-24</w:t>
              </w:r>
            </w:hyperlink>
          </w:p>
        </w:tc>
      </w:tr>
      <w:tr>
        <w:trPr>
          <w:trHeight w:val="183"/>
        </w:trPr>
        <w:tc>
          <w:tcPr>
            <w:tcW w:w="114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7"/>
              </w:rPr>
            </w:pPr>
            <w:hyperlink w:anchor="page27">
              <w:r>
                <w:rPr>
                  <w:rFonts w:ascii="Arial" w:cs="Arial" w:eastAsia="Arial" w:hAnsi="Arial"/>
                  <w:sz w:val="18"/>
                  <w:szCs w:val="18"/>
                  <w:color w:val="0000EE"/>
                  <w:w w:val="97"/>
                </w:rPr>
                <w:t>UNDERWRITING</w:t>
              </w:r>
            </w:hyperlink>
          </w:p>
        </w:tc>
        <w:tc>
          <w:tcPr>
            <w:tcW w:w="140" w:type="dxa"/>
            <w:vAlign w:val="bottom"/>
            <w:tcBorders>
              <w:top w:val="single" w:sz="8" w:color="0000EE"/>
            </w:tcBorders>
            <w:gridSpan w:val="2"/>
          </w:tcPr>
          <w:p>
            <w:pPr>
              <w:spacing w:after="0"/>
              <w:rPr>
                <w:sz w:val="15"/>
                <w:szCs w:val="15"/>
                <w:color w:val="auto"/>
              </w:rPr>
            </w:pPr>
          </w:p>
        </w:tc>
        <w:tc>
          <w:tcPr>
            <w:tcW w:w="6920" w:type="dxa"/>
            <w:vAlign w:val="bottom"/>
            <w:gridSpan w:val="16"/>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bottom w:val="single" w:sz="8" w:color="0000EE"/>
            </w:tcBorders>
            <w:gridSpan w:val="4"/>
          </w:tcPr>
          <w:p>
            <w:pPr>
              <w:jc w:val="right"/>
              <w:spacing w:after="0" w:line="182" w:lineRule="exact"/>
              <w:rPr>
                <w:rFonts w:ascii="Arial" w:cs="Arial" w:eastAsia="Arial" w:hAnsi="Arial"/>
                <w:sz w:val="18"/>
                <w:szCs w:val="18"/>
                <w:color w:val="0000EE"/>
                <w:w w:val="94"/>
              </w:rPr>
            </w:pPr>
            <w:hyperlink w:anchor="page27">
              <w:r>
                <w:rPr>
                  <w:rFonts w:ascii="Arial" w:cs="Arial" w:eastAsia="Arial" w:hAnsi="Arial"/>
                  <w:sz w:val="18"/>
                  <w:szCs w:val="18"/>
                  <w:color w:val="0000EE"/>
                  <w:w w:val="94"/>
                </w:rPr>
                <w:t>S-25</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MATERIAL U.S. FEDERAL INCOME TAX CONSIDERATIONS FOR NON-U.S. HOLDERS</w:t>
              </w:r>
            </w:hyperlink>
          </w:p>
        </w:tc>
        <w:tc>
          <w:tcPr>
            <w:tcW w:w="140" w:type="dxa"/>
            <w:vAlign w:val="bottom"/>
          </w:tcPr>
          <w:p>
            <w:pPr>
              <w:spacing w:after="0"/>
              <w:rPr>
                <w:sz w:val="15"/>
                <w:szCs w:val="15"/>
                <w:color w:val="auto"/>
              </w:rPr>
            </w:pPr>
          </w:p>
        </w:tc>
        <w:tc>
          <w:tcPr>
            <w:tcW w:w="1680" w:type="dxa"/>
            <w:vAlign w:val="bottom"/>
            <w:gridSpan w:val="6"/>
          </w:tcPr>
          <w:p>
            <w:pPr>
              <w:jc w:val="right"/>
              <w:ind w:right="1300"/>
              <w:spacing w:after="0" w:line="182"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S-32</w:t>
              </w:r>
            </w:hyperlink>
          </w:p>
        </w:tc>
      </w:tr>
      <w:tr>
        <w:trPr>
          <w:trHeight w:val="183"/>
        </w:trPr>
        <w:tc>
          <w:tcPr>
            <w:tcW w:w="1140" w:type="dxa"/>
            <w:vAlign w:val="bottom"/>
          </w:tcPr>
          <w:p>
            <w:pPr>
              <w:spacing w:after="0"/>
              <w:rPr>
                <w:sz w:val="15"/>
                <w:szCs w:val="15"/>
                <w:color w:val="auto"/>
              </w:rPr>
            </w:pPr>
          </w:p>
        </w:tc>
        <w:tc>
          <w:tcPr>
            <w:tcW w:w="702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LEGAL MATTERS</w:t>
              </w:r>
            </w:hyperlink>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S-36</w:t>
              </w:r>
            </w:hyperlink>
          </w:p>
        </w:tc>
        <w:tc>
          <w:tcPr>
            <w:tcW w:w="130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EXPERTS</w:t>
              </w:r>
            </w:hyperlink>
          </w:p>
        </w:tc>
        <w:tc>
          <w:tcPr>
            <w:tcW w:w="7020" w:type="dxa"/>
            <w:vAlign w:val="bottom"/>
            <w:gridSpan w:val="17"/>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S-36</w:t>
              </w:r>
            </w:hyperlink>
          </w:p>
        </w:tc>
        <w:tc>
          <w:tcPr>
            <w:tcW w:w="1300" w:type="dxa"/>
            <w:vAlign w:val="bottom"/>
            <w:gridSpan w:val="2"/>
          </w:tcPr>
          <w:p>
            <w:pPr>
              <w:spacing w:after="0"/>
              <w:rPr>
                <w:sz w:val="15"/>
                <w:szCs w:val="15"/>
                <w:color w:val="auto"/>
              </w:rPr>
            </w:pPr>
          </w:p>
        </w:tc>
      </w:tr>
      <w:tr>
        <w:trPr>
          <w:trHeight w:val="640"/>
        </w:trPr>
        <w:tc>
          <w:tcPr>
            <w:tcW w:w="11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5"/>
          </w:tcPr>
          <w:p>
            <w:pPr>
              <w:jc w:val="center"/>
              <w:ind w:right="3160"/>
              <w:spacing w:after="0"/>
              <w:rPr>
                <w:sz w:val="20"/>
                <w:szCs w:val="20"/>
                <w:color w:val="auto"/>
              </w:rPr>
            </w:pPr>
            <w:r>
              <w:rPr>
                <w:rFonts w:ascii="Arial" w:cs="Arial" w:eastAsia="Arial" w:hAnsi="Arial"/>
                <w:sz w:val="18"/>
                <w:szCs w:val="18"/>
                <w:b w:val="1"/>
                <w:bCs w:val="1"/>
                <w:color w:val="auto"/>
                <w:w w:val="98"/>
              </w:rPr>
              <w:t>PROSPECTUS</w:t>
            </w: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28"/>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20" w:type="dxa"/>
            <w:vAlign w:val="bottom"/>
            <w:gridSpan w:val="7"/>
          </w:tcPr>
          <w:p>
            <w:pPr>
              <w:ind w:left="100"/>
              <w:spacing w:after="0"/>
              <w:rPr>
                <w:sz w:val="20"/>
                <w:szCs w:val="20"/>
                <w:color w:val="auto"/>
              </w:rPr>
            </w:pPr>
            <w:r>
              <w:rPr>
                <w:rFonts w:ascii="Arial" w:cs="Arial" w:eastAsia="Arial" w:hAnsi="Arial"/>
                <w:sz w:val="18"/>
                <w:szCs w:val="18"/>
                <w:color w:val="auto"/>
              </w:rPr>
              <w:t>Page</w:t>
            </w:r>
          </w:p>
        </w:tc>
      </w:tr>
      <w:tr>
        <w:trPr>
          <w:trHeight w:val="176"/>
        </w:trPr>
        <w:tc>
          <w:tcPr>
            <w:tcW w:w="1140" w:type="dxa"/>
            <w:vAlign w:val="bottom"/>
          </w:tcPr>
          <w:p>
            <w:pPr>
              <w:spacing w:after="0"/>
              <w:rPr>
                <w:sz w:val="15"/>
                <w:szCs w:val="15"/>
                <w:color w:val="auto"/>
              </w:rPr>
            </w:pPr>
          </w:p>
        </w:tc>
        <w:tc>
          <w:tcPr>
            <w:tcW w:w="8460" w:type="dxa"/>
            <w:vAlign w:val="bottom"/>
            <w:gridSpan w:val="23"/>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ABOUT THIS PROSPECTUS</w:t>
              </w:r>
            </w:hyperlink>
          </w:p>
        </w:tc>
        <w:tc>
          <w:tcPr>
            <w:tcW w:w="540" w:type="dxa"/>
            <w:vAlign w:val="bottom"/>
            <w:tcBorders>
              <w:top w:val="single" w:sz="8" w:color="auto"/>
            </w:tcBorders>
            <w:gridSpan w:val="6"/>
          </w:tcPr>
          <w:p>
            <w:pPr>
              <w:jc w:val="right"/>
              <w:ind w:right="2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1</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300" w:type="dxa"/>
            <w:vAlign w:val="bottom"/>
            <w:gridSpan w:val="3"/>
          </w:tcPr>
          <w:p>
            <w:pPr>
              <w:spacing w:after="0" w:line="182" w:lineRule="exact"/>
              <w:rPr>
                <w:rFonts w:ascii="Arial" w:cs="Arial" w:eastAsia="Arial" w:hAnsi="Arial"/>
                <w:sz w:val="18"/>
                <w:szCs w:val="18"/>
                <w:color w:val="0000EE"/>
                <w:w w:val="96"/>
              </w:rPr>
            </w:pPr>
            <w:hyperlink w:anchor="page42">
              <w:r>
                <w:rPr>
                  <w:rFonts w:ascii="Arial" w:cs="Arial" w:eastAsia="Arial" w:hAnsi="Arial"/>
                  <w:sz w:val="18"/>
                  <w:szCs w:val="18"/>
                  <w:color w:val="0000EE"/>
                  <w:w w:val="96"/>
                </w:rPr>
                <w:t>RISK FACTORS</w:t>
              </w:r>
            </w:hyperlink>
          </w:p>
        </w:tc>
        <w:tc>
          <w:tcPr>
            <w:tcW w:w="1020" w:type="dxa"/>
            <w:vAlign w:val="bottom"/>
            <w:gridSpan w:val="7"/>
          </w:tcPr>
          <w:p>
            <w:pPr>
              <w:spacing w:after="0"/>
              <w:rPr>
                <w:sz w:val="15"/>
                <w:szCs w:val="15"/>
                <w:color w:val="auto"/>
              </w:rPr>
            </w:pPr>
          </w:p>
        </w:tc>
        <w:tc>
          <w:tcPr>
            <w:tcW w:w="6140" w:type="dxa"/>
            <w:vAlign w:val="bottom"/>
            <w:gridSpan w:val="13"/>
          </w:tcPr>
          <w:p>
            <w:pPr>
              <w:spacing w:after="0"/>
              <w:rPr>
                <w:sz w:val="15"/>
                <w:szCs w:val="15"/>
                <w:color w:val="auto"/>
              </w:rPr>
            </w:pPr>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2</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WHERE YOU CAN FIND MORE INFORMATION</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3</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900" w:type="dxa"/>
            <w:vAlign w:val="bottom"/>
            <w:gridSpan w:val="12"/>
          </w:tcPr>
          <w:p>
            <w:pPr>
              <w:spacing w:after="0" w:line="182"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INCORPORATION BY REFERENCE</w:t>
              </w:r>
            </w:hyperlink>
          </w:p>
        </w:tc>
        <w:tc>
          <w:tcPr>
            <w:tcW w:w="900" w:type="dxa"/>
            <w:vAlign w:val="bottom"/>
            <w:gridSpan w:val="6"/>
          </w:tcPr>
          <w:p>
            <w:pPr>
              <w:spacing w:after="0"/>
              <w:rPr>
                <w:sz w:val="15"/>
                <w:szCs w:val="15"/>
                <w:color w:val="auto"/>
              </w:rPr>
            </w:pPr>
          </w:p>
        </w:tc>
        <w:tc>
          <w:tcPr>
            <w:tcW w:w="4660" w:type="dxa"/>
            <w:vAlign w:val="bottom"/>
            <w:gridSpan w:val="5"/>
          </w:tcPr>
          <w:p>
            <w:pPr>
              <w:spacing w:after="0"/>
              <w:rPr>
                <w:sz w:val="15"/>
                <w:szCs w:val="15"/>
                <w:color w:val="auto"/>
              </w:rPr>
            </w:pPr>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3</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FORWARD-LOOKING STATEMENTS</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4</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BLUEPRINT MEDICINES CORPORATION</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5</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CONSOLIDATED RATIOS OF EARNINGS TO FIXED CHARGES</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6</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700" w:type="dxa"/>
            <w:vAlign w:val="bottom"/>
            <w:gridSpan w:val="8"/>
          </w:tcPr>
          <w:p>
            <w:pPr>
              <w:spacing w:after="0" w:line="182" w:lineRule="exact"/>
              <w:rPr>
                <w:rFonts w:ascii="Arial" w:cs="Arial" w:eastAsia="Arial" w:hAnsi="Arial"/>
                <w:sz w:val="18"/>
                <w:szCs w:val="18"/>
                <w:color w:val="0000EE"/>
                <w:w w:val="97"/>
              </w:rPr>
            </w:pPr>
            <w:hyperlink w:anchor="page47">
              <w:r>
                <w:rPr>
                  <w:rFonts w:ascii="Arial" w:cs="Arial" w:eastAsia="Arial" w:hAnsi="Arial"/>
                  <w:sz w:val="18"/>
                  <w:szCs w:val="18"/>
                  <w:color w:val="0000EE"/>
                  <w:w w:val="97"/>
                </w:rPr>
                <w:t>USE OF PROCEEDS</w:t>
              </w:r>
            </w:hyperlink>
          </w:p>
        </w:tc>
        <w:tc>
          <w:tcPr>
            <w:tcW w:w="3400" w:type="dxa"/>
            <w:vAlign w:val="bottom"/>
            <w:gridSpan w:val="11"/>
          </w:tcPr>
          <w:p>
            <w:pPr>
              <w:spacing w:after="0"/>
              <w:rPr>
                <w:sz w:val="15"/>
                <w:szCs w:val="15"/>
                <w:color w:val="auto"/>
              </w:rPr>
            </w:pPr>
          </w:p>
        </w:tc>
        <w:tc>
          <w:tcPr>
            <w:tcW w:w="3360" w:type="dxa"/>
            <w:vAlign w:val="bottom"/>
            <w:gridSpan w:val="4"/>
          </w:tcPr>
          <w:p>
            <w:pPr>
              <w:spacing w:after="0"/>
              <w:rPr>
                <w:sz w:val="15"/>
                <w:szCs w:val="15"/>
                <w:color w:val="auto"/>
              </w:rPr>
            </w:pPr>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7</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700" w:type="dxa"/>
            <w:vAlign w:val="bottom"/>
            <w:gridSpan w:val="8"/>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700" w:type="dxa"/>
            <w:vAlign w:val="bottom"/>
            <w:gridSpan w:val="8"/>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DILUTION</w:t>
              </w:r>
            </w:hyperlink>
          </w:p>
        </w:tc>
        <w:tc>
          <w:tcPr>
            <w:tcW w:w="6760" w:type="dxa"/>
            <w:vAlign w:val="bottom"/>
            <w:gridSpan w:val="15"/>
          </w:tcPr>
          <w:p>
            <w:pPr>
              <w:spacing w:after="0"/>
              <w:rPr>
                <w:sz w:val="15"/>
                <w:szCs w:val="15"/>
                <w:color w:val="auto"/>
              </w:rPr>
            </w:pPr>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8</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920" w:type="dxa"/>
            <w:vAlign w:val="bottom"/>
            <w:gridSpan w:val="13"/>
          </w:tcPr>
          <w:p>
            <w:pPr>
              <w:spacing w:after="0" w:line="182" w:lineRule="exact"/>
              <w:rPr>
                <w:rFonts w:ascii="Arial" w:cs="Arial" w:eastAsia="Arial" w:hAnsi="Arial"/>
                <w:sz w:val="18"/>
                <w:szCs w:val="18"/>
                <w:color w:val="0000EE"/>
                <w:w w:val="95"/>
              </w:rPr>
            </w:pPr>
            <w:hyperlink w:anchor="page49">
              <w:r>
                <w:rPr>
                  <w:rFonts w:ascii="Arial" w:cs="Arial" w:eastAsia="Arial" w:hAnsi="Arial"/>
                  <w:sz w:val="18"/>
                  <w:szCs w:val="18"/>
                  <w:color w:val="0000EE"/>
                  <w:w w:val="95"/>
                </w:rPr>
                <w:t>DESCRIPTION OF CAPITAL STOCK</w:t>
              </w:r>
            </w:hyperlink>
          </w:p>
        </w:tc>
        <w:tc>
          <w:tcPr>
            <w:tcW w:w="5540" w:type="dxa"/>
            <w:vAlign w:val="bottom"/>
            <w:gridSpan w:val="10"/>
          </w:tcPr>
          <w:p>
            <w:pPr>
              <w:spacing w:after="0"/>
              <w:rPr>
                <w:sz w:val="15"/>
                <w:szCs w:val="15"/>
                <w:color w:val="auto"/>
              </w:rPr>
            </w:pPr>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9</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DESCRIPTION OF DEBT SECURITIES</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17</w:t>
              </w:r>
            </w:hyperlink>
          </w:p>
        </w:tc>
        <w:tc>
          <w:tcPr>
            <w:tcW w:w="12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9"/>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3440" w:type="dxa"/>
            <w:vAlign w:val="bottom"/>
            <w:tcBorders>
              <w:bottom w:val="single" w:sz="8" w:color="0000EE"/>
            </w:tcBorders>
            <w:gridSpan w:val="16"/>
          </w:tcPr>
          <w:p>
            <w:pPr>
              <w:spacing w:after="0" w:line="182"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DESCRIPTION OF DEPOSITARY SHARES</w:t>
              </w:r>
            </w:hyperlink>
          </w:p>
        </w:tc>
        <w:tc>
          <w:tcPr>
            <w:tcW w:w="5020" w:type="dxa"/>
            <w:vAlign w:val="bottom"/>
            <w:gridSpan w:val="7"/>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31</w:t>
              </w:r>
            </w:hyperlink>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DESCRIPTION OF PURCHASE CONTRACTS AND PURCHASE UNITS</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34</w:t>
              </w:r>
            </w:hyperlink>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568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DESCRIPTION OF WARRANTS</w:t>
              </w:r>
            </w:hyperlink>
          </w:p>
        </w:tc>
        <w:tc>
          <w:tcPr>
            <w:tcW w:w="2780" w:type="dxa"/>
            <w:vAlign w:val="bottom"/>
            <w:gridSpan w:val="3"/>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35</w:t>
              </w:r>
            </w:hyperlink>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7"/>
              </w:rPr>
            </w:pPr>
            <w:hyperlink w:anchor="page76">
              <w:r>
                <w:rPr>
                  <w:rFonts w:ascii="Arial" w:cs="Arial" w:eastAsia="Arial" w:hAnsi="Arial"/>
                  <w:sz w:val="18"/>
                  <w:szCs w:val="18"/>
                  <w:color w:val="0000EE"/>
                  <w:w w:val="97"/>
                </w:rPr>
                <w:t>FORMS OF SECURITIES</w:t>
              </w:r>
            </w:hyperlink>
          </w:p>
        </w:tc>
        <w:tc>
          <w:tcPr>
            <w:tcW w:w="500" w:type="dxa"/>
            <w:vAlign w:val="bottom"/>
            <w:tcBorders>
              <w:top w:val="single" w:sz="8" w:color="0000EE"/>
            </w:tcBorders>
            <w:gridSpan w:val="2"/>
          </w:tcPr>
          <w:p>
            <w:pPr>
              <w:spacing w:after="0"/>
              <w:rPr>
                <w:sz w:val="15"/>
                <w:szCs w:val="15"/>
                <w:color w:val="auto"/>
              </w:rPr>
            </w:pPr>
          </w:p>
        </w:tc>
        <w:tc>
          <w:tcPr>
            <w:tcW w:w="5920" w:type="dxa"/>
            <w:vAlign w:val="bottom"/>
            <w:gridSpan w:val="12"/>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2"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36</w:t>
              </w:r>
            </w:hyperlink>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PLAN OF DISTRIBUTION</w:t>
              </w:r>
            </w:hyperlink>
          </w:p>
        </w:tc>
        <w:tc>
          <w:tcPr>
            <w:tcW w:w="540" w:type="dxa"/>
            <w:vAlign w:val="bottom"/>
            <w:gridSpan w:val="6"/>
          </w:tcPr>
          <w:p>
            <w:pPr>
              <w:jc w:val="right"/>
              <w:ind w:right="20"/>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38</w:t>
              </w:r>
            </w:hyperlink>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LEGAL MATTERS</w:t>
              </w:r>
            </w:hyperlink>
          </w:p>
        </w:tc>
        <w:tc>
          <w:tcPr>
            <w:tcW w:w="6420" w:type="dxa"/>
            <w:vAlign w:val="bottom"/>
            <w:gridSpan w:val="14"/>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41</w:t>
              </w:r>
            </w:hyperlink>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EXPERTS</w:t>
              </w:r>
            </w:hyperlink>
          </w:p>
        </w:tc>
        <w:tc>
          <w:tcPr>
            <w:tcW w:w="7020" w:type="dxa"/>
            <w:vAlign w:val="bottom"/>
            <w:gridSpan w:val="17"/>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41</w:t>
              </w:r>
            </w:hyperlink>
          </w:p>
        </w:tc>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25"/>
        </w:trPr>
        <w:tc>
          <w:tcPr>
            <w:tcW w:w="1140" w:type="dxa"/>
            <w:vAlign w:val="bottom"/>
            <w:tcBorders>
              <w:bottom w:val="single" w:sz="8" w:color="808080"/>
            </w:tcBorders>
          </w:tcPr>
          <w:p>
            <w:pPr>
              <w:spacing w:after="0"/>
              <w:rPr>
                <w:sz w:val="10"/>
                <w:szCs w:val="10"/>
                <w:color w:val="auto"/>
              </w:rPr>
            </w:pPr>
          </w:p>
        </w:tc>
        <w:tc>
          <w:tcPr>
            <w:tcW w:w="240" w:type="dxa"/>
            <w:vAlign w:val="bottom"/>
            <w:tcBorders>
              <w:top w:val="single" w:sz="8" w:color="0000EE"/>
              <w:bottom w:val="single" w:sz="8" w:color="808080"/>
            </w:tcBorders>
          </w:tcPr>
          <w:p>
            <w:pPr>
              <w:spacing w:after="0"/>
              <w:rPr>
                <w:sz w:val="10"/>
                <w:szCs w:val="10"/>
                <w:color w:val="auto"/>
              </w:rPr>
            </w:pPr>
          </w:p>
        </w:tc>
        <w:tc>
          <w:tcPr>
            <w:tcW w:w="580" w:type="dxa"/>
            <w:vAlign w:val="bottom"/>
            <w:tcBorders>
              <w:top w:val="single" w:sz="8" w:color="0000EE"/>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34" w:lineRule="exact"/>
        <w:rPr>
          <w:sz w:val="20"/>
          <w:szCs w:val="20"/>
          <w:color w:val="auto"/>
        </w:rPr>
      </w:pPr>
    </w:p>
    <w:p>
      <w:pPr>
        <w:ind w:right="140" w:firstLine="485"/>
        <w:spacing w:after="0" w:line="271" w:lineRule="auto"/>
        <w:rPr>
          <w:sz w:val="20"/>
          <w:szCs w:val="20"/>
          <w:color w:val="auto"/>
        </w:rPr>
      </w:pPr>
      <w:r>
        <w:rPr>
          <w:rFonts w:ascii="Arial" w:cs="Arial" w:eastAsia="Arial" w:hAnsi="Arial"/>
          <w:sz w:val="16"/>
          <w:szCs w:val="16"/>
          <w:color w:val="auto"/>
        </w:rPr>
        <w:t>This document is part of the registration statement that we filed with the Securities and Exchange Commission, or the SEC, using a "shelf" registration process and consists of two parts. The first part is this prospectus supplement, including the documents incorporated by reference herein, which describes the specific terms of this offering. The second part, the accompanying prospectus, including the documents incorporated by reference therein, gives more general information, some of which may not apply to this offering. Generally, when we refer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spacing w:after="0" w:line="185"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If information in this prospectus supplement is inconsistent with the accompanying prospectus or with any document incorporated by reference herein or therein that was filed with the SEC before the date of this prospectus supplement, you should rely on this prospectus supplement. This prospectus supplement, the accompanying prospectus and the documents incorporated by reference into each include important information about us, the securities being offered and other information you should know before investing in our securities. You should also read and consider information in the documents we have referred you to in the sections of this prospectus supplement entitled "Where You Can Find More Information" and "Incorporation by Reference" and the accompanying prospectus entitled "Where You Can Find More Information" and "Incorporation by Reference".</w:t>
      </w:r>
    </w:p>
    <w:p>
      <w:pPr>
        <w:spacing w:after="0" w:line="209"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11" w:lineRule="exact"/>
        <w:rPr>
          <w:sz w:val="20"/>
          <w:szCs w:val="20"/>
          <w:color w:val="auto"/>
        </w:rPr>
      </w:pPr>
    </w:p>
    <w:p>
      <w:pPr>
        <w:ind w:firstLine="488"/>
        <w:spacing w:after="0" w:line="270" w:lineRule="auto"/>
        <w:rPr>
          <w:sz w:val="20"/>
          <w:szCs w:val="20"/>
          <w:color w:val="auto"/>
        </w:rPr>
      </w:pPr>
      <w:r>
        <w:rPr>
          <w:rFonts w:ascii="Arial" w:cs="Arial" w:eastAsia="Arial" w:hAnsi="Arial"/>
          <w:sz w:val="16"/>
          <w:szCs w:val="16"/>
          <w:color w:val="auto"/>
        </w:rPr>
        <w:t>We take no responsibility for, and can provide no assurances as to the reliability of, any information that is in addition to or different from that contained or incorporated by reference in this prospectus supplement and the accompanying prospectus. We are not offering to sell these securities in any jurisdiction where the offer or sale is not permitted. You should not assume that the information contained or incorporated by reference in this prospectus supplement or the accompanying prospectus is accurate as of any date other than as of the date of this prospectus supplement or the accompanying prospectus, as the case may be, or in the case of the documents incorporated by reference herein or therein, the date of such documents regardless of the time of delivery of this prospectus supplement and the accompanying prospectus or any sale of our securities. Our business, financial condition, liquidity, results of operations and prospects may have changed since those dates.</w:t>
      </w:r>
    </w:p>
    <w:p>
      <w:pPr>
        <w:spacing w:after="0" w:line="185" w:lineRule="exact"/>
        <w:rPr>
          <w:sz w:val="20"/>
          <w:szCs w:val="20"/>
          <w:color w:val="auto"/>
        </w:rPr>
      </w:pPr>
    </w:p>
    <w:p>
      <w:pPr>
        <w:jc w:val="both"/>
        <w:ind w:right="120" w:firstLine="488"/>
        <w:spacing w:after="0" w:line="238" w:lineRule="auto"/>
        <w:rPr>
          <w:sz w:val="20"/>
          <w:szCs w:val="20"/>
          <w:color w:val="auto"/>
        </w:rPr>
      </w:pPr>
      <w:r>
        <w:rPr>
          <w:rFonts w:ascii="Arial" w:cs="Arial" w:eastAsia="Arial" w:hAnsi="Arial"/>
          <w:sz w:val="18"/>
          <w:szCs w:val="18"/>
          <w:color w:val="auto"/>
        </w:rPr>
        <w:t>We are not making offers to sell shares of our common stock or soliciting offers to purchase shares of our common stock in any jurisdiction in which such an offer or solicitation is not authorized or in which the person making such offer or solicitation is not qualified to do so or to anyone to whom it is unlawful to make an offer or solicitation.</w:t>
      </w:r>
    </w:p>
    <w:p>
      <w:pPr>
        <w:spacing w:after="0" w:line="190" w:lineRule="exact"/>
        <w:rPr>
          <w:sz w:val="20"/>
          <w:szCs w:val="20"/>
          <w:color w:val="auto"/>
        </w:rPr>
      </w:pPr>
    </w:p>
    <w:p>
      <w:pPr>
        <w:ind w:right="120" w:firstLine="488"/>
        <w:spacing w:after="0" w:line="247" w:lineRule="auto"/>
        <w:rPr>
          <w:sz w:val="20"/>
          <w:szCs w:val="20"/>
          <w:color w:val="auto"/>
        </w:rPr>
      </w:pPr>
      <w:r>
        <w:rPr>
          <w:rFonts w:ascii="Arial" w:cs="Arial" w:eastAsia="Arial" w:hAnsi="Arial"/>
          <w:sz w:val="18"/>
          <w:szCs w:val="18"/>
          <w:i w:val="1"/>
          <w:iCs w:val="1"/>
          <w:color w:val="auto"/>
        </w:rPr>
        <w:t>Unless otherwise stated, all references in this prospectus supplement or the accompanying prospectus to "us", "our", "Blueprint", "Blueprint Medicines", "we", the "Company" and similar designations refer, collectively, to Blueprint Medicines Corporation, a Delaware corporation, and its consolidated subsidiaries.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ind w:right="160" w:firstLine="488"/>
        <w:spacing w:after="0" w:line="242" w:lineRule="auto"/>
        <w:rPr>
          <w:sz w:val="20"/>
          <w:szCs w:val="20"/>
          <w:color w:val="auto"/>
        </w:rPr>
      </w:pPr>
      <w:r>
        <w:rPr>
          <w:rFonts w:ascii="Arial" w:cs="Arial" w:eastAsia="Arial" w:hAnsi="Arial"/>
          <w:sz w:val="18"/>
          <w:szCs w:val="18"/>
          <w:b w:val="1"/>
          <w:bCs w:val="1"/>
          <w:color w:val="auto"/>
        </w:rPr>
        <w:t>No action is being taken in any jurisdiction outside the U.S. to permit a public offering of the securities or possession or distribution of this prospectus supplement or the accompanying prospectus in that jurisdiction. Persons who come into possession of this prospectus supplement or the accompanying prospectus in jurisdictions outside the U.S. are required to inform themselves about and to observe any restrictions as to this offering and the distribution of this prospectus supplement or the accompanying prospectus applicable to that jurisdiction.</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jc w:val="both"/>
        <w:ind w:right="460" w:firstLine="488"/>
        <w:spacing w:after="0" w:line="23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supplement or the accompanying prospectus and is not incorporated by reference in this prospectus supplement or the accompanying prospectus.</w:t>
      </w:r>
    </w:p>
    <w:p>
      <w:pPr>
        <w:spacing w:after="0" w:line="209" w:lineRule="exact"/>
        <w:rPr>
          <w:sz w:val="20"/>
          <w:szCs w:val="20"/>
          <w:color w:val="auto"/>
        </w:rPr>
      </w:pPr>
    </w:p>
    <w:p>
      <w:pPr>
        <w:ind w:right="120" w:firstLine="485"/>
        <w:spacing w:after="0" w:line="236" w:lineRule="auto"/>
        <w:rPr>
          <w:sz w:val="20"/>
          <w:szCs w:val="20"/>
          <w:color w:val="auto"/>
        </w:rPr>
      </w:pPr>
      <w:r>
        <w:rPr>
          <w:rFonts w:ascii="Arial" w:cs="Arial" w:eastAsia="Arial" w:hAnsi="Arial"/>
          <w:sz w:val="18"/>
          <w:szCs w:val="18"/>
          <w:color w:val="auto"/>
        </w:rPr>
        <w:t>This prospectus supplement is part of a registration statement we filed with the SEC. This prospectus supplement, filed as part of the registration statement, omits some information contained in the registration statement in accordance with SEC rules and regulations. You should review the information and exhibits in the registration statement for further information on us and our consolidated subsidiaries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BY REFERENCE</w:t>
      </w:r>
    </w:p>
    <w:p>
      <w:pPr>
        <w:spacing w:after="0" w:line="234" w:lineRule="exact"/>
        <w:rPr>
          <w:sz w:val="20"/>
          <w:szCs w:val="20"/>
          <w:color w:val="auto"/>
        </w:rPr>
      </w:pPr>
    </w:p>
    <w:p>
      <w:pPr>
        <w:ind w:firstLine="485"/>
        <w:spacing w:after="0" w:line="235" w:lineRule="auto"/>
        <w:rPr>
          <w:sz w:val="20"/>
          <w:szCs w:val="20"/>
          <w:color w:val="auto"/>
        </w:rPr>
      </w:pPr>
      <w:r>
        <w:rPr>
          <w:rFonts w:ascii="Arial" w:cs="Arial" w:eastAsia="Arial" w:hAnsi="Arial"/>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the accompanying prospectus or in any document previously incorporated by reference have been modified or superseded. This prospectus supplement incorporates by reference the documents listed below (File No. 001-37359) and any future filings we make with the SEC under Sections 13(a), 13(c), 14 or 15(d) of the Securities Exchange Act of 1934, as amended, or the Exchange Act (in each case, other than those documents or the portions of those documents not deemed to be filed) between the date of this prospectus supplement and the termination of this offering:</w:t>
      </w:r>
    </w:p>
    <w:p>
      <w:pPr>
        <w:spacing w:after="0" w:line="215"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u w:val="single" w:color="auto"/>
          <w:color w:val="0000EE"/>
        </w:rPr>
      </w:pPr>
      <w:hyperlink r:id="rId13">
        <w:r>
          <w:rPr>
            <w:rFonts w:ascii="Arial" w:cs="Arial" w:eastAsia="Arial" w:hAnsi="Arial"/>
            <w:sz w:val="18"/>
            <w:szCs w:val="18"/>
            <w:u w:val="single" w:color="auto"/>
            <w:color w:val="0000EE"/>
          </w:rPr>
          <w:t>Annual Report on Form 10-K for the fiscal year ended December 31, 2018, filed with the SEC on February 26, 2019;</w:t>
        </w:r>
      </w:hyperlink>
    </w:p>
    <w:p>
      <w:pPr>
        <w:spacing w:after="0" w:line="211" w:lineRule="exact"/>
        <w:rPr>
          <w:rFonts w:ascii="Arial" w:cs="Arial" w:eastAsia="Arial" w:hAnsi="Arial"/>
          <w:sz w:val="18"/>
          <w:szCs w:val="18"/>
          <w:u w:val="single" w:color="auto"/>
          <w:color w:val="0000EE"/>
        </w:rPr>
      </w:pPr>
    </w:p>
    <w:p>
      <w:pPr>
        <w:ind w:left="1080" w:right="60" w:hanging="532"/>
        <w:spacing w:after="0" w:line="23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portions of our </w:t>
      </w:r>
      <w:hyperlink r:id="rId14">
        <w:r>
          <w:rPr>
            <w:rFonts w:ascii="Arial" w:cs="Arial" w:eastAsia="Arial" w:hAnsi="Arial"/>
            <w:sz w:val="18"/>
            <w:szCs w:val="18"/>
            <w:u w:val="single" w:color="auto"/>
            <w:color w:val="0000EE"/>
          </w:rPr>
          <w:t>Definitive Proxy Statement on Schedule 14A, filed with the SEC on April 29,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incorporated by reference into our </w:t>
      </w:r>
      <w:hyperlink r:id="rId13">
        <w:r>
          <w:rPr>
            <w:rFonts w:ascii="Arial" w:cs="Arial" w:eastAsia="Arial" w:hAnsi="Arial"/>
            <w:sz w:val="18"/>
            <w:szCs w:val="18"/>
            <w:u w:val="single" w:color="auto"/>
            <w:color w:val="0000EE"/>
          </w:rPr>
          <w:t>Annual Report on Form 10-K for the fiscal year ended December 31, 2018;</w:t>
        </w:r>
      </w:hyperlink>
    </w:p>
    <w:p>
      <w:pPr>
        <w:spacing w:after="0" w:line="20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line="23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fiscal quarters ended March 31, 2019, June 30, 2019 and September 30, 2019, filed with the SEC on </w:t>
      </w:r>
      <w:hyperlink r:id="rId16">
        <w:r>
          <w:rPr>
            <w:rFonts w:ascii="Arial" w:cs="Arial" w:eastAsia="Arial" w:hAnsi="Arial"/>
            <w:sz w:val="18"/>
            <w:szCs w:val="18"/>
            <w:u w:val="single" w:color="auto"/>
            <w:color w:val="0000EE"/>
          </w:rPr>
          <w:t>May 9, 2019</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August 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8">
        <w:r>
          <w:rPr>
            <w:rFonts w:ascii="Arial" w:cs="Arial" w:eastAsia="Arial" w:hAnsi="Arial"/>
            <w:sz w:val="18"/>
            <w:szCs w:val="18"/>
            <w:u w:val="single" w:color="auto"/>
            <w:color w:val="0000EE"/>
          </w:rPr>
          <w:t>November 5,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respectively;</w:t>
      </w:r>
    </w:p>
    <w:p>
      <w:pPr>
        <w:spacing w:after="0" w:line="208" w:lineRule="exact"/>
        <w:rPr>
          <w:rFonts w:ascii="Arial" w:cs="Arial" w:eastAsia="Arial" w:hAnsi="Arial"/>
          <w:sz w:val="18"/>
          <w:szCs w:val="18"/>
          <w:color w:val="auto"/>
        </w:rPr>
      </w:pPr>
    </w:p>
    <w:p>
      <w:pPr>
        <w:ind w:left="1080" w:right="40" w:hanging="532"/>
        <w:spacing w:after="0" w:line="237" w:lineRule="auto"/>
        <w:tabs>
          <w:tab w:leader="none" w:pos="1080" w:val="left"/>
        </w:tabs>
        <w:numPr>
          <w:ilvl w:val="0"/>
          <w:numId w:val="3"/>
        </w:numPr>
        <w:rPr>
          <w:rFonts w:ascii="Arial" w:cs="Arial" w:eastAsia="Arial" w:hAnsi="Arial"/>
          <w:sz w:val="18"/>
          <w:szCs w:val="18"/>
          <w:color w:val="000000"/>
        </w:rPr>
      </w:pPr>
      <w:hyperlink r:id="rId19">
        <w:r>
          <w:rPr>
            <w:rFonts w:ascii="Arial" w:cs="Arial" w:eastAsia="Arial" w:hAnsi="Arial"/>
            <w:sz w:val="18"/>
            <w:szCs w:val="18"/>
            <w:color w:val="auto"/>
          </w:rPr>
          <w:t xml:space="preserve">Current Reports on Form 8-K filed on </w:t>
        </w:r>
        <w:r>
          <w:rPr>
            <w:rFonts w:ascii="Arial" w:cs="Arial" w:eastAsia="Arial" w:hAnsi="Arial"/>
            <w:sz w:val="18"/>
            <w:szCs w:val="18"/>
            <w:u w:val="single" w:color="auto"/>
            <w:color w:val="0000EE"/>
          </w:rPr>
          <w:t>March 8,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27,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29,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20, 2019, July 3,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October 16,</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EE"/>
          </w:rPr>
          <w:t>2019</w:t>
        </w:r>
        <w:r>
          <w:rPr>
            <w:rFonts w:ascii="Arial" w:cs="Arial" w:eastAsia="Arial" w:hAnsi="Arial"/>
            <w:sz w:val="18"/>
            <w:szCs w:val="18"/>
            <w:color w:val="0000EE"/>
          </w:rPr>
          <w:t xml:space="preserve"> </w:t>
        </w:r>
        <w:r>
          <w:rPr>
            <w:rFonts w:ascii="Arial" w:cs="Arial" w:eastAsia="Arial" w:hAnsi="Arial"/>
            <w:sz w:val="18"/>
            <w:szCs w:val="18"/>
            <w:color w:val="000000"/>
          </w:rPr>
          <w:t>(solely with respect to Items 1.01 and 8.01),</w:t>
        </w:r>
        <w:r>
          <w:rPr>
            <w:rFonts w:ascii="Arial" w:cs="Arial" w:eastAsia="Arial" w:hAnsi="Arial"/>
            <w:sz w:val="18"/>
            <w:szCs w:val="18"/>
            <w:color w:val="0000EE"/>
          </w:rPr>
          <w:t xml:space="preserve"> </w:t>
        </w:r>
      </w:hyperlink>
      <w:hyperlink r:id="rId20">
        <w:r>
          <w:rPr>
            <w:rFonts w:ascii="Arial" w:cs="Arial" w:eastAsia="Arial" w:hAnsi="Arial"/>
            <w:sz w:val="18"/>
            <w:szCs w:val="18"/>
            <w:u w:val="single" w:color="auto"/>
            <w:color w:val="0000EE"/>
          </w:rPr>
          <w:t>October 28, 2019</w:t>
        </w:r>
      </w:hyperlink>
      <w:hyperlink r:id="rId19">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1">
        <w:r>
          <w:rPr>
            <w:rFonts w:ascii="Arial" w:cs="Arial" w:eastAsia="Arial" w:hAnsi="Arial"/>
            <w:sz w:val="18"/>
            <w:szCs w:val="18"/>
            <w:u w:val="single" w:color="auto"/>
            <w:color w:val="0000EE"/>
          </w:rPr>
          <w:t xml:space="preserve">December 9, 2019 </w:t>
        </w:r>
      </w:hyperlink>
      <w:hyperlink r:id="rId19">
        <w:r>
          <w:rPr>
            <w:rFonts w:ascii="Arial" w:cs="Arial" w:eastAsia="Arial" w:hAnsi="Arial"/>
            <w:sz w:val="18"/>
            <w:szCs w:val="18"/>
            <w:color w:val="000000"/>
          </w:rPr>
          <w:t>(solely with respect to the information</w:t>
        </w:r>
      </w:hyperlink>
      <w:r>
        <w:rPr>
          <w:rFonts w:ascii="Arial" w:cs="Arial" w:eastAsia="Arial" w:hAnsi="Arial"/>
          <w:sz w:val="18"/>
          <w:szCs w:val="18"/>
          <w:color w:val="0000EE"/>
        </w:rPr>
        <w:t xml:space="preserve"> </w:t>
      </w:r>
      <w:r>
        <w:rPr>
          <w:rFonts w:ascii="Arial" w:cs="Arial" w:eastAsia="Arial" w:hAnsi="Arial"/>
          <w:sz w:val="18"/>
          <w:szCs w:val="18"/>
          <w:color w:val="000000"/>
        </w:rPr>
        <w:t xml:space="preserve">included in Exhibit 99.1), </w:t>
      </w:r>
      <w:hyperlink r:id="rId22">
        <w:r>
          <w:rPr>
            <w:rFonts w:ascii="Arial" w:cs="Arial" w:eastAsia="Arial" w:hAnsi="Arial"/>
            <w:sz w:val="18"/>
            <w:szCs w:val="18"/>
            <w:u w:val="single" w:color="auto"/>
            <w:color w:val="0000EE"/>
          </w:rPr>
          <w:t>December 20, 2019</w:t>
        </w:r>
      </w:hyperlink>
      <w:r>
        <w:rPr>
          <w:rFonts w:ascii="Arial" w:cs="Arial" w:eastAsia="Arial" w:hAnsi="Arial"/>
          <w:sz w:val="18"/>
          <w:szCs w:val="18"/>
          <w:color w:val="000000"/>
        </w:rPr>
        <w:t xml:space="preserve">, </w:t>
      </w:r>
      <w:hyperlink r:id="rId23">
        <w:r>
          <w:rPr>
            <w:rFonts w:ascii="Arial" w:cs="Arial" w:eastAsia="Arial" w:hAnsi="Arial"/>
            <w:sz w:val="18"/>
            <w:szCs w:val="18"/>
            <w:u w:val="single" w:color="auto"/>
            <w:color w:val="0000EE"/>
          </w:rPr>
          <w:t>January 8, 2020</w:t>
        </w:r>
      </w:hyperlink>
      <w:r>
        <w:rPr>
          <w:rFonts w:ascii="Arial" w:cs="Arial" w:eastAsia="Arial" w:hAnsi="Arial"/>
          <w:sz w:val="18"/>
          <w:szCs w:val="18"/>
          <w:color w:val="000000"/>
        </w:rPr>
        <w:t xml:space="preserve">, </w:t>
      </w:r>
      <w:hyperlink r:id="rId24">
        <w:r>
          <w:rPr>
            <w:rFonts w:ascii="Arial" w:cs="Arial" w:eastAsia="Arial" w:hAnsi="Arial"/>
            <w:sz w:val="18"/>
            <w:szCs w:val="18"/>
            <w:u w:val="single" w:color="auto"/>
            <w:color w:val="0000EE"/>
          </w:rPr>
          <w:t>January 9, 2020</w:t>
        </w:r>
      </w:hyperlink>
      <w:r>
        <w:rPr>
          <w:rFonts w:ascii="Arial" w:cs="Arial" w:eastAsia="Arial" w:hAnsi="Arial"/>
          <w:sz w:val="18"/>
          <w:szCs w:val="18"/>
          <w:color w:val="000000"/>
        </w:rPr>
        <w:t xml:space="preserve">, </w:t>
      </w:r>
      <w:hyperlink r:id="rId25">
        <w:r>
          <w:rPr>
            <w:rFonts w:ascii="Arial" w:cs="Arial" w:eastAsia="Arial" w:hAnsi="Arial"/>
            <w:sz w:val="18"/>
            <w:szCs w:val="18"/>
            <w:u w:val="single" w:color="auto"/>
            <w:color w:val="0000EE"/>
          </w:rPr>
          <w:t>January 13, 2020</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(solely with respect to Item 8.01) and </w:t>
      </w:r>
      <w:hyperlink r:id="rId26">
        <w:r>
          <w:rPr>
            <w:rFonts w:ascii="Arial" w:cs="Arial" w:eastAsia="Arial" w:hAnsi="Arial"/>
            <w:sz w:val="18"/>
            <w:szCs w:val="18"/>
            <w:u w:val="single" w:color="auto"/>
            <w:color w:val="0000EE"/>
          </w:rPr>
          <w:t>January 21, 2020</w:t>
        </w:r>
      </w:hyperlink>
      <w:r>
        <w:rPr>
          <w:rFonts w:ascii="Arial" w:cs="Arial" w:eastAsia="Arial" w:hAnsi="Arial"/>
          <w:sz w:val="18"/>
          <w:szCs w:val="18"/>
          <w:color w:val="000000"/>
        </w:rPr>
        <w:t>; and</w:t>
      </w:r>
    </w:p>
    <w:p>
      <w:pPr>
        <w:spacing w:after="0" w:line="195" w:lineRule="exact"/>
        <w:rPr>
          <w:rFonts w:ascii="Arial" w:cs="Arial" w:eastAsia="Arial" w:hAnsi="Arial"/>
          <w:sz w:val="18"/>
          <w:szCs w:val="18"/>
          <w:color w:val="000000"/>
        </w:rPr>
      </w:pPr>
    </w:p>
    <w:p>
      <w:pPr>
        <w:ind w:left="1080" w:right="380" w:hanging="532"/>
        <w:spacing w:after="0" w:line="239" w:lineRule="auto"/>
        <w:tabs>
          <w:tab w:leader="none" w:pos="1080" w:val="left"/>
        </w:tabs>
        <w:numPr>
          <w:ilvl w:val="0"/>
          <w:numId w:val="3"/>
        </w:numPr>
        <w:rPr>
          <w:rFonts w:ascii="Arial" w:cs="Arial" w:eastAsia="Arial" w:hAnsi="Arial"/>
          <w:sz w:val="18"/>
          <w:szCs w:val="18"/>
          <w:u w:val="single" w:color="auto"/>
          <w:color w:val="0000EE"/>
        </w:rPr>
      </w:pPr>
      <w:hyperlink r:id="rId27">
        <w:r>
          <w:rPr>
            <w:rFonts w:ascii="Arial" w:cs="Arial" w:eastAsia="Arial" w:hAnsi="Arial"/>
            <w:sz w:val="18"/>
            <w:szCs w:val="18"/>
            <w:u w:val="single" w:color="auto"/>
            <w:color w:val="0000EE"/>
          </w:rPr>
          <w:t>The description of our common stock contained in our Registration Statement on Form 8-A filed on April 27, 2015, including any</w:t>
        </w:r>
      </w:hyperlink>
      <w:r>
        <w:rPr>
          <w:rFonts w:ascii="Arial" w:cs="Arial" w:eastAsia="Arial" w:hAnsi="Arial"/>
          <w:sz w:val="18"/>
          <w:szCs w:val="18"/>
          <w:u w:val="single" w:color="auto"/>
          <w:color w:val="0000EE"/>
        </w:rPr>
        <w:t xml:space="preserve"> </w:t>
      </w:r>
      <w:hyperlink r:id="rId27">
        <w:r>
          <w:rPr>
            <w:rFonts w:ascii="Arial" w:cs="Arial" w:eastAsia="Arial" w:hAnsi="Arial"/>
            <w:sz w:val="18"/>
            <w:szCs w:val="18"/>
            <w:u w:val="single" w:color="auto"/>
            <w:color w:val="0000EE"/>
          </w:rPr>
          <w:t>amendments or reports filed for the purpose of updating such description.</w:t>
        </w:r>
      </w:hyperlink>
    </w:p>
    <w:p>
      <w:pPr>
        <w:spacing w:after="0" w:line="209" w:lineRule="exact"/>
        <w:rPr>
          <w:rFonts w:ascii="Arial" w:cs="Arial" w:eastAsia="Arial" w:hAnsi="Arial"/>
          <w:sz w:val="18"/>
          <w:szCs w:val="18"/>
          <w:color w:val="auto"/>
        </w:rPr>
      </w:pPr>
    </w:p>
    <w:p>
      <w:pPr>
        <w:ind w:left="500"/>
        <w:spacing w:after="0"/>
        <w:rPr>
          <w:sz w:val="20"/>
          <w:szCs w:val="20"/>
          <w:color w:val="auto"/>
        </w:rPr>
      </w:pPr>
      <w:r>
        <w:rPr>
          <w:rFonts w:ascii="Arial" w:cs="Arial" w:eastAsia="Arial" w:hAnsi="Arial"/>
          <w:sz w:val="18"/>
          <w:szCs w:val="18"/>
          <w:color w:val="auto"/>
        </w:rPr>
        <w:t>You may request a copy of these filings, at no cost, by contacting us, either orally or in writing, at the following:</w:t>
      </w:r>
    </w:p>
    <w:p>
      <w:pPr>
        <w:spacing w:after="0" w:line="207"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Blueprint Medicines Corporation</w:t>
      </w:r>
    </w:p>
    <w:p>
      <w:pPr>
        <w:jc w:val="center"/>
        <w:ind w:right="-59"/>
        <w:spacing w:after="0" w:line="234" w:lineRule="auto"/>
        <w:rPr>
          <w:sz w:val="20"/>
          <w:szCs w:val="20"/>
          <w:color w:val="auto"/>
        </w:rPr>
      </w:pPr>
      <w:r>
        <w:rPr>
          <w:rFonts w:ascii="Arial" w:cs="Arial" w:eastAsia="Arial" w:hAnsi="Arial"/>
          <w:sz w:val="18"/>
          <w:szCs w:val="18"/>
          <w:color w:val="auto"/>
        </w:rPr>
        <w:t>45 Sidney Street</w:t>
      </w:r>
    </w:p>
    <w:p>
      <w:pPr>
        <w:jc w:val="center"/>
        <w:ind w:right="-59"/>
        <w:spacing w:after="0" w:line="235" w:lineRule="auto"/>
        <w:rPr>
          <w:sz w:val="20"/>
          <w:szCs w:val="20"/>
          <w:color w:val="auto"/>
        </w:rPr>
      </w:pPr>
      <w:r>
        <w:rPr>
          <w:rFonts w:ascii="Arial" w:cs="Arial" w:eastAsia="Arial" w:hAnsi="Arial"/>
          <w:sz w:val="18"/>
          <w:szCs w:val="18"/>
          <w:color w:val="auto"/>
        </w:rPr>
        <w:t>Cambridge, Massachusetts 02139</w:t>
      </w:r>
    </w:p>
    <w:p>
      <w:pPr>
        <w:jc w:val="center"/>
        <w:ind w:right="-59"/>
        <w:spacing w:after="0" w:line="235" w:lineRule="auto"/>
        <w:rPr>
          <w:sz w:val="20"/>
          <w:szCs w:val="20"/>
          <w:color w:val="auto"/>
        </w:rPr>
      </w:pPr>
      <w:r>
        <w:rPr>
          <w:rFonts w:ascii="Arial" w:cs="Arial" w:eastAsia="Arial" w:hAnsi="Arial"/>
          <w:sz w:val="18"/>
          <w:szCs w:val="18"/>
          <w:color w:val="auto"/>
        </w:rPr>
        <w:t>Attn: Investor Relations</w:t>
      </w:r>
    </w:p>
    <w:p>
      <w:pPr>
        <w:jc w:val="center"/>
        <w:ind w:right="-59"/>
        <w:spacing w:after="0" w:line="235" w:lineRule="auto"/>
        <w:rPr>
          <w:sz w:val="20"/>
          <w:szCs w:val="20"/>
          <w:color w:val="auto"/>
        </w:rPr>
      </w:pPr>
      <w:r>
        <w:rPr>
          <w:rFonts w:ascii="Arial" w:cs="Arial" w:eastAsia="Arial" w:hAnsi="Arial"/>
          <w:sz w:val="18"/>
          <w:szCs w:val="18"/>
          <w:color w:val="auto"/>
        </w:rPr>
        <w:t>Phone: (617) 714-6674</w:t>
      </w:r>
    </w:p>
    <w:p>
      <w:pPr>
        <w:jc w:val="center"/>
        <w:ind w:right="-59"/>
        <w:spacing w:after="0"/>
        <w:rPr>
          <w:sz w:val="20"/>
          <w:szCs w:val="20"/>
          <w:color w:val="auto"/>
        </w:rPr>
      </w:pPr>
      <w:r>
        <w:rPr>
          <w:rFonts w:ascii="Arial" w:cs="Arial" w:eastAsia="Arial" w:hAnsi="Arial"/>
          <w:sz w:val="18"/>
          <w:szCs w:val="18"/>
          <w:color w:val="auto"/>
        </w:rPr>
        <w:t>E-mail: ir@blueprintmedicines.com</w:t>
      </w:r>
    </w:p>
    <w:p>
      <w:pPr>
        <w:spacing w:after="0" w:line="212"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S-3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This prospectus supplement, the accompanying prospectus and the information incorporated by reference herein and therein contain statements that are not historical facts and are considered forward-looking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w:t>
      </w:r>
    </w:p>
    <w:p>
      <w:pPr>
        <w:spacing w:after="0" w:line="20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211" w:lineRule="exact"/>
        <w:rPr>
          <w:rFonts w:ascii="Arial" w:cs="Arial" w:eastAsia="Arial" w:hAnsi="Arial"/>
          <w:sz w:val="18"/>
          <w:szCs w:val="18"/>
          <w:color w:val="auto"/>
        </w:rPr>
      </w:pPr>
    </w:p>
    <w:p>
      <w:pPr>
        <w:ind w:left="1080" w:right="380" w:hanging="532"/>
        <w:spacing w:after="0" w:line="23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ongoing clinical trials and any planned clinical trials for avapritinib, pralsetinib, fisogatinib and BLU-263, and our research and development programs;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98" w:lineRule="exact"/>
        <w:rPr>
          <w:rFonts w:ascii="Arial" w:cs="Arial" w:eastAsia="Arial" w:hAnsi="Arial"/>
          <w:sz w:val="18"/>
          <w:szCs w:val="18"/>
          <w:color w:val="auto"/>
        </w:rPr>
      </w:pPr>
    </w:p>
    <w:p>
      <w:pPr>
        <w:ind w:left="1080" w:right="180" w:hanging="532"/>
        <w:spacing w:after="0" w:line="23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or likelihood of regulatory actions, filings and approvals for our drug candidates, including the likelihood of a PDUFA date extension for our new drug application for avapritinib for the treatment of fourth-line gastrointestinal stromal tumor and our ability to successfully expand the indication for avapritinib, obtain marketing approval for avapritinib in additional jurisdictions and obtain marketing approval for pralsetinib;</w:t>
      </w:r>
    </w:p>
    <w:p>
      <w:pPr>
        <w:spacing w:after="0" w:line="208" w:lineRule="exact"/>
        <w:rPr>
          <w:rFonts w:ascii="Arial" w:cs="Arial" w:eastAsia="Arial" w:hAnsi="Arial"/>
          <w:sz w:val="18"/>
          <w:szCs w:val="18"/>
          <w:color w:val="auto"/>
        </w:rPr>
      </w:pPr>
    </w:p>
    <w:p>
      <w:pPr>
        <w:ind w:left="1080" w:right="620" w:hanging="532"/>
        <w:spacing w:after="0" w:line="23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and plans in continuing to build out our commercial infrastructure and successfully launching, marketing and selling AYVAKIT™ (avapritinib) and any future products in the U.S. and Europe;</w:t>
      </w:r>
    </w:p>
    <w:p>
      <w:pPr>
        <w:spacing w:after="0" w:line="195" w:lineRule="exact"/>
        <w:rPr>
          <w:rFonts w:ascii="Arial" w:cs="Arial" w:eastAsia="Arial" w:hAnsi="Arial"/>
          <w:sz w:val="18"/>
          <w:szCs w:val="18"/>
          <w:color w:val="auto"/>
        </w:rPr>
      </w:pPr>
    </w:p>
    <w:p>
      <w:pPr>
        <w:ind w:left="1080" w:right="240" w:hanging="532"/>
        <w:spacing w:after="0" w:line="23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of AYVAKIT and any current and future drug candidates for which we receive marketing approval;</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AYVAKIT and any future products;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products and drug candidates and technology;</w:t>
      </w:r>
    </w:p>
    <w:p>
      <w:pPr>
        <w:spacing w:after="0" w:line="198" w:lineRule="exact"/>
        <w:rPr>
          <w:rFonts w:ascii="Arial" w:cs="Arial" w:eastAsia="Arial" w:hAnsi="Arial"/>
          <w:sz w:val="18"/>
          <w:szCs w:val="18"/>
          <w:color w:val="auto"/>
        </w:rPr>
      </w:pPr>
    </w:p>
    <w:p>
      <w:pPr>
        <w:ind w:left="1080" w:right="660" w:hanging="532"/>
        <w:spacing w:after="0" w:line="23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technology;</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of our existing cancer immunotherapy collaboration with F. Hoffmann-La Roche Ltd and Hoffmann-La</w:t>
      </w:r>
    </w:p>
    <w:p>
      <w:pPr>
        <w:ind w:left="1080" w:right="200"/>
        <w:spacing w:after="0" w:line="239" w:lineRule="auto"/>
        <w:rPr>
          <w:rFonts w:ascii="Arial" w:cs="Arial" w:eastAsia="Arial" w:hAnsi="Arial"/>
          <w:sz w:val="18"/>
          <w:szCs w:val="18"/>
          <w:color w:val="auto"/>
        </w:rPr>
      </w:pPr>
      <w:r>
        <w:rPr>
          <w:rFonts w:ascii="Arial" w:cs="Arial" w:eastAsia="Arial" w:hAnsi="Arial"/>
          <w:sz w:val="18"/>
          <w:szCs w:val="18"/>
          <w:color w:val="auto"/>
        </w:rPr>
        <w:t>Roche Inc. and our collaboration with CStone Pharmaceuticals, as well as our ability to maintain these collaborations and establish other strategic collaborations;</w:t>
      </w:r>
    </w:p>
    <w:p>
      <w:pPr>
        <w:spacing w:after="0" w:line="195" w:lineRule="exact"/>
        <w:rPr>
          <w:rFonts w:ascii="Arial" w:cs="Arial" w:eastAsia="Arial" w:hAnsi="Arial"/>
          <w:sz w:val="18"/>
          <w:szCs w:val="18"/>
          <w:color w:val="auto"/>
        </w:rPr>
      </w:pPr>
    </w:p>
    <w:p>
      <w:pPr>
        <w:ind w:left="1080" w:right="220" w:hanging="532"/>
        <w:spacing w:after="0" w:line="23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of our exclusive license agreement with Clementia Pharmaceuticals, Inc. to develop and commercialize BLU-782;</w:t>
      </w:r>
    </w:p>
    <w:p>
      <w:pPr>
        <w:spacing w:after="0" w:line="195" w:lineRule="exact"/>
        <w:rPr>
          <w:rFonts w:ascii="Arial" w:cs="Arial" w:eastAsia="Arial" w:hAnsi="Arial"/>
          <w:sz w:val="18"/>
          <w:szCs w:val="18"/>
          <w:color w:val="auto"/>
        </w:rPr>
      </w:pPr>
    </w:p>
    <w:p>
      <w:pPr>
        <w:ind w:left="1080" w:right="420" w:hanging="532"/>
        <w:spacing w:after="0" w:line="23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development of a companion diagnostic test for AYVAKIT to identify patients with a PDGFRA D842V mutation or companion diagnostic tests for our current or future drug candidates;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right="100" w:hanging="532"/>
        <w:spacing w:after="0" w:line="23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 and expectations regarding our cash, cash equivalents and investments, future product revenues, capital requirements and needs for additional financing; and</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12" w:lineRule="exact"/>
        <w:rPr>
          <w:sz w:val="20"/>
          <w:szCs w:val="20"/>
          <w:color w:val="auto"/>
        </w:rPr>
      </w:pPr>
    </w:p>
    <w:p>
      <w:pPr>
        <w:ind w:firstLine="488"/>
        <w:spacing w:after="0" w:line="236" w:lineRule="auto"/>
        <w:rPr>
          <w:rFonts w:ascii="Arial" w:cs="Arial" w:eastAsia="Arial" w:hAnsi="Arial"/>
          <w:sz w:val="18"/>
          <w:szCs w:val="18"/>
          <w:color w:val="0000EE"/>
        </w:rPr>
      </w:pPr>
      <w:r>
        <w:rPr>
          <w:rFonts w:ascii="Arial" w:cs="Arial" w:eastAsia="Arial" w:hAnsi="Arial"/>
          <w:sz w:val="18"/>
          <w:szCs w:val="18"/>
          <w:color w:val="auto"/>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the accompanying prospectus and the documents incorporated by reference herein and therein, particularly in the "Risk Factors" </w:t>
      </w:r>
      <w:hyperlink r:id="rId13">
        <w:r>
          <w:rPr>
            <w:rFonts w:ascii="Arial" w:cs="Arial" w:eastAsia="Arial" w:hAnsi="Arial"/>
            <w:sz w:val="18"/>
            <w:szCs w:val="18"/>
            <w:color w:val="auto"/>
          </w:rPr>
          <w:t xml:space="preserve">section beginning on page S-14 of this prospectus supplement and on page 45 of our </w:t>
        </w:r>
        <w:r>
          <w:rPr>
            <w:rFonts w:ascii="Arial" w:cs="Arial" w:eastAsia="Arial" w:hAnsi="Arial"/>
            <w:sz w:val="18"/>
            <w:szCs w:val="18"/>
            <w:u w:val="single" w:color="auto"/>
            <w:color w:val="0000EE"/>
          </w:rPr>
          <w:t>Annual Report on Form 10-K for the fiscal year ended</w:t>
        </w:r>
      </w:hyperlink>
      <w:r>
        <w:rPr>
          <w:rFonts w:ascii="Arial" w:cs="Arial" w:eastAsia="Arial" w:hAnsi="Arial"/>
          <w:sz w:val="18"/>
          <w:szCs w:val="18"/>
          <w:color w:val="auto"/>
        </w:rPr>
        <w:t xml:space="preserve"> </w:t>
      </w:r>
      <w:hyperlink r:id="rId13">
        <w:r>
          <w:rPr>
            <w:rFonts w:ascii="Arial" w:cs="Arial" w:eastAsia="Arial" w:hAnsi="Arial"/>
            <w:sz w:val="18"/>
            <w:szCs w:val="18"/>
            <w:u w:val="single" w:color="auto"/>
            <w:color w:val="0000EE"/>
          </w:rPr>
          <w:t>December 31, 2018, as filed with the SEC on February 26, 2019</w:t>
        </w:r>
        <w:r>
          <w:rPr>
            <w:rFonts w:ascii="Arial" w:cs="Arial" w:eastAsia="Arial" w:hAnsi="Arial"/>
            <w:sz w:val="18"/>
            <w:szCs w:val="18"/>
            <w:color w:val="000000"/>
          </w:rPr>
          <w:t>, that could cause actual results or events to differ materially from the forward</w:t>
        </w:r>
      </w:hyperlink>
      <w:r>
        <w:rPr>
          <w:rFonts w:ascii="Arial" w:cs="Arial" w:eastAsia="Arial" w:hAnsi="Arial"/>
          <w:sz w:val="18"/>
          <w:szCs w:val="18"/>
          <w:color w:val="0000EE"/>
        </w:rPr>
        <w:t>-</w:t>
      </w:r>
      <w:r>
        <w:rPr>
          <w:rFonts w:ascii="Arial" w:cs="Arial" w:eastAsia="Arial" w:hAnsi="Arial"/>
          <w:sz w:val="18"/>
          <w:szCs w:val="18"/>
          <w:color w:val="000000"/>
        </w:rPr>
        <w:t>looking statements that we make. Our forward-looking statements do not reflect the potential impact of any future acquisitions, mergers, dispositions, joint ventures or investments we may make or enter into.</w:t>
      </w:r>
    </w:p>
    <w:p>
      <w:pPr>
        <w:spacing w:after="0" w:line="208" w:lineRule="exact"/>
        <w:rPr>
          <w:sz w:val="20"/>
          <w:szCs w:val="20"/>
          <w:color w:val="auto"/>
        </w:rPr>
      </w:pPr>
    </w:p>
    <w:p>
      <w:pPr>
        <w:ind w:right="20" w:firstLine="485"/>
        <w:spacing w:after="0" w:line="236" w:lineRule="auto"/>
        <w:rPr>
          <w:sz w:val="20"/>
          <w:szCs w:val="20"/>
          <w:color w:val="auto"/>
        </w:rPr>
      </w:pPr>
      <w:r>
        <w:rPr>
          <w:rFonts w:ascii="Arial" w:cs="Arial" w:eastAsia="Arial" w:hAnsi="Arial"/>
          <w:sz w:val="18"/>
          <w:szCs w:val="18"/>
          <w:color w:val="auto"/>
        </w:rPr>
        <w:t>You should read this prospectus supplement, the accompanying prospectus and the documents incorporated by reference herein and therein, as well as the documents that we have filed as exhibits to the registration statement of which this prospectus forms a part,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211" w:lineRule="exact"/>
        <w:rPr>
          <w:sz w:val="20"/>
          <w:szCs w:val="20"/>
          <w:color w:val="auto"/>
        </w:rPr>
      </w:pPr>
    </w:p>
    <w:p>
      <w:pPr>
        <w:ind w:right="120" w:firstLine="485"/>
        <w:spacing w:after="0" w:line="236"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63328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extLst>
                    </a:blip>
                    <a:srcRect/>
                    <a:stretch>
                      <a:fillRect/>
                    </a:stretch>
                  </pic:blipFill>
                  <pic:spPr bwMode="auto">
                    <a:xfrm>
                      <a:off x="0" y="0"/>
                      <a:ext cx="7250430" cy="633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 SUMMARY</w:t>
      </w:r>
    </w:p>
    <w:p>
      <w:pPr>
        <w:spacing w:after="0" w:line="216" w:lineRule="exact"/>
        <w:rPr>
          <w:sz w:val="20"/>
          <w:szCs w:val="20"/>
          <w:color w:val="auto"/>
        </w:rPr>
      </w:pPr>
    </w:p>
    <w:p>
      <w:pPr>
        <w:ind w:left="240" w:right="40" w:firstLine="488"/>
        <w:spacing w:after="0" w:line="239"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supplement and the accompanying prospectus and in the documents incorporated by reference herein or therein. This summary does not contain all the information that you should consider before investing in our common stock. You should read this entire prospectus supplement and the accompanying prospectus carefully, especially the risks of investing in our common stock discussed under "Risk Factors" beginning on page S-14 of this prospectus supplement, along with our consolidated financial statements and notes to those consolidated financial statements and the other information incorporated by reference in this prospectus supplement and the accompanying prospectus, before making an investment decision. This prospectus supplement may add to, update or change information in the accompanying prospectus.</w:t>
      </w: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240" w:firstLine="488"/>
        <w:spacing w:after="0" w:line="236" w:lineRule="auto"/>
        <w:rPr>
          <w:sz w:val="20"/>
          <w:szCs w:val="20"/>
          <w:color w:val="auto"/>
        </w:rPr>
      </w:pPr>
      <w:r>
        <w:rPr>
          <w:rFonts w:ascii="Arial" w:cs="Arial" w:eastAsia="Arial" w:hAnsi="Arial"/>
          <w:sz w:val="18"/>
          <w:szCs w:val="18"/>
          <w:color w:val="auto"/>
        </w:rPr>
        <w:t>We are a precision therapy company focused on genomically defined cancers, rare diseases and cancer immunotherapy. Our approach is to leverage our novel target discovery engine to systematically and reproducibly identify kinases that are drivers of diseases and to craft highly selective and potent therapies that may provide significant and durable clinical responses for patients without adequate treatment options. This integrated biology and chemistry approach enables us to identify, characterize and design products and drug candidates to inhibit novel kinase targets that have been difficult to selectively inhibit. We believe that our uniquely targeted, scalable approach empowers the rapid design and development of new treatments and increases the likelihood of success. We have one precision therapy approved by the U.S. Food and Drug Administration, or FDA, and are currently advancing multiple investigational medicines in clinical development, along with multiple research programs.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Avapritinib and BLU-263 — systemic mastocytosis (SM) and other mast cell disorders</w:t>
      </w:r>
    </w:p>
    <w:p>
      <w:pPr>
        <w:spacing w:after="0" w:line="214"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Avapritinib</w:t>
      </w:r>
    </w:p>
    <w:p>
      <w:pPr>
        <w:spacing w:after="0" w:line="232" w:lineRule="exact"/>
        <w:rPr>
          <w:sz w:val="20"/>
          <w:szCs w:val="20"/>
          <w:color w:val="auto"/>
        </w:rPr>
      </w:pPr>
    </w:p>
    <w:p>
      <w:pPr>
        <w:ind w:left="240" w:firstLine="488"/>
        <w:spacing w:after="0" w:line="238" w:lineRule="auto"/>
        <w:rPr>
          <w:sz w:val="20"/>
          <w:szCs w:val="20"/>
          <w:color w:val="auto"/>
        </w:rPr>
      </w:pPr>
      <w:r>
        <w:rPr>
          <w:rFonts w:ascii="Arial" w:cs="Arial" w:eastAsia="Arial" w:hAnsi="Arial"/>
          <w:sz w:val="18"/>
          <w:szCs w:val="18"/>
          <w:color w:val="auto"/>
        </w:rPr>
        <w:t>We are developing avapritinib for the treatment of systemic mastocytosis, a rare disorder that causes an overproduction of mast cells and the accumulation of mast cells in the bone marrow and other organs, which can lead to a wide range of debilitating symptoms and organ dysfunction and failure. Nearly all cases of SM are driven by the KIT D816V mutation, which aberrantly activates mast cells.</w:t>
      </w:r>
    </w:p>
    <w:p>
      <w:pPr>
        <w:spacing w:after="0" w:line="208" w:lineRule="exact"/>
        <w:rPr>
          <w:sz w:val="20"/>
          <w:szCs w:val="20"/>
          <w:color w:val="auto"/>
        </w:rPr>
      </w:pPr>
    </w:p>
    <w:p>
      <w:pPr>
        <w:ind w:left="240" w:right="80" w:firstLine="488"/>
        <w:spacing w:after="0" w:line="264" w:lineRule="auto"/>
        <w:rPr>
          <w:sz w:val="20"/>
          <w:szCs w:val="20"/>
          <w:color w:val="auto"/>
        </w:rPr>
      </w:pPr>
      <w:r>
        <w:rPr>
          <w:rFonts w:ascii="Arial" w:cs="Arial" w:eastAsia="Arial" w:hAnsi="Arial"/>
          <w:sz w:val="16"/>
          <w:szCs w:val="16"/>
          <w:color w:val="auto"/>
        </w:rPr>
        <w:t>We are currently evaluating avapritinib in an ongoing Phase 1 clinical trial in advanced SM, which we refer to as our EXPLORER trial, an ongoing registration-enabling Phase 2 clinical trial in advanced SM, which we refer to as our PATHFINDER trial, and an ongoing registration-enabling Phase 2 clinical trial in indolent and smoldering SM, which we refer to as our PIONEER trial. In December 2019, we</w:t>
      </w:r>
    </w:p>
    <w:p>
      <w:pPr>
        <w:ind w:left="240" w:right="140"/>
        <w:spacing w:after="0" w:line="219" w:lineRule="auto"/>
        <w:rPr>
          <w:sz w:val="20"/>
          <w:szCs w:val="20"/>
          <w:color w:val="auto"/>
        </w:rPr>
      </w:pPr>
      <w:r>
        <w:rPr>
          <w:rFonts w:ascii="Arial" w:cs="Arial" w:eastAsia="Arial" w:hAnsi="Arial"/>
          <w:sz w:val="18"/>
          <w:szCs w:val="18"/>
          <w:color w:val="auto"/>
        </w:rPr>
        <w:t>reported initial data from the dose-finding portion (part 1) of the PIONEER trial at the 61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American Society of Hematology Annual Meeting and Exposition and updated data from the EXPLORER trial. We plan to report updated data from part 1 of the PIONEER trial in a late-breaking oral presentation on March 14, 2020 at the annual meeting for the American Academy of Allergy, Asthma &amp; Immunology. We also plan to present updated data from the EXPLORER and PATHFINDER trials in the second half of 2020. In addition, we expect to complete enrollment of part 2 of the PIONEER trial by the end of 2020.</w:t>
      </w:r>
    </w:p>
    <w:p>
      <w:pPr>
        <w:spacing w:after="0" w:line="210" w:lineRule="exact"/>
        <w:rPr>
          <w:sz w:val="20"/>
          <w:szCs w:val="20"/>
          <w:color w:val="auto"/>
        </w:rPr>
      </w:pPr>
    </w:p>
    <w:p>
      <w:pPr>
        <w:ind w:left="240" w:right="380" w:firstLine="488"/>
        <w:spacing w:after="0" w:line="237" w:lineRule="auto"/>
        <w:rPr>
          <w:sz w:val="20"/>
          <w:szCs w:val="20"/>
          <w:color w:val="auto"/>
        </w:rPr>
      </w:pPr>
      <w:r>
        <w:rPr>
          <w:rFonts w:ascii="Arial" w:cs="Arial" w:eastAsia="Arial" w:hAnsi="Arial"/>
          <w:sz w:val="18"/>
          <w:szCs w:val="18"/>
          <w:color w:val="auto"/>
        </w:rPr>
        <w:t>Based on ongoing discussions with the FDA, we plan to submit a supplemental new drug application, or NDA, to the FDA for avapritinib for the treatment of advanced SM in the second half of 2020, which we anticipate will be focused on data from patients in the EXPLORER and PATHFINDER trials who started at the proposed dose of 200 mg once daily, or QD, supported by pooled data from all doses. The FDA has granted orphan drug designation to avapritinib for the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57842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250430" cy="5784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100"/>
        <w:spacing w:after="0" w:line="238" w:lineRule="auto"/>
        <w:rPr>
          <w:sz w:val="20"/>
          <w:szCs w:val="20"/>
          <w:color w:val="auto"/>
        </w:rPr>
      </w:pPr>
      <w:r>
        <w:rPr>
          <w:rFonts w:ascii="Arial" w:cs="Arial" w:eastAsia="Arial" w:hAnsi="Arial"/>
          <w:sz w:val="18"/>
          <w:szCs w:val="18"/>
          <w:color w:val="auto"/>
        </w:rPr>
        <w:t>treatment of mastocytosis, and the European Commission has granted orphan medicinal product designation to avapritinib for the treatment of mastocytosis. In addition, the FDA has granted breakthrough therapy designation to avapritinib for the treatment of advanced SM, including the subtypes of aggressive SM, SM with an associated hematologic neoplasm and mast cell leukemia.</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BLU-263</w:t>
      </w:r>
    </w:p>
    <w:p>
      <w:pPr>
        <w:spacing w:after="0" w:line="232" w:lineRule="exact"/>
        <w:rPr>
          <w:sz w:val="20"/>
          <w:szCs w:val="20"/>
          <w:color w:val="auto"/>
        </w:rPr>
      </w:pPr>
    </w:p>
    <w:p>
      <w:pPr>
        <w:ind w:left="240" w:firstLine="488"/>
        <w:spacing w:after="0" w:line="273" w:lineRule="auto"/>
        <w:rPr>
          <w:sz w:val="20"/>
          <w:szCs w:val="20"/>
          <w:color w:val="auto"/>
        </w:rPr>
      </w:pPr>
      <w:r>
        <w:rPr>
          <w:rFonts w:ascii="Arial" w:cs="Arial" w:eastAsia="Arial" w:hAnsi="Arial"/>
          <w:sz w:val="16"/>
          <w:szCs w:val="16"/>
          <w:color w:val="auto"/>
        </w:rPr>
        <w:t>We are developing BLU-263 for the treatment of mast cell disorders, including SM. BLU-263 is an investigational, orally available, potent and highly selective KIT inhibitor currently in the discovery stage. BLU-263 is designed to have equivalent potency as avapritinib, improved selectivity for KIT, with low off-target activity, and lower penetration of the central nervous system relative to avapritinib based on preclinical data, which may provide BLU-263 flexibility to expand into indolent SM and a broader set of mast cell disorders. We plan to submit an investigational new drug application for BLU-263 for indolent SM and initiate a Phase 1 trial in healthy volunteers in the first half of 2020.</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Pralsetinib — RET-altered cancers</w:t>
      </w:r>
    </w:p>
    <w:p>
      <w:pPr>
        <w:spacing w:after="0" w:line="234" w:lineRule="exact"/>
        <w:rPr>
          <w:sz w:val="20"/>
          <w:szCs w:val="20"/>
          <w:color w:val="auto"/>
        </w:rPr>
      </w:pPr>
    </w:p>
    <w:p>
      <w:pPr>
        <w:ind w:left="240" w:right="80" w:firstLine="488"/>
        <w:spacing w:after="0" w:line="236" w:lineRule="auto"/>
        <w:rPr>
          <w:sz w:val="20"/>
          <w:szCs w:val="20"/>
          <w:color w:val="auto"/>
        </w:rPr>
      </w:pPr>
      <w:r>
        <w:rPr>
          <w:rFonts w:ascii="Arial" w:cs="Arial" w:eastAsia="Arial" w:hAnsi="Arial"/>
          <w:sz w:val="18"/>
          <w:szCs w:val="18"/>
          <w:color w:val="auto"/>
        </w:rPr>
        <w:t>We are developing pralsetinib for the treatment of RET-altered non-small cell lung cancer, or NSCLC, medullary thyroid carcinoma, or MTC, and other solid tumors. Pralsetinib is an investigational, orally available, potent and highly selective inhibitor that targets RET, a receptor tyrosine kinase. Pralsetinib is designed to inhibit the activating fusions and mutations of RET that drive cancer growth and remain active in the presence of resistance mutations that we predict will arise from treatment with first generation therapies. RET activating fusions and mutations drive disease in subsets of patients with NSCLC, and cancers of the thyroid, including MTC and papillary thyroid cancer, and our research suggests that RET may drive disease in subsets of patients with colon cancer, breast cancer, pancreatic cancer and other cancers.</w:t>
      </w:r>
    </w:p>
    <w:p>
      <w:pPr>
        <w:spacing w:after="0" w:line="209" w:lineRule="exact"/>
        <w:rPr>
          <w:sz w:val="20"/>
          <w:szCs w:val="20"/>
          <w:color w:val="auto"/>
        </w:rPr>
      </w:pPr>
    </w:p>
    <w:p>
      <w:pPr>
        <w:ind w:left="240" w:firstLine="488"/>
        <w:spacing w:after="0" w:line="236" w:lineRule="auto"/>
        <w:rPr>
          <w:sz w:val="20"/>
          <w:szCs w:val="20"/>
          <w:color w:val="auto"/>
        </w:rPr>
      </w:pPr>
      <w:r>
        <w:rPr>
          <w:rFonts w:ascii="Arial" w:cs="Arial" w:eastAsia="Arial" w:hAnsi="Arial"/>
          <w:sz w:val="18"/>
          <w:szCs w:val="18"/>
          <w:color w:val="auto"/>
        </w:rPr>
        <w:t>We are currently evaluating pralsetinib in an ongoing Phase 1/2 clinical trial in patients with RET-altered NSCLC, MTC and other advanced solid tumors, which we refer to as our ARROW trial. In January 2020, we reported top-line data from the ARROW trial in RET fusion-positive NSCLC patients treated with pralsetinib at the proposed indicated dose of 400 mg QD. We plan to present the registration data from the ARROW trial of pralsetinib in RET fusion-positive NSCLC and RET-mutant MTC in 2020. We also recently announced the activation of the first trial site for our Phase 3 clinical trial of pralsetinib in patients with first-line RET fusion-positive NSCLC, which we refer to as our AcceleRET Lung trial, and we plan to initiate a Phase 3 clinical trial of pralsetinib in first-line RET-mutant MTC in the second half of 2020.</w:t>
      </w:r>
    </w:p>
    <w:p>
      <w:pPr>
        <w:spacing w:after="0" w:line="209" w:lineRule="exact"/>
        <w:rPr>
          <w:sz w:val="20"/>
          <w:szCs w:val="20"/>
          <w:color w:val="auto"/>
        </w:rPr>
      </w:pPr>
    </w:p>
    <w:p>
      <w:pPr>
        <w:ind w:left="240" w:right="60" w:firstLine="488"/>
        <w:spacing w:after="0" w:line="236" w:lineRule="auto"/>
        <w:rPr>
          <w:sz w:val="20"/>
          <w:szCs w:val="20"/>
          <w:color w:val="auto"/>
        </w:rPr>
      </w:pPr>
      <w:r>
        <w:rPr>
          <w:rFonts w:ascii="Arial" w:cs="Arial" w:eastAsia="Arial" w:hAnsi="Arial"/>
          <w:sz w:val="18"/>
          <w:szCs w:val="18"/>
          <w:color w:val="auto"/>
        </w:rPr>
        <w:t>In January 2020, we initiated the submission of a rolling NDA to the FDA for the treatment of patients with RET fusion-positive NSCLC and expect to complete the submission in the first quarter of 2020. We plan to submit an NDA to the FDA for pralsetinib for the treatment of patients with MTC previously treated with an approved multi-kinase inhibitor in the second quarter of 2020. In addition, we plan to submit a marketing authorization application, or MAA, to the European Medicines Agency, or EMA, for pralsetinib for RET fusion-positive NSCLC in the second quarter of 2020.</w:t>
      </w:r>
    </w:p>
    <w:p>
      <w:pPr>
        <w:spacing w:after="0" w:line="211" w:lineRule="exact"/>
        <w:rPr>
          <w:sz w:val="20"/>
          <w:szCs w:val="20"/>
          <w:color w:val="auto"/>
        </w:rPr>
      </w:pPr>
    </w:p>
    <w:p>
      <w:pPr>
        <w:ind w:left="240" w:right="100" w:firstLine="485"/>
        <w:spacing w:after="0" w:line="275" w:lineRule="auto"/>
        <w:rPr>
          <w:sz w:val="20"/>
          <w:szCs w:val="20"/>
          <w:color w:val="auto"/>
        </w:rPr>
      </w:pPr>
      <w:r>
        <w:rPr>
          <w:rFonts w:ascii="Arial" w:cs="Arial" w:eastAsia="Arial" w:hAnsi="Arial"/>
          <w:sz w:val="16"/>
          <w:szCs w:val="16"/>
          <w:color w:val="auto"/>
        </w:rPr>
        <w:t>The FDA has granted orphan drug designation to pralsetinib for the treatment of RET-rearranged NSCLC, JAK1/2-positive NSCLC or TRKC-positive NSCLC, and the FDA has granted breakthrough therapy designation to pralsetinib for the treatment of patients with RET-fusion positive NSCLC that has progressed following platinum-based chemotherapy and to pralsetinib for the treatment of patients with RET mutation-positive MTC that requires systemic treatment and for which there are no acceptable alternative treatments.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59042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250430" cy="5904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Avapritinib — gastrointestinal stromal tumors (GIST)</w:t>
      </w:r>
    </w:p>
    <w:p>
      <w:pPr>
        <w:spacing w:after="0" w:line="234" w:lineRule="exact"/>
        <w:rPr>
          <w:sz w:val="20"/>
          <w:szCs w:val="20"/>
          <w:color w:val="auto"/>
        </w:rPr>
      </w:pPr>
    </w:p>
    <w:p>
      <w:pPr>
        <w:ind w:left="240" w:right="120" w:firstLine="488"/>
        <w:spacing w:after="0" w:line="238" w:lineRule="auto"/>
        <w:rPr>
          <w:sz w:val="20"/>
          <w:szCs w:val="20"/>
          <w:color w:val="auto"/>
        </w:rPr>
      </w:pPr>
      <w:r>
        <w:rPr>
          <w:rFonts w:ascii="Arial" w:cs="Arial" w:eastAsia="Arial" w:hAnsi="Arial"/>
          <w:sz w:val="18"/>
          <w:szCs w:val="18"/>
          <w:color w:val="auto"/>
        </w:rPr>
        <w:t>We are also developing avapritinib for the treatment of GIST, a rare disease that is a sarcoma, or tumor of bone or connective tissue, of the gastrointestinal tract. Avapritinib is an orally available, potent and highly selective inhibitor that targets KIT and PDGFRA mutations. These mutations abnormally activate receptor tyrosine kinases that are drivers of GIST.</w:t>
      </w:r>
    </w:p>
    <w:p>
      <w:pPr>
        <w:spacing w:after="0" w:line="208" w:lineRule="exact"/>
        <w:rPr>
          <w:sz w:val="20"/>
          <w:szCs w:val="20"/>
          <w:color w:val="auto"/>
        </w:rPr>
      </w:pPr>
    </w:p>
    <w:p>
      <w:pPr>
        <w:ind w:left="240" w:right="260" w:firstLine="488"/>
        <w:spacing w:after="0" w:line="236" w:lineRule="auto"/>
        <w:rPr>
          <w:sz w:val="20"/>
          <w:szCs w:val="20"/>
          <w:color w:val="auto"/>
        </w:rPr>
      </w:pPr>
      <w:r>
        <w:rPr>
          <w:rFonts w:ascii="Arial" w:cs="Arial" w:eastAsia="Arial" w:hAnsi="Arial"/>
          <w:sz w:val="18"/>
          <w:szCs w:val="18"/>
          <w:color w:val="auto"/>
        </w:rPr>
        <w:t>In January 2020, the FDA granted us approval of avapritinib under the brand name AYVAKIT™ for the treatment of adults with unresectable or metastatic GIST harboring a PDGFRA exon 18 mutation, including PDGFRA D842V mutations. The FDA granted breakthrough therapy designation to avapritinib for the treatment of patients with unresectable or metastatic GIST harboring the PDGFRA D842V mutation. The FDA also granted orphan drug designation to avapritinib for the treatment of GIST and fast track designation to avapritinib for (i) the treatment of patients with unresectable or metastatic GIST that progressed following treatment with imatinib and a second tyrosine kinase inhibitor and (ii) the treatment of patients with unresectable or metastatic GIST with the PDGFRA D842V mutation regardless of prior therapy.</w:t>
      </w:r>
    </w:p>
    <w:p>
      <w:pPr>
        <w:spacing w:after="0" w:line="209" w:lineRule="exact"/>
        <w:rPr>
          <w:sz w:val="20"/>
          <w:szCs w:val="20"/>
          <w:color w:val="auto"/>
        </w:rPr>
      </w:pPr>
    </w:p>
    <w:p>
      <w:pPr>
        <w:ind w:left="240" w:firstLine="488"/>
        <w:spacing w:after="0" w:line="235" w:lineRule="auto"/>
        <w:rPr>
          <w:sz w:val="20"/>
          <w:szCs w:val="20"/>
          <w:color w:val="auto"/>
        </w:rPr>
      </w:pPr>
      <w:r>
        <w:rPr>
          <w:rFonts w:ascii="Arial" w:cs="Arial" w:eastAsia="Arial" w:hAnsi="Arial"/>
          <w:sz w:val="18"/>
          <w:szCs w:val="18"/>
          <w:color w:val="auto"/>
        </w:rPr>
        <w:t>In addition, we are developing avapritinib for the treatment of third-line and later GIST (including fourth-line GIST). We are currently evaluating avapritinib for the treatment of GIST in an ongoing global, randomized Phase 3 clinical trial comparing avapritinib to regorafenib in third-line GIST, which we refer to as our VOYAGER trial. We expect to report top-line data from the VOYAGER trial in the second quarter of 2020, and we plan to submit a supplemental NDA to the FDA for avapritinib for the treatment of third-line GIST in the second half of 2020. In addition, the FDA is currently reviewing our NDA for avapritinib for the treatment of fourth-line GIST, and this application currently has a Prescription Drug User Fee Act, or PDUFA, action date of February 14, 2020. As part of the review, the FDA has requested top-line data from our VOYAGER trial. To enable us to submit the requested top-line data to the FDA, we have submitted an amendment to our pending NDA for fourth-line GIST, which if classified as a major amendment, would potentially extend our PDUFA action date by three months to May 14, 2020. If the FDA extends our PDUFA action date, we expect to provide the top-line data to the FDA early in the second quarter of 2020 prior to completion of the review cycle. Subject to the FDA's extension of the PDUFA action date, we expect a decision from the FDA on our NDA for fourth-line GIST in the second quarter of 2020.</w:t>
      </w:r>
    </w:p>
    <w:p>
      <w:pPr>
        <w:spacing w:after="0" w:line="215" w:lineRule="exact"/>
        <w:rPr>
          <w:sz w:val="20"/>
          <w:szCs w:val="20"/>
          <w:color w:val="auto"/>
        </w:rPr>
      </w:pPr>
    </w:p>
    <w:p>
      <w:pPr>
        <w:ind w:left="240" w:right="60" w:firstLine="488"/>
        <w:spacing w:after="0" w:line="236" w:lineRule="auto"/>
        <w:rPr>
          <w:sz w:val="20"/>
          <w:szCs w:val="20"/>
          <w:color w:val="auto"/>
        </w:rPr>
      </w:pPr>
      <w:r>
        <w:rPr>
          <w:rFonts w:ascii="Arial" w:cs="Arial" w:eastAsia="Arial" w:hAnsi="Arial"/>
          <w:sz w:val="18"/>
          <w:szCs w:val="18"/>
          <w:color w:val="auto"/>
        </w:rPr>
        <w:t>In July 2019, the EMA validated our MAA for avapritinib for the treatment of adult patients with PDGFRA D842V mutant GIST, regardless of prior therapy, and fourth-line GIST. Based on ongoing discussions with European regulatory authorities and an evaluation of market access opportunities in the European Union, we continue to pursue a conditional marketing authorization for avapritinib for PDGFRA D842V mutant GIST, and for third-line and later GIST (including fourth-line GIST), we plan to pursue a separate marketing authorization application based on randomized controlled data from our VOYAGER trial. We anticipate a decision from the European Commission on the PDGFRA D842V GIST indication in the third quarter of 2020. The European Commission has granted orphan medicinal product designation to avapritinib for the treatment of GIST.</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Fisogatinib — hepatocellular carcinoma (HCC)</w:t>
      </w:r>
    </w:p>
    <w:p>
      <w:pPr>
        <w:spacing w:after="0" w:line="234" w:lineRule="exact"/>
        <w:rPr>
          <w:sz w:val="20"/>
          <w:szCs w:val="20"/>
          <w:color w:val="auto"/>
        </w:rPr>
      </w:pPr>
    </w:p>
    <w:p>
      <w:pPr>
        <w:ind w:left="240" w:right="100" w:firstLine="488"/>
        <w:spacing w:after="0" w:line="273" w:lineRule="auto"/>
        <w:rPr>
          <w:sz w:val="20"/>
          <w:szCs w:val="20"/>
          <w:color w:val="auto"/>
        </w:rPr>
      </w:pPr>
      <w:r>
        <w:rPr>
          <w:rFonts w:ascii="Arial" w:cs="Arial" w:eastAsia="Arial" w:hAnsi="Arial"/>
          <w:sz w:val="16"/>
          <w:szCs w:val="16"/>
          <w:color w:val="auto"/>
        </w:rPr>
        <w:t>We are developing fisogatinib for the treatment of advanced HCC. Fisogatinib is an investigational, orally available, potent and highly selective inhibitor that targets FGFR4, a kinase that is aberrantly activated in a defined subset of patients with HCC, the most common type of liver cancer. We are currently evaluating fisogatinib in an ongoing Phase 1 clinical trial in patients with advanced HCC. As part of our collaboration with CStone Pharmaceuticals, or CStone, we are also evaluating fisogatinib in combination with CS1001, a clinical-stage anti-PDL1 immunotherapy being developed by CStone, for the treatment of locally advanced or metastatic in an ongoing Phase 1b/2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0585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7250430" cy="6058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trial conducted in multiple clinical sites in China. The FDA has granted orphan drug designation to fisogatinib for the treatment of HCC.</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Discovery Platform</w:t>
      </w:r>
    </w:p>
    <w:p>
      <w:pPr>
        <w:spacing w:after="0" w:line="234" w:lineRule="exact"/>
        <w:rPr>
          <w:sz w:val="20"/>
          <w:szCs w:val="20"/>
          <w:color w:val="auto"/>
        </w:rPr>
      </w:pPr>
    </w:p>
    <w:p>
      <w:pPr>
        <w:ind w:left="240" w:right="80" w:firstLine="488"/>
        <w:spacing w:after="0" w:line="235" w:lineRule="auto"/>
        <w:rPr>
          <w:sz w:val="20"/>
          <w:szCs w:val="20"/>
          <w:color w:val="auto"/>
        </w:rPr>
      </w:pPr>
      <w:r>
        <w:rPr>
          <w:rFonts w:ascii="Arial" w:cs="Arial" w:eastAsia="Arial" w:hAnsi="Arial"/>
          <w:sz w:val="18"/>
          <w:szCs w:val="18"/>
          <w:color w:val="auto"/>
        </w:rPr>
        <w:t>We plan to continue to leverage our discovery platform to systematically and reproducibly identify kinases that are drivers of diseases in genomically defined patient populations and craft drug candidates that potently and selectively target these kinases. In January 2020, we announced the nomination of a development candidate for the treatment of EGFR Exon 19/L858R+T790M+C797S, which we refer to as resistant EGFR-positive triple mutant NSCLC. Following this nomination, we currently have five wholly-owned discovery programs, consisting of the following: BLU-263; the development candidate for the treatment of resistant EGFR-positive triple mutant NSCLC; a pre-development candidate program targeting EGFR Exon 19/L858R+C797S, which we refer to as resistant EGFR-positive double mutant NSCLC; and two pre-development candidate programs for undisclosed kinase targets. EGFR Exon 19/L858R+T790M+C797S and EGFR Exon 19/L858R+C797S are acquired resistance mutations in NSCLC patients following treatment with osimertinib. We plan to nominate up to two additional development candidates by the end of 2020.</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Development and Commercialization Rights</w:t>
      </w:r>
    </w:p>
    <w:p>
      <w:pPr>
        <w:spacing w:after="0" w:line="234" w:lineRule="exact"/>
        <w:rPr>
          <w:sz w:val="20"/>
          <w:szCs w:val="20"/>
          <w:color w:val="auto"/>
        </w:rPr>
      </w:pPr>
    </w:p>
    <w:p>
      <w:pPr>
        <w:jc w:val="both"/>
        <w:ind w:left="240" w:firstLine="488"/>
        <w:spacing w:after="0" w:line="275" w:lineRule="auto"/>
        <w:rPr>
          <w:sz w:val="20"/>
          <w:szCs w:val="20"/>
          <w:color w:val="auto"/>
        </w:rPr>
      </w:pPr>
      <w:r>
        <w:rPr>
          <w:rFonts w:ascii="Arial" w:cs="Arial" w:eastAsia="Arial" w:hAnsi="Arial"/>
          <w:sz w:val="16"/>
          <w:szCs w:val="16"/>
          <w:color w:val="auto"/>
        </w:rPr>
        <w:t>We currently have worldwide development and commercialization rights to avapritinib, pralsetinib and fisogatinib, other than the rights licensed to CStone for these drug candidates in Mainland China, Hong Kong, Macau and Taiwan, or the CStone territory. We currently have worldwide development and commercialization rights to all of our discovery programs, other than the discovery-stage cancer immunotherapy programs under collaboration with F. Hoffmann-La Roche Ltd and Hoffmann-La Roche Inc., which we collectively refer to as Roche.</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Collaborations and Licenses</w:t>
      </w:r>
    </w:p>
    <w:p>
      <w:pPr>
        <w:spacing w:after="0" w:line="214" w:lineRule="exact"/>
        <w:rPr>
          <w:sz w:val="20"/>
          <w:szCs w:val="20"/>
          <w:color w:val="auto"/>
        </w:rPr>
      </w:pPr>
    </w:p>
    <w:p>
      <w:pPr>
        <w:ind w:left="240" w:right="140" w:firstLine="488"/>
        <w:spacing w:after="0" w:line="283" w:lineRule="auto"/>
        <w:rPr>
          <w:sz w:val="20"/>
          <w:szCs w:val="20"/>
          <w:color w:val="auto"/>
        </w:rPr>
      </w:pPr>
      <w:r>
        <w:rPr>
          <w:rFonts w:ascii="Arial" w:cs="Arial" w:eastAsia="Arial" w:hAnsi="Arial"/>
          <w:sz w:val="16"/>
          <w:szCs w:val="16"/>
          <w:i w:val="1"/>
          <w:iCs w:val="1"/>
          <w:color w:val="auto"/>
        </w:rPr>
        <w:t xml:space="preserve">Roche. </w:t>
      </w:r>
      <w:r>
        <w:rPr>
          <w:rFonts w:ascii="Arial" w:cs="Arial" w:eastAsia="Arial" w:hAnsi="Arial"/>
          <w:sz w:val="16"/>
          <w:szCs w:val="16"/>
          <w:color w:val="auto"/>
        </w:rPr>
        <w:t>We entered into a collaboration with Roche in March 2016. Under our collaboration agreement with Roche, we are working</w:t>
      </w:r>
      <w:r>
        <w:rPr>
          <w:rFonts w:ascii="Arial" w:cs="Arial" w:eastAsia="Arial" w:hAnsi="Arial"/>
          <w:sz w:val="16"/>
          <w:szCs w:val="16"/>
          <w:i w:val="1"/>
          <w:iCs w:val="1"/>
          <w:color w:val="auto"/>
        </w:rPr>
        <w:t xml:space="preserve"> </w:t>
      </w:r>
      <w:r>
        <w:rPr>
          <w:rFonts w:ascii="Arial" w:cs="Arial" w:eastAsia="Arial" w:hAnsi="Arial"/>
          <w:sz w:val="16"/>
          <w:szCs w:val="16"/>
          <w:color w:val="auto"/>
        </w:rPr>
        <w:t>with Roche to discover, develop and commercialize up to four small molecule therapeutics targeting kinases believed to be important in cancer immunotherapy, as single products or possibly in combination with other therapeutics. In the fourth quarter of 2019, we and Roche announced one of the kinase targets under the collaboration, MAP4K1, which is believed to play a role in T cell regulation.</w:t>
      </w:r>
    </w:p>
    <w:p>
      <w:pPr>
        <w:spacing w:after="0" w:line="159" w:lineRule="exact"/>
        <w:rPr>
          <w:sz w:val="20"/>
          <w:szCs w:val="20"/>
          <w:color w:val="auto"/>
        </w:rPr>
      </w:pPr>
    </w:p>
    <w:p>
      <w:pPr>
        <w:jc w:val="both"/>
        <w:ind w:left="240" w:right="20" w:firstLine="488"/>
        <w:spacing w:after="0" w:line="247" w:lineRule="auto"/>
        <w:rPr>
          <w:sz w:val="20"/>
          <w:szCs w:val="20"/>
          <w:color w:val="auto"/>
        </w:rPr>
      </w:pPr>
      <w:r>
        <w:rPr>
          <w:rFonts w:ascii="Arial" w:cs="Arial" w:eastAsia="Arial" w:hAnsi="Arial"/>
          <w:sz w:val="18"/>
          <w:szCs w:val="18"/>
          <w:i w:val="1"/>
          <w:iCs w:val="1"/>
          <w:color w:val="auto"/>
        </w:rPr>
        <w:t xml:space="preserve">CStone. </w:t>
      </w:r>
      <w:r>
        <w:rPr>
          <w:rFonts w:ascii="Arial" w:cs="Arial" w:eastAsia="Arial" w:hAnsi="Arial"/>
          <w:sz w:val="18"/>
          <w:szCs w:val="18"/>
          <w:color w:val="auto"/>
        </w:rPr>
        <w:t>We entered into a collaboration with CStone in June 2018. Under our collaboration agreement with CStone, we are seeking</w:t>
      </w:r>
      <w:r>
        <w:rPr>
          <w:rFonts w:ascii="Arial" w:cs="Arial" w:eastAsia="Arial" w:hAnsi="Arial"/>
          <w:sz w:val="18"/>
          <w:szCs w:val="18"/>
          <w:i w:val="1"/>
          <w:iCs w:val="1"/>
          <w:color w:val="auto"/>
        </w:rPr>
        <w:t xml:space="preserve"> </w:t>
      </w:r>
      <w:r>
        <w:rPr>
          <w:rFonts w:ascii="Arial" w:cs="Arial" w:eastAsia="Arial" w:hAnsi="Arial"/>
          <w:sz w:val="18"/>
          <w:szCs w:val="18"/>
          <w:color w:val="auto"/>
        </w:rPr>
        <w:t>to develop and commercialize avapritinib, pralsetinib and fisogatinib, including back-up forms and certain other forms, in the CStone territory either as a monotherapy or as part of a combination therapy.</w:t>
      </w:r>
    </w:p>
    <w:p>
      <w:pPr>
        <w:spacing w:after="0" w:line="185" w:lineRule="exact"/>
        <w:rPr>
          <w:sz w:val="20"/>
          <w:szCs w:val="20"/>
          <w:color w:val="auto"/>
        </w:rPr>
      </w:pPr>
    </w:p>
    <w:p>
      <w:pPr>
        <w:ind w:left="240" w:right="20" w:firstLine="488"/>
        <w:spacing w:after="0" w:line="239" w:lineRule="auto"/>
        <w:rPr>
          <w:sz w:val="20"/>
          <w:szCs w:val="20"/>
          <w:color w:val="auto"/>
        </w:rPr>
      </w:pPr>
      <w:r>
        <w:rPr>
          <w:rFonts w:ascii="Arial" w:cs="Arial" w:eastAsia="Arial" w:hAnsi="Arial"/>
          <w:sz w:val="18"/>
          <w:szCs w:val="18"/>
          <w:i w:val="1"/>
          <w:iCs w:val="1"/>
          <w:color w:val="auto"/>
        </w:rPr>
        <w:t xml:space="preserve">Clementia. </w:t>
      </w:r>
      <w:r>
        <w:rPr>
          <w:rFonts w:ascii="Arial" w:cs="Arial" w:eastAsia="Arial" w:hAnsi="Arial"/>
          <w:sz w:val="18"/>
          <w:szCs w:val="18"/>
          <w:color w:val="auto"/>
        </w:rPr>
        <w:t>In October 2019, we entered into a license agreement with Clementia Pharmaceuticals, Inc., or Clementia, a wholly-owned subsidiary of Ipsen S.A., and granted an exclusive, worldwide, royalty-bearing license to Clementia to develop and commercialize BLU-782, as well as specified other compounds related to the BLU-782 program. BLU-782 is an investigational, orally available, potent and highly selective inhibitor that targets mutant activin-like kinase 2, or ALK2, in development for the treatment of fibrodysplasia ossificans progressiva, or FOP. Clementia is planning to commence a potentially pivotal Phase 2 trial of BLU-782 for the treatment of FOP in 2020 as a monotherapy. The FDA has granted a rare pediatric disease designation, orphan drug designation and fast track designation to BLU-782, each for the treatment of FOP.</w:t>
      </w:r>
    </w:p>
    <w:p>
      <w:pPr>
        <w:spacing w:after="0" w:line="209" w:lineRule="exact"/>
        <w:rPr>
          <w:sz w:val="20"/>
          <w:szCs w:val="20"/>
          <w:color w:val="auto"/>
        </w:rPr>
      </w:pPr>
    </w:p>
    <w:p>
      <w:pPr>
        <w:ind w:left="240" w:right="160" w:firstLine="488"/>
        <w:spacing w:after="0" w:line="239" w:lineRule="auto"/>
        <w:rPr>
          <w:sz w:val="20"/>
          <w:szCs w:val="20"/>
          <w:color w:val="auto"/>
        </w:rPr>
      </w:pPr>
      <w:r>
        <w:rPr>
          <w:rFonts w:ascii="Arial" w:cs="Arial" w:eastAsia="Arial" w:hAnsi="Arial"/>
          <w:sz w:val="18"/>
          <w:szCs w:val="18"/>
          <w:color w:val="auto"/>
        </w:rPr>
        <w:t>We will continue to evaluate additional collaborations, partnerships and licenses that could maximize the value for our programs and allow us to leverage the expertise of strategic</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444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7250430" cy="644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100"/>
        <w:spacing w:after="0" w:line="239" w:lineRule="auto"/>
        <w:rPr>
          <w:sz w:val="20"/>
          <w:szCs w:val="20"/>
          <w:color w:val="auto"/>
        </w:rPr>
      </w:pPr>
      <w:r>
        <w:rPr>
          <w:rFonts w:ascii="Arial" w:cs="Arial" w:eastAsia="Arial" w:hAnsi="Arial"/>
          <w:sz w:val="18"/>
          <w:szCs w:val="18"/>
          <w:color w:val="auto"/>
        </w:rPr>
        <w:t>collaborators, partners and licensors. We are also focused on engaging in collaborations, partnerships and license agreements to capitalize on our discovery platform outside of our primary strategic focus area of cancer.</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Developments</w:t>
      </w:r>
    </w:p>
    <w:p>
      <w:pPr>
        <w:spacing w:after="0" w:line="234" w:lineRule="exact"/>
        <w:rPr>
          <w:sz w:val="20"/>
          <w:szCs w:val="20"/>
          <w:color w:val="auto"/>
        </w:rPr>
      </w:pPr>
    </w:p>
    <w:p>
      <w:pPr>
        <w:ind w:left="240" w:firstLine="478"/>
        <w:spacing w:after="0" w:line="236" w:lineRule="auto"/>
        <w:rPr>
          <w:sz w:val="20"/>
          <w:szCs w:val="20"/>
          <w:color w:val="auto"/>
        </w:rPr>
      </w:pPr>
      <w:r>
        <w:rPr>
          <w:rFonts w:ascii="Arial" w:cs="Arial" w:eastAsia="Arial" w:hAnsi="Arial"/>
          <w:sz w:val="18"/>
          <w:szCs w:val="18"/>
          <w:color w:val="auto"/>
        </w:rPr>
        <w:t>As of December 31, 2019, we expect to have cash, cash equivalents and investments of approximately $548.0 million, as compared to $594.5 million at September 30, 2019. This financial data as of December 31, 2019 is preliminary and is based on information available to management as of the date of this prospectus supplement and is subject to completion by management of our financial statements as of and for the quarter and the year ended December 31, 2019. Our independent registered public accountants have not audited, reviewed or performed any procedures with respect to such preliminary financial data and accordingly do not express an opinion or any other form of assurance with respect thereto. These results could change as a result of further review. Complete quarterly and annual results will be included in our Annual Report on Form 10-K for the year ended December 31, 2019.</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Strategy</w:t>
      </w:r>
    </w:p>
    <w:p>
      <w:pPr>
        <w:spacing w:after="0" w:line="234" w:lineRule="exact"/>
        <w:rPr>
          <w:sz w:val="20"/>
          <w:szCs w:val="20"/>
          <w:color w:val="auto"/>
        </w:rPr>
      </w:pPr>
    </w:p>
    <w:p>
      <w:pPr>
        <w:ind w:left="240" w:firstLine="488"/>
        <w:spacing w:after="0" w:line="237" w:lineRule="auto"/>
        <w:rPr>
          <w:sz w:val="20"/>
          <w:szCs w:val="20"/>
          <w:color w:val="auto"/>
        </w:rPr>
      </w:pPr>
      <w:r>
        <w:rPr>
          <w:rFonts w:ascii="Arial" w:cs="Arial" w:eastAsia="Arial" w:hAnsi="Arial"/>
          <w:sz w:val="18"/>
          <w:szCs w:val="18"/>
          <w:color w:val="auto"/>
        </w:rPr>
        <w:t>Our vision is to leverage our scientific platform to design innovative first-in-class or best-in-class medicines targeting novel kinase biology and become a leading platform-enabled, fully-integrated, global precision therapy company focused on discovering, developing and commercializing a portfolio of precision therapies to patients with cancer and rare diseases. Key elements of our strategy to achieve this goal are as follows:</w:t>
      </w:r>
    </w:p>
    <w:p>
      <w:pPr>
        <w:spacing w:after="0" w:line="222" w:lineRule="exact"/>
        <w:rPr>
          <w:sz w:val="20"/>
          <w:szCs w:val="20"/>
          <w:color w:val="auto"/>
        </w:rPr>
      </w:pPr>
    </w:p>
    <w:p>
      <w:pPr>
        <w:ind w:left="1320" w:right="220" w:hanging="538"/>
        <w:spacing w:after="0" w:line="23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build our global commercial capability as we rapidly advance the commercial launch of AYVAKIT in the U.S. and planned commercial launches for avapritinib and pralsetinib in the U.S. and Europe.</w:t>
      </w:r>
    </w:p>
    <w:p>
      <w:pPr>
        <w:spacing w:after="0" w:line="195" w:lineRule="exact"/>
        <w:rPr>
          <w:rFonts w:ascii="Arial" w:cs="Arial" w:eastAsia="Arial" w:hAnsi="Arial"/>
          <w:sz w:val="18"/>
          <w:szCs w:val="18"/>
          <w:color w:val="auto"/>
        </w:rPr>
      </w:pPr>
    </w:p>
    <w:p>
      <w:pPr>
        <w:ind w:left="1320" w:right="100" w:hanging="538"/>
        <w:spacing w:after="0" w:line="299" w:lineRule="auto"/>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Continue to expand our strategic focus on SM and related mast cell disorders, including avapritinib for the treatment of advanced and indolent SM and BLU-263 for the treatment of indolent SM, and if successful, seek global regulatory approvals.</w:t>
      </w:r>
    </w:p>
    <w:p>
      <w:pPr>
        <w:spacing w:after="0" w:line="149" w:lineRule="exact"/>
        <w:rPr>
          <w:rFonts w:ascii="Arial" w:cs="Arial" w:eastAsia="Arial" w:hAnsi="Arial"/>
          <w:sz w:val="16"/>
          <w:szCs w:val="16"/>
          <w:color w:val="auto"/>
        </w:rPr>
      </w:pPr>
    </w:p>
    <w:p>
      <w:pPr>
        <w:ind w:left="1320" w:right="80" w:hanging="538"/>
        <w:spacing w:after="0" w:line="23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Rapidly advance the clinical development of pralsetinib as a potential treatment for RET-altered cancers, including RET-fusion NSCLC and MTC, and seek global regulatory approvals.</w:t>
      </w:r>
    </w:p>
    <w:p>
      <w:pPr>
        <w:spacing w:after="0" w:line="208"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global regulatory approvals for avapritinib for the treatment of third-line and later GIST (including fourth-line GIST).</w:t>
      </w:r>
    </w:p>
    <w:p>
      <w:pPr>
        <w:spacing w:after="0" w:line="198" w:lineRule="exact"/>
        <w:rPr>
          <w:rFonts w:ascii="Arial" w:cs="Arial" w:eastAsia="Arial" w:hAnsi="Arial"/>
          <w:sz w:val="18"/>
          <w:szCs w:val="18"/>
          <w:color w:val="auto"/>
        </w:rPr>
      </w:pPr>
    </w:p>
    <w:p>
      <w:pPr>
        <w:ind w:left="1320" w:right="40" w:hanging="538"/>
        <w:spacing w:after="0" w:line="23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expand our broad, differentiated pipeline of kinase drug candidates for genomically defined cancers, rare diseases and cancer immunotherapy.</w:t>
      </w:r>
    </w:p>
    <w:p>
      <w:pPr>
        <w:spacing w:after="0" w:line="195"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 potential strategic collaborations and licenses to maximize the value of our programs and platform.</w:t>
      </w:r>
    </w:p>
    <w:p>
      <w:pPr>
        <w:spacing w:after="0" w:line="211"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 commitment to Blueprint Medicines' patient-focused and science-driven culture as we grow our business.</w:t>
      </w: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Company Information</w:t>
      </w:r>
    </w:p>
    <w:p>
      <w:pPr>
        <w:spacing w:after="0" w:line="234" w:lineRule="exact"/>
        <w:rPr>
          <w:sz w:val="20"/>
          <w:szCs w:val="20"/>
          <w:color w:val="auto"/>
        </w:rPr>
      </w:pPr>
    </w:p>
    <w:p>
      <w:pPr>
        <w:ind w:left="240" w:right="120" w:firstLine="488"/>
        <w:spacing w:after="0" w:line="237" w:lineRule="auto"/>
        <w:rPr>
          <w:sz w:val="20"/>
          <w:szCs w:val="20"/>
          <w:color w:val="auto"/>
        </w:rPr>
      </w:pPr>
      <w:r>
        <w:rPr>
          <w:rFonts w:ascii="Arial" w:cs="Arial" w:eastAsia="Arial" w:hAnsi="Arial"/>
          <w:sz w:val="18"/>
          <w:szCs w:val="18"/>
          <w:color w:val="auto"/>
        </w:rPr>
        <w:t>We were incorporated in Delaware in October 2008. Our mailing address and executive offices are located at 45 Sidney Street, Cambridge, Massachusetts 02139, and our telephone number is (617) 374-7580. We maintain an Internet website at the following address: www.blueprintmedicines.com. The information on, or that can be accessed through, our website does not constitute part of this prospectus supplement or the accompanying prospectus, and you</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43" w:right="4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1487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extLst>
                    </a:blip>
                    <a:srcRect/>
                    <a:stretch>
                      <a:fillRect/>
                    </a:stretch>
                  </pic:blipFill>
                  <pic:spPr bwMode="auto">
                    <a:xfrm>
                      <a:off x="0" y="0"/>
                      <a:ext cx="7250430" cy="1487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280"/>
        <w:spacing w:after="0" w:line="239" w:lineRule="auto"/>
        <w:rPr>
          <w:sz w:val="20"/>
          <w:szCs w:val="20"/>
          <w:color w:val="auto"/>
        </w:rPr>
      </w:pPr>
      <w:r>
        <w:rPr>
          <w:rFonts w:ascii="Arial" w:cs="Arial" w:eastAsia="Arial" w:hAnsi="Arial"/>
          <w:sz w:val="18"/>
          <w:szCs w:val="18"/>
          <w:color w:val="auto"/>
        </w:rPr>
        <w:t>should not rely on any such information in making the decision whether to purchase our common stock. Our common stock trades on the Nasdaq Global Select Market under the symbol "BPMC".</w:t>
      </w:r>
    </w:p>
    <w:p>
      <w:pPr>
        <w:spacing w:after="0" w:line="209" w:lineRule="exact"/>
        <w:rPr>
          <w:sz w:val="20"/>
          <w:szCs w:val="20"/>
          <w:color w:val="auto"/>
        </w:rPr>
      </w:pPr>
    </w:p>
    <w:p>
      <w:pPr>
        <w:ind w:left="240" w:firstLine="485"/>
        <w:spacing w:after="0" w:line="237" w:lineRule="auto"/>
        <w:rPr>
          <w:sz w:val="20"/>
          <w:szCs w:val="20"/>
          <w:color w:val="auto"/>
        </w:rPr>
      </w:pPr>
      <w:r>
        <w:rPr>
          <w:rFonts w:ascii="Arial" w:cs="Arial" w:eastAsia="Arial" w:hAnsi="Arial"/>
          <w:sz w:val="18"/>
          <w:szCs w:val="18"/>
          <w:color w:val="auto"/>
        </w:rPr>
        <w:t>The trademarks, trade names and services marks appearing in this prospectus supplement and the accompanying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866"/>
        </w:trPr>
        <w:tc>
          <w:tcPr>
            <w:tcW w:w="4580" w:type="dxa"/>
            <w:vAlign w:val="bottom"/>
            <w:tcBorders>
              <w:top w:val="single" w:sz="8" w:color="auto"/>
              <w:left w:val="single" w:sz="8" w:color="auto"/>
            </w:tcBorders>
          </w:tcPr>
          <w:p>
            <w:pPr>
              <w:spacing w:after="0"/>
              <w:rPr>
                <w:sz w:val="24"/>
                <w:szCs w:val="24"/>
                <w:color w:val="auto"/>
              </w:rPr>
            </w:pPr>
          </w:p>
        </w:tc>
        <w:tc>
          <w:tcPr>
            <w:tcW w:w="684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THE OFFERING</w:t>
            </w:r>
          </w:p>
        </w:tc>
      </w:tr>
      <w:tr>
        <w:trPr>
          <w:trHeight w:val="419"/>
        </w:trPr>
        <w:tc>
          <w:tcPr>
            <w:tcW w:w="45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Common stock offered by us</w:t>
            </w:r>
          </w:p>
        </w:tc>
        <w:tc>
          <w:tcPr>
            <w:tcW w:w="684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$325,000,000 of shares</w:t>
            </w:r>
          </w:p>
        </w:tc>
      </w:tr>
      <w:tr>
        <w:trPr>
          <w:trHeight w:val="410"/>
        </w:trPr>
        <w:tc>
          <w:tcPr>
            <w:tcW w:w="45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Common stock outstanding following the offering</w:t>
            </w:r>
          </w:p>
        </w:tc>
        <w:tc>
          <w:tcPr>
            <w:tcW w:w="684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53,182,840 shares (or 53,783,949 shares if the underwriters</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exercise their option to purchase additional shares in full), which is</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based on an offering of $325.0 million of shares of our common</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stock at an assumed offering price of $81.10 per share, the last</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reported sale price of our common stock on the Nasdaq Global</w:t>
            </w:r>
          </w:p>
        </w:tc>
      </w:tr>
      <w:tr>
        <w:trPr>
          <w:trHeight w:val="211"/>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Select Market on January 17, 2020</w:t>
            </w:r>
          </w:p>
        </w:tc>
      </w:tr>
      <w:tr>
        <w:trPr>
          <w:trHeight w:val="410"/>
        </w:trPr>
        <w:tc>
          <w:tcPr>
            <w:tcW w:w="45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Underwriters' option to purchase additional shares</w:t>
            </w:r>
          </w:p>
        </w:tc>
        <w:tc>
          <w:tcPr>
            <w:tcW w:w="684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We have granted the underwriters an option to purchase up to an</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additional $48,750,000 of shares of common stock. The</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underwriters can exercise this option at any time within 30 days</w:t>
            </w:r>
          </w:p>
        </w:tc>
      </w:tr>
      <w:tr>
        <w:trPr>
          <w:trHeight w:val="211"/>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from the date of this prospectus supplement.</w:t>
            </w:r>
          </w:p>
        </w:tc>
      </w:tr>
      <w:tr>
        <w:trPr>
          <w:trHeight w:val="410"/>
        </w:trPr>
        <w:tc>
          <w:tcPr>
            <w:tcW w:w="45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Use of proceeds</w:t>
            </w:r>
          </w:p>
        </w:tc>
        <w:tc>
          <w:tcPr>
            <w:tcW w:w="684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We estimate the net proceeds from this offering will be</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approximately $308.2 million (or approximately $354.6 million if the</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underwriters exercise their option to purchase additional shares in</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full), after deducting estimated underwriting discounts and</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commissions and estimated offering expenses payable by us. We</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intend to use the net proceeds from this offering to further build our</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global commercial infrastructure to support additional planned</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regulatory filings and commercial launches for AYVAKIT and</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pralsetinib, if approved, in the U.S. and Europe; to fund clinical</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trials for avapritinib in SM, including our ongoing registration-</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enabling Phase 2 PIONEER clinical trial for indolent and</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smoldering SM, as well as future indication expansion clinical trials;</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to fund clinical trials for pralsetinib in RET-driven cancers, including</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our Phase 3 AcceleRET Lung clinical trial for pralsetinib in first-line</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RET-altered NSCLC and our planned Phase 3 clinical trial for</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pralsetinib in first-line RET-mutant MTC, as well as future indication</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expansion clinical trials; to fund our planned Phase 1 trial for BLU-</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263 in healthy volunteers and future clinical trials for BLU-263 and</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other future drug candidates; to fund manufacturing costs for</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AYVAKIT and for ongoing and anticipated drug development efforts</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for our most advanced drug candidates; and the balance, if any, to</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fund additional research, other clinical trials, working capital</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requirements and other general corporate purposes. See "Use of</w:t>
            </w:r>
          </w:p>
        </w:tc>
      </w:tr>
      <w:tr>
        <w:trPr>
          <w:trHeight w:val="211"/>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Proceeds" for additional information.</w:t>
            </w:r>
          </w:p>
        </w:tc>
      </w:tr>
      <w:tr>
        <w:trPr>
          <w:trHeight w:val="410"/>
        </w:trPr>
        <w:tc>
          <w:tcPr>
            <w:tcW w:w="458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Risk factors</w:t>
            </w:r>
          </w:p>
        </w:tc>
        <w:tc>
          <w:tcPr>
            <w:tcW w:w="684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Investing in our common stock involves risks. See "Risk Factors"</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beginning on page S-14 of this prospectus supplement and other</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information included or incorporated by reference into this</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prospectus supplement and the accompanying prospectus for a</w:t>
            </w:r>
          </w:p>
        </w:tc>
      </w:tr>
      <w:tr>
        <w:trPr>
          <w:trHeight w:val="203"/>
        </w:trPr>
        <w:tc>
          <w:tcPr>
            <w:tcW w:w="4580" w:type="dxa"/>
            <w:vAlign w:val="bottom"/>
            <w:tcBorders>
              <w:left w:val="single" w:sz="8" w:color="auto"/>
            </w:tcBorders>
          </w:tcPr>
          <w:p>
            <w:pPr>
              <w:spacing w:after="0"/>
              <w:rPr>
                <w:sz w:val="17"/>
                <w:szCs w:val="17"/>
                <w:color w:val="auto"/>
              </w:rPr>
            </w:pPr>
          </w:p>
        </w:tc>
        <w:tc>
          <w:tcPr>
            <w:tcW w:w="6840" w:type="dxa"/>
            <w:vAlign w:val="bottom"/>
            <w:tcBorders>
              <w:right w:val="single" w:sz="8" w:color="auto"/>
            </w:tcBorders>
          </w:tcPr>
          <w:p>
            <w:pPr>
              <w:ind w:left="1360"/>
              <w:spacing w:after="0" w:line="202" w:lineRule="exact"/>
              <w:rPr>
                <w:sz w:val="20"/>
                <w:szCs w:val="20"/>
                <w:color w:val="auto"/>
              </w:rPr>
            </w:pPr>
            <w:r>
              <w:rPr>
                <w:rFonts w:ascii="Arial" w:cs="Arial" w:eastAsia="Arial" w:hAnsi="Arial"/>
                <w:sz w:val="18"/>
                <w:szCs w:val="18"/>
                <w:color w:val="auto"/>
              </w:rPr>
              <w:t>discussion of the factors you should carefully consider before</w:t>
            </w:r>
          </w:p>
        </w:tc>
      </w:tr>
      <w:tr>
        <w:trPr>
          <w:trHeight w:val="211"/>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deciding to invest in our securities.</w:t>
            </w:r>
          </w:p>
        </w:tc>
      </w:tr>
      <w:tr>
        <w:trPr>
          <w:trHeight w:val="431"/>
        </w:trPr>
        <w:tc>
          <w:tcPr>
            <w:tcW w:w="4580" w:type="dxa"/>
            <w:vAlign w:val="bottom"/>
            <w:tcBorders>
              <w:left w:val="single" w:sz="8" w:color="auto"/>
              <w:bottom w:val="single" w:sz="8" w:color="auto"/>
            </w:tcBorders>
          </w:tcPr>
          <w:p>
            <w:pPr>
              <w:spacing w:after="0"/>
              <w:rPr>
                <w:sz w:val="24"/>
                <w:szCs w:val="24"/>
                <w:color w:val="auto"/>
              </w:rPr>
            </w:pPr>
          </w:p>
        </w:tc>
        <w:tc>
          <w:tcPr>
            <w:tcW w:w="6840" w:type="dxa"/>
            <w:vAlign w:val="bottom"/>
            <w:tcBorders>
              <w:bottom w:val="single" w:sz="8" w:color="auto"/>
              <w:right w:val="single" w:sz="8" w:color="auto"/>
            </w:tcBorders>
          </w:tcPr>
          <w:p>
            <w:pPr>
              <w:spacing w:after="0"/>
              <w:rPr>
                <w:sz w:val="24"/>
                <w:szCs w:val="24"/>
                <w:color w:val="auto"/>
              </w:rPr>
            </w:pPr>
          </w:p>
        </w:tc>
      </w:tr>
      <w:tr>
        <w:trPr>
          <w:trHeight w:val="427"/>
        </w:trPr>
        <w:tc>
          <w:tcPr>
            <w:tcW w:w="4580" w:type="dxa"/>
            <w:vAlign w:val="bottom"/>
          </w:tcPr>
          <w:p>
            <w:pPr>
              <w:spacing w:after="0"/>
              <w:rPr>
                <w:sz w:val="24"/>
                <w:szCs w:val="24"/>
                <w:color w:val="auto"/>
              </w:rPr>
            </w:pPr>
          </w:p>
        </w:tc>
        <w:tc>
          <w:tcPr>
            <w:tcW w:w="6840" w:type="dxa"/>
            <w:vAlign w:val="bottom"/>
          </w:tcPr>
          <w:p>
            <w:pPr>
              <w:ind w:left="940"/>
              <w:spacing w:after="0"/>
              <w:rPr>
                <w:sz w:val="20"/>
                <w:szCs w:val="20"/>
                <w:color w:val="auto"/>
              </w:rPr>
            </w:pPr>
            <w:r>
              <w:rPr>
                <w:rFonts w:ascii="Arial" w:cs="Arial" w:eastAsia="Arial" w:hAnsi="Arial"/>
                <w:sz w:val="18"/>
                <w:szCs w:val="18"/>
                <w:color w:val="auto"/>
              </w:rPr>
              <w:t>S-12</w:t>
            </w:r>
          </w:p>
        </w:tc>
      </w:tr>
      <w:tr>
        <w:trPr>
          <w:trHeight w:val="215"/>
        </w:trPr>
        <w:tc>
          <w:tcPr>
            <w:tcW w:w="4580" w:type="dxa"/>
            <w:vAlign w:val="bottom"/>
            <w:tcBorders>
              <w:bottom w:val="single" w:sz="8" w:color="808080"/>
            </w:tcBorders>
          </w:tcPr>
          <w:p>
            <w:pPr>
              <w:spacing w:after="0"/>
              <w:rPr>
                <w:sz w:val="18"/>
                <w:szCs w:val="18"/>
                <w:color w:val="auto"/>
              </w:rPr>
            </w:pPr>
          </w:p>
        </w:tc>
        <w:tc>
          <w:tcPr>
            <w:tcW w:w="68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3837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extLst>
                    </a:blip>
                    <a:srcRect/>
                    <a:stretch>
                      <a:fillRect/>
                    </a:stretch>
                  </pic:blipFill>
                  <pic:spPr bwMode="auto">
                    <a:xfrm>
                      <a:off x="0" y="0"/>
                      <a:ext cx="7250430" cy="383730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40"/>
        <w:spacing w:after="0"/>
        <w:tabs>
          <w:tab w:leader="none" w:pos="5920" w:val="left"/>
        </w:tabs>
        <w:rPr>
          <w:sz w:val="20"/>
          <w:szCs w:val="20"/>
          <w:color w:val="auto"/>
        </w:rPr>
      </w:pPr>
      <w:r>
        <w:rPr>
          <w:rFonts w:ascii="Arial" w:cs="Arial" w:eastAsia="Arial" w:hAnsi="Arial"/>
          <w:sz w:val="18"/>
          <w:szCs w:val="18"/>
          <w:color w:val="auto"/>
        </w:rPr>
        <w:t>Nasdaq Global Select Market symbol</w:t>
      </w:r>
      <w:r>
        <w:rPr>
          <w:sz w:val="20"/>
          <w:szCs w:val="20"/>
          <w:color w:val="auto"/>
        </w:rPr>
        <w:tab/>
      </w:r>
      <w:r>
        <w:rPr>
          <w:rFonts w:ascii="Arial" w:cs="Arial" w:eastAsia="Arial" w:hAnsi="Arial"/>
          <w:sz w:val="16"/>
          <w:szCs w:val="16"/>
          <w:color w:val="auto"/>
        </w:rPr>
        <w:t>"BPMC"</w:t>
      </w:r>
    </w:p>
    <w:p>
      <w:pPr>
        <w:spacing w:after="0" w:line="212" w:lineRule="exact"/>
        <w:rPr>
          <w:sz w:val="20"/>
          <w:szCs w:val="20"/>
          <w:color w:val="auto"/>
        </w:rPr>
      </w:pPr>
    </w:p>
    <w:p>
      <w:pPr>
        <w:ind w:left="240" w:firstLine="485"/>
        <w:spacing w:after="0" w:line="281" w:lineRule="auto"/>
        <w:rPr>
          <w:sz w:val="20"/>
          <w:szCs w:val="20"/>
          <w:color w:val="auto"/>
        </w:rPr>
      </w:pPr>
      <w:r>
        <w:rPr>
          <w:rFonts w:ascii="Arial" w:cs="Arial" w:eastAsia="Arial" w:hAnsi="Arial"/>
          <w:sz w:val="16"/>
          <w:szCs w:val="16"/>
          <w:color w:val="auto"/>
        </w:rPr>
        <w:t>The number of shares of our common stock to be outstanding after the offering is based on 49,175,442 shares of common stock outstanding as of September 30, 2019, and assumes the sale of $325,000,000 of shares of common stock at an assumed offering price of $81.10 per share, the last reported sale price of our common stock on the Nasdaq Global Select Market on January 17, 2020, and excludes:</w:t>
      </w:r>
    </w:p>
    <w:p>
      <w:pPr>
        <w:spacing w:after="0" w:line="191" w:lineRule="exact"/>
        <w:rPr>
          <w:sz w:val="20"/>
          <w:szCs w:val="20"/>
          <w:color w:val="auto"/>
        </w:rPr>
      </w:pPr>
    </w:p>
    <w:p>
      <w:pPr>
        <w:ind w:left="1320" w:right="26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5,631,477 shares of common stock issuable upon the exercise of stock options outstanding as of September 30, 2019, at a weighted average exercise price of $57.53 per share;</w:t>
      </w:r>
    </w:p>
    <w:p>
      <w:pPr>
        <w:spacing w:after="0" w:line="195" w:lineRule="exact"/>
        <w:rPr>
          <w:rFonts w:ascii="Arial" w:cs="Arial" w:eastAsia="Arial" w:hAnsi="Arial"/>
          <w:sz w:val="18"/>
          <w:szCs w:val="18"/>
          <w:color w:val="auto"/>
        </w:rPr>
      </w:pPr>
    </w:p>
    <w:p>
      <w:pPr>
        <w:ind w:left="1320" w:right="76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381,792 shares of common stock issuable upon the vesting and settlement of restricted stock units outstanding as of September 30, 2019;</w:t>
      </w:r>
    </w:p>
    <w:p>
      <w:pPr>
        <w:spacing w:after="0" w:line="195" w:lineRule="exact"/>
        <w:rPr>
          <w:rFonts w:ascii="Arial" w:cs="Arial" w:eastAsia="Arial" w:hAnsi="Arial"/>
          <w:sz w:val="18"/>
          <w:szCs w:val="18"/>
          <w:color w:val="auto"/>
        </w:rPr>
      </w:pPr>
    </w:p>
    <w:p>
      <w:pPr>
        <w:ind w:left="1320" w:right="380" w:hanging="538"/>
        <w:spacing w:after="0" w:line="23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1,653,349 shares of common stock reserved for future issuance under our 2015 Plan as of September 30, 2019, plus any future increases in the number of shares of common stock reserved for issuance under the 2015 Plan pursuant to the evergreen provision of the 2015 Plan; and</w:t>
      </w:r>
    </w:p>
    <w:p>
      <w:pPr>
        <w:spacing w:after="0" w:line="208" w:lineRule="exact"/>
        <w:rPr>
          <w:rFonts w:ascii="Arial" w:cs="Arial" w:eastAsia="Arial" w:hAnsi="Arial"/>
          <w:sz w:val="18"/>
          <w:szCs w:val="18"/>
          <w:color w:val="auto"/>
        </w:rPr>
      </w:pPr>
    </w:p>
    <w:p>
      <w:pPr>
        <w:ind w:left="1320" w:right="66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1,658,082 shares of common stock reserved for future issuance under our 2015 Employee Stock Purchase Plan as of September 30, 2019.</w:t>
      </w:r>
    </w:p>
    <w:p>
      <w:pPr>
        <w:spacing w:after="0" w:line="20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Except as otherwise indicated, all information in this prospectus supplement assumes:</w:t>
      </w:r>
    </w:p>
    <w:p>
      <w:pPr>
        <w:spacing w:after="0" w:line="212" w:lineRule="exact"/>
        <w:rPr>
          <w:sz w:val="20"/>
          <w:szCs w:val="20"/>
          <w:color w:val="auto"/>
        </w:rPr>
      </w:pPr>
    </w:p>
    <w:p>
      <w:pPr>
        <w:ind w:left="1320" w:hanging="53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common stock in this offering;</w:t>
      </w:r>
    </w:p>
    <w:p>
      <w:pPr>
        <w:spacing w:after="0" w:line="198" w:lineRule="exact"/>
        <w:rPr>
          <w:rFonts w:ascii="Arial" w:cs="Arial" w:eastAsia="Arial" w:hAnsi="Arial"/>
          <w:sz w:val="18"/>
          <w:szCs w:val="18"/>
          <w:color w:val="auto"/>
        </w:rPr>
      </w:pPr>
    </w:p>
    <w:p>
      <w:pPr>
        <w:ind w:left="1320" w:hanging="53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of stock options after September 30, 2019; and</w:t>
      </w:r>
    </w:p>
    <w:p>
      <w:pPr>
        <w:spacing w:after="0" w:line="211" w:lineRule="exact"/>
        <w:rPr>
          <w:rFonts w:ascii="Arial" w:cs="Arial" w:eastAsia="Arial" w:hAnsi="Arial"/>
          <w:sz w:val="18"/>
          <w:szCs w:val="18"/>
          <w:color w:val="auto"/>
        </w:rPr>
      </w:pPr>
    </w:p>
    <w:p>
      <w:pPr>
        <w:ind w:left="1320" w:hanging="53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vesting of restricted stock units after September 30,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firstLine="488"/>
        <w:spacing w:after="0" w:line="274" w:lineRule="auto"/>
        <w:rPr>
          <w:rFonts w:ascii="Arial" w:cs="Arial" w:eastAsia="Arial" w:hAnsi="Arial"/>
          <w:sz w:val="16"/>
          <w:szCs w:val="16"/>
          <w:i w:val="1"/>
          <w:iCs w:val="1"/>
          <w:color w:val="0000EE"/>
        </w:rPr>
      </w:pPr>
      <w:r>
        <w:rPr>
          <w:rFonts w:ascii="Arial" w:cs="Arial" w:eastAsia="Arial" w:hAnsi="Arial"/>
          <w:sz w:val="16"/>
          <w:szCs w:val="16"/>
          <w:i w:val="1"/>
          <w:iCs w:val="1"/>
          <w:color w:val="auto"/>
        </w:rPr>
        <w:t xml:space="preserve">Investing in our common stock involves significant risks. In addition to the other information contained in this prospectus supplement, the accompanying prospectus and in the documents that we have incorporated by reference, you should carefully consider the risks discussed below </w:t>
      </w:r>
      <w:hyperlink r:id="rId18">
        <w:r>
          <w:rPr>
            <w:rFonts w:ascii="Arial" w:cs="Arial" w:eastAsia="Arial" w:hAnsi="Arial"/>
            <w:sz w:val="16"/>
            <w:szCs w:val="16"/>
            <w:i w:val="1"/>
            <w:iCs w:val="1"/>
            <w:color w:val="auto"/>
          </w:rPr>
          <w:t xml:space="preserve">and under the heading "Risk Factors" in our </w:t>
        </w:r>
        <w:r>
          <w:rPr>
            <w:rFonts w:ascii="Arial" w:cs="Arial" w:eastAsia="Arial" w:hAnsi="Arial"/>
            <w:sz w:val="16"/>
            <w:szCs w:val="16"/>
            <w:i w:val="1"/>
            <w:iCs w:val="1"/>
            <w:u w:val="single" w:color="auto"/>
            <w:color w:val="0000EE"/>
          </w:rPr>
          <w:t>Quarterly Report on Form 10-Q for the fiscal quarter ended September 30, 2019, filed with the SEC on</w:t>
        </w:r>
      </w:hyperlink>
      <w:r>
        <w:rPr>
          <w:rFonts w:ascii="Arial" w:cs="Arial" w:eastAsia="Arial" w:hAnsi="Arial"/>
          <w:sz w:val="16"/>
          <w:szCs w:val="16"/>
          <w:i w:val="1"/>
          <w:iCs w:val="1"/>
          <w:color w:val="auto"/>
        </w:rPr>
        <w:t xml:space="preserve"> </w:t>
      </w:r>
      <w:hyperlink r:id="rId18">
        <w:r>
          <w:rPr>
            <w:rFonts w:ascii="Arial" w:cs="Arial" w:eastAsia="Arial" w:hAnsi="Arial"/>
            <w:sz w:val="16"/>
            <w:szCs w:val="16"/>
            <w:i w:val="1"/>
            <w:iCs w:val="1"/>
            <w:u w:val="single" w:color="auto"/>
            <w:color w:val="0000EE"/>
          </w:rPr>
          <w:t>November 5, 2019,</w:t>
        </w:r>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as updated by our subsequent filings under the Exchange Act, before making a decision about investing in our common stock.</w:t>
        </w:r>
      </w:hyperlink>
      <w:r>
        <w:rPr>
          <w:rFonts w:ascii="Arial" w:cs="Arial" w:eastAsia="Arial" w:hAnsi="Arial"/>
          <w:sz w:val="16"/>
          <w:szCs w:val="16"/>
          <w:i w:val="1"/>
          <w:iCs w:val="1"/>
          <w:color w:val="0000EE"/>
        </w:rPr>
        <w:t xml:space="preserve"> </w:t>
      </w:r>
      <w:r>
        <w:rPr>
          <w:rFonts w:ascii="Arial" w:cs="Arial" w:eastAsia="Arial" w:hAnsi="Arial"/>
          <w:sz w:val="16"/>
          <w:szCs w:val="16"/>
          <w:i w:val="1"/>
          <w:iCs w:val="1"/>
          <w:color w:val="000000"/>
        </w:rPr>
        <w:t>Such risks and uncertainties and those discussed below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Being a Commercial Company</w:t>
      </w:r>
    </w:p>
    <w:p>
      <w:pPr>
        <w:spacing w:after="0" w:line="215" w:lineRule="exact"/>
        <w:rPr>
          <w:sz w:val="20"/>
          <w:szCs w:val="20"/>
          <w:color w:val="auto"/>
        </w:rPr>
      </w:pPr>
    </w:p>
    <w:p>
      <w:pPr>
        <w:ind w:right="360"/>
        <w:spacing w:after="0" w:line="209" w:lineRule="auto"/>
        <w:rPr>
          <w:sz w:val="20"/>
          <w:szCs w:val="20"/>
          <w:color w:val="auto"/>
        </w:rPr>
      </w:pPr>
      <w:r>
        <w:rPr>
          <w:rFonts w:ascii="Arial" w:cs="Arial" w:eastAsia="Arial" w:hAnsi="Arial"/>
          <w:sz w:val="18"/>
          <w:szCs w:val="18"/>
          <w:b w:val="1"/>
          <w:bCs w:val="1"/>
          <w:i w:val="1"/>
          <w:iCs w:val="1"/>
          <w:color w:val="auto"/>
        </w:rPr>
        <w:t>We have limited experience as a commercial company and the marketing and sale of AYVAKIT</w:t>
      </w:r>
      <w:r>
        <w:rPr>
          <w:rFonts w:ascii="Arial" w:cs="Arial" w:eastAsia="Arial" w:hAnsi="Arial"/>
          <w:sz w:val="29"/>
          <w:szCs w:val="29"/>
          <w:b w:val="1"/>
          <w:bCs w:val="1"/>
          <w:i w:val="1"/>
          <w:iCs w:val="1"/>
          <w:color w:val="auto"/>
          <w:vertAlign w:val="superscript"/>
        </w:rPr>
        <w:t>TM</w:t>
      </w:r>
      <w:r>
        <w:rPr>
          <w:rFonts w:ascii="Arial" w:cs="Arial" w:eastAsia="Arial" w:hAnsi="Arial"/>
          <w:sz w:val="18"/>
          <w:szCs w:val="18"/>
          <w:b w:val="1"/>
          <w:bCs w:val="1"/>
          <w:i w:val="1"/>
          <w:iCs w:val="1"/>
          <w:color w:val="auto"/>
        </w:rPr>
        <w:t xml:space="preserve"> (avapritinib) or any future products may be unsuccessful or less successful than anticipated.</w:t>
      </w:r>
    </w:p>
    <w:p>
      <w:pPr>
        <w:spacing w:after="0" w:line="210"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In January 2020, the FDA approved AYVAKIT for the treatment of adults with unresectable or metastatic gastrointestinal stromal tumor, or GIST, harboring a platelet-derived growth factor receptor alpha (PDGFRA) exon 18 mutation, including PDGFRA D842V mutations. While we have initiated the commercial launch of AYVAKIT in the U.S., we have limited experience as a commercial company and there is limited information about our ability to successfully overcome many of the risks and uncertainties encountered by companies commercializing products in the biopharmaceutical industry. Marketing applications for avapritinib for additional indications and for pralsetinib are currently under review or planned in the United States and Europe. To execute our business plan, in addition to successfully marketing and selling AYVAKIT, we will need to successfully:</w:t>
      </w:r>
    </w:p>
    <w:p>
      <w:pPr>
        <w:spacing w:after="0" w:line="209" w:lineRule="exact"/>
        <w:rPr>
          <w:sz w:val="20"/>
          <w:szCs w:val="20"/>
          <w:color w:val="auto"/>
        </w:rPr>
      </w:pPr>
    </w:p>
    <w:p>
      <w:pPr>
        <w:ind w:left="1080" w:right="80" w:hanging="532"/>
        <w:spacing w:after="0" w:line="23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and maintain our relationships with healthcare providers who will be treating the patients who may receive our product and any future products;</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adequate pricing and reimbursement for AYVAKIT and any future products;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gain regulatory acceptance for the development and commercialization of the drug candidates in our pipeline;</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 and maintain successful strategic alliances; and</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marketing approvals, and commercialization.</w:t>
      </w:r>
    </w:p>
    <w:p>
      <w:pPr>
        <w:spacing w:after="0" w:line="212" w:lineRule="exact"/>
        <w:rPr>
          <w:sz w:val="20"/>
          <w:szCs w:val="20"/>
          <w:color w:val="auto"/>
        </w:rPr>
      </w:pPr>
    </w:p>
    <w:p>
      <w:pPr>
        <w:ind w:right="520" w:firstLine="488"/>
        <w:spacing w:after="0" w:line="239"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drug candidates, commercialize AYVAKIT or any future products, raise capital, expand our business or continue our operations.</w:t>
      </w:r>
    </w:p>
    <w:p>
      <w:pPr>
        <w:spacing w:after="0" w:line="189"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b w:val="1"/>
          <w:bCs w:val="1"/>
          <w:i w:val="1"/>
          <w:iCs w:val="1"/>
          <w:color w:val="auto"/>
        </w:rPr>
        <w:t>The commercial success of AYVAKIT, and of any future products, will depend upon the degree of market acceptance by physicians, patients, third-party payors and others in the medical community.</w:t>
      </w:r>
    </w:p>
    <w:p>
      <w:pPr>
        <w:spacing w:after="0" w:line="189" w:lineRule="exact"/>
        <w:rPr>
          <w:sz w:val="20"/>
          <w:szCs w:val="20"/>
          <w:color w:val="auto"/>
        </w:rPr>
      </w:pPr>
    </w:p>
    <w:p>
      <w:pPr>
        <w:ind w:right="140" w:firstLine="485"/>
        <w:spacing w:after="0" w:line="238" w:lineRule="auto"/>
        <w:rPr>
          <w:sz w:val="20"/>
          <w:szCs w:val="20"/>
          <w:color w:val="auto"/>
        </w:rPr>
      </w:pPr>
      <w:r>
        <w:rPr>
          <w:rFonts w:ascii="Arial" w:cs="Arial" w:eastAsia="Arial" w:hAnsi="Arial"/>
          <w:sz w:val="18"/>
          <w:szCs w:val="18"/>
          <w:color w:val="auto"/>
        </w:rPr>
        <w:t>The commercial success of AYVAKIT and of any future products will depend in part on the medical community, patients, and third-party or governmental payors. AYVAKIT and any other products that we may bring to the market may not gain market acceptance by physicians, patients, third-party payors and others in the medical community. If these products do not achieve an</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adequate level of acceptance, we may not generate significant product revenue and may not become profitable. The degree of market acceptance of AYVAKIT and of any future products will depend on a number of factors, including:</w:t>
      </w:r>
    </w:p>
    <w:p>
      <w:pPr>
        <w:spacing w:after="0" w:line="20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a product's approved labeling;</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length of time that patients who are prescribed our products remain on treatment;</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pricing of our product and any future products;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publicity concerning our product, any future products, or competing products and treatments; and</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w:t>
      </w:r>
    </w:p>
    <w:p>
      <w:pPr>
        <w:spacing w:after="0" w:line="212"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Even if a potential product displays a favorable efficacy and safety profile in preclinical and clinical studies, market acceptance of the product will not be known until after it is launched. Our efforts to educate the medical community and third-party payors on the benefits of our products may require significant resources and may never be successful. Our efforts to educate the marketplace may require more resources than are required by the conventional technologies marketed by our competitors. Any of these factors may cause AYVAKIT, or any future products, to be unsuccessful or less successful than anticipated.</w:t>
      </w:r>
    </w:p>
    <w:p>
      <w:pPr>
        <w:spacing w:after="0" w:line="19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b w:val="1"/>
          <w:bCs w:val="1"/>
          <w:i w:val="1"/>
          <w:iCs w:val="1"/>
          <w:color w:val="auto"/>
        </w:rPr>
        <w:t>Although we have established our initial commercial infrastructure, we are continuing to build out our commercial capabilities and have no prior sales or distribution experience and limited capabilities for marketing and market access. We expect to invest significant financial and management resources to establish these capabilities and infrastructure to support commercial operations for the sale of AYVAKIT. If we are unable to establish these additional commercial capabilities and infrastructure, we may be unable to generate sufficient revenue to sustain our business.</w:t>
      </w:r>
    </w:p>
    <w:p>
      <w:pPr>
        <w:spacing w:after="0" w:line="210"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Although we have established our initial commercial infrastructure, we are continuing to build out our commercial capabilities and infrastructure and have no prior sales or distribution experience and limited capabilities for marketing and market access. To successfully commercialize AYVAKIT and any other products that may result from our development programs, we will need to develop these capabilities and further expand our infrastructure to support commercial operations in the U.S., Europe and other regions, either on our own or with others. We may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spacing w:after="0" w:line="209" w:lineRule="exact"/>
        <w:rPr>
          <w:sz w:val="20"/>
          <w:szCs w:val="20"/>
          <w:color w:val="auto"/>
        </w:rPr>
      </w:pPr>
    </w:p>
    <w:p>
      <w:pPr>
        <w:jc w:val="both"/>
        <w:ind w:right="60" w:firstLine="488"/>
        <w:spacing w:after="0" w:line="237" w:lineRule="auto"/>
        <w:rPr>
          <w:sz w:val="20"/>
          <w:szCs w:val="20"/>
          <w:color w:val="auto"/>
        </w:rPr>
      </w:pPr>
      <w:r>
        <w:rPr>
          <w:rFonts w:ascii="Arial" w:cs="Arial" w:eastAsia="Arial" w:hAnsi="Arial"/>
          <w:sz w:val="18"/>
          <w:szCs w:val="18"/>
          <w:color w:val="auto"/>
        </w:rPr>
        <w:t>We cannot be sure that we will be able to recruit, hire and retain a sufficient number of sales representatives or that they will be effective at promoting our products. In addition, we will need to commit significant additional management and other resources to maintain and grow our sales organization. We may not be able to achieve the necessary development and growth in a cost-effective manner or realize a positive return on our investment. We will also have to compete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with other companies to recruit, hire, train and retain sales and marketing personnel. Factors that may inhibit our efforts to commercialize our products include:</w:t>
      </w:r>
    </w:p>
    <w:p>
      <w:pPr>
        <w:spacing w:after="0" w:line="20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sales and marketing personnel;</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to persuade adequate numbers of physicians to prescribe AYVAKIT;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costs and expenses associated with maintaining an independent sales and marketing organization.</w:t>
      </w:r>
    </w:p>
    <w:p>
      <w:pPr>
        <w:spacing w:after="0" w:line="212" w:lineRule="exact"/>
        <w:rPr>
          <w:sz w:val="20"/>
          <w:szCs w:val="20"/>
          <w:color w:val="auto"/>
        </w:rPr>
      </w:pPr>
    </w:p>
    <w:p>
      <w:pPr>
        <w:ind w:right="60" w:firstLine="488"/>
        <w:spacing w:after="0" w:line="239" w:lineRule="auto"/>
        <w:rPr>
          <w:sz w:val="20"/>
          <w:szCs w:val="20"/>
          <w:color w:val="auto"/>
        </w:rPr>
      </w:pPr>
      <w:r>
        <w:rPr>
          <w:rFonts w:ascii="Arial" w:cs="Arial" w:eastAsia="Arial" w:hAnsi="Arial"/>
          <w:sz w:val="18"/>
          <w:szCs w:val="18"/>
          <w:color w:val="auto"/>
        </w:rPr>
        <w:t>In the event that we are unable to effectively deploy our sales organization or distribution strategy on a timely and efficient basis, if at all, the commercialization of our drug candidates could be delayed which would negatively impact our ability to generate product revenues.</w:t>
      </w:r>
    </w:p>
    <w:p>
      <w:pPr>
        <w:spacing w:after="0" w:line="18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Our reliance on single-source third-party suppliers could harm our ability to commercialize AYVAKIT or any other drug candidates that may be approved in the future.</w:t>
      </w:r>
    </w:p>
    <w:p>
      <w:pPr>
        <w:spacing w:after="0" w:line="18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do not currently own or operate manufacturing facilities for the production of AYVAKIT or any other drug candidates that may be approved in the future. We rely on single-source third-party suppliers to manufacture and supply AYVAKIT and expect to initially rely on single-source third-party supplies for commercial manufacture and supply of pralsetinib, if approved, which may not be able to produce sufficient inventory to meet commercial demand in a timely manner, or at all. Our third-party suppliers may not be required to provide us with any guaranteed minimum production levels or have dedicated capacity for our products. As a result, there can be no assurances that we will be able to obtain sufficient quantities of AYVAKIT or any other drug candidates that may be approved in the future, which could have a material adverse effect on our business as a whole.</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1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The price of our common stock historically has been and may in the future be volatile and fluctuate substantially, which may affect the price at which you could sell the common stock.</w:t>
      </w:r>
    </w:p>
    <w:p>
      <w:pPr>
        <w:spacing w:after="0" w:line="189" w:lineRule="exact"/>
        <w:rPr>
          <w:sz w:val="20"/>
          <w:szCs w:val="20"/>
          <w:color w:val="auto"/>
        </w:rPr>
      </w:pPr>
    </w:p>
    <w:p>
      <w:pPr>
        <w:ind w:right="160" w:firstLine="488"/>
        <w:spacing w:after="0" w:line="236" w:lineRule="auto"/>
        <w:rPr>
          <w:sz w:val="20"/>
          <w:szCs w:val="20"/>
          <w:color w:val="auto"/>
        </w:rPr>
      </w:pPr>
      <w:r>
        <w:rPr>
          <w:rFonts w:ascii="Arial" w:cs="Arial" w:eastAsia="Arial" w:hAnsi="Arial"/>
          <w:sz w:val="18"/>
          <w:szCs w:val="18"/>
          <w:color w:val="auto"/>
        </w:rPr>
        <w:t>Our stock price has been, and in the future may be, subject to substantial volatility. In addition, the stock market in general, and Nasdaq-listed and biopharmaceutical companies in particular, have experienced extreme price and volume fluctuations that have often been unrelated or disproportionate to the operating performance of these companies. For example, our stock traded within a range of a high price of $109.00 and a low price of $13.04 per share for the period beginning on April 30, 2015, our first day of trading on the Nasdaq Global Select Market, through January 17, 2020. As a result of this volatility, our stockholders could incur substantial losses. In addition, the market price for our common stock may be influenced by many factors, including:</w:t>
      </w:r>
    </w:p>
    <w:p>
      <w:pPr>
        <w:spacing w:after="0" w:line="210"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198" w:lineRule="exact"/>
        <w:rPr>
          <w:rFonts w:ascii="Arial" w:cs="Arial" w:eastAsia="Arial" w:hAnsi="Arial"/>
          <w:sz w:val="18"/>
          <w:szCs w:val="18"/>
          <w:color w:val="auto"/>
        </w:rPr>
      </w:pPr>
    </w:p>
    <w:p>
      <w:pPr>
        <w:ind w:left="5520" w:right="2360" w:hanging="4972"/>
        <w:spacing w:after="0" w:line="48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drug candidates or drugs; 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234"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12" w:lineRule="exact"/>
        <w:rPr>
          <w:sz w:val="20"/>
          <w:szCs w:val="20"/>
          <w:color w:val="auto"/>
        </w:rPr>
      </w:pPr>
    </w:p>
    <w:p>
      <w:pPr>
        <w:ind w:right="120" w:firstLine="485"/>
        <w:spacing w:after="0" w:line="273"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6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We have broad discretion in how we use the proceeds of this offering, as well as our existing cash, cash equivalents and investments, and may not use them effectively, which could affect our results of operations and cause our stock price to decline.</w:t>
      </w:r>
    </w:p>
    <w:p>
      <w:pPr>
        <w:spacing w:after="0" w:line="189"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We will have considerable discretion in the application of the net proceeds of this offering, including for any of the purposes described in the section entitled "Use of Proceeds," as well as our existing cash, cash equivalents and investments, and you will be relying on the judgment of our management regarding such application. You will not have the opportunity, as part of your investment decision, to assess whether the proceeds are being used appropriately.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8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89" w:lineRule="exact"/>
        <w:rPr>
          <w:sz w:val="20"/>
          <w:szCs w:val="20"/>
          <w:color w:val="auto"/>
        </w:rPr>
      </w:pPr>
    </w:p>
    <w:p>
      <w:pPr>
        <w:ind w:firstLine="485"/>
        <w:spacing w:after="0" w:line="269" w:lineRule="auto"/>
        <w:rPr>
          <w:sz w:val="20"/>
          <w:szCs w:val="20"/>
          <w:color w:val="auto"/>
        </w:rPr>
      </w:pPr>
      <w:r>
        <w:rPr>
          <w:rFonts w:ascii="Arial" w:cs="Arial" w:eastAsia="Arial" w:hAnsi="Arial"/>
          <w:sz w:val="16"/>
          <w:szCs w:val="16"/>
          <w:color w:val="auto"/>
        </w:rPr>
        <w:t>The holdings of our executive officers, directors and stockholders who own more than 5% of our outstanding common stock, together with their affiliates and related persons, represent beneficial ownership, in the aggregate, of approximately 42.2% of our common stock, based on the number of shares of our common stock outstanding as of September 30, 2019. Upon the closing of this offering, the holdings of our executive officers, directors and stockholders who owned more than 5% of our outstanding common stock before this offering, together with their affiliates and related persons, will represent beneficial ownership, in the aggregate, of approximately 39.1% of our common stock (approximately 38.7% if the underwriters exercise in full their option to purchase additional shares), based on the number of shares of our common stock outstanding as of September 30, 2019. As a result, if these stockholders were to choose to act together, they would be able to influence our management and affairs and the outcome of matters submitted to our stockholders for approval, including the election of directors and any sale, merger, consolidation, or</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sale of all or substantially all of our assets. This concentration of voting power could delay or prevent an acquisition of our company on terms that other stockholders may desire.</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this concentration of ownership might adversely affect the market price of our common stock by:</w:t>
      </w:r>
    </w:p>
    <w:p>
      <w:pPr>
        <w:spacing w:after="0" w:line="212"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our common stock in this offering, you will incur immediate and substantial dilution in the book value of your shares.</w:t>
      </w:r>
    </w:p>
    <w:p>
      <w:pPr>
        <w:spacing w:after="0" w:line="255"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Investors purchasing shares of common stock in this offering will pay a price per share that substantially exceeds the as adjusted book value per share of our tangible assets as of September 30, 2019 after subtracting our liabilities. As a result, investors purchasing shares of common stock in this offering will incur immediate dilution of $65.60 per share, based on the difference between the assumed public offering price of $81.10 per share, which was the last reported sale price of our common stock on the Nasdaq Global Select Market on January 17, 2020, and the as adjusted net tangible book value per share of our outstanding common stock as of September 30, 2019.</w:t>
      </w:r>
    </w:p>
    <w:p>
      <w:pPr>
        <w:spacing w:after="0" w:line="211" w:lineRule="exact"/>
        <w:rPr>
          <w:sz w:val="20"/>
          <w:szCs w:val="20"/>
          <w:color w:val="auto"/>
        </w:rPr>
      </w:pPr>
    </w:p>
    <w:p>
      <w:pPr>
        <w:ind w:right="20" w:firstLine="485"/>
        <w:spacing w:after="0" w:line="269" w:lineRule="auto"/>
        <w:rPr>
          <w:sz w:val="20"/>
          <w:szCs w:val="20"/>
          <w:color w:val="auto"/>
        </w:rPr>
      </w:pPr>
      <w:r>
        <w:rPr>
          <w:rFonts w:ascii="Arial" w:cs="Arial" w:eastAsia="Arial" w:hAnsi="Arial"/>
          <w:sz w:val="16"/>
          <w:szCs w:val="16"/>
          <w:color w:val="auto"/>
        </w:rPr>
        <w:t>This dilution is due to the substantially lower price paid by some of our investors who purchased shares prior to this offering as compared to the price offered to the public in this offering, and the exercise of stock options granted to our employees. In addition, as of September 30, 2019, options to purchase 5,631,477 shares of our common stock at a weighted average exercise price of $57.53 per share were outstanding, and 381,792 restricted stock units were outstanding. Each restricted stock unit represents a contingent right to receive one share of our common stock. The exercise of any of these options and the vesting and settlement of any of these restricted stock units would result in additional dilution. As a result of the dilution to investors purchasing shares in this offering, investors may receive significantly less than the purchase price paid in this offering, if anything, in the event of our liquidation. Further, because we will need to raise additional capital to fund our future activities, we may in the future sell substantial amounts of common stock or securities convertible into or exchangeable for common stock.</w:t>
      </w:r>
    </w:p>
    <w:p>
      <w:pPr>
        <w:spacing w:after="0" w:line="187" w:lineRule="exact"/>
        <w:rPr>
          <w:sz w:val="20"/>
          <w:szCs w:val="20"/>
          <w:color w:val="auto"/>
        </w:rPr>
      </w:pPr>
    </w:p>
    <w:p>
      <w:pPr>
        <w:jc w:val="both"/>
        <w:ind w:right="80" w:firstLine="485"/>
        <w:spacing w:after="0" w:line="238" w:lineRule="auto"/>
        <w:rPr>
          <w:sz w:val="20"/>
          <w:szCs w:val="20"/>
          <w:color w:val="auto"/>
        </w:rPr>
      </w:pPr>
      <w:r>
        <w:rPr>
          <w:rFonts w:ascii="Arial" w:cs="Arial" w:eastAsia="Arial" w:hAnsi="Arial"/>
          <w:sz w:val="18"/>
          <w:szCs w:val="18"/>
          <w:color w:val="auto"/>
        </w:rPr>
        <w:t>These future issuances of common stock or common stock-related securities, together with the vesting and exercise of outstanding options, the vesting and settlement of outstanding restricted stock units and any additional shares issued in connection with acquisitions, if any, may result in further dilution. For a further description of the dilution that you will experience immediately after this offering, see "Dilution."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32" w:lineRule="exact"/>
        <w:rPr>
          <w:sz w:val="20"/>
          <w:szCs w:val="20"/>
          <w:color w:val="auto"/>
        </w:rPr>
      </w:pPr>
    </w:p>
    <w:p>
      <w:pPr>
        <w:ind w:right="200" w:firstLine="488"/>
        <w:spacing w:after="0" w:line="238"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208" w:lineRule="exact"/>
        <w:rPr>
          <w:sz w:val="20"/>
          <w:szCs w:val="20"/>
          <w:color w:val="auto"/>
        </w:rPr>
      </w:pPr>
    </w:p>
    <w:p>
      <w:pPr>
        <w:ind w:right="300" w:firstLine="488"/>
        <w:spacing w:after="0" w:line="239" w:lineRule="auto"/>
        <w:rPr>
          <w:sz w:val="20"/>
          <w:szCs w:val="20"/>
          <w:color w:val="auto"/>
        </w:rPr>
      </w:pPr>
      <w:r>
        <w:rPr>
          <w:rFonts w:ascii="Arial" w:cs="Arial" w:eastAsia="Arial" w:hAnsi="Arial"/>
          <w:sz w:val="18"/>
          <w:szCs w:val="18"/>
          <w:color w:val="auto"/>
        </w:rPr>
        <w:t>In addition, the sale of substantial amounts of our common stock could adversely impact its price. As of September 30, 2019, 49,175,442 shares of our common stock were outstanding,</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excluding options to purchase 5,631,477 shares of our common stock, of which 2,527,772 were exercisable as of that date, and 381,792 shares of unvested restricted stock units. The sale or the availability for sale of a large number of shares of our common stock in the public market could cause the price of our common stock to decline.</w:t>
      </w:r>
    </w:p>
    <w:p>
      <w:pPr>
        <w:spacing w:after="0" w:line="208"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We and our directors and executive officers have agreed that for a period of 60 days after the date of this prospectus supplement, in each case, subject to specified exceptions, we or they will not offer, sell, contract to sell, pledge, grant any option to purchase, make any short sale or otherwise dispose of any shares of our common stock or securities convertible into or exchangeable or exercisable for any shares of our common stock. These lock-up periods affect approximately 390,831 shares of our common stock outstanding as of September 30, 2019. In addition, the representatives of the underwriters may, in their sole discretion, release all or some portion of the shares subject to such lock-up restrictions at any time and for any reason. Sales of stock by any of our directors, executive officers or principal stockholders could have a material adverse effect on the trading price of our common stock.</w:t>
      </w:r>
    </w:p>
    <w:p>
      <w:pPr>
        <w:spacing w:after="0" w:line="209" w:lineRule="exact"/>
        <w:rPr>
          <w:sz w:val="20"/>
          <w:szCs w:val="20"/>
          <w:color w:val="auto"/>
        </w:rPr>
      </w:pPr>
    </w:p>
    <w:p>
      <w:pPr>
        <w:ind w:firstLine="488"/>
        <w:spacing w:after="0" w:line="237" w:lineRule="auto"/>
        <w:rPr>
          <w:sz w:val="20"/>
          <w:szCs w:val="20"/>
          <w:color w:val="auto"/>
        </w:rPr>
      </w:pPr>
      <w:r>
        <w:rPr>
          <w:rFonts w:ascii="Arial" w:cs="Arial" w:eastAsia="Arial" w:hAnsi="Arial"/>
          <w:sz w:val="18"/>
          <w:szCs w:val="18"/>
          <w:color w:val="auto"/>
        </w:rPr>
        <w:t>Certain holders of shares of our common stock are entitled to rights with respect to the registration of their shares under the Securities Act. See "Description of Capital Stock — Registration Rights" in the accompanying prospectus.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right="380" w:firstLine="488"/>
        <w:spacing w:after="0" w:line="238" w:lineRule="auto"/>
        <w:rPr>
          <w:sz w:val="20"/>
          <w:szCs w:val="20"/>
          <w:color w:val="auto"/>
        </w:rPr>
      </w:pPr>
      <w:r>
        <w:rPr>
          <w:rFonts w:ascii="Arial" w:cs="Arial" w:eastAsia="Arial" w:hAnsi="Arial"/>
          <w:sz w:val="18"/>
          <w:szCs w:val="18"/>
          <w:color w:val="auto"/>
        </w:rPr>
        <w:t>We expect to receive net proceeds of approximately $308.2 million from this offering, after deducting underwriting discounts and commissions and estimated offering expenses payable by us, or approximately $354.6 million if the underwriters exercise in full their option to purchase up to an additional $48,750,000 shares of common stock.</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September 30, 2019, we had cash, cash equivalents and investments of $594.5 million.</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intend to use the net proceeds from this offering, plus, if needed, existing cash, cash equivalents and investments, as follows:</w:t>
      </w:r>
    </w:p>
    <w:p>
      <w:pPr>
        <w:spacing w:after="0" w:line="212" w:lineRule="exact"/>
        <w:rPr>
          <w:sz w:val="20"/>
          <w:szCs w:val="20"/>
          <w:color w:val="auto"/>
        </w:rPr>
      </w:pPr>
    </w:p>
    <w:p>
      <w:pPr>
        <w:ind w:left="1080" w:right="380" w:hanging="532"/>
        <w:spacing w:after="0" w:line="23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further build our global commercial infrastructure to support additional planned regulatory filings and commercial launches for AYVAKIT and pralsetinib, if approved, in the U.S. and Europe;</w:t>
      </w:r>
    </w:p>
    <w:p>
      <w:pPr>
        <w:spacing w:after="0" w:line="208" w:lineRule="exact"/>
        <w:rPr>
          <w:rFonts w:ascii="Arial" w:cs="Arial" w:eastAsia="Arial" w:hAnsi="Arial"/>
          <w:sz w:val="18"/>
          <w:szCs w:val="18"/>
          <w:color w:val="auto"/>
        </w:rPr>
      </w:pPr>
    </w:p>
    <w:p>
      <w:pPr>
        <w:ind w:left="1080" w:right="40" w:hanging="532"/>
        <w:spacing w:after="0" w:line="23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fund clinical trials for avapritinib in SM, including our ongoing registration-enabling Phase 2 PIONEER clinical trial for indolent and smoldering SM, as well as future indication expansion clinical trials;</w:t>
      </w:r>
    </w:p>
    <w:p>
      <w:pPr>
        <w:spacing w:after="0" w:line="195" w:lineRule="exact"/>
        <w:rPr>
          <w:rFonts w:ascii="Arial" w:cs="Arial" w:eastAsia="Arial" w:hAnsi="Arial"/>
          <w:sz w:val="18"/>
          <w:szCs w:val="18"/>
          <w:color w:val="auto"/>
        </w:rPr>
      </w:pPr>
    </w:p>
    <w:p>
      <w:pPr>
        <w:ind w:left="1080" w:right="120" w:hanging="532"/>
        <w:spacing w:after="0" w:line="23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fund clinical trials for pralsetinib in RET-driven cancers, including our Phase 3 AcceleRET Lung clinical trial for pralsetinib in first-line RET-altered NSCLC and our planned Phase 3 clinical trial for pralsetinib in first-line RET-mutant MTC, as well as future indication expansion clinical trials;</w:t>
      </w:r>
    </w:p>
    <w:p>
      <w:pPr>
        <w:spacing w:after="0" w:line="194" w:lineRule="exact"/>
        <w:rPr>
          <w:rFonts w:ascii="Arial" w:cs="Arial" w:eastAsia="Arial" w:hAnsi="Arial"/>
          <w:sz w:val="18"/>
          <w:szCs w:val="18"/>
          <w:color w:val="auto"/>
        </w:rPr>
      </w:pPr>
    </w:p>
    <w:p>
      <w:pPr>
        <w:ind w:left="1080" w:right="560" w:hanging="532"/>
        <w:spacing w:after="0" w:line="23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fund our planned Phase 1 trial for BLU-263 in healthy volunteers and future clinical trials for BLU-263 and other future drug candidates;</w:t>
      </w:r>
    </w:p>
    <w:p>
      <w:pPr>
        <w:spacing w:after="0" w:line="208" w:lineRule="exact"/>
        <w:rPr>
          <w:rFonts w:ascii="Arial" w:cs="Arial" w:eastAsia="Arial" w:hAnsi="Arial"/>
          <w:sz w:val="18"/>
          <w:szCs w:val="18"/>
          <w:color w:val="auto"/>
        </w:rPr>
      </w:pPr>
    </w:p>
    <w:p>
      <w:pPr>
        <w:ind w:left="1080" w:right="400" w:hanging="532"/>
        <w:spacing w:after="0" w:line="23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fund manufacturing costs for AYVAKIT and for ongoing and anticipated drug development efforts for our most advanced drug candidates; and</w:t>
      </w:r>
    </w:p>
    <w:p>
      <w:pPr>
        <w:spacing w:after="0" w:line="195" w:lineRule="exact"/>
        <w:rPr>
          <w:rFonts w:ascii="Arial" w:cs="Arial" w:eastAsia="Arial" w:hAnsi="Arial"/>
          <w:sz w:val="18"/>
          <w:szCs w:val="18"/>
          <w:color w:val="auto"/>
        </w:rPr>
      </w:pPr>
    </w:p>
    <w:p>
      <w:pPr>
        <w:ind w:left="1080" w:right="620" w:hanging="532"/>
        <w:spacing w:after="0" w:line="23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balance, if any, to fund additional discovery research efforts, our other ongoing and planned clinical trials, working capital requirements and other general corporate purposes.</w:t>
      </w:r>
    </w:p>
    <w:p>
      <w:pPr>
        <w:spacing w:after="0" w:line="209" w:lineRule="exact"/>
        <w:rPr>
          <w:sz w:val="20"/>
          <w:szCs w:val="20"/>
          <w:color w:val="auto"/>
        </w:rPr>
      </w:pPr>
    </w:p>
    <w:p>
      <w:pPr>
        <w:jc w:val="both"/>
        <w:ind w:firstLine="488"/>
        <w:spacing w:after="0" w:line="281" w:lineRule="auto"/>
        <w:rPr>
          <w:sz w:val="20"/>
          <w:szCs w:val="20"/>
          <w:color w:val="auto"/>
        </w:rPr>
      </w:pPr>
      <w:r>
        <w:rPr>
          <w:rFonts w:ascii="Arial" w:cs="Arial" w:eastAsia="Arial" w:hAnsi="Arial"/>
          <w:sz w:val="16"/>
          <w:szCs w:val="16"/>
          <w:color w:val="auto"/>
        </w:rPr>
        <w:t>Based on our current plans, we believe our cash, cash equivalents and investments, together with anticipated product revenues and the net proceeds to us from this offering, but excluding any potential option fees, milestone payments or other payments under our collaboration or license agreements, will be sufficient to enable us to fund our operating expenses and capital expenditure requirements into the second half of 2022.</w:t>
      </w:r>
    </w:p>
    <w:p>
      <w:pPr>
        <w:spacing w:after="0" w:line="178"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This expected use of the net proceeds from this offering represents our intentions based upon our current plans and business conditions. As of the date of this prospectus supplement, we cannot predict with certainty all of the particular uses for the net proceeds to be received upon the completion of this offering, the amounts that we will actually spend on the uses set forth above or the timing of such expenditures. The amounts and timing of our actual expenditures may vary significantly depending on numerous factors, including the progress of our development efforts, the status of and results from non-clinical studies and ongoing clinical trials or any clinical trials we may commence in the future, the scope and results of our regulatory activities, and the nature and scope of our commercial launch activities for AYVAKIT and future products, as well as any collaborations that we may enter into with third parties for our drug candidates and any unforeseen cash needs. As a result, our management will retain broad discretion over the allocation of the net proceeds from this offering.</w:t>
      </w:r>
    </w:p>
    <w:p>
      <w:pPr>
        <w:spacing w:after="0" w:line="208" w:lineRule="exact"/>
        <w:rPr>
          <w:sz w:val="20"/>
          <w:szCs w:val="20"/>
          <w:color w:val="auto"/>
        </w:rPr>
      </w:pPr>
    </w:p>
    <w:p>
      <w:pPr>
        <w:ind w:right="580" w:firstLine="488"/>
        <w:spacing w:after="0" w:line="299" w:lineRule="auto"/>
        <w:rPr>
          <w:sz w:val="20"/>
          <w:szCs w:val="20"/>
          <w:color w:val="auto"/>
        </w:rPr>
      </w:pPr>
      <w:r>
        <w:rPr>
          <w:rFonts w:ascii="Arial" w:cs="Arial" w:eastAsia="Arial" w:hAnsi="Arial"/>
          <w:sz w:val="16"/>
          <w:szCs w:val="16"/>
          <w:color w:val="auto"/>
        </w:rPr>
        <w:t>In addition, we believe opportunities may exist from time to time to expand our current business through acquisitions or in-licenses of complementary companies, medicines or technologies. While we have no current agreements, commitments or understandings for any</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specific acquisitions or in-licenses at this time, we may use a portion of the net proceeds for these purposes.</w:t>
      </w:r>
    </w:p>
    <w:p>
      <w:pPr>
        <w:spacing w:after="0" w:line="212" w:lineRule="exact"/>
        <w:rPr>
          <w:sz w:val="20"/>
          <w:szCs w:val="20"/>
          <w:color w:val="auto"/>
        </w:rPr>
      </w:pPr>
    </w:p>
    <w:p>
      <w:pPr>
        <w:ind w:firstLine="488"/>
        <w:spacing w:after="0" w:line="239"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43" w:right="3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right="80" w:firstLine="488"/>
        <w:spacing w:after="0" w:line="238" w:lineRule="auto"/>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price per share of our common stock in this offering and the as adjusted net tangible book value per share of our common stock immediately after this offering.</w:t>
      </w:r>
    </w:p>
    <w:p>
      <w:pPr>
        <w:spacing w:after="0" w:line="208"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As of September 30, 2019, we had net tangible book value of approximately $516.3 million, or $10.50 per share of our common stock, based upon 49,175,442 shares of our common stock outstanding as of that date. Historical net tangible book value per share is equal to our total tangible assets, less total liabilities, divided by the number of outstanding shares of our common stock. Dilution in net tangible book value per share represents the difference between the amount per share paid by purchasers of shares of common stock in this offering and the net tangible book value per share of our common stock immediately after this offering.</w:t>
      </w:r>
    </w:p>
    <w:p>
      <w:pPr>
        <w:spacing w:after="0" w:line="211" w:lineRule="exact"/>
        <w:rPr>
          <w:sz w:val="20"/>
          <w:szCs w:val="20"/>
          <w:color w:val="auto"/>
        </w:rPr>
      </w:pPr>
    </w:p>
    <w:p>
      <w:pPr>
        <w:ind w:right="100" w:firstLine="478"/>
        <w:spacing w:after="0" w:line="236" w:lineRule="auto"/>
        <w:rPr>
          <w:sz w:val="20"/>
          <w:szCs w:val="20"/>
          <w:color w:val="auto"/>
        </w:rPr>
      </w:pPr>
      <w:r>
        <w:rPr>
          <w:rFonts w:ascii="Arial" w:cs="Arial" w:eastAsia="Arial" w:hAnsi="Arial"/>
          <w:sz w:val="18"/>
          <w:szCs w:val="18"/>
          <w:color w:val="auto"/>
        </w:rPr>
        <w:t>After giving effect to the sale of $325.0 million of shares of common stock in this offering at the assumed public offering price of $81.10 per share, which was the last reported sale price of our common stock on the Nasdaq Global Select Market on January 17, 2020, and after deducting estimated underwriting discounts and commissions and estimated offering expenses payable by us, our as adjusted net tangible book value as of September 30, 2019 would have been approximately $824.6 million, or approximately $15.50 per share of common stock. This represents an immediate increase in as adjusted net tangible book value of $5.00 per share to our existing stockholders and an immediate dilution of $65.60 per share to investors participating in this offering at the assumed public offering price of $81.10 per share, which was the last reported sale price of our common stock on the Nasdaq Global Select Market on January 17, 2020.</w:t>
      </w:r>
    </w:p>
    <w:p>
      <w:pPr>
        <w:spacing w:after="0" w:line="209"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Dilution per share to new investors is determined by subtracting net tangible book value per share after this offering from the assumed public offering price per share paid by new investors. The following table illustrates this per share dilution (assuming the underwriters do not exercise in full their option to purchase additional shares):</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160"/>
              <w:spacing w:after="0" w:line="202" w:lineRule="exact"/>
              <w:rPr>
                <w:sz w:val="20"/>
                <w:szCs w:val="20"/>
                <w:color w:val="auto"/>
              </w:rPr>
            </w:pPr>
            <w:r>
              <w:rPr>
                <w:rFonts w:ascii="Arial" w:cs="Arial" w:eastAsia="Arial" w:hAnsi="Arial"/>
                <w:sz w:val="18"/>
                <w:szCs w:val="18"/>
                <w:color w:val="auto"/>
              </w:rPr>
              <w:t>Historical net tangible book value per share as of September 30, 2019</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10.50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Increase in net tangible book value per share attributable to new investors</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6660" w:type="dxa"/>
            <w:vAlign w:val="bottom"/>
            <w:gridSpan w:val="2"/>
          </w:tcPr>
          <w:p>
            <w:pPr>
              <w:spacing w:after="0" w:line="196" w:lineRule="exact"/>
              <w:rPr>
                <w:sz w:val="20"/>
                <w:szCs w:val="20"/>
                <w:color w:val="auto"/>
              </w:rPr>
            </w:pPr>
            <w:r>
              <w:rPr>
                <w:rFonts w:ascii="Arial" w:cs="Arial" w:eastAsia="Arial" w:hAnsi="Arial"/>
                <w:sz w:val="18"/>
                <w:szCs w:val="18"/>
                <w:color w:val="auto"/>
              </w:rPr>
              <w:t>As adjusted net tangible book value per share after this offering</w:t>
            </w:r>
          </w:p>
        </w:tc>
        <w:tc>
          <w:tcPr>
            <w:tcW w:w="7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15.50</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Dilution per share to new investors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65.60</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ind w:right="40" w:firstLine="488"/>
        <w:spacing w:after="0" w:line="269" w:lineRule="auto"/>
        <w:rPr>
          <w:sz w:val="20"/>
          <w:szCs w:val="20"/>
          <w:color w:val="auto"/>
        </w:rPr>
      </w:pPr>
      <w:r>
        <w:rPr>
          <w:rFonts w:ascii="Arial" w:cs="Arial" w:eastAsia="Arial" w:hAnsi="Arial"/>
          <w:sz w:val="16"/>
          <w:szCs w:val="16"/>
          <w:color w:val="auto"/>
        </w:rPr>
        <w:t>Each $1.00 increase (decrease) in the assumed public offering price of $81.10 per share, the last reported sale price of our common stock on the Nasdaq Global Select Market on January 17, 2020, would (decrease) increase the number of shares of common stock to be issued by us in this offering by 48,812 and 50,029, respectively, assuming the aggregate dollar amount of shares offered by us, as set forth on the cover page of this prospectus supplement, remains the same. We may also increase or decrease the aggregate dollar amount of shares we are offering. Each increase (decrease) of $1 million of shares offered by us would increase (decrease) the net proceeds of this offering by approximately $950,000 and approximately $950,000, respectively, assuming that the assumed public offering price remains the same, and after deducting estimated underwriting discounts and commissions and estimated offering expenses payable by us. The as adjusted information discussed above is illustrative only and will be adjusted based on the actual public offering price and other terms of this offering determined at pricing.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foregoing table and discussion is based on 49,175,442 shares of common stock outstanding as of September 30, 2019, and excludes:</w:t>
      </w:r>
    </w:p>
    <w:p>
      <w:pPr>
        <w:spacing w:after="0" w:line="235" w:lineRule="exact"/>
        <w:rPr>
          <w:sz w:val="20"/>
          <w:szCs w:val="20"/>
          <w:color w:val="auto"/>
        </w:rPr>
      </w:pPr>
    </w:p>
    <w:p>
      <w:pPr>
        <w:ind w:left="1080" w:right="20" w:hanging="532"/>
        <w:spacing w:after="0" w:line="23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5,631,477 shares of common stock issuable upon the exercise of stock options outstanding as of September 30, 2019, at a weighted average exercise price of $57.53 per share;</w:t>
      </w:r>
    </w:p>
    <w:p>
      <w:pPr>
        <w:spacing w:after="0" w:line="208" w:lineRule="exact"/>
        <w:rPr>
          <w:rFonts w:ascii="Arial" w:cs="Arial" w:eastAsia="Arial" w:hAnsi="Arial"/>
          <w:sz w:val="18"/>
          <w:szCs w:val="18"/>
          <w:color w:val="auto"/>
        </w:rPr>
      </w:pPr>
    </w:p>
    <w:p>
      <w:pPr>
        <w:ind w:left="1080" w:right="60" w:hanging="532"/>
        <w:spacing w:after="0" w:line="23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381,792 shares of common stock issuable upon the vesting and settlement of restricted stock units outstanding as of September 30, 2019;</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1,653,349 shares of common stock reserved for future issuance under our 2015 Plan as of September 30, 2019; and</w:t>
      </w:r>
    </w:p>
    <w:p>
      <w:pPr>
        <w:spacing w:after="0" w:line="198" w:lineRule="exact"/>
        <w:rPr>
          <w:rFonts w:ascii="Arial" w:cs="Arial" w:eastAsia="Arial" w:hAnsi="Arial"/>
          <w:sz w:val="18"/>
          <w:szCs w:val="18"/>
          <w:color w:val="auto"/>
        </w:rPr>
      </w:pPr>
    </w:p>
    <w:p>
      <w:pPr>
        <w:ind w:left="1080" w:right="1180" w:hanging="532"/>
        <w:spacing w:after="0" w:line="23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1,658,082 shares of common stock reserved for future issuance under our 2015 Employee Stock Purchase Plan as of September 30, 2019.</w:t>
      </w:r>
    </w:p>
    <w:p>
      <w:pPr>
        <w:spacing w:after="0" w:line="209"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If the underwriters exercise in full their option to purchase an assumed $48,750,000 of additional shares of our common stock at the assumed public offering price of $81.10 per share, which was the last reported sale price of our common stock on the Nasdaq Global Select Market on January 17, 2020, the as adjusted net tangible book value after this offering would be $16.19 per share, representing an increase in net tangible book value of $5.69 per share to existing stockholders and immediate dilution in net tangible book value of $64.91 per share to investors purchasing our common stock in this offering at the assumed public offering price of $81.10, which was the last reported sale price of our common stock on the Nasdaq Global Select Market on January 17, 2020.</w:t>
      </w:r>
    </w:p>
    <w:p>
      <w:pPr>
        <w:spacing w:after="0" w:line="210" w:lineRule="exact"/>
        <w:rPr>
          <w:sz w:val="20"/>
          <w:szCs w:val="20"/>
          <w:color w:val="auto"/>
        </w:rPr>
      </w:pPr>
    </w:p>
    <w:p>
      <w:pPr>
        <w:ind w:firstLine="485"/>
        <w:spacing w:after="0" w:line="238" w:lineRule="auto"/>
        <w:rPr>
          <w:sz w:val="20"/>
          <w:szCs w:val="20"/>
          <w:color w:val="auto"/>
        </w:rPr>
      </w:pPr>
      <w:r>
        <w:rPr>
          <w:rFonts w:ascii="Arial" w:cs="Arial" w:eastAsia="Arial" w:hAnsi="Arial"/>
          <w:sz w:val="18"/>
          <w:szCs w:val="18"/>
          <w:color w:val="auto"/>
        </w:rPr>
        <w:t>To the extent that any options are vested and exercised or any restricted stock units are vested and settled, new options or restricted stock units are issued under our equity incentive plans, or we otherwise issue additional shares of common stock in the future (including shares issued in connection with acquisitions), there will be further dilution to new investors.</w:t>
      </w:r>
    </w:p>
    <w:p>
      <w:pPr>
        <w:spacing w:after="0" w:line="208" w:lineRule="exact"/>
        <w:rPr>
          <w:sz w:val="20"/>
          <w:szCs w:val="20"/>
          <w:color w:val="auto"/>
        </w:rPr>
      </w:pPr>
    </w:p>
    <w:p>
      <w:pPr>
        <w:ind w:right="100" w:firstLine="488"/>
        <w:spacing w:after="0" w:line="238"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have never declared or paid dividends on our capital stock. We do not anticipate paying any dividends on our capital stock in the foreseeable future. We currently intend to retain all available funds and any future earnings to fund the development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jc w:val="both"/>
        <w:ind w:right="20" w:firstLine="488"/>
        <w:spacing w:after="0" w:line="238" w:lineRule="auto"/>
        <w:rPr>
          <w:sz w:val="20"/>
          <w:szCs w:val="20"/>
          <w:color w:val="auto"/>
        </w:rPr>
      </w:pPr>
      <w:r>
        <w:rPr>
          <w:rFonts w:ascii="Arial" w:cs="Arial" w:eastAsia="Arial" w:hAnsi="Arial"/>
          <w:sz w:val="18"/>
          <w:szCs w:val="18"/>
          <w:color w:val="auto"/>
        </w:rPr>
        <w:t>We will enter into an underwriting agreement with the underwriters named below with respect to the shares being offered. Subject to certain conditions, each underwriter will severally agree to purchase the number of shares indicated in the following table. Goldman Sachs &amp; Co. LLC and Cowen and Company, LLC are acting as representatives of the underwriters.</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Number of</w:t>
            </w:r>
          </w:p>
        </w:tc>
      </w:tr>
      <w:tr>
        <w:trPr>
          <w:trHeight w:val="206"/>
        </w:trPr>
        <w:tc>
          <w:tcPr>
            <w:tcW w:w="7840" w:type="dxa"/>
            <w:vAlign w:val="bottom"/>
            <w:gridSpan w:val="2"/>
          </w:tcPr>
          <w:p>
            <w:pPr>
              <w:spacing w:after="0" w:line="200" w:lineRule="exact"/>
              <w:rPr>
                <w:sz w:val="20"/>
                <w:szCs w:val="20"/>
                <w:color w:val="auto"/>
              </w:rPr>
            </w:pPr>
            <w:r>
              <w:rPr>
                <w:rFonts w:ascii="Arial" w:cs="Arial" w:eastAsia="Arial" w:hAnsi="Arial"/>
                <w:sz w:val="18"/>
                <w:szCs w:val="18"/>
                <w:color w:val="auto"/>
              </w:rPr>
              <w:t>Underwriters</w:t>
            </w:r>
          </w:p>
        </w:tc>
        <w:tc>
          <w:tcPr>
            <w:tcW w:w="180" w:type="dxa"/>
            <w:vAlign w:val="bottom"/>
          </w:tcPr>
          <w:p>
            <w:pPr>
              <w:spacing w:after="0"/>
              <w:rPr>
                <w:sz w:val="17"/>
                <w:szCs w:val="17"/>
                <w:color w:val="auto"/>
              </w:rPr>
            </w:pPr>
          </w:p>
        </w:tc>
        <w:tc>
          <w:tcPr>
            <w:tcW w:w="1120" w:type="dxa"/>
            <w:vAlign w:val="bottom"/>
            <w:gridSpan w:val="2"/>
          </w:tcPr>
          <w:p>
            <w:pPr>
              <w:jc w:val="center"/>
              <w:ind w:right="80"/>
              <w:spacing w:after="0" w:line="200" w:lineRule="exact"/>
              <w:rPr>
                <w:sz w:val="20"/>
                <w:szCs w:val="20"/>
                <w:color w:val="auto"/>
              </w:rPr>
            </w:pPr>
            <w:r>
              <w:rPr>
                <w:rFonts w:ascii="Arial" w:cs="Arial" w:eastAsia="Arial" w:hAnsi="Arial"/>
                <w:sz w:val="18"/>
                <w:szCs w:val="18"/>
                <w:color w:val="auto"/>
                <w:w w:val="98"/>
              </w:rPr>
              <w:t>Shares</w:t>
            </w:r>
          </w:p>
        </w:tc>
      </w:tr>
      <w:tr>
        <w:trPr>
          <w:trHeight w:val="203"/>
        </w:trPr>
        <w:tc>
          <w:tcPr>
            <w:tcW w:w="20" w:type="dxa"/>
            <w:vAlign w:val="bottom"/>
          </w:tcPr>
          <w:p>
            <w:pPr>
              <w:spacing w:after="0"/>
              <w:rPr>
                <w:sz w:val="17"/>
                <w:szCs w:val="17"/>
                <w:color w:val="auto"/>
              </w:rPr>
            </w:pPr>
          </w:p>
        </w:tc>
        <w:tc>
          <w:tcPr>
            <w:tcW w:w="78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Goldman Sachs &amp; Co. LLC</w:t>
            </w:r>
          </w:p>
        </w:tc>
        <w:tc>
          <w:tcPr>
            <w:tcW w:w="18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7840" w:type="dxa"/>
            <w:vAlign w:val="bottom"/>
            <w:gridSpan w:val="2"/>
          </w:tcPr>
          <w:p>
            <w:pPr>
              <w:spacing w:after="0" w:line="202" w:lineRule="exact"/>
              <w:rPr>
                <w:sz w:val="20"/>
                <w:szCs w:val="20"/>
                <w:color w:val="auto"/>
              </w:rPr>
            </w:pPr>
            <w:r>
              <w:rPr>
                <w:rFonts w:ascii="Arial" w:cs="Arial" w:eastAsia="Arial" w:hAnsi="Arial"/>
                <w:sz w:val="18"/>
                <w:szCs w:val="18"/>
                <w:color w:val="auto"/>
              </w:rPr>
              <w:t>Cowen and Company, LLC</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Canaccord Genuity LLC</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7840" w:type="dxa"/>
            <w:vAlign w:val="bottom"/>
            <w:gridSpan w:val="2"/>
          </w:tcPr>
          <w:p>
            <w:pPr>
              <w:spacing w:after="0" w:line="202" w:lineRule="exact"/>
              <w:rPr>
                <w:sz w:val="20"/>
                <w:szCs w:val="20"/>
                <w:color w:val="auto"/>
              </w:rPr>
            </w:pPr>
            <w:r>
              <w:rPr>
                <w:rFonts w:ascii="Arial" w:cs="Arial" w:eastAsia="Arial" w:hAnsi="Arial"/>
                <w:sz w:val="18"/>
                <w:szCs w:val="18"/>
                <w:color w:val="auto"/>
              </w:rPr>
              <w:t>JMP Securities LLC</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Raymond James &amp; Associates, Inc.</w:t>
            </w:r>
          </w:p>
        </w:tc>
        <w:tc>
          <w:tcPr>
            <w:tcW w:w="1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20" w:type="dxa"/>
            <w:vAlign w:val="bottom"/>
          </w:tcPr>
          <w:p>
            <w:pPr>
              <w:ind w:left="160"/>
              <w:spacing w:after="0" w:line="196" w:lineRule="exact"/>
              <w:rPr>
                <w:sz w:val="20"/>
                <w:szCs w:val="20"/>
                <w:color w:val="auto"/>
              </w:rPr>
            </w:pPr>
            <w:r>
              <w:rPr>
                <w:rFonts w:ascii="Arial" w:cs="Arial" w:eastAsia="Arial" w:hAnsi="Arial"/>
                <w:sz w:val="18"/>
                <w:szCs w:val="18"/>
                <w:color w:val="auto"/>
              </w:rPr>
              <w:t>Total</w:t>
            </w:r>
          </w:p>
        </w:tc>
        <w:tc>
          <w:tcPr>
            <w:tcW w:w="1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bl>
    <w:p>
      <w:pPr>
        <w:spacing w:after="0" w:line="219" w:lineRule="exact"/>
        <w:rPr>
          <w:sz w:val="20"/>
          <w:szCs w:val="20"/>
          <w:color w:val="auto"/>
        </w:rPr>
      </w:pPr>
    </w:p>
    <w:p>
      <w:pPr>
        <w:ind w:right="280" w:firstLine="485"/>
        <w:spacing w:after="0" w:line="239"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209" w:lineRule="exact"/>
        <w:rPr>
          <w:sz w:val="20"/>
          <w:szCs w:val="20"/>
          <w:color w:val="auto"/>
        </w:rPr>
      </w:pPr>
    </w:p>
    <w:p>
      <w:pPr>
        <w:ind w:right="60" w:firstLine="485"/>
        <w:spacing w:after="0" w:line="238" w:lineRule="auto"/>
        <w:rPr>
          <w:sz w:val="20"/>
          <w:szCs w:val="20"/>
          <w:color w:val="auto"/>
        </w:rPr>
      </w:pPr>
      <w:r>
        <w:rPr>
          <w:rFonts w:ascii="Arial" w:cs="Arial" w:eastAsia="Arial" w:hAnsi="Arial"/>
          <w:sz w:val="18"/>
          <w:szCs w:val="18"/>
          <w:color w:val="auto"/>
        </w:rPr>
        <w:t>The underwriters have an option to buy up to $48,750,000 of additional shares of our common stock from us. They may exercise this option for 30 days. If any shares are purchased pursuant to this option, the underwriters will severally purchase shares in approximately the same proportion as set forth in the table above.</w:t>
      </w:r>
    </w:p>
    <w:p>
      <w:pPr>
        <w:spacing w:after="0" w:line="208" w:lineRule="exact"/>
        <w:rPr>
          <w:sz w:val="20"/>
          <w:szCs w:val="20"/>
          <w:color w:val="auto"/>
        </w:rPr>
      </w:pPr>
    </w:p>
    <w:p>
      <w:pPr>
        <w:ind w:firstLine="485"/>
        <w:spacing w:after="0" w:line="238"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up to $48,750,000 additional shares of our common stock.</w:t>
      </w:r>
    </w:p>
    <w:p>
      <w:pPr>
        <w:spacing w:after="0" w:line="389"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840" w:type="dxa"/>
            <w:vAlign w:val="bottom"/>
            <w:gridSpan w:val="2"/>
          </w:tcPr>
          <w:p>
            <w:pPr>
              <w:jc w:val="right"/>
              <w:ind w:right="1532"/>
              <w:spacing w:after="0"/>
              <w:rPr>
                <w:sz w:val="20"/>
                <w:szCs w:val="20"/>
                <w:color w:val="auto"/>
              </w:rPr>
            </w:pPr>
            <w:r>
              <w:rPr>
                <w:rFonts w:ascii="Arial" w:cs="Arial" w:eastAsia="Arial" w:hAnsi="Arial"/>
                <w:sz w:val="18"/>
                <w:szCs w:val="18"/>
                <w:b w:val="1"/>
                <w:bCs w:val="1"/>
                <w:color w:val="auto"/>
              </w:rPr>
              <w:t>Paid by the Company</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8"/>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 Exercise</w:t>
            </w:r>
          </w:p>
        </w:tc>
        <w:tc>
          <w:tcPr>
            <w:tcW w:w="160" w:type="dxa"/>
            <w:vAlign w:val="bottom"/>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Full Exercise</w:t>
            </w:r>
          </w:p>
        </w:tc>
        <w:tc>
          <w:tcPr>
            <w:tcW w:w="1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4840" w:type="dxa"/>
            <w:vAlign w:val="bottom"/>
            <w:gridSpan w:val="2"/>
            <w:shd w:val="clear" w:color="auto" w:fill="CCEEFF"/>
          </w:tcPr>
          <w:p>
            <w:pPr>
              <w:jc w:val="right"/>
              <w:ind w:right="1512"/>
              <w:spacing w:after="0" w:line="202" w:lineRule="exact"/>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57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r>
      <w:tr>
        <w:trPr>
          <w:trHeight w:val="214"/>
        </w:trPr>
        <w:tc>
          <w:tcPr>
            <w:tcW w:w="2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40" w:type="dxa"/>
            <w:vAlign w:val="bottom"/>
            <w:gridSpan w:val="2"/>
          </w:tcPr>
          <w:p>
            <w:pPr>
              <w:jc w:val="right"/>
              <w:ind w:right="1512"/>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5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bl>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Shares sold by the underwriters to the public will initially be offered at the public offering price set forth on the cover of this prospectus</w:t>
      </w:r>
    </w:p>
    <w:p>
      <w:pPr>
        <w:ind w:right="300"/>
        <w:spacing w:after="0" w:line="281" w:lineRule="auto"/>
        <w:rPr>
          <w:sz w:val="20"/>
          <w:szCs w:val="20"/>
          <w:color w:val="auto"/>
        </w:rPr>
      </w:pPr>
      <w:r>
        <w:rPr>
          <w:rFonts w:ascii="Arial" w:cs="Arial" w:eastAsia="Arial" w:hAnsi="Arial"/>
          <w:sz w:val="16"/>
          <w:szCs w:val="16"/>
          <w:color w:val="auto"/>
        </w:rPr>
        <w:t>supplement. Any shares sold by the underwriters to securities dealers may be sold at a discount of up to $ per share from the public offering price. After the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8"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We and our directors and executive officers have agreed that for a period of 60 days after the date of this prospectus supplement, in each case, subject to specified exceptions, that neither we nor they will offer, sell, contract to sell, pledge, grant any option to purchase, make any short sale or otherwise dispose of any shares of our common stock or securities convertible into or exchangeable or exercisable for any shares of our common stock, except with the prior written consent of the representatives. These lock-up periods affect approximately 390,831 shares of our common stock outstanding as of September 30, 2019. The lock-up restrictions are subject to certain exceptions, including transfers of shares of our common stock (i) acquired in the open market following the completion of this offering; (ii) as a bona fide gift, to a trust for the benefit of the holder or his or her immediate family, by will or other testamentary document or intestate</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succession, or by operation of law; (iii) to an affiliate of the holder or as part of a distribution without consideration to a holder's stockholders, partners, members or other equity holders; (iv) in connection with an exercise for cash of options to purchase our common stock, the "net exercise" or "cashless" exercise of such options within 90 days of the expiration of such options and any transfer for the payment of taxes due as result of the exercise of such options or the vesting, or in connection with the vesting and settlement of restricted stock units, the surrender of common stock (including, without limitation, pursuant to a "sell-to-cover" transaction) in lieu of payment in cash of any tax withholding obligations due as a result of such vesting and settlement; and (v) in connection with establishing a trading plan pursuant to Rule 10b5-1, or 10b5-1 plan, under the Securities Exchange Act of 1934, as amended. The representatives, in their sole discretion, may release the common stock and other securities subject to the lock-up agreements described above in whole or in part at any time.</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common stock is publicly traded on the Nasdaq Global Select Market under the symbol "BPMC".</w:t>
      </w:r>
    </w:p>
    <w:p>
      <w:pPr>
        <w:spacing w:after="0" w:line="212"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In connection with this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15" w:lineRule="exact"/>
        <w:rPr>
          <w:sz w:val="20"/>
          <w:szCs w:val="20"/>
          <w:color w:val="auto"/>
        </w:rPr>
      </w:pPr>
    </w:p>
    <w:p>
      <w:pPr>
        <w:jc w:val="both"/>
        <w:ind w:right="580" w:firstLine="485"/>
        <w:spacing w:after="0" w:line="23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8" w:lineRule="exact"/>
        <w:rPr>
          <w:sz w:val="20"/>
          <w:szCs w:val="20"/>
          <w:color w:val="auto"/>
        </w:rPr>
      </w:pPr>
    </w:p>
    <w:p>
      <w:pPr>
        <w:ind w:right="100" w:firstLine="488"/>
        <w:spacing w:after="0" w:line="273"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60" w:firstLine="488"/>
        <w:spacing w:after="0" w:line="239"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$500,000. This includes reimbursement to the underwriters for certain of their expenses in an amount up to $5,000.</w:t>
      </w:r>
    </w:p>
    <w:p>
      <w:pPr>
        <w:spacing w:after="0" w:line="209" w:lineRule="exact"/>
        <w:rPr>
          <w:sz w:val="20"/>
          <w:szCs w:val="20"/>
          <w:color w:val="auto"/>
        </w:rPr>
      </w:pPr>
    </w:p>
    <w:p>
      <w:pPr>
        <w:ind w:right="480" w:firstLine="488"/>
        <w:spacing w:after="0" w:line="239"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w:t>
      </w:r>
    </w:p>
    <w:p>
      <w:pPr>
        <w:spacing w:after="0" w:line="209"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211"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European Economic Area</w:t>
      </w:r>
    </w:p>
    <w:p>
      <w:pPr>
        <w:spacing w:after="0" w:line="234" w:lineRule="exact"/>
        <w:rPr>
          <w:sz w:val="20"/>
          <w:szCs w:val="20"/>
          <w:color w:val="auto"/>
        </w:rPr>
      </w:pPr>
    </w:p>
    <w:p>
      <w:pPr>
        <w:ind w:right="160" w:firstLine="488"/>
        <w:spacing w:after="0" w:line="281"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an offer to the public of our common shares may not be made in that Relevant Member State, except that an offer to the public in that Relevant Member State of our common shares may be made at any time under the following exemptions under the Prospectus Directive:</w:t>
      </w:r>
    </w:p>
    <w:p>
      <w:pPr>
        <w:spacing w:after="0" w:line="178"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11" w:lineRule="exact"/>
        <w:rPr>
          <w:rFonts w:ascii="Arial" w:cs="Arial" w:eastAsia="Arial" w:hAnsi="Arial"/>
          <w:sz w:val="18"/>
          <w:szCs w:val="18"/>
          <w:color w:val="auto"/>
        </w:rPr>
      </w:pPr>
    </w:p>
    <w:p>
      <w:pPr>
        <w:ind w:left="1080" w:right="40" w:hanging="532"/>
        <w:spacing w:after="0" w:line="23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12" w:lineRule="exact"/>
        <w:rPr>
          <w:sz w:val="20"/>
          <w:szCs w:val="20"/>
          <w:color w:val="auto"/>
        </w:rPr>
      </w:pPr>
    </w:p>
    <w:p>
      <w:pPr>
        <w:ind w:right="160" w:firstLine="488"/>
        <w:spacing w:after="0" w:line="239" w:lineRule="auto"/>
        <w:rPr>
          <w:sz w:val="20"/>
          <w:szCs w:val="20"/>
          <w:color w:val="auto"/>
        </w:rPr>
      </w:pPr>
      <w:r>
        <w:rPr>
          <w:rFonts w:ascii="Arial" w:cs="Arial" w:eastAsia="Arial" w:hAnsi="Arial"/>
          <w:sz w:val="18"/>
          <w:szCs w:val="18"/>
          <w:color w:val="auto"/>
        </w:rPr>
        <w:t>provided that no such offer or shares of our common stock shall result in a requirement for the publication by us or any Brazilian placement agent of a prospectus pursuant to Article 3 of the Prospectus Directive.</w:t>
      </w:r>
    </w:p>
    <w:p>
      <w:pPr>
        <w:spacing w:after="0" w:line="209"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For the purposes of this provision, the expression an "offer to public" in relation to our common shares in any Relevant Member State means the communication in any form and by any means of sufficient information on the terms of the offer and our common shares to be offered so as to enable an investor to decide to purchase our common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United Kingdom</w:t>
      </w:r>
    </w:p>
    <w:p>
      <w:pPr>
        <w:spacing w:after="0" w:line="234" w:lineRule="exact"/>
        <w:rPr>
          <w:sz w:val="20"/>
          <w:szCs w:val="20"/>
          <w:color w:val="auto"/>
        </w:rPr>
      </w:pPr>
    </w:p>
    <w:p>
      <w:pPr>
        <w:ind w:firstLine="488"/>
        <w:spacing w:after="0" w:line="273" w:lineRule="auto"/>
        <w:rPr>
          <w:sz w:val="20"/>
          <w:szCs w:val="20"/>
          <w:color w:val="auto"/>
        </w:rPr>
      </w:pPr>
      <w:r>
        <w:rPr>
          <w:rFonts w:ascii="Arial" w:cs="Arial" w:eastAsia="Arial" w:hAnsi="Arial"/>
          <w:sz w:val="16"/>
          <w:szCs w:val="16"/>
          <w:color w:val="auto"/>
        </w:rPr>
        <w:t>In the United Kingdom, this prospectus is only addressed to and directed as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relay on this prospectus or any of its contents.</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France</w:t>
      </w:r>
    </w:p>
    <w:p>
      <w:pPr>
        <w:spacing w:after="0" w:line="234" w:lineRule="exact"/>
        <w:rPr>
          <w:sz w:val="20"/>
          <w:szCs w:val="20"/>
          <w:color w:val="auto"/>
        </w:rPr>
      </w:pPr>
    </w:p>
    <w:p>
      <w:pPr>
        <w:ind w:right="200" w:firstLine="488"/>
        <w:spacing w:after="0" w:line="275" w:lineRule="auto"/>
        <w:rPr>
          <w:sz w:val="20"/>
          <w:szCs w:val="20"/>
          <w:color w:val="auto"/>
        </w:rPr>
      </w:pPr>
      <w:r>
        <w:rPr>
          <w:rFonts w:ascii="Arial" w:cs="Arial" w:eastAsia="Arial" w:hAnsi="Arial"/>
          <w:sz w:val="16"/>
          <w:szCs w:val="16"/>
          <w:color w:val="auto"/>
        </w:rPr>
        <w:t>Neither this prospectus nor any other offering material relating to the shares described in this prospectus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nor any other offering material relating to the shares has been or will be:</w:t>
      </w:r>
    </w:p>
    <w:p>
      <w:pPr>
        <w:spacing w:after="0" w:line="183"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212" w:lineRule="exact"/>
        <w:rPr>
          <w:sz w:val="20"/>
          <w:szCs w:val="20"/>
          <w:color w:val="auto"/>
        </w:rPr>
      </w:pPr>
    </w:p>
    <w:p>
      <w:pPr>
        <w:ind w:left="1080" w:right="100" w:hanging="532"/>
        <w:spacing w:after="0" w:line="23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94"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211" w:lineRule="exact"/>
        <w:rPr>
          <w:rFonts w:ascii="Arial" w:cs="Arial" w:eastAsia="Arial" w:hAnsi="Arial"/>
          <w:sz w:val="18"/>
          <w:szCs w:val="18"/>
          <w:color w:val="auto"/>
        </w:rPr>
      </w:pPr>
    </w:p>
    <w:p>
      <w:pPr>
        <w:ind w:left="1080" w:right="80" w:hanging="532"/>
        <w:spacing w:after="0" w:line="23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208" w:lineRule="exact"/>
        <w:rPr>
          <w:sz w:val="20"/>
          <w:szCs w:val="20"/>
          <w:color w:val="auto"/>
        </w:rPr>
      </w:pPr>
    </w:p>
    <w:p>
      <w:pPr>
        <w:ind w:right="100" w:firstLine="485"/>
        <w:spacing w:after="0" w:line="239" w:lineRule="auto"/>
        <w:rPr>
          <w:sz w:val="20"/>
          <w:szCs w:val="20"/>
          <w:color w:val="auto"/>
        </w:rPr>
      </w:pPr>
      <w:r>
        <w:rPr>
          <w:rFonts w:ascii="Arial" w:cs="Arial" w:eastAsia="Arial" w:hAnsi="Arial"/>
          <w:sz w:val="18"/>
          <w:szCs w:val="18"/>
          <w:color w:val="auto"/>
        </w:rPr>
        <w:t>The shares may be resold directly or indirectly, only in compliance with articles L.411-1, L.411-2, L.412-1 and L.621-8 through L.621-8-3 of the French Code monétaire et financier.</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Australia</w:t>
      </w:r>
    </w:p>
    <w:p>
      <w:pPr>
        <w:spacing w:after="0" w:line="234" w:lineRule="exact"/>
        <w:rPr>
          <w:sz w:val="20"/>
          <w:szCs w:val="20"/>
          <w:color w:val="auto"/>
        </w:rPr>
      </w:pPr>
    </w:p>
    <w:p>
      <w:pPr>
        <w:ind w:right="160" w:firstLine="488"/>
        <w:spacing w:after="0" w:line="238" w:lineRule="auto"/>
        <w:rPr>
          <w:sz w:val="20"/>
          <w:szCs w:val="20"/>
          <w:color w:val="auto"/>
        </w:rPr>
      </w:pPr>
      <w:r>
        <w:rPr>
          <w:rFonts w:ascii="Arial" w:cs="Arial" w:eastAsia="Arial" w:hAnsi="Arial"/>
          <w:sz w:val="18"/>
          <w:szCs w:val="18"/>
          <w:color w:val="auto"/>
        </w:rPr>
        <w:t>No prospectus or other disclosure document (as defined in the Corporations Act 2001 (Cth) of Australia ("Corporations Act")) in relation to the common stock has been or will be lodged with the Australian Securities &amp; Investments Commission ("ASIC"). This document has not been lodged with</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ASIC and is only directed to certain categories of exempt persons. Accordingly, if you receive this document in Australia:</w:t>
      </w:r>
    </w:p>
    <w:p>
      <w:pPr>
        <w:spacing w:after="0" w:line="212"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620" w:hanging="532"/>
        <w:spacing w:after="0"/>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98" w:lineRule="exact"/>
        <w:rPr>
          <w:rFonts w:ascii="Arial" w:cs="Arial" w:eastAsia="Arial" w:hAnsi="Arial"/>
          <w:sz w:val="18"/>
          <w:szCs w:val="18"/>
          <w:color w:val="auto"/>
        </w:rPr>
      </w:pPr>
    </w:p>
    <w:p>
      <w:pPr>
        <w:ind w:left="1620" w:right="220" w:hanging="532"/>
        <w:spacing w:after="0" w:line="238"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194" w:lineRule="exact"/>
        <w:rPr>
          <w:rFonts w:ascii="Arial" w:cs="Arial" w:eastAsia="Arial" w:hAnsi="Arial"/>
          <w:sz w:val="18"/>
          <w:szCs w:val="18"/>
          <w:color w:val="auto"/>
        </w:rPr>
      </w:pPr>
    </w:p>
    <w:p>
      <w:pPr>
        <w:ind w:left="1620" w:hanging="532"/>
        <w:spacing w:after="0"/>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211" w:lineRule="exact"/>
        <w:rPr>
          <w:rFonts w:ascii="Arial" w:cs="Arial" w:eastAsia="Arial" w:hAnsi="Arial"/>
          <w:sz w:val="18"/>
          <w:szCs w:val="18"/>
          <w:color w:val="auto"/>
        </w:rPr>
      </w:pPr>
    </w:p>
    <w:p>
      <w:pPr>
        <w:ind w:left="1620" w:right="40" w:hanging="532"/>
        <w:spacing w:after="0" w:line="238" w:lineRule="auto"/>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080" w:right="140" w:hanging="532"/>
        <w:spacing w:after="0" w:line="23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common stock for resale in Australia within 12 months of that common stock being issued unless any such resale offer is exempt from the requirement to issue a disclosure document under section 708 of the Corporations Act.</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Hong Kong</w:t>
      </w:r>
    </w:p>
    <w:p>
      <w:pPr>
        <w:spacing w:after="0" w:line="234" w:lineRule="exact"/>
        <w:rPr>
          <w:sz w:val="20"/>
          <w:szCs w:val="20"/>
          <w:color w:val="auto"/>
        </w:rPr>
      </w:pPr>
    </w:p>
    <w:p>
      <w:pPr>
        <w:ind w:right="20" w:firstLine="485"/>
        <w:spacing w:after="0" w:line="235"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Singapore</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80"/>
        <w:spacing w:after="0" w:line="299" w:lineRule="auto"/>
        <w:rPr>
          <w:sz w:val="20"/>
          <w:szCs w:val="20"/>
          <w:color w:val="auto"/>
        </w:rPr>
      </w:pPr>
      <w:r>
        <w:rPr>
          <w:rFonts w:ascii="Arial" w:cs="Arial" w:eastAsia="Arial" w:hAnsi="Arial"/>
          <w:sz w:val="16"/>
          <w:szCs w:val="16"/>
          <w:color w:val="auto"/>
        </w:rPr>
        <w:t>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3" w:lineRule="exact"/>
        <w:rPr>
          <w:sz w:val="20"/>
          <w:szCs w:val="20"/>
          <w:color w:val="auto"/>
        </w:rPr>
      </w:pPr>
    </w:p>
    <w:p>
      <w:pPr>
        <w:ind w:right="60" w:firstLine="488"/>
        <w:spacing w:after="0" w:line="264"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w:t>
      </w:r>
    </w:p>
    <w:p>
      <w:pPr>
        <w:spacing w:after="0" w:line="1" w:lineRule="exact"/>
        <w:rPr>
          <w:sz w:val="20"/>
          <w:szCs w:val="20"/>
          <w:color w:val="auto"/>
        </w:rPr>
      </w:pPr>
    </w:p>
    <w:p>
      <w:pPr>
        <w:ind w:right="40" w:firstLine="8"/>
        <w:spacing w:after="0" w:line="239" w:lineRule="auto"/>
        <w:tabs>
          <w:tab w:leader="none" w:pos="2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the transfer is by operation of law, (5) as specified in Section 276(7) of the SFA, or (6) as specified in Regulation 32 of the Securities and Futures (Offers of Investments) (Shares and Debentures) Regulations 2005 of Singapore ("Regulation 32")</w:t>
      </w:r>
    </w:p>
    <w:p>
      <w:pPr>
        <w:spacing w:after="0" w:line="20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Japan</w:t>
      </w:r>
    </w:p>
    <w:p>
      <w:pPr>
        <w:spacing w:after="0" w:line="234" w:lineRule="exact"/>
        <w:rPr>
          <w:sz w:val="20"/>
          <w:szCs w:val="20"/>
          <w:color w:val="auto"/>
        </w:rPr>
      </w:pPr>
    </w:p>
    <w:p>
      <w:pPr>
        <w:ind w:right="100" w:firstLine="485"/>
        <w:spacing w:after="0" w:line="236"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Israel</w:t>
      </w:r>
    </w:p>
    <w:p>
      <w:pPr>
        <w:spacing w:after="0" w:line="234"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have not and will not distribute this prospectus or make, distribute or direct an offer to subscribe for our common stock to any person within the State of Israel, other than to Qualified Investors and up to 35 Addressed Investors.</w:t>
      </w:r>
    </w:p>
    <w:p>
      <w:pPr>
        <w:spacing w:after="0" w:line="209" w:lineRule="exact"/>
        <w:rPr>
          <w:sz w:val="20"/>
          <w:szCs w:val="20"/>
          <w:color w:val="auto"/>
        </w:rPr>
      </w:pPr>
    </w:p>
    <w:p>
      <w:pPr>
        <w:ind w:right="120" w:firstLine="488"/>
        <w:spacing w:after="0" w:line="264" w:lineRule="auto"/>
        <w:rPr>
          <w:sz w:val="20"/>
          <w:szCs w:val="20"/>
          <w:color w:val="auto"/>
        </w:rPr>
      </w:pPr>
      <w:r>
        <w:rPr>
          <w:rFonts w:ascii="Arial" w:cs="Arial" w:eastAsia="Arial" w:hAnsi="Arial"/>
          <w:sz w:val="16"/>
          <w:szCs w:val="16"/>
          <w:color w:val="auto"/>
        </w:rPr>
        <w:t>Qualified Investors may have to submit written evidence that they meet the definitions set out in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w:t>
      </w:r>
    </w:p>
    <w:p>
      <w:pPr>
        <w:spacing w:after="0" w:line="2" w:lineRule="exact"/>
        <w:rPr>
          <w:sz w:val="20"/>
          <w:szCs w:val="20"/>
          <w:color w:val="auto"/>
        </w:rPr>
      </w:pPr>
    </w:p>
    <w:p>
      <w:pPr>
        <w:ind w:right="40" w:firstLine="8"/>
        <w:spacing w:after="0" w:line="238" w:lineRule="auto"/>
        <w:tabs>
          <w:tab w:leader="none" w:pos="2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Canada</w:t>
      </w:r>
    </w:p>
    <w:p>
      <w:pPr>
        <w:spacing w:after="0" w:line="234" w:lineRule="exact"/>
        <w:rPr>
          <w:sz w:val="20"/>
          <w:szCs w:val="20"/>
          <w:color w:val="auto"/>
        </w:rPr>
      </w:pPr>
    </w:p>
    <w:p>
      <w:pPr>
        <w:ind w:firstLine="485"/>
        <w:spacing w:after="0" w:line="275"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3" w:lineRule="exact"/>
        <w:rPr>
          <w:sz w:val="20"/>
          <w:szCs w:val="20"/>
          <w:color w:val="auto"/>
        </w:rPr>
      </w:pPr>
    </w:p>
    <w:p>
      <w:pPr>
        <w:ind w:right="160" w:firstLine="488"/>
        <w:spacing w:after="0" w:line="275"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83" w:lineRule="exact"/>
        <w:rPr>
          <w:sz w:val="20"/>
          <w:szCs w:val="20"/>
          <w:color w:val="auto"/>
        </w:rPr>
      </w:pPr>
    </w:p>
    <w:p>
      <w:pPr>
        <w:ind w:right="160" w:firstLine="488"/>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34" w:lineRule="exact"/>
        <w:rPr>
          <w:sz w:val="20"/>
          <w:szCs w:val="20"/>
          <w:color w:val="auto"/>
        </w:rPr>
      </w:pPr>
    </w:p>
    <w:p>
      <w:pPr>
        <w:ind w:right="20" w:firstLine="485"/>
        <w:spacing w:after="0" w:line="236" w:lineRule="auto"/>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our common stock to non-U.S. holders, but does not purport to be a complete analysis of all the potential tax considerations relating thereto. This summary is based upon the provisions of the Internal Revenue Code of 1986, as amended, or the Code, Treasury regulations promulgated thereunder, administrative rulings and judicial decisions, all as of the date hereof. These authorities may be changed or subject to differing interpretations, possibly with retroactive effect, so as to result in U.S. federal income tax consequences different from those set forth below. We have not sought any ruling from the Internal Revenue Service, or the IRS, with respect to the statements made and the conclusions reached in the following summary, and there can be no assurance that the IRS will agree with such statements and conclusions.</w:t>
      </w:r>
    </w:p>
    <w:p>
      <w:pPr>
        <w:spacing w:after="0" w:line="209" w:lineRule="exact"/>
        <w:rPr>
          <w:sz w:val="20"/>
          <w:szCs w:val="20"/>
          <w:color w:val="auto"/>
        </w:rPr>
      </w:pPr>
    </w:p>
    <w:p>
      <w:pPr>
        <w:ind w:right="200" w:firstLine="485"/>
        <w:spacing w:after="0" w:line="237" w:lineRule="auto"/>
        <w:rPr>
          <w:sz w:val="20"/>
          <w:szCs w:val="20"/>
          <w:color w:val="auto"/>
        </w:rPr>
      </w:pPr>
      <w:r>
        <w:rPr>
          <w:rFonts w:ascii="Arial" w:cs="Arial" w:eastAsia="Arial" w:hAnsi="Arial"/>
          <w:sz w:val="18"/>
          <w:szCs w:val="18"/>
          <w:color w:val="auto"/>
        </w:rPr>
        <w:t>This summary also does not address the tax considerations arising under the laws of any U.S. state or local or any non-U.S. jurisdiction, U.S. federal estate or gift tax laws, the Medicare tax on net investment income or any alternative minimum tax consequences. In addition, this discussion does not address tax considerations applicable to an investor's particular circumstances or to investors that may be subject to special tax rules, including, without limitation:</w:t>
      </w:r>
    </w:p>
    <w:p>
      <w:pPr>
        <w:spacing w:after="0" w:line="20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U.S.;</w:t>
      </w:r>
    </w:p>
    <w:p>
      <w:pPr>
        <w:spacing w:after="0" w:line="198" w:lineRule="exact"/>
        <w:rPr>
          <w:rFonts w:ascii="Arial" w:cs="Arial" w:eastAsia="Arial" w:hAnsi="Arial"/>
          <w:sz w:val="18"/>
          <w:szCs w:val="18"/>
          <w:color w:val="auto"/>
        </w:rPr>
      </w:pPr>
    </w:p>
    <w:p>
      <w:pPr>
        <w:ind w:left="1080" w:right="700" w:hanging="532"/>
        <w:spacing w:after="0" w:line="23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208" w:lineRule="exact"/>
        <w:rPr>
          <w:rFonts w:ascii="Arial" w:cs="Arial" w:eastAsia="Arial" w:hAnsi="Arial"/>
          <w:sz w:val="18"/>
          <w:szCs w:val="18"/>
          <w:color w:val="auto"/>
        </w:rPr>
      </w:pPr>
    </w:p>
    <w:p>
      <w:pPr>
        <w:ind w:left="1080" w:right="660" w:hanging="532"/>
        <w:spacing w:after="0" w:line="23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w:t>
      </w:r>
    </w:p>
    <w:p>
      <w:pPr>
        <w:spacing w:after="0" w:line="195" w:lineRule="exact"/>
        <w:rPr>
          <w:rFonts w:ascii="Arial" w:cs="Arial" w:eastAsia="Arial" w:hAnsi="Arial"/>
          <w:sz w:val="18"/>
          <w:szCs w:val="18"/>
          <w:color w:val="auto"/>
        </w:rPr>
      </w:pPr>
    </w:p>
    <w:p>
      <w:pPr>
        <w:ind w:left="1080" w:right="460" w:hanging="532"/>
        <w:spacing w:after="0" w:line="23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treated as partnerships for U.S. federal income tax purposes (or investors in any such entities);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qualified foreign pension funds or entities wholly owned by qualified foreign pension funds;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98"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passive foreign investment companies;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persons that acquire our common stock as compensation for services.</w:t>
      </w:r>
    </w:p>
    <w:p>
      <w:pPr>
        <w:spacing w:after="0" w:line="212" w:lineRule="exact"/>
        <w:rPr>
          <w:sz w:val="20"/>
          <w:szCs w:val="20"/>
          <w:color w:val="auto"/>
        </w:rPr>
      </w:pPr>
    </w:p>
    <w:p>
      <w:pPr>
        <w:ind w:right="200" w:firstLine="488"/>
        <w:spacing w:after="0" w:line="239" w:lineRule="auto"/>
        <w:rPr>
          <w:sz w:val="20"/>
          <w:szCs w:val="20"/>
          <w:color w:val="auto"/>
        </w:rPr>
      </w:pPr>
      <w:r>
        <w:rPr>
          <w:rFonts w:ascii="Arial" w:cs="Arial" w:eastAsia="Arial" w:hAnsi="Arial"/>
          <w:sz w:val="18"/>
          <w:szCs w:val="18"/>
          <w:color w:val="auto"/>
        </w:rPr>
        <w:t>In addition, if a partnership, including any entity or arrangement classified as a partnership for U.S. federal income tax purposes, holds our common stock, the tax treatment of a partner in such</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partnership generally will depend on the status of the partner and upon the activities of the partnership. Accordingly, partnerships that hold our common stock, and partners in such partnerships, should consult their tax advisors.</w:t>
      </w:r>
    </w:p>
    <w:p>
      <w:pPr>
        <w:spacing w:after="0" w:line="187" w:lineRule="exact"/>
        <w:rPr>
          <w:sz w:val="20"/>
          <w:szCs w:val="20"/>
          <w:color w:val="auto"/>
        </w:rPr>
      </w:pPr>
    </w:p>
    <w:p>
      <w:pPr>
        <w:ind w:right="440" w:firstLine="488"/>
        <w:spacing w:after="0" w:line="244" w:lineRule="auto"/>
        <w:rPr>
          <w:sz w:val="20"/>
          <w:szCs w:val="20"/>
          <w:color w:val="auto"/>
        </w:rPr>
      </w:pPr>
      <w:r>
        <w:rPr>
          <w:rFonts w:ascii="Arial" w:cs="Arial" w:eastAsia="Arial" w:hAnsi="Arial"/>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U.S. state or local or any non-U.S. or other taxing jurisdiction or under any applicable tax treaty.</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Non-U.S. Holder Defined</w:t>
      </w:r>
    </w:p>
    <w:p>
      <w:pPr>
        <w:spacing w:after="0" w:line="234"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is for U.S. federal income tax purposes (i) a foreign corporation, (ii) a nonresident alien individual, (iii) a foreign estate, the income of which, if from sources without the U.S. and not effectively connected with the conduct of a trade or business within the U.S., is not subject to tax in the U.S.; or (iv) a trust that has not made an election to be treated as a U.S. holder under applicable Treasury regulations and that either (A) is not subject to the primary jurisdiction of a court within the U.S., or (B) is not subject to the substantial control of one or more U.S. persons.</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Distributions</w:t>
      </w:r>
    </w:p>
    <w:p>
      <w:pPr>
        <w:spacing w:after="0" w:line="234"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As discussed under "Dividend Policy", above, we do not anticipate paying any dividends on our capital stock in the foreseeable future. If we were to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and then will be treated as gain from the sale of stock, subject to the tax treatment described in the discussion below regarding taxable dispositions of our common stock. Any such distributions would also be subject to the discussions below regarding backup withholding and FATCA.</w:t>
      </w:r>
    </w:p>
    <w:p>
      <w:pPr>
        <w:spacing w:after="0" w:line="20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Subject to the discussion below regarding a dividend received by you that is effectively connected with the conduct of a U.S. trade or business, a dividend paid to you generally will be subject to U.S. withholding tax either at a rate of 30% of the gross amount of the dividend or such lower rate as may be specified by an applicable income tax treaty. In order to receive a reduced treaty rate, you must provide us with a valid IRS Form W-8BEN, IRS Form W-8-BEN-E or another appropriate version of IRS Form W-8 (or a successor form), in each case, certifying qualification for the reduced rate.</w:t>
      </w:r>
    </w:p>
    <w:p>
      <w:pPr>
        <w:spacing w:after="0" w:line="211" w:lineRule="exact"/>
        <w:rPr>
          <w:sz w:val="20"/>
          <w:szCs w:val="20"/>
          <w:color w:val="auto"/>
        </w:rPr>
      </w:pPr>
    </w:p>
    <w:p>
      <w:pPr>
        <w:ind w:right="80" w:firstLine="488"/>
        <w:spacing w:after="0" w:line="270" w:lineRule="auto"/>
        <w:rPr>
          <w:sz w:val="20"/>
          <w:szCs w:val="20"/>
          <w:color w:val="auto"/>
        </w:rPr>
      </w:pPr>
      <w:r>
        <w:rPr>
          <w:rFonts w:ascii="Arial" w:cs="Arial" w:eastAsia="Arial" w:hAnsi="Arial"/>
          <w:sz w:val="16"/>
          <w:szCs w:val="16"/>
          <w:color w:val="auto"/>
        </w:rPr>
        <w:t>Dividends received by you that are effectively connected with the conduct of a U.S. trade or business (and, if required by an applicable income tax treaty, are attributable to a permanent establishment maintained by you in the U.S.) generally are exempt from such withholding tax. In order to obtain this exemption, you must provide us with a valid IRS Form W-8ECI or successor form or other applicable IRS Form W-8 properly certifying such exemption. Such effectively connected dividends, although not subject to withholding tax, are taxed at the same graduated rates applicable to U.S. persons, net of certain deductions and credits, subject to an applicable income tax treaty providing otherwise. In addition, if you are a corporate non-U.S. holder, you may also be subject to a branch profits tax at a rate of 30% or such lower rate as may be specified by an applicable income tax treaty on your earnings and profits in respect of such effectively connected dividend income.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firstLine="488"/>
        <w:spacing w:after="0" w:line="239" w:lineRule="auto"/>
        <w:rPr>
          <w:sz w:val="20"/>
          <w:szCs w:val="20"/>
          <w:color w:val="auto"/>
        </w:rPr>
      </w:pPr>
      <w:r>
        <w:rPr>
          <w:rFonts w:ascii="Arial" w:cs="Arial" w:eastAsia="Arial" w:hAnsi="Arial"/>
          <w:sz w:val="18"/>
          <w:szCs w:val="18"/>
          <w:color w:val="auto"/>
        </w:rPr>
        <w:t>If you are eligible for a reduced rate of withholding tax pursuant to a tax treaty, you may be able to obtain a refund of any excess amounts currently withheld if you file an appropriate claim for refund with the IRS.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Gain on Sale or Other Taxable Disposition of Common Stock</w:t>
      </w:r>
    </w:p>
    <w:p>
      <w:pPr>
        <w:spacing w:after="0" w:line="234" w:lineRule="exact"/>
        <w:rPr>
          <w:sz w:val="20"/>
          <w:szCs w:val="20"/>
          <w:color w:val="auto"/>
        </w:rPr>
      </w:pPr>
    </w:p>
    <w:p>
      <w:pPr>
        <w:ind w:right="120" w:firstLine="488"/>
        <w:spacing w:after="0" w:line="239" w:lineRule="auto"/>
        <w:rPr>
          <w:sz w:val="20"/>
          <w:szCs w:val="20"/>
          <w:color w:val="auto"/>
        </w:rPr>
      </w:pPr>
      <w:r>
        <w:rPr>
          <w:rFonts w:ascii="Arial" w:cs="Arial" w:eastAsia="Arial" w:hAnsi="Arial"/>
          <w:sz w:val="18"/>
          <w:szCs w:val="18"/>
          <w:color w:val="auto"/>
        </w:rPr>
        <w:t>Subject to the discussion below regarding backup withholding , a non-U.S. Holder generally will not be required to pay U.S. federal income tax on any gain realized upon the sale or other taxable disposition of our common stock unless:</w:t>
      </w:r>
    </w:p>
    <w:p>
      <w:pPr>
        <w:spacing w:after="0" w:line="209" w:lineRule="exact"/>
        <w:rPr>
          <w:sz w:val="20"/>
          <w:szCs w:val="20"/>
          <w:color w:val="auto"/>
        </w:rPr>
      </w:pPr>
    </w:p>
    <w:p>
      <w:pPr>
        <w:jc w:val="both"/>
        <w:ind w:left="1080" w:hanging="532"/>
        <w:spacing w:after="0" w:line="236"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U.S. trade or business (and, if required by an applicable income tax treaty, the gain is attributable to a permanent establishment maintained by you in the U.S.), in which case you will be required to pay tax on the net gain derived from the sale under regular graduated U.S. federal income tax rates, and for a non-U.S. holder that is a corporation, such non-U.S. holder may be subject to the branch profits tax on any earnings and profits attributable to such gains at a 30% rate or such lower rate as may be specified by an applicable income tax treaty;</w:t>
      </w:r>
    </w:p>
    <w:p>
      <w:pPr>
        <w:spacing w:after="0" w:line="211" w:lineRule="exact"/>
        <w:rPr>
          <w:rFonts w:ascii="Arial" w:cs="Arial" w:eastAsia="Arial" w:hAnsi="Arial"/>
          <w:sz w:val="18"/>
          <w:szCs w:val="18"/>
          <w:color w:val="auto"/>
        </w:rPr>
      </w:pPr>
    </w:p>
    <w:p>
      <w:pPr>
        <w:ind w:left="1080" w:right="60" w:hanging="532"/>
        <w:spacing w:after="0" w:line="23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are an individual who is present in the U.S. for a period or periods aggregating 183 days or more during the taxable year in which the sale or disposition occurs and certain other conditions are met, in which case you will be required to pay a flat 30% tax on the gain derived from the sale, which tax may be offset by certain U.S. source capital losses in the taxable year of disposition (even though you are not considered a resident of the U.S.) (subject to applicable income tax or other treaties); or</w:t>
      </w:r>
    </w:p>
    <w:p>
      <w:pPr>
        <w:spacing w:after="0" w:line="195" w:lineRule="exact"/>
        <w:rPr>
          <w:rFonts w:ascii="Arial" w:cs="Arial" w:eastAsia="Arial" w:hAnsi="Arial"/>
          <w:sz w:val="18"/>
          <w:szCs w:val="18"/>
          <w:color w:val="auto"/>
        </w:rPr>
      </w:pPr>
    </w:p>
    <w:p>
      <w:pPr>
        <w:ind w:left="1080" w:right="20" w:hanging="532"/>
        <w:spacing w:after="0" w:line="235"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by reason of our status as a "U.S. real property holding corporation" for U.S. federal income tax purposes, or a USRPHC, at any time within the shorter of the five-year period preceding the disposition or your holding period for our common stock. We believe that we are not currently and will not become a USRPHC. However, because the determination of whether we are a USRPHC depends on the fair market value of our U.S. real property relative to the fair market value of our other real property and business assets, there can be no assurance that we will not become a USRPHC in the future. Even if we become a USRPHC, however, as long as our common stock is regularly traded on an established securities market (as determined under the Code), such common stock will be treated as U.S. real property interests only if you actually or constructively hold more than five percent of such regularly traded common stock at any time during the applicable period that is specified in the Code.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4" w:lineRule="exact"/>
        <w:rPr>
          <w:sz w:val="20"/>
          <w:szCs w:val="20"/>
          <w:color w:val="auto"/>
        </w:rPr>
      </w:pPr>
    </w:p>
    <w:p>
      <w:pPr>
        <w:ind w:right="40" w:firstLine="488"/>
        <w:spacing w:after="0" w:line="238"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generally be sent to you. Pursuant to applicable income tax treaties or other agreements, the IRS may make these reports available to tax authorities in your country of residence.</w:t>
      </w:r>
    </w:p>
    <w:p>
      <w:pPr>
        <w:spacing w:after="0" w:line="208"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Payments of dividends or of proceeds on the disposition of stock made to you may be subject to additional information reporting and backup withholding at the then applicable rate unless you establish an exemption, for example by properly certifying your non-U.S. status on an IRS Form W-8BEN, IRS Form W-8BEN-E or another appropriate version of IRS Form W-8 (or a successor form). Notwithstanding the foregoing, backup withholding and information reporting may apply if either we or our paying agent has actual knowledge, or reason to know, that you are a U.S. person.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160" w:firstLine="488"/>
        <w:spacing w:after="0" w:line="238" w:lineRule="auto"/>
        <w:rPr>
          <w:sz w:val="20"/>
          <w:szCs w:val="20"/>
          <w:color w:val="auto"/>
        </w:rPr>
      </w:pPr>
      <w:r>
        <w:rPr>
          <w:rFonts w:ascii="Arial" w:cs="Arial" w:eastAsia="Arial" w:hAnsi="Arial"/>
          <w:sz w:val="18"/>
          <w:szCs w:val="18"/>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Foreign Account Tax Compliance Act ("FATCA")</w:t>
      </w:r>
    </w:p>
    <w:p>
      <w:pPr>
        <w:spacing w:after="0" w:line="234"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Provisions commonly referred to as "FATCA" may impose withholding tax on certain types of payments made to "foreign financial institutions" and certain other non-U.S. entities. The legislation imposes a 30% withholding tax on dividends on, or gross proceeds from the sale or other disposition of, our common stock paid to a foreign financial institution or to certain non-financial foreign entities,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or (iii) the foreign financial institution or non-financial foreign entity otherwise qualifies for an exemption from these rules. If the payee is a foreign financial institution and is subject to the requirements in (i) above, it must enter into an agreement with the U.S. Treasury requiring, among other things, that it undertake to identify accounts held by certain U.S. persons or U.S.-owned foreign entities, annually report certain information about such accounts, and withhold 30% on payments to account holders whose actions prevent it from complying with these reporting and other requirements. If the country in which a payee is resident has entered into an "intergovernmental agreement" with the U.S. regarding FATCA, that agreement may permit the payee to report to that country rather than to the U.S. Treasury. Notwithstanding the foregoing, under current proposed Treasury regulations (which taxpayers may rely upon prior to finalization) no withholding will be imposed on gross proceeds from the sale or disposition of our common stock. However, no assurance can be provided that such proposed regulations will not be repealed, or that the final regulations (if and when promulgated) will treat gross proceeds consistently with the proposed regulations. Prospective investors should consult their tax advisors regarding FATCA.</w:t>
      </w:r>
    </w:p>
    <w:p>
      <w:pPr>
        <w:spacing w:after="0" w:line="193" w:lineRule="exact"/>
        <w:rPr>
          <w:sz w:val="20"/>
          <w:szCs w:val="20"/>
          <w:color w:val="auto"/>
        </w:rPr>
      </w:pPr>
    </w:p>
    <w:p>
      <w:pPr>
        <w:ind w:right="100" w:firstLine="488"/>
        <w:spacing w:after="0" w:line="296" w:lineRule="auto"/>
        <w:rPr>
          <w:sz w:val="20"/>
          <w:szCs w:val="20"/>
          <w:color w:val="auto"/>
        </w:rPr>
      </w:pPr>
      <w:r>
        <w:rPr>
          <w:rFonts w:ascii="Arial" w:cs="Arial" w:eastAsia="Arial" w:hAnsi="Arial"/>
          <w:sz w:val="16"/>
          <w:szCs w:val="16"/>
          <w:b w:val="1"/>
          <w:bCs w:val="1"/>
          <w:color w:val="auto"/>
        </w:rPr>
        <w:t>The preceding discussion of U.S. federal income tax considerations is for general information only. It is not tax advice. Each prospective investor should consult its tax advisor regarding the particular U.S. federal, state and local and non-U.S. tax consequences of purchasing, holding and disposing of our common stock, including the consequences of any proposed change in applicable laws.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jc w:val="both"/>
        <w:ind w:right="700" w:firstLine="488"/>
        <w:spacing w:after="0" w:line="238" w:lineRule="auto"/>
        <w:rPr>
          <w:sz w:val="20"/>
          <w:szCs w:val="20"/>
          <w:color w:val="auto"/>
        </w:rPr>
      </w:pPr>
      <w:r>
        <w:rPr>
          <w:rFonts w:ascii="Arial" w:cs="Arial" w:eastAsia="Arial" w:hAnsi="Arial"/>
          <w:sz w:val="18"/>
          <w:szCs w:val="18"/>
          <w:color w:val="auto"/>
        </w:rPr>
        <w:t>Certain legal matters with respect to the securities offered by this prospectus supplement will be passed upon for us by Goodwin Procter LLP, Boston, Massachusetts. Certain legal matters will be passed upon for the underwriters by Latham &amp; Watkins LLP, Boston, Massachusetts.</w:t>
      </w:r>
    </w:p>
    <w:p>
      <w:pPr>
        <w:spacing w:after="0" w:line="18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firstLine="485"/>
        <w:spacing w:after="0" w:line="236" w:lineRule="auto"/>
        <w:rPr>
          <w:rFonts w:ascii="Arial" w:cs="Arial" w:eastAsia="Arial" w:hAnsi="Arial"/>
          <w:sz w:val="18"/>
          <w:szCs w:val="18"/>
          <w:color w:val="0000EE"/>
        </w:rPr>
      </w:pPr>
      <w:hyperlink r:id="rId13">
        <w:r>
          <w:rPr>
            <w:rFonts w:ascii="Arial" w:cs="Arial" w:eastAsia="Arial" w:hAnsi="Arial"/>
            <w:sz w:val="18"/>
            <w:szCs w:val="18"/>
            <w:color w:val="auto"/>
          </w:rPr>
          <w:t xml:space="preserve">The consolidated financial statements of Blueprint Medicines Corporation appearing in Blueprint Medicines Corporation's </w:t>
        </w:r>
        <w:r>
          <w:rPr>
            <w:rFonts w:ascii="Arial" w:cs="Arial" w:eastAsia="Arial" w:hAnsi="Arial"/>
            <w:sz w:val="18"/>
            <w:szCs w:val="18"/>
            <w:u w:val="single" w:color="auto"/>
            <w:color w:val="0000EE"/>
          </w:rPr>
          <w:t>Annual Report</w:t>
        </w:r>
      </w:hyperlink>
      <w:r>
        <w:rPr>
          <w:rFonts w:ascii="Arial" w:cs="Arial" w:eastAsia="Arial" w:hAnsi="Arial"/>
          <w:sz w:val="18"/>
          <w:szCs w:val="18"/>
          <w:color w:val="auto"/>
        </w:rPr>
        <w:t xml:space="preserve"> </w:t>
      </w:r>
      <w:hyperlink r:id="rId13">
        <w:r>
          <w:rPr>
            <w:rFonts w:ascii="Arial" w:cs="Arial" w:eastAsia="Arial" w:hAnsi="Arial"/>
            <w:sz w:val="18"/>
            <w:szCs w:val="18"/>
            <w:u w:val="single" w:color="auto"/>
            <w:color w:val="0000EE"/>
          </w:rPr>
          <w:t>(Form 10-K) for the year ended December 31, 2018</w:t>
        </w:r>
        <w:r>
          <w:rPr>
            <w:rFonts w:ascii="Arial" w:cs="Arial" w:eastAsia="Arial" w:hAnsi="Arial"/>
            <w:sz w:val="18"/>
            <w:szCs w:val="18"/>
            <w:color w:val="0000EE"/>
          </w:rPr>
          <w:t xml:space="preserve"> </w:t>
        </w:r>
        <w:r>
          <w:rPr>
            <w:rFonts w:ascii="Arial" w:cs="Arial" w:eastAsia="Arial" w:hAnsi="Arial"/>
            <w:sz w:val="18"/>
            <w:szCs w:val="18"/>
            <w:color w:val="000000"/>
          </w:rPr>
          <w:t>and the effectiveness of Blueprint Medicines Corporation's internal control over financial</w:t>
        </w:r>
      </w:hyperlink>
      <w:r>
        <w:rPr>
          <w:rFonts w:ascii="Arial" w:cs="Arial" w:eastAsia="Arial" w:hAnsi="Arial"/>
          <w:sz w:val="18"/>
          <w:szCs w:val="18"/>
          <w:color w:val="0000EE"/>
        </w:rPr>
        <w:t xml:space="preserve"> </w:t>
      </w:r>
      <w:r>
        <w:rPr>
          <w:rFonts w:ascii="Arial" w:cs="Arial" w:eastAsia="Arial" w:hAnsi="Arial"/>
          <w:sz w:val="18"/>
          <w:szCs w:val="18"/>
          <w:color w:val="000000"/>
        </w:rPr>
        <w:t>reporting as of December 31, 2018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said firm as experts in auditing and accounting.</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Blueprint Medicines Corporation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Depositary Shares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Purchase Contracts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Purchase Units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may offer and sell securities from time to time in one or more offerings. This prospectus describes the general terms of these securities and the general manner in which these securities will be offered. We will provide the specific terms of these securities in one or more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or amendment carefully before you invest in our securities.</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under the symbol "BPMC."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40" w:firstLine="351"/>
        <w:spacing w:after="0" w:line="261" w:lineRule="auto"/>
        <w:rPr>
          <w:sz w:val="20"/>
          <w:szCs w:val="20"/>
          <w:color w:val="auto"/>
        </w:rPr>
      </w:pPr>
      <w:r>
        <w:rPr>
          <w:rFonts w:ascii="Arial" w:cs="Arial" w:eastAsia="Arial" w:hAnsi="Arial"/>
          <w:sz w:val="21"/>
          <w:szCs w:val="21"/>
          <w:b w:val="1"/>
          <w:bCs w:val="1"/>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117475</wp:posOffset>
            </wp:positionV>
            <wp:extent cx="18954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119380</wp:posOffset>
            </wp:positionV>
            <wp:extent cx="18954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date of this prospectus is March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10100" w:type="dxa"/>
            <w:vAlign w:val="bottom"/>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20" w:type="dxa"/>
            <w:vAlign w:val="bottom"/>
            <w:gridSpan w:val="4"/>
          </w:tcPr>
          <w:p>
            <w:pPr>
              <w:ind w:left="38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96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ABOUT THIS PROSPECTUS</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41">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180" w:type="dxa"/>
            <w:vAlign w:val="bottom"/>
            <w:gridSpan w:val="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6780" w:type="dxa"/>
            <w:vAlign w:val="bottom"/>
            <w:gridSpan w:val="9"/>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42">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740" w:type="dxa"/>
            <w:vAlign w:val="bottom"/>
            <w:gridSpan w:val="15"/>
          </w:tcPr>
          <w:p>
            <w:pPr>
              <w:spacing w:after="0"/>
              <w:rPr>
                <w:rFonts w:ascii="Arial" w:cs="Arial" w:eastAsia="Arial" w:hAnsi="Arial"/>
                <w:sz w:val="18"/>
                <w:szCs w:val="18"/>
                <w:color w:val="0000EE"/>
                <w:w w:val="95"/>
              </w:rPr>
            </w:pPr>
            <w:hyperlink w:anchor="page43">
              <w:r>
                <w:rPr>
                  <w:rFonts w:ascii="Arial" w:cs="Arial" w:eastAsia="Arial" w:hAnsi="Arial"/>
                  <w:sz w:val="18"/>
                  <w:szCs w:val="18"/>
                  <w:color w:val="0000EE"/>
                  <w:w w:val="95"/>
                </w:rPr>
                <w:t>WHERE YOU CAN FIND MORE INFORMATION</w:t>
              </w:r>
            </w:hyperlink>
          </w:p>
        </w:tc>
        <w:tc>
          <w:tcPr>
            <w:tcW w:w="5220" w:type="dxa"/>
            <w:vAlign w:val="bottom"/>
            <w:gridSpan w:val="3"/>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43">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760" w:type="dxa"/>
            <w:vAlign w:val="bottom"/>
            <w:gridSpan w:val="11"/>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INCORPORATION BY REFERENCE</w:t>
              </w:r>
            </w:hyperlink>
          </w:p>
        </w:tc>
        <w:tc>
          <w:tcPr>
            <w:tcW w:w="980" w:type="dxa"/>
            <w:vAlign w:val="bottom"/>
            <w:gridSpan w:val="4"/>
          </w:tcPr>
          <w:p>
            <w:pPr>
              <w:spacing w:after="0"/>
              <w:rPr>
                <w:sz w:val="24"/>
                <w:szCs w:val="24"/>
                <w:color w:val="auto"/>
              </w:rPr>
            </w:pPr>
          </w:p>
        </w:tc>
        <w:tc>
          <w:tcPr>
            <w:tcW w:w="5220" w:type="dxa"/>
            <w:vAlign w:val="bottom"/>
            <w:gridSpan w:val="3"/>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43">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960" w:type="dxa"/>
            <w:vAlign w:val="bottom"/>
            <w:gridSpan w:val="18"/>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FORWARD-LOOKING STATEMENTS</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44">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96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BLUEPRINT MEDICINES CORPORATION</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45">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960" w:type="dxa"/>
            <w:vAlign w:val="bottom"/>
            <w:gridSpan w:val="18"/>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CONSOLIDATED RATIOS OF EARNINGS TO FIXED CHARGES</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46">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560" w:type="dxa"/>
            <w:vAlign w:val="bottom"/>
            <w:gridSpan w:val="6"/>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USE OF PROCEEDS</w:t>
              </w:r>
            </w:hyperlink>
          </w:p>
        </w:tc>
        <w:tc>
          <w:tcPr>
            <w:tcW w:w="3340" w:type="dxa"/>
            <w:vAlign w:val="bottom"/>
            <w:gridSpan w:val="10"/>
          </w:tcPr>
          <w:p>
            <w:pPr>
              <w:spacing w:after="0"/>
              <w:rPr>
                <w:sz w:val="24"/>
                <w:szCs w:val="24"/>
                <w:color w:val="auto"/>
              </w:rPr>
            </w:pPr>
          </w:p>
        </w:tc>
        <w:tc>
          <w:tcPr>
            <w:tcW w:w="4060" w:type="dxa"/>
            <w:vAlign w:val="bottom"/>
            <w:gridSpan w:val="2"/>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47">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560" w:type="dxa"/>
            <w:vAlign w:val="bottom"/>
            <w:gridSpan w:val="6"/>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DILUTION</w:t>
              </w:r>
            </w:hyperlink>
          </w:p>
        </w:tc>
        <w:tc>
          <w:tcPr>
            <w:tcW w:w="7400" w:type="dxa"/>
            <w:vAlign w:val="bottom"/>
            <w:gridSpan w:val="12"/>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48">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960" w:type="dxa"/>
            <w:vAlign w:val="bottom"/>
            <w:gridSpan w:val="1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DESCRIPTION OF CAPITAL STOCK</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49">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9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DESCRIPTION OF DEBT SECURITIES</w:t>
              </w:r>
            </w:hyperlink>
          </w:p>
        </w:tc>
        <w:tc>
          <w:tcPr>
            <w:tcW w:w="600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17</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960" w:type="dxa"/>
            <w:vAlign w:val="bottom"/>
            <w:gridSpan w:val="1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DESCRIPTION OF DEPOSITARY SHARES</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31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42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74">
              <w:r>
                <w:rPr>
                  <w:rFonts w:ascii="Arial" w:cs="Arial" w:eastAsia="Arial" w:hAnsi="Arial"/>
                  <w:sz w:val="18"/>
                  <w:szCs w:val="18"/>
                  <w:color w:val="0000EE"/>
                  <w:w w:val="92"/>
                </w:rPr>
                <w:t>DESCRIPTION OF PURCHASE CONTRACTS AND PURCHASE UNITS</w:t>
              </w:r>
            </w:hyperlink>
          </w:p>
        </w:tc>
        <w:tc>
          <w:tcPr>
            <w:tcW w:w="35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34</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960" w:type="dxa"/>
            <w:vAlign w:val="bottom"/>
            <w:gridSpan w:val="1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DESCRIPTION OF WARRANTS</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35</w:t>
              </w:r>
            </w:hyperlink>
          </w:p>
        </w:tc>
      </w:tr>
      <w:tr>
        <w:trPr>
          <w:trHeight w:val="412"/>
        </w:trPr>
        <w:tc>
          <w:tcPr>
            <w:tcW w:w="1140" w:type="dxa"/>
            <w:vAlign w:val="bottom"/>
          </w:tcPr>
          <w:p>
            <w:pPr>
              <w:spacing w:after="0"/>
              <w:rPr>
                <w:sz w:val="24"/>
                <w:szCs w:val="24"/>
                <w:color w:val="auto"/>
              </w:rPr>
            </w:pPr>
          </w:p>
        </w:tc>
        <w:tc>
          <w:tcPr>
            <w:tcW w:w="19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FORMS OF SECURITIES</w:t>
              </w:r>
            </w:hyperlink>
          </w:p>
        </w:tc>
        <w:tc>
          <w:tcPr>
            <w:tcW w:w="500" w:type="dxa"/>
            <w:vAlign w:val="bottom"/>
            <w:tcBorders>
              <w:top w:val="single" w:sz="8" w:color="0000EE"/>
            </w:tcBorders>
            <w:gridSpan w:val="3"/>
          </w:tcPr>
          <w:p>
            <w:pPr>
              <w:spacing w:after="0"/>
              <w:rPr>
                <w:sz w:val="24"/>
                <w:szCs w:val="24"/>
                <w:color w:val="auto"/>
              </w:rPr>
            </w:pPr>
          </w:p>
        </w:tc>
        <w:tc>
          <w:tcPr>
            <w:tcW w:w="6540" w:type="dxa"/>
            <w:vAlign w:val="bottom"/>
            <w:gridSpan w:val="8"/>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36</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960" w:type="dxa"/>
            <w:vAlign w:val="bottom"/>
            <w:gridSpan w:val="1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PLAN OF DISTRIBUTION</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38</w:t>
              </w:r>
            </w:hyperlink>
          </w:p>
        </w:tc>
      </w:tr>
      <w:tr>
        <w:trPr>
          <w:trHeight w:val="412"/>
        </w:trPr>
        <w:tc>
          <w:tcPr>
            <w:tcW w:w="1140" w:type="dxa"/>
            <w:vAlign w:val="bottom"/>
          </w:tcPr>
          <w:p>
            <w:pPr>
              <w:spacing w:after="0"/>
              <w:rPr>
                <w:sz w:val="24"/>
                <w:szCs w:val="24"/>
                <w:color w:val="auto"/>
              </w:rPr>
            </w:pPr>
          </w:p>
        </w:tc>
        <w:tc>
          <w:tcPr>
            <w:tcW w:w="2000" w:type="dxa"/>
            <w:vAlign w:val="bottom"/>
            <w:tcBorders>
              <w:top w:val="single" w:sz="8" w:color="0000EE"/>
            </w:tcBorders>
            <w:gridSpan w:val="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LEGAL MATTERS</w:t>
              </w:r>
            </w:hyperlink>
          </w:p>
        </w:tc>
        <w:tc>
          <w:tcPr>
            <w:tcW w:w="6960" w:type="dxa"/>
            <w:vAlign w:val="bottom"/>
            <w:gridSpan w:val="10"/>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41</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420" w:type="dxa"/>
            <w:vAlign w:val="bottom"/>
            <w:tcBorders>
              <w:top w:val="single" w:sz="8" w:color="0000EE"/>
            </w:tcBorders>
            <w:gridSpan w:val="5"/>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EXPERTS</w:t>
              </w:r>
            </w:hyperlink>
          </w:p>
        </w:tc>
        <w:tc>
          <w:tcPr>
            <w:tcW w:w="7540" w:type="dxa"/>
            <w:vAlign w:val="bottom"/>
            <w:gridSpan w:val="1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81">
              <w:r>
                <w:rPr>
                  <w:rFonts w:ascii="Arial" w:cs="Arial" w:eastAsia="Arial" w:hAnsi="Arial"/>
                  <w:sz w:val="18"/>
                  <w:szCs w:val="18"/>
                  <w:color w:val="0000EE"/>
                  <w:w w:val="79"/>
                </w:rPr>
                <w:t>41</w:t>
              </w:r>
            </w:hyperlink>
          </w:p>
        </w:tc>
        <w:tc>
          <w:tcPr>
            <w:tcW w:w="1140" w:type="dxa"/>
            <w:vAlign w:val="bottom"/>
          </w:tcPr>
          <w:p>
            <w:pPr>
              <w:spacing w:after="0"/>
              <w:rPr>
                <w:sz w:val="24"/>
                <w:szCs w:val="24"/>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640" w:type="dxa"/>
            <w:vAlign w:val="bottom"/>
            <w:tcBorders>
              <w:top w:val="single" w:sz="8" w:color="0000EE"/>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116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354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180" w:firstLine="348"/>
        <w:spacing w:after="0" w:line="335" w:lineRule="auto"/>
        <w:rPr>
          <w:sz w:val="20"/>
          <w:szCs w:val="20"/>
          <w:color w:val="auto"/>
        </w:rPr>
      </w:pPr>
      <w:r>
        <w:rPr>
          <w:rFonts w:ascii="Arial" w:cs="Arial" w:eastAsia="Arial" w:hAnsi="Arial"/>
          <w:sz w:val="15"/>
          <w:szCs w:val="15"/>
          <w:color w:val="auto"/>
        </w:rPr>
        <w:t>This prospectus is part of an automatic registration statement that we filed with the Securities and Exchange Commission, which we refer to as the SEC, utilizing a "shelf" registration process as a "well-known seasoned issuer" as defined in Rule 405 under the Securities Act of 1933, as amended, or the Securities Act. Under this shelf registration process, we may from time to time sell any combination of the securities described in this prospectus in one or more offerings.</w:t>
      </w:r>
    </w:p>
    <w:p>
      <w:pPr>
        <w:spacing w:after="0" w:line="142"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 of this prospectus.</w:t>
      </w:r>
    </w:p>
    <w:p>
      <w:pPr>
        <w:spacing w:after="0" w:line="167" w:lineRule="exact"/>
        <w:rPr>
          <w:sz w:val="20"/>
          <w:szCs w:val="20"/>
          <w:color w:val="auto"/>
        </w:rPr>
      </w:pPr>
    </w:p>
    <w:p>
      <w:pPr>
        <w:ind w:firstLine="345"/>
        <w:spacing w:after="0" w:line="290"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2"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Unless otherwise stated, all references in this prospectus to "us," "our," "Blueprint," "Blueprint Medicines," "we," the "Company" and similar designations refer, collectively, to Blueprint Medicines Corporation, a Delaware corporation, and its consolidated subsidiary, Blueprint Medicines Security Corporation.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8" w:lineRule="auto"/>
        <w:rPr>
          <w:rFonts w:ascii="Arial" w:cs="Arial" w:eastAsia="Arial" w:hAnsi="Arial"/>
          <w:sz w:val="16"/>
          <w:szCs w:val="16"/>
          <w:color w:val="auto"/>
        </w:rPr>
      </w:pPr>
      <w:r>
        <w:rPr>
          <w:rFonts w:ascii="Arial" w:cs="Arial" w:eastAsia="Arial" w:hAnsi="Arial"/>
          <w:sz w:val="16"/>
          <w:szCs w:val="16"/>
          <w:color w:val="auto"/>
        </w:rPr>
        <w:t xml:space="preserve">Investing in our securities involves significant risks. You should carefully consider the risks and uncertainties described in this prospectus and any accompanying prospectus supplement, including the risk factors set forth in our filings with the SEC that are incorporated by reference herein, including the risk factors in our </w:t>
      </w:r>
      <w:hyperlink r:id="rId78">
        <w:r>
          <w:rPr>
            <w:rFonts w:ascii="Arial" w:cs="Arial" w:eastAsia="Arial" w:hAnsi="Arial"/>
            <w:sz w:val="16"/>
            <w:szCs w:val="16"/>
            <w:u w:val="single" w:color="auto"/>
            <w:color w:val="0000EE"/>
          </w:rPr>
          <w:t>Annual Report on Form 10-K for the fiscal year ended December 31, 2016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and any of our subsequent filings with the SEC, before making an investment decision pursuant to this prospectus and any accompanying prospectus supplement relating to a specific offering.</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20" w:firstLine="348"/>
        <w:spacing w:after="0" w:line="255"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and is not incorporated by reference in this prospectus. You may also read and copy any document we file at the SEC's Public Reference Room, 100 F Street, N.E., Washington, D.C. 20549. Please call the SEC at 1-800-SEC-0330 for further information on the operation of the Public Reference Room.</w:t>
      </w:r>
    </w:p>
    <w:p>
      <w:pPr>
        <w:spacing w:after="0" w:line="197"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001-37359)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186"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0000EE"/>
        </w:rPr>
      </w:pPr>
      <w:hyperlink r:id="rId78">
        <w:r>
          <w:rPr>
            <w:rFonts w:ascii="Arial" w:cs="Arial" w:eastAsia="Arial" w:hAnsi="Arial"/>
            <w:sz w:val="18"/>
            <w:szCs w:val="18"/>
            <w:u w:val="single" w:color="auto"/>
            <w:color w:val="0000EE"/>
          </w:rPr>
          <w:t>Annual Report on Form 10-K for the fiscal year ended December 31, 2016</w:t>
        </w:r>
      </w:hyperlink>
      <w:r>
        <w:rPr>
          <w:rFonts w:ascii="Arial" w:cs="Arial" w:eastAsia="Arial" w:hAnsi="Arial"/>
          <w:sz w:val="18"/>
          <w:szCs w:val="18"/>
          <w:color w:val="000000"/>
        </w:rPr>
        <w:t>;</w:t>
      </w:r>
    </w:p>
    <w:p>
      <w:pPr>
        <w:spacing w:after="0" w:line="252" w:lineRule="exact"/>
        <w:rPr>
          <w:rFonts w:ascii="Arial" w:cs="Arial" w:eastAsia="Arial" w:hAnsi="Arial"/>
          <w:sz w:val="18"/>
          <w:szCs w:val="18"/>
          <w:color w:val="0000EE"/>
        </w:rPr>
      </w:pPr>
    </w:p>
    <w:p>
      <w:pPr>
        <w:jc w:val="both"/>
        <w:ind w:left="1080" w:right="80" w:hanging="532"/>
        <w:spacing w:after="0" w:line="259" w:lineRule="auto"/>
        <w:tabs>
          <w:tab w:leader="none" w:pos="1080" w:val="left"/>
        </w:tabs>
        <w:numPr>
          <w:ilvl w:val="0"/>
          <w:numId w:val="25"/>
        </w:numPr>
        <w:rPr>
          <w:rFonts w:ascii="Arial" w:cs="Arial" w:eastAsia="Arial" w:hAnsi="Arial"/>
          <w:sz w:val="18"/>
          <w:szCs w:val="18"/>
          <w:color w:val="0000EE"/>
        </w:rPr>
      </w:pPr>
      <w:r>
        <w:rPr>
          <w:rFonts w:ascii="Arial" w:cs="Arial" w:eastAsia="Arial" w:hAnsi="Arial"/>
          <w:sz w:val="18"/>
          <w:szCs w:val="18"/>
          <w:color w:val="auto"/>
        </w:rPr>
        <w:t xml:space="preserve">The information specifically incorporated by reference into our </w:t>
      </w:r>
      <w:hyperlink r:id="rId80">
        <w:r>
          <w:rPr>
            <w:rFonts w:ascii="Arial" w:cs="Arial" w:eastAsia="Arial" w:hAnsi="Arial"/>
            <w:sz w:val="18"/>
            <w:szCs w:val="18"/>
            <w:u w:val="single" w:color="auto"/>
            <w:color w:val="0000EE"/>
          </w:rPr>
          <w:t>Annual Report on Form 10-K for the fiscal year ended December 31, 2015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from </w:t>
      </w:r>
      <w:hyperlink r:id="rId81">
        <w:r>
          <w:rPr>
            <w:rFonts w:ascii="Arial" w:cs="Arial" w:eastAsia="Arial" w:hAnsi="Arial"/>
            <w:sz w:val="18"/>
            <w:szCs w:val="18"/>
            <w:color w:val="auto"/>
          </w:rPr>
          <w:t xml:space="preserve">our </w:t>
        </w:r>
        <w:r>
          <w:rPr>
            <w:rFonts w:ascii="Arial" w:cs="Arial" w:eastAsia="Arial" w:hAnsi="Arial"/>
            <w:sz w:val="18"/>
            <w:szCs w:val="18"/>
            <w:u w:val="single" w:color="auto"/>
            <w:color w:val="0000EE"/>
          </w:rPr>
          <w:t>definitive proxy statement (other than information furnished rather than filed) for the 2016 Annual Meeting of Stockholders, which was filed</w:t>
        </w:r>
      </w:hyperlink>
      <w:r>
        <w:rPr>
          <w:rFonts w:ascii="Arial" w:cs="Arial" w:eastAsia="Arial" w:hAnsi="Arial"/>
          <w:sz w:val="18"/>
          <w:szCs w:val="18"/>
          <w:color w:val="auto"/>
        </w:rPr>
        <w:t xml:space="preserve"> </w:t>
      </w:r>
      <w:hyperlink r:id="rId81">
        <w:r>
          <w:rPr>
            <w:rFonts w:ascii="Arial" w:cs="Arial" w:eastAsia="Arial" w:hAnsi="Arial"/>
            <w:sz w:val="18"/>
            <w:szCs w:val="18"/>
            <w:u w:val="single" w:color="auto"/>
            <w:color w:val="0000EE"/>
          </w:rPr>
          <w:t>with the SEC on April 28, 2016</w:t>
        </w:r>
        <w:r>
          <w:rPr>
            <w:rFonts w:ascii="Arial" w:cs="Arial" w:eastAsia="Arial" w:hAnsi="Arial"/>
            <w:sz w:val="18"/>
            <w:szCs w:val="18"/>
            <w:color w:val="000000"/>
          </w:rPr>
          <w:t>; and</w:t>
        </w:r>
      </w:hyperlink>
    </w:p>
    <w:p>
      <w:pPr>
        <w:spacing w:after="0" w:line="207" w:lineRule="exact"/>
        <w:rPr>
          <w:rFonts w:ascii="Arial" w:cs="Arial" w:eastAsia="Arial" w:hAnsi="Arial"/>
          <w:sz w:val="18"/>
          <w:szCs w:val="18"/>
          <w:color w:val="0000EE"/>
        </w:rPr>
      </w:pPr>
    </w:p>
    <w:p>
      <w:pPr>
        <w:ind w:left="10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27">
        <w:r>
          <w:rPr>
            <w:rFonts w:ascii="Arial" w:cs="Arial" w:eastAsia="Arial" w:hAnsi="Arial"/>
            <w:sz w:val="18"/>
            <w:szCs w:val="18"/>
            <w:u w:val="single" w:color="auto"/>
            <w:color w:val="0000EE"/>
          </w:rPr>
          <w:t>Form 8-A filed on April 27, 2015</w:t>
        </w:r>
      </w:hyperlink>
      <w:r>
        <w:rPr>
          <w:rFonts w:ascii="Arial" w:cs="Arial" w:eastAsia="Arial" w:hAnsi="Arial"/>
          <w:sz w:val="18"/>
          <w:szCs w:val="18"/>
          <w:color w:val="auto"/>
        </w:rPr>
        <w:t>, including any amendments or reports filed for the purpose of updating such description.</w:t>
      </w:r>
    </w:p>
    <w:p>
      <w:pPr>
        <w:spacing w:after="0" w:line="186" w:lineRule="exact"/>
        <w:rPr>
          <w:rFonts w:ascii="Arial" w:cs="Arial" w:eastAsia="Arial" w:hAnsi="Arial"/>
          <w:sz w:val="18"/>
          <w:szCs w:val="18"/>
          <w:color w:val="auto"/>
        </w:rPr>
      </w:pPr>
    </w:p>
    <w:p>
      <w:pPr>
        <w:ind w:left="360"/>
        <w:spacing w:after="0"/>
        <w:rPr>
          <w:sz w:val="20"/>
          <w:szCs w:val="20"/>
          <w:color w:val="auto"/>
        </w:rPr>
      </w:pPr>
      <w:r>
        <w:rPr>
          <w:rFonts w:ascii="Arial" w:cs="Arial" w:eastAsia="Arial" w:hAnsi="Arial"/>
          <w:sz w:val="18"/>
          <w:szCs w:val="18"/>
          <w:color w:val="auto"/>
        </w:rPr>
        <w:t>You may request a copy of these filings, at no cost, by contacting us, either orally or in writing, at the following:</w:t>
      </w:r>
    </w:p>
    <w:p>
      <w:pPr>
        <w:spacing w:after="0" w:line="225"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Blueprint Medicines Corporation</w:t>
      </w:r>
    </w:p>
    <w:p>
      <w:pPr>
        <w:spacing w:after="0" w:line="15"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38 Sidney Street, Suite 200</w:t>
      </w:r>
    </w:p>
    <w:p>
      <w:pPr>
        <w:spacing w:after="0" w:line="9"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Cambridge, Massachusetts 02139</w:t>
      </w:r>
    </w:p>
    <w:p>
      <w:pPr>
        <w:spacing w:after="0" w:line="9"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Phone: (617) 714-6674</w:t>
      </w:r>
    </w:p>
    <w:p>
      <w:pPr>
        <w:spacing w:after="0" w:line="9"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E-mail: ir@blueprintmedicines.com</w:t>
      </w:r>
    </w:p>
    <w:p>
      <w:pPr>
        <w:spacing w:after="0" w:line="219"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This prospectus and the information incorporated by reference in this prospectus include "forward-looking statements"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 the initiation, timing, progress and results of our pre-clinical studies and clinical trials, including our Phase 1 clinical trials for BLU-285, BLU-554 and BLU-667, and our research and development programs; our ability to advance drug candidates into, and successfully complete, clinical trials; the timing or likelihood of regulatory filings and approvals; the commercialization of our drug candidates, if approved; the pricing and reimbursement of our drug candidates, if approved; the implementation of our business model, strategic plans for our business, drug candidates and technology; the scope of protection we are able to establish and maintain for intellectual property rights covering our drug candidates and technology; estimates of our expenses, future revenues, capital requirements and our needs for additional financing; the potential benefits of our existing rare genetic disease collaboration with Alexion Pharma Holding and our existing cancer immunotherapy collaboration with F. Hoffmann-La Roche Ltd and Hoffmann-La Roche Inc., as well as our ability to enter into other strategic arrangements; the development of companion diagnostic tests for our drug candidates, including our companion diagnostic test with Ventana Medical Systems, Inc. for BLU-554 and our companion diagnostic test with QIAGEN Manchester Limited for BLU-285; our ability to maintain and establish collaborations; our financial performance; and developments relating to our competitors and our industry.</w:t>
      </w:r>
    </w:p>
    <w:p>
      <w:pPr>
        <w:spacing w:after="0" w:line="180"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Any forward-looking statements contained or incorporated by reference in this prospectus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See "Risk Factors" for more information. Given these uncertainties, you should not place undue reliance on these forward-looking statements. Our forward-looking statements do not reflect the potential impact of any future acquisitions, mergers, dispositions, joint ventures or investments we may make or enter into. Except as required by law, we assume no obligation to update or revise these forward-looking statements for any reason, whether as a result of new information, future events or otherwise.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BLUEPRINT MEDICINES CORPORATION</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with therapeutic windows that may provide significant and durable clinical responses for patients without adequate treatment options. This integrated biology and chemistry approach enables us to identify, characterize and drug novel kinase targets that have been difficult to selectively inhibit.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w:t>
      </w:r>
    </w:p>
    <w:p>
      <w:pPr>
        <w:spacing w:after="0" w:line="174"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Our principal executive offices are located at 38 Sidney Street, Suite 200, Cambridge, Massachusetts 02139, and our telephone number is (617) 714-6674.</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RATIOS OF EARNINGS TO FIXED CHARGES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following table sets forth our ratio of earnings to fixed charges for each of the periods indicated. You should read this table in conjunction with the consolidated financial statements and notes incorporated by reference in this prospectus.</w:t>
      </w:r>
    </w:p>
    <w:p>
      <w:pPr>
        <w:spacing w:after="0" w:line="236"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0</wp:posOffset>
            </wp:positionV>
            <wp:extent cx="12350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jc w:val="center"/>
        <w:ind w:left="6040"/>
        <w:spacing w:after="0"/>
        <w:tabs>
          <w:tab w:leader="none" w:pos="240" w:val="left"/>
          <w:tab w:leader="none" w:pos="240" w:val="left"/>
          <w:tab w:leader="none" w:pos="2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2"/>
          <w:szCs w:val="12"/>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-6985</wp:posOffset>
            </wp:positionV>
            <wp:extent cx="12350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1720"/>
        <w:spacing w:after="0"/>
        <w:tabs>
          <w:tab w:leader="none" w:pos="7800" w:val="left"/>
          <w:tab w:leader="none" w:pos="8320" w:val="left"/>
          <w:tab w:leader="none" w:pos="8860" w:val="left"/>
          <w:tab w:leader="none" w:pos="9380" w:val="left"/>
        </w:tabs>
        <w:rPr>
          <w:sz w:val="20"/>
          <w:szCs w:val="20"/>
          <w:color w:val="auto"/>
        </w:rPr>
      </w:pPr>
      <w:r>
        <w:rPr>
          <w:rFonts w:ascii="Arial" w:cs="Arial" w:eastAsia="Arial" w:hAnsi="Arial"/>
          <w:sz w:val="18"/>
          <w:szCs w:val="18"/>
          <w:color w:val="auto"/>
        </w:rPr>
        <w:t>Consolidated ratios of earnings to fixed charges</w:t>
      </w:r>
      <w:r>
        <w:rPr>
          <w:sz w:val="20"/>
          <w:szCs w:val="20"/>
          <w:color w:val="auto"/>
        </w:rPr>
        <w:tab/>
      </w:r>
      <w:r>
        <w:rPr>
          <w:rFonts w:ascii="Arial" w:cs="Arial" w:eastAsia="Arial" w:hAnsi="Arial"/>
          <w:sz w:val="18"/>
          <w:szCs w:val="18"/>
          <w:color w:val="auto"/>
        </w:rPr>
        <w:t>N/A</w:t>
        <w:tab/>
        <w:t>N/A</w:t>
        <w:tab/>
        <w:t>N/A</w:t>
      </w:r>
      <w:r>
        <w:rPr>
          <w:sz w:val="20"/>
          <w:szCs w:val="20"/>
          <w:color w:val="auto"/>
        </w:rPr>
        <w:tab/>
      </w:r>
      <w:r>
        <w:rPr>
          <w:rFonts w:ascii="Arial" w:cs="Arial" w:eastAsia="Arial" w:hAnsi="Arial"/>
          <w:sz w:val="16"/>
          <w:szCs w:val="16"/>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197" w:lineRule="exact"/>
        <w:rPr>
          <w:sz w:val="20"/>
          <w:szCs w:val="20"/>
          <w:color w:val="auto"/>
        </w:rPr>
      </w:pPr>
    </w:p>
    <w:p>
      <w:pPr>
        <w:ind w:right="500" w:firstLine="351"/>
        <w:spacing w:after="0" w:line="370" w:lineRule="auto"/>
        <w:rPr>
          <w:sz w:val="20"/>
          <w:szCs w:val="20"/>
          <w:color w:val="auto"/>
        </w:rPr>
      </w:pPr>
      <w:r>
        <w:rPr>
          <w:rFonts w:ascii="Arial" w:cs="Arial" w:eastAsia="Arial" w:hAnsi="Arial"/>
          <w:sz w:val="15"/>
          <w:szCs w:val="15"/>
          <w:color w:val="auto"/>
        </w:rPr>
        <w:t>For purposes of calculating the consolidated ratios of earnings to fixed charges, earnings consist of net income (loss) plus fixed charges. Fixed charges include interest expense, non-cash interest expense and the interest portion of rent expense which is deemed to be representative of the interest factor.</w:t>
      </w:r>
    </w:p>
    <w:p>
      <w:pPr>
        <w:spacing w:after="0" w:line="11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earnings were insufficient to cover fixed charges by $72.5 million for the year ended December 31, 2016, $52.8 million for the year ended December 31, 2015, $40.3 million for the year ended December 31, 2014 and $20.9 million for the year ended December 31, 2013.</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ratios of earnings to combined fixed charges and preferred stock dividends for the periods indicated above are the same as our ratios of earnings to fixed charges set forth above.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intend to use the net proceeds from the sale of any securities offered under this prospectus for general corporate purposes unless the applicable prospectus supplement provides otherwise. General corporate purposes may include research and development costs, the acquisition or licensing of other drugs or drug candidates, business or technologies, repayment and refinancing of debt, working capital and capital expenditures. We may temporarily invest the net proceeds in a variety of capital preservation instruments, including short-term,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there is a material dilution of the purchasers' equity interest from the sale of common equity securities offered under this prospectus, we will set forth in any prospectus supplement the following information regarding any such material dilution of the equity interests of purchasers purchasing securities in an offering under this prospectus:</w:t>
      </w:r>
    </w:p>
    <w:p>
      <w:pPr>
        <w:spacing w:after="0" w:line="208"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net tangible book value per share of our equity securities before and after the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amount of the increase in such net tangible book value per share attributable to the cash payments made by the purchasers in the offering; and</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such purchasers.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following description of our capital stock is intended as a summary only. This description is based upon, and is qualified by reference to, our amended and restated certificate of incorporation, or certificate of incorporation, our amended and restated bylaws, or bylaws, and applicable provisions of the Delaware General Corporation Law. This summary is not complete. You should read our certificate of incorporation and bylaws, which are filed as exhibits to the registration statement of which this prospectus forms a part, for the provisions that are important to you.</w:t>
      </w:r>
    </w:p>
    <w:p>
      <w:pPr>
        <w:spacing w:after="0" w:line="16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Our authorized capital stock consists of 120,000,000 shares of common stock, par value $0.001 per share, and 5,000,000 shares of preferred stock, par value $0.001 per share, all of which are undesignated. As of February 28, 2017, 33,203,902 shares of common stock were outstanding, and no shares of preferred stock were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i w:val="1"/>
          <w:iCs w:val="1"/>
          <w:color w:val="auto"/>
        </w:rPr>
        <w:t xml:space="preserve">Annual Meeting. </w:t>
      </w:r>
      <w:r>
        <w:rPr>
          <w:rFonts w:ascii="Arial" w:cs="Arial" w:eastAsia="Arial" w:hAnsi="Arial"/>
          <w:sz w:val="16"/>
          <w:szCs w:val="16"/>
          <w:color w:val="auto"/>
        </w:rPr>
        <w:t>Annual meetings of our stockholders are held on the date designated in accordance with our bylaws. Written notice must be mailed to</w:t>
      </w:r>
      <w:r>
        <w:rPr>
          <w:rFonts w:ascii="Arial" w:cs="Arial" w:eastAsia="Arial" w:hAnsi="Arial"/>
          <w:sz w:val="16"/>
          <w:szCs w:val="16"/>
          <w:i w:val="1"/>
          <w:iCs w:val="1"/>
          <w:color w:val="auto"/>
        </w:rPr>
        <w:t xml:space="preserve"> </w:t>
      </w:r>
      <w:r>
        <w:rPr>
          <w:rFonts w:ascii="Arial" w:cs="Arial" w:eastAsia="Arial" w:hAnsi="Arial"/>
          <w:sz w:val="16"/>
          <w:szCs w:val="16"/>
          <w:color w:val="auto"/>
        </w:rPr>
        <w:t>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the board of directors and shall be called by the chairman of the board or the secretary upon the written request, stating the purpose of such meeting, of the holders of a majority of the outstanding shares of all classes of capital stock entitled to vote at the meeting. Except as may be otherwise provided by applicable law, our certificate of incorporation or our bylaws, all elections shall be decided by a plurality, and all other questions shall be decided by a majority, of the votes cast by stockholders entitled to vote thereon at a duly held meeting of stockholders at which a quorum is present.</w:t>
      </w:r>
    </w:p>
    <w:p>
      <w:pPr>
        <w:spacing w:after="0" w:line="172"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i w:val="1"/>
          <w:iCs w:val="1"/>
          <w:color w:val="auto"/>
        </w:rPr>
        <w:t>Voting Rights.</w:t>
      </w:r>
      <w:r>
        <w:rPr>
          <w:sz w:val="20"/>
          <w:szCs w:val="20"/>
          <w:color w:val="auto"/>
        </w:rPr>
        <w:tab/>
      </w:r>
      <w:r>
        <w:rPr>
          <w:rFonts w:ascii="Arial" w:cs="Arial" w:eastAsia="Arial" w:hAnsi="Arial"/>
          <w:sz w:val="15"/>
          <w:szCs w:val="15"/>
          <w:color w:val="auto"/>
        </w:rPr>
        <w:t>Each holder of common stock is entitled to one vote for each share held on all matters to be voted upon by stockholders.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holders of common stock, after any preferences of holders of any preferred stock, are entitled to receive dividends when and if declared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out of legally available funds.</w:t>
      </w:r>
    </w:p>
    <w:p>
      <w:pPr>
        <w:spacing w:after="0" w:line="186"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i w:val="1"/>
          <w:iCs w:val="1"/>
          <w:color w:val="auto"/>
        </w:rPr>
        <w:t xml:space="preserve">Liquidation and Dissolution. </w:t>
      </w:r>
      <w:r>
        <w:rPr>
          <w:rFonts w:ascii="Arial" w:cs="Arial" w:eastAsia="Arial" w:hAnsi="Arial"/>
          <w:sz w:val="16"/>
          <w:szCs w:val="16"/>
          <w:color w:val="auto"/>
        </w:rPr>
        <w:t>If we are liquidated or dissolved, the holders of the common stock will be entitled to share in our assets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to stockholders in proportion to the amount of common stock they own. The amount available for common stockholders is calculated after payment of liabilities. Holders of any preferred stock will receive a preferential share of our assets before the holders of the common stock receive any assets.</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Holders of the common stock have no right to convert the stock into any other security, have the stock redeemed or purchase additional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or to maintain their proportionate ownership interest. The common stock does not have cumulative voting rights. Holders of shares of the common stock are not required to make additional capital contributions.</w:t>
      </w:r>
    </w:p>
    <w:p>
      <w:pPr>
        <w:spacing w:after="0" w:line="194" w:lineRule="exact"/>
        <w:rPr>
          <w:sz w:val="20"/>
          <w:szCs w:val="20"/>
          <w:color w:val="auto"/>
        </w:rPr>
      </w:pPr>
    </w:p>
    <w:p>
      <w:pPr>
        <w:ind w:left="360"/>
        <w:spacing w:after="0"/>
        <w:tabs>
          <w:tab w:leader="none" w:pos="2780" w:val="left"/>
        </w:tabs>
        <w:rPr>
          <w:sz w:val="20"/>
          <w:szCs w:val="20"/>
          <w:color w:val="auto"/>
        </w:rPr>
      </w:pPr>
      <w:r>
        <w:rPr>
          <w:rFonts w:ascii="Arial" w:cs="Arial" w:eastAsia="Arial" w:hAnsi="Arial"/>
          <w:sz w:val="18"/>
          <w:szCs w:val="18"/>
          <w:i w:val="1"/>
          <w:iCs w:val="1"/>
          <w:color w:val="auto"/>
        </w:rPr>
        <w:t>NASDAQ Global Select Market.</w:t>
      </w:r>
      <w:r>
        <w:rPr>
          <w:sz w:val="20"/>
          <w:szCs w:val="20"/>
          <w:color w:val="auto"/>
        </w:rPr>
        <w:tab/>
      </w:r>
      <w:r>
        <w:rPr>
          <w:rFonts w:ascii="Arial" w:cs="Arial" w:eastAsia="Arial" w:hAnsi="Arial"/>
          <w:sz w:val="16"/>
          <w:szCs w:val="16"/>
          <w:color w:val="auto"/>
        </w:rPr>
        <w:t>Our common stock is listed on The NASDAQ Global Select Market under the trading symbol "BPMC."</w:t>
      </w:r>
    </w:p>
    <w:p>
      <w:pPr>
        <w:spacing w:after="0" w:line="225"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Computershare Trust Company, N.A. is the transfer agent and registrar for our common stock.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are authorized to issue "blank check" preferred stock, which may be issued in one or more series upon authorization of our board of directors. Our board of directors is authorized to fix the designation of the series, the 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72"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series of our preferred stock could, depending on the terms of such series, impede the completion of a merger, tender offer or other takeover attempt. Our board of directors will make any determination to issue shares of preferred stock based upon its judgment as to the best interests of our stockholders. Our board of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preferred stock has the terms described below unless otherwise provided in the prospectus supplement relating to a particular series of preferred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the prospectus supplement relating to the particular series of preferred stock being offered for specific terms, including:</w:t>
      </w:r>
    </w:p>
    <w:p>
      <w:pPr>
        <w:spacing w:after="0" w:line="23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and stated value per share of the preferred stock and the number of shares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liquidation preference per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238"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conversion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we have elected to offer depositary shares as described under "Description of Depositary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rights, preferences, privileges, limitations and restrictions on the preferred stock.</w:t>
      </w:r>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preferred stock will, when issued, be fully paid and nonassessable. Unless otherwise provided in the applicable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firstLine="341"/>
        <w:spacing w:after="0" w:line="306" w:lineRule="auto"/>
        <w:rPr>
          <w:sz w:val="20"/>
          <w:szCs w:val="20"/>
          <w:color w:val="auto"/>
        </w:rPr>
      </w:pPr>
      <w:r>
        <w:rPr>
          <w:rFonts w:ascii="Arial" w:cs="Arial" w:eastAsia="Arial" w:hAnsi="Arial"/>
          <w:sz w:val="16"/>
          <w:szCs w:val="16"/>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6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 xml:space="preserve">Rank. </w:t>
      </w:r>
      <w:r>
        <w:rPr>
          <w:rFonts w:ascii="Arial" w:cs="Arial" w:eastAsia="Arial" w:hAnsi="Arial"/>
          <w:sz w:val="18"/>
          <w:szCs w:val="18"/>
          <w:color w:val="auto"/>
        </w:rPr>
        <w:t>Unless otherwise provided in the applicable prospectus supplement, the preferred stock will, with respect to dividend rights and rights upon our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dissolution or winding up of our affairs, rank:</w:t>
      </w:r>
    </w:p>
    <w:p>
      <w:pPr>
        <w:spacing w:after="0" w:line="199" w:lineRule="exact"/>
        <w:rPr>
          <w:sz w:val="20"/>
          <w:szCs w:val="20"/>
          <w:color w:val="auto"/>
        </w:rPr>
      </w:pPr>
    </w:p>
    <w:p>
      <w:pPr>
        <w:ind w:left="1080" w:right="30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212" w:lineRule="exact"/>
        <w:rPr>
          <w:rFonts w:ascii="Arial" w:cs="Arial" w:eastAsia="Arial" w:hAnsi="Arial"/>
          <w:sz w:val="18"/>
          <w:szCs w:val="18"/>
          <w:color w:val="auto"/>
        </w:rPr>
      </w:pPr>
    </w:p>
    <w:p>
      <w:pPr>
        <w:ind w:left="1080" w:right="46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Holders of the preferred stock of each series will be entitled to receive, when, as and if declared by our board of directors, cash dividends at</w:t>
      </w:r>
      <w:r>
        <w:rPr>
          <w:rFonts w:ascii="Arial" w:cs="Arial" w:eastAsia="Arial" w:hAnsi="Arial"/>
          <w:sz w:val="16"/>
          <w:szCs w:val="16"/>
          <w:i w:val="1"/>
          <w:iCs w:val="1"/>
          <w:color w:val="auto"/>
        </w:rPr>
        <w:t xml:space="preserve"> </w:t>
      </w:r>
      <w:r>
        <w:rPr>
          <w:rFonts w:ascii="Arial" w:cs="Arial" w:eastAsia="Arial" w:hAnsi="Arial"/>
          <w:sz w:val="16"/>
          <w:szCs w:val="16"/>
          <w:color w:val="auto"/>
        </w:rPr>
        <w:t>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70"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3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Liquidation Preference. </w:t>
      </w:r>
      <w:r>
        <w:rPr>
          <w:rFonts w:ascii="Arial" w:cs="Arial" w:eastAsia="Arial" w:hAnsi="Arial"/>
          <w:sz w:val="16"/>
          <w:szCs w:val="16"/>
          <w:color w:val="auto"/>
        </w:rPr>
        <w:t>Upon any voluntary or involuntary liquidation, dissolution or winding up of our affairs, then, before we make any distribution 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prospectus supplement, plus any accrued and unpaid dividends thereon. Such dividends will not include any accumulation in respect of unpaid noncumulative dividends for prior dividend periods. Unless otherwise provided in the applicable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19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97"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i w:val="1"/>
          <w:iCs w:val="1"/>
          <w:color w:val="auto"/>
        </w:rPr>
        <w:t xml:space="preserve">Redemption. </w:t>
      </w:r>
      <w:r>
        <w:rPr>
          <w:rFonts w:ascii="Arial" w:cs="Arial" w:eastAsia="Arial" w:hAnsi="Arial"/>
          <w:sz w:val="16"/>
          <w:szCs w:val="16"/>
          <w:color w:val="auto"/>
        </w:rPr>
        <w:t>If so provided in the applicable prospectus supplement, the preferred stock will be subject to mandatory redemption or redemption at our</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as a whole or in part, in each case upon the terms, at the times and at the redemption prices set forth in such prospectus supplement.</w:t>
      </w:r>
    </w:p>
    <w:p>
      <w:pPr>
        <w:spacing w:after="0" w:line="13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187" w:lineRule="exact"/>
        <w:rPr>
          <w:sz w:val="20"/>
          <w:szCs w:val="20"/>
          <w:color w:val="auto"/>
        </w:rPr>
      </w:pPr>
    </w:p>
    <w:p>
      <w:pPr>
        <w:ind w:left="1080" w:right="12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166"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will not acquire any preferred stock of a series unless:</w:t>
      </w:r>
    </w:p>
    <w:p>
      <w:pPr>
        <w:spacing w:after="0" w:line="239" w:lineRule="exact"/>
        <w:rPr>
          <w:sz w:val="20"/>
          <w:szCs w:val="20"/>
          <w:color w:val="auto"/>
        </w:rPr>
      </w:pPr>
    </w:p>
    <w:p>
      <w:pPr>
        <w:ind w:left="1080" w:right="2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94"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6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Unless otherwise provided in the applicable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166"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to be redeemed;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place or places where certificates for such preferred stock are to be surrendered for payment of the redemption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on which the holder's conversion rights, if any, as to such shares shall terminate;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specific number of shares to be redeemed from each such holder if fewer than all the shares of any series are to be redeemed.</w:t>
      </w:r>
    </w:p>
    <w:p>
      <w:pPr>
        <w:spacing w:after="0" w:line="248"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94"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i w:val="1"/>
          <w:iCs w:val="1"/>
          <w:color w:val="auto"/>
        </w:rPr>
        <w:t>Voting Rights.</w:t>
      </w:r>
      <w:r>
        <w:rPr>
          <w:sz w:val="20"/>
          <w:szCs w:val="20"/>
          <w:color w:val="auto"/>
        </w:rPr>
        <w:tab/>
      </w:r>
      <w:r>
        <w:rPr>
          <w:rFonts w:ascii="Arial" w:cs="Arial" w:eastAsia="Arial" w:hAnsi="Arial"/>
          <w:sz w:val="15"/>
          <w:szCs w:val="15"/>
          <w:color w:val="auto"/>
        </w:rPr>
        <w:t>Holders of preferred stock will not have any voting rights, except as required by law or as indicated in the applicable prospectus supplement.</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6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The terms and conditions, if any, upon which any series of preferred stock is convertible into our common stock will be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the preferred stock will be set forth in the applicable prospectus supplement.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Authorized but Unissued Stock</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shares of common stock and preferred stock available for future issuance without stockholder approval, subject to any limitations imposed by the listing standards of The NASDAQ Global Select Market.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our company by means of a merger, tender offer, proxy contest or otherwise. In addition, if we issue preferred stock, the issuance could adversely affect the voting power of holders of common stock and the likelihood that such holders will receive dividend payments and payments upon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entered into a second amended and restated investors' rights agreement, dated as of November 7, 2014, which we refer to as the Investors' Rights Agreement, with the holders of shares of our common stock. Under the Investors' Rights Agreement,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registration on Form S-1 within 60 days before or 180 days following any offering of our securities or a requested registration on Form S-3 within 30 days before or 90 days following any offering of our securities. The registration rights will terminate upon the later of the date on which all registrable shares have been sold and May 5, 2020.</w:t>
      </w:r>
    </w:p>
    <w:p>
      <w:pPr>
        <w:spacing w:after="0" w:line="17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The holders of at least a majority of our registrable shares may require us to file a registration statement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Act on a Form S-1 or Form S-3, if available, at our expense with respect to the resale of their registrable shares, and we are required to use our best efforts to effect the registration.</w:t>
      </w:r>
    </w:p>
    <w:p>
      <w:pPr>
        <w:spacing w:after="0" w:line="194"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i w:val="1"/>
          <w:iCs w:val="1"/>
          <w:color w:val="auto"/>
        </w:rPr>
        <w:t xml:space="preserve">Piggyback Registration Rights. </w:t>
      </w:r>
      <w:r>
        <w:rPr>
          <w:rFonts w:ascii="Arial" w:cs="Arial" w:eastAsia="Arial" w:hAnsi="Arial"/>
          <w:sz w:val="16"/>
          <w:szCs w:val="16"/>
          <w:color w:val="auto"/>
        </w:rPr>
        <w:t>If we propose to register any of our securities under the Securities Act for our own account or the account of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holder, the holders of registrable shares are entitled to notice of such registration and to request that we include registrable shares for resale on such registration statement, subject to the right of any underwriter to limit the number of shares included in such registration.</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We will pay all registration expenses, other than underwriting discounts and commissions, related to any demand or piggyback registration.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Rights Agreement contains customary cross-indemnification provisions pursuant to which we are obligated to indemnify the selling stockholders in the event of misstatements or omissions in the registration statement attributable to us except in the event of fraud and they are obligated to indemnify us for misstatements or omissions attributable to them.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Certificate of Incorporation and Bylaws and Delaware Law That May Have Anti-takeover Effects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certificate of incorporation and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94"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i w:val="1"/>
          <w:iCs w:val="1"/>
          <w:color w:val="auto"/>
        </w:rPr>
        <w:t xml:space="preserve">Board Composition and Filling Vacancies. </w:t>
      </w:r>
      <w:r>
        <w:rPr>
          <w:rFonts w:ascii="Arial" w:cs="Arial" w:eastAsia="Arial" w:hAnsi="Arial"/>
          <w:sz w:val="18"/>
          <w:szCs w:val="18"/>
          <w:color w:val="auto"/>
        </w:rPr>
        <w:t>In accordance with our certificate of incorporation, our board is divided into three classes serving three-year</w:t>
      </w:r>
      <w:r>
        <w:rPr>
          <w:rFonts w:ascii="Arial" w:cs="Arial" w:eastAsia="Arial" w:hAnsi="Arial"/>
          <w:sz w:val="18"/>
          <w:szCs w:val="18"/>
          <w:i w:val="1"/>
          <w:iCs w:val="1"/>
          <w:color w:val="auto"/>
        </w:rPr>
        <w:t xml:space="preserve"> </w:t>
      </w:r>
      <w:r>
        <w:rPr>
          <w:rFonts w:ascii="Arial" w:cs="Arial" w:eastAsia="Arial" w:hAnsi="Arial"/>
          <w:sz w:val="18"/>
          <w:szCs w:val="18"/>
          <w:color w:val="auto"/>
        </w:rPr>
        <w:t>terms, with one class being elected each year. Our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97"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i w:val="1"/>
          <w:iCs w:val="1"/>
          <w:color w:val="auto"/>
        </w:rPr>
        <w:t xml:space="preserve">No Written Consent of Stockholders. </w:t>
      </w:r>
      <w:r>
        <w:rPr>
          <w:rFonts w:ascii="Arial" w:cs="Arial" w:eastAsia="Arial" w:hAnsi="Arial"/>
          <w:sz w:val="16"/>
          <w:szCs w:val="16"/>
          <w:color w:val="auto"/>
        </w:rPr>
        <w:t>Our certificate of incorporation provides that all stockholder actions are required to be taken by a vote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at an annual or special meeting, and that stockholders may not take any action by written consent in lieu of a meeting.</w:t>
      </w:r>
    </w:p>
    <w:p>
      <w:pPr>
        <w:spacing w:after="0" w:line="139"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i w:val="1"/>
          <w:iCs w:val="1"/>
          <w:color w:val="auto"/>
        </w:rPr>
        <w:t xml:space="preserve">Meetings of Stockholders. </w:t>
      </w:r>
      <w:r>
        <w:rPr>
          <w:rFonts w:ascii="Arial" w:cs="Arial" w:eastAsia="Arial" w:hAnsi="Arial"/>
          <w:sz w:val="16"/>
          <w:szCs w:val="16"/>
          <w:color w:val="auto"/>
        </w:rPr>
        <w:t>Our bylaws provide that only a majority of the members of our board of directors then in office may call special meetings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6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i w:val="1"/>
          <w:iCs w:val="1"/>
          <w:color w:val="auto"/>
        </w:rPr>
        <w:t xml:space="preserve">Advance Notice Requirements. </w:t>
      </w:r>
      <w:r>
        <w:rPr>
          <w:rFonts w:ascii="Arial" w:cs="Arial" w:eastAsia="Arial" w:hAnsi="Arial"/>
          <w:sz w:val="16"/>
          <w:szCs w:val="16"/>
          <w:color w:val="auto"/>
        </w:rPr>
        <w:t>Our bylaws establish advance notice procedures with regard to stockholder proposals relating to the nomination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72"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i w:val="1"/>
          <w:iCs w:val="1"/>
          <w:color w:val="auto"/>
        </w:rPr>
        <w:t xml:space="preserve">Amendment to Certificate of Incorporation and Bylaws. </w:t>
      </w:r>
      <w:r>
        <w:rPr>
          <w:rFonts w:ascii="Arial" w:cs="Arial" w:eastAsia="Arial" w:hAnsi="Arial"/>
          <w:sz w:val="16"/>
          <w:szCs w:val="16"/>
          <w:color w:val="auto"/>
        </w:rPr>
        <w:t>As required by the Delaware General Corporation Law, any amendment of our certificate of</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incorporation must first be approved by a majority of our board of directors and, if required by law or our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bylaws and certificate of incorporation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Blank Check Preferred Stock. </w:t>
      </w:r>
      <w:r>
        <w:rPr>
          <w:rFonts w:ascii="Arial" w:cs="Arial" w:eastAsia="Arial" w:hAnsi="Arial"/>
          <w:sz w:val="16"/>
          <w:szCs w:val="16"/>
          <w:color w:val="auto"/>
        </w:rPr>
        <w:t>Our certificate of incorporation provides for 5,000,000 authorized shares of preferred stock. The existence of authorized but</w:t>
      </w:r>
      <w:r>
        <w:rPr>
          <w:rFonts w:ascii="Arial" w:cs="Arial" w:eastAsia="Arial" w:hAnsi="Arial"/>
          <w:sz w:val="16"/>
          <w:szCs w:val="16"/>
          <w:i w:val="1"/>
          <w:iCs w:val="1"/>
          <w:color w:val="auto"/>
        </w:rPr>
        <w:t xml:space="preserve"> </w:t>
      </w:r>
      <w:r>
        <w:rPr>
          <w:rFonts w:ascii="Arial" w:cs="Arial" w:eastAsia="Arial" w:hAnsi="Arial"/>
          <w:sz w:val="16"/>
          <w:szCs w:val="16"/>
          <w:color w:val="auto"/>
        </w:rPr>
        <w:t>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Section 203 of the Delaware General Corporation Law. </w:t>
      </w:r>
      <w:r>
        <w:rPr>
          <w:rFonts w:ascii="Arial" w:cs="Arial" w:eastAsia="Arial" w:hAnsi="Arial"/>
          <w:sz w:val="16"/>
          <w:szCs w:val="16"/>
          <w:color w:val="auto"/>
        </w:rPr>
        <w:t>We are subject to the provisions of Section 203 of the Delaware General Corporation Law. In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186" w:lineRule="exact"/>
        <w:rPr>
          <w:sz w:val="20"/>
          <w:szCs w:val="20"/>
          <w:color w:val="auto"/>
        </w:rPr>
      </w:pPr>
    </w:p>
    <w:p>
      <w:pPr>
        <w:ind w:left="1080" w:right="1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212" w:lineRule="exact"/>
        <w:rPr>
          <w:rFonts w:ascii="Arial" w:cs="Arial" w:eastAsia="Arial" w:hAnsi="Arial"/>
          <w:sz w:val="18"/>
          <w:szCs w:val="18"/>
          <w:color w:val="auto"/>
        </w:rPr>
      </w:pPr>
    </w:p>
    <w:p>
      <w:pPr>
        <w:jc w:val="both"/>
        <w:ind w:left="1080" w:right="320" w:hanging="532"/>
        <w:spacing w:after="0" w:line="306"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74"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94"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6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Exclusive Jurisdiction of Certain Actions. </w:t>
      </w:r>
      <w:r>
        <w:rPr>
          <w:rFonts w:ascii="Arial" w:cs="Arial" w:eastAsia="Arial" w:hAnsi="Arial"/>
          <w:sz w:val="18"/>
          <w:szCs w:val="18"/>
          <w:color w:val="auto"/>
        </w:rPr>
        <w:t>Our certificate of incorporation requires, to the fullest extent permitted by law, that derivative actions brought in</w:t>
      </w:r>
      <w:r>
        <w:rPr>
          <w:rFonts w:ascii="Arial" w:cs="Arial" w:eastAsia="Arial" w:hAnsi="Arial"/>
          <w:sz w:val="18"/>
          <w:szCs w:val="18"/>
          <w:i w:val="1"/>
          <w:iCs w:val="1"/>
          <w:color w:val="auto"/>
        </w:rPr>
        <w:t xml:space="preserve"> </w:t>
      </w:r>
      <w:r>
        <w:rPr>
          <w:rFonts w:ascii="Arial" w:cs="Arial" w:eastAsia="Arial" w:hAnsi="Arial"/>
          <w:sz w:val="18"/>
          <w:szCs w:val="18"/>
          <w:color w:val="auto"/>
        </w:rPr>
        <w:t>our name, actions against our directors, officers and employees for breach of fiduciary duty and other similar actions may be brought only in the Court of Chancery in the State of Delaware, unless we otherwise consent.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Blueprint Medicines Corporation excluding, unless the context otherwise requires or as otherwise expressly stated, our subsidiaries.</w:t>
      </w:r>
    </w:p>
    <w:p>
      <w:pPr>
        <w:spacing w:after="0" w:line="170"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indentures:</w:t>
      </w:r>
    </w:p>
    <w:p>
      <w:pPr>
        <w:spacing w:after="0" w:line="23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allow us to reopen a series to issue additional debt securities without the consent of the holders of the debt securities of such series;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that the debt securities will be unsecured, except as may be set forth in the applicable prospectus supplement.</w:t>
      </w:r>
    </w:p>
    <w:p>
      <w:pPr>
        <w:spacing w:after="0" w:line="225"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spacing w:after="0" w:line="370" w:lineRule="auto"/>
        <w:rPr>
          <w:sz w:val="20"/>
          <w:szCs w:val="20"/>
          <w:color w:val="auto"/>
        </w:rPr>
      </w:pPr>
      <w:r>
        <w:rPr>
          <w:rFonts w:ascii="Arial" w:cs="Arial" w:eastAsia="Arial" w:hAnsi="Arial"/>
          <w:sz w:val="15"/>
          <w:szCs w:val="15"/>
          <w:color w:val="auto"/>
        </w:rPr>
        <w:t>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252" w:lineRule="exact"/>
        <w:rPr>
          <w:rFonts w:ascii="Arial" w:cs="Arial" w:eastAsia="Arial" w:hAnsi="Arial"/>
          <w:sz w:val="18"/>
          <w:szCs w:val="18"/>
          <w:color w:val="auto"/>
        </w:rPr>
      </w:pPr>
    </w:p>
    <w:p>
      <w:pPr>
        <w:ind w:left="1080" w:hanging="532"/>
        <w:spacing w:after="0" w:line="370" w:lineRule="auto"/>
        <w:tabs>
          <w:tab w:leader="none" w:pos="10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129" w:lineRule="exact"/>
        <w:rPr>
          <w:rFonts w:ascii="Arial" w:cs="Arial" w:eastAsia="Arial" w:hAnsi="Arial"/>
          <w:sz w:val="15"/>
          <w:szCs w:val="15"/>
          <w:color w:val="auto"/>
        </w:rPr>
      </w:pPr>
    </w:p>
    <w:p>
      <w:pPr>
        <w:ind w:left="1080" w:right="60" w:hanging="532"/>
        <w:spacing w:after="0" w:line="256"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210"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from which interest will accrue;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such dates will be determine;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basis upon which interest will be calculated if other than that of a 360-day year of twelve 30-day months;</w:t>
      </w:r>
    </w:p>
    <w:p>
      <w:pPr>
        <w:spacing w:after="0" w:line="238"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premium or make-whole amount, and interest on, the debt securities will be payable;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where notices or demands to or upon us in respect of the debt securities and the applicable indenture may be served;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8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p>
      <w:pPr>
        <w:spacing w:after="0" w:line="221" w:lineRule="exact"/>
        <w:rPr>
          <w:rFonts w:ascii="Arial" w:cs="Arial" w:eastAsia="Arial" w:hAnsi="Arial"/>
          <w:sz w:val="18"/>
          <w:szCs w:val="18"/>
          <w:color w:val="auto"/>
        </w:rPr>
      </w:pPr>
    </w:p>
    <w:p>
      <w:pPr>
        <w:jc w:val="both"/>
        <w:ind w:left="1080" w:right="24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207"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212" w:lineRule="exact"/>
        <w:rPr>
          <w:rFonts w:ascii="Arial" w:cs="Arial" w:eastAsia="Arial" w:hAnsi="Arial"/>
          <w:sz w:val="18"/>
          <w:szCs w:val="18"/>
          <w:color w:val="auto"/>
        </w:rPr>
      </w:pPr>
    </w:p>
    <w:p>
      <w:pPr>
        <w:ind w:left="1080" w:right="180" w:hanging="532"/>
        <w:spacing w:after="0" w:line="305" w:lineRule="auto"/>
        <w:tabs>
          <w:tab w:leader="none" w:pos="10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w:t>
      </w:r>
    </w:p>
    <w:p>
      <w:pPr>
        <w:ind w:left="1080" w:right="20" w:firstLine="8"/>
        <w:spacing w:after="0" w:line="261" w:lineRule="auto"/>
        <w:tabs>
          <w:tab w:leader="none" w:pos="1338" w:val="left"/>
        </w:tabs>
        <w:numPr>
          <w:ilvl w:val="1"/>
          <w:numId w:val="36"/>
        </w:numPr>
        <w:rPr>
          <w:rFonts w:ascii="Arial" w:cs="Arial" w:eastAsia="Arial" w:hAnsi="Arial"/>
          <w:sz w:val="18"/>
          <w:szCs w:val="18"/>
          <w:color w:val="auto"/>
        </w:rPr>
      </w:pPr>
      <w:r>
        <w:rPr>
          <w:rFonts w:ascii="Arial" w:cs="Arial" w:eastAsia="Arial" w:hAnsi="Arial"/>
          <w:sz w:val="18"/>
          <w:szCs w:val="18"/>
          <w:color w:val="auto"/>
        </w:rPr>
        <w:t>if in bearer form, the manner in which, or the person to whom, any interest on the security shall be payable if otherwise than upon presentation and surrender upon maturity;</w:t>
      </w:r>
    </w:p>
    <w:p>
      <w:pPr>
        <w:spacing w:after="0" w:line="205"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152" w:lineRule="exact"/>
        <w:rPr>
          <w:rFonts w:ascii="Arial" w:cs="Arial" w:eastAsia="Arial" w:hAnsi="Arial"/>
          <w:sz w:val="16"/>
          <w:szCs w:val="16"/>
          <w:color w:val="auto"/>
        </w:rPr>
      </w:pPr>
    </w:p>
    <w:p>
      <w:pPr>
        <w:jc w:val="both"/>
        <w:ind w:left="1080" w:hanging="532"/>
        <w:spacing w:after="0" w:line="335" w:lineRule="auto"/>
        <w:tabs>
          <w:tab w:leader="none" w:pos="10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69" w:lineRule="exact"/>
        <w:rPr>
          <w:rFonts w:ascii="Arial" w:cs="Arial" w:eastAsia="Arial" w:hAnsi="Arial"/>
          <w:sz w:val="15"/>
          <w:szCs w:val="15"/>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as of which any debt securities in bearer form or in temporary global form shall be dated if other than the original issuance date of the first security of the series to be issued;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applicability, if any, of the defeasance and covenant defeasance provisions described in this prospectus or in the applicable indenture;</w:t>
      </w:r>
    </w:p>
    <w:p>
      <w:pPr>
        <w:spacing w:after="0" w:line="275" w:lineRule="exact"/>
        <w:rPr>
          <w:rFonts w:ascii="Arial" w:cs="Arial" w:eastAsia="Arial" w:hAnsi="Arial"/>
          <w:sz w:val="16"/>
          <w:szCs w:val="16"/>
          <w:color w:val="auto"/>
        </w:rPr>
      </w:pPr>
    </w:p>
    <w:p>
      <w:pPr>
        <w:ind w:left="1080" w:right="980" w:hanging="532"/>
        <w:spacing w:after="0" w:line="33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152"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199"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0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of securities upon the occurrence of such events as specified in the applicable prospectus supplement;</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applicable CUSIP numbers;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225"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61"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98"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61"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principal of, and any premium or make-whole amount, and interest on, any series of the debt securities will be payable at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94" w:lineRule="exact"/>
        <w:rPr>
          <w:sz w:val="20"/>
          <w:szCs w:val="20"/>
          <w:color w:val="auto"/>
        </w:rPr>
      </w:pPr>
    </w:p>
    <w:p>
      <w:pPr>
        <w:ind w:right="160" w:firstLine="341"/>
        <w:spacing w:after="0" w:line="306" w:lineRule="auto"/>
        <w:rPr>
          <w:sz w:val="20"/>
          <w:szCs w:val="20"/>
          <w:color w:val="auto"/>
        </w:rPr>
      </w:pPr>
      <w:r>
        <w:rPr>
          <w:rFonts w:ascii="Arial" w:cs="Arial" w:eastAsia="Arial" w:hAnsi="Arial"/>
          <w:sz w:val="16"/>
          <w:szCs w:val="16"/>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 Interest, Registration and Transfer</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debt securities of any series will be issuable in denominations of $1,000 and integral multiples of $1,000.</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199" w:lineRule="exact"/>
        <w:rPr>
          <w:sz w:val="20"/>
          <w:szCs w:val="20"/>
          <w:color w:val="auto"/>
        </w:rPr>
      </w:pPr>
    </w:p>
    <w:p>
      <w:pPr>
        <w:ind w:left="1080" w:hanging="532"/>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221"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86"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Neither we, nor any trustee, will be required to:</w:t>
      </w:r>
    </w:p>
    <w:p>
      <w:pPr>
        <w:spacing w:after="0" w:line="239" w:lineRule="exact"/>
        <w:rPr>
          <w:sz w:val="20"/>
          <w:szCs w:val="20"/>
          <w:color w:val="auto"/>
        </w:rPr>
      </w:pPr>
    </w:p>
    <w:p>
      <w:pPr>
        <w:ind w:left="1080" w:right="4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207"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199" w:lineRule="exact"/>
        <w:rPr>
          <w:sz w:val="20"/>
          <w:szCs w:val="20"/>
          <w:color w:val="auto"/>
        </w:rPr>
      </w:pPr>
    </w:p>
    <w:p>
      <w:pPr>
        <w:jc w:val="both"/>
        <w:ind w:left="1080" w:right="4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ectPr>
          <w:pgSz w:w="11900" w:h="16838" w:orient="portrait"/>
          <w:cols w:equalWidth="0" w:num="1">
            <w:col w:w="11420"/>
          </w:cols>
          <w:pgMar w:left="240" w:top="131" w:right="239" w:bottom="1440" w:gutter="0" w:footer="0" w:header="0"/>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Covenants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591" w:lineRule="exact"/>
        <w:rPr>
          <w:sz w:val="20"/>
          <w:szCs w:val="20"/>
          <w:color w:val="auto"/>
        </w:rPr>
      </w:pPr>
    </w:p>
    <w:p>
      <w:pPr>
        <w:sectPr>
          <w:pgSz w:w="11900" w:h="16838" w:orient="portrait"/>
          <w:cols w:equalWidth="0" w:num="2">
            <w:col w:w="800" w:space="280"/>
            <w:col w:w="10340"/>
          </w:cols>
          <w:pgMar w:left="240" w:top="131" w:right="239" w:bottom="1440" w:gutter="0" w:footer="0" w:header="0"/>
          <w:type w:val="continuous"/>
        </w:sectPr>
      </w:pPr>
    </w:p>
    <w:p>
      <w:pPr>
        <w:spacing w:after="0" w:line="66"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i w:val="1"/>
          <w:iCs w:val="1"/>
          <w:color w:val="auto"/>
        </w:rPr>
        <w:t xml:space="preserve">Existence. </w:t>
      </w:r>
      <w:r>
        <w:rPr>
          <w:rFonts w:ascii="Arial" w:cs="Arial" w:eastAsia="Arial" w:hAnsi="Arial"/>
          <w:sz w:val="18"/>
          <w:szCs w:val="18"/>
          <w:color w:val="auto"/>
        </w:rPr>
        <w:t>Except as described under "—Merger, Consolidation or Sale of Assets," the indentures require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Payment of taxes and other claims. </w:t>
      </w:r>
      <w:r>
        <w:rPr>
          <w:rFonts w:ascii="Arial" w:cs="Arial" w:eastAsia="Arial" w:hAnsi="Arial"/>
          <w:sz w:val="18"/>
          <w:szCs w:val="18"/>
          <w:color w:val="auto"/>
        </w:rPr>
        <w:t>The indentures require us to pay, discharge or cause to be paid or discharged, before they become delinquent (i) all</w:t>
      </w:r>
      <w:r>
        <w:rPr>
          <w:rFonts w:ascii="Arial" w:cs="Arial" w:eastAsia="Arial" w:hAnsi="Arial"/>
          <w:sz w:val="18"/>
          <w:szCs w:val="18"/>
          <w:i w:val="1"/>
          <w:iCs w:val="1"/>
          <w:color w:val="auto"/>
        </w:rPr>
        <w:t xml:space="preserve"> </w:t>
      </w:r>
      <w:r>
        <w:rPr>
          <w:rFonts w:ascii="Arial" w:cs="Arial" w:eastAsia="Arial" w:hAnsi="Arial"/>
          <w:sz w:val="18"/>
          <w:szCs w:val="18"/>
          <w:color w:val="auto"/>
        </w:rPr>
        <w:t>taxes, assessments and governmental charges levied or imposed on us, our subsidiaries or our subsidiaries' income, profits or property, and (ii) all lawful claims for labor, materials and supplies which, if unpaid, might by law become a lien upon our property or the property of our subsidiaries. However, we will not be required to pay, discharge or cause to be paid or discharged any such tax, assessment, charge or claim whose amount, applicability or validity is being contested in good faith by appropriate proceedings.</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Provision of financial information. </w:t>
      </w:r>
      <w:r>
        <w:rPr>
          <w:rFonts w:ascii="Arial" w:cs="Arial" w:eastAsia="Arial" w:hAnsi="Arial"/>
          <w:sz w:val="16"/>
          <w:szCs w:val="16"/>
          <w:color w:val="auto"/>
        </w:rPr>
        <w:t>The indentures require us to (i) within 15 days of each of the respective dates by which we are required to file our</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reports, quarterly reports and other documents with the SEC, file with the trustee copies of the annual report, quarterly report and other documents that we file with the SEC under Section 13 or 15(d) of the Exchange Act, (ii) file with the trustee and the SEC any additional information, documents and reports regarding compliance by us with the conditions and covenants of the indentures, as required, (iii) 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 (i) and (ii) above, and (iv) supply, promptly upon written request and payment of the reasonable cost of duplication and delivery, copies of such documents to any prospective holder.</w:t>
      </w:r>
    </w:p>
    <w:p>
      <w:pPr>
        <w:spacing w:after="0" w:line="172"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i w:val="1"/>
          <w:iCs w:val="1"/>
          <w:color w:val="auto"/>
        </w:rPr>
        <w:t>Additional covenants.</w:t>
      </w:r>
      <w:r>
        <w:rPr>
          <w:sz w:val="20"/>
          <w:szCs w:val="20"/>
          <w:color w:val="auto"/>
        </w:rPr>
        <w:tab/>
      </w:r>
      <w:r>
        <w:rPr>
          <w:rFonts w:ascii="Arial" w:cs="Arial" w:eastAsia="Arial" w:hAnsi="Arial"/>
          <w:sz w:val="15"/>
          <w:szCs w:val="15"/>
          <w:color w:val="auto"/>
        </w:rPr>
        <w:t>The applicable prospectus supplement will set forth any additional covenants relating to any series of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19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30 days;</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for five business days at its stated maturity;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default in making any sinking fund payment as required for any debt security of such series for five business days;</w:t>
      </w:r>
    </w:p>
    <w:p>
      <w:pPr>
        <w:spacing w:after="0" w:line="238"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us continuing for 60 days after written notice as provided in the applicable indenture, but not of a covenant added to the indenture solely for the benefit of a series of debt securities issued thereunder other than such series;</w:t>
      </w:r>
    </w:p>
    <w:p>
      <w:pPr>
        <w:spacing w:after="0" w:line="221"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default under any bond, debenture, note, mortgage, indenture or instrument: (i) having an aggregate principal amount of at least $30,000,000; or (ii) under which there may be issued, secured or evidenced any existing or later created indebtedness for money borrowed by us or our subsidiaries, if we are directly responsible or liable as obligor or guarantor,</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w:t>
      </w:r>
    </w:p>
    <w:p>
      <w:pPr>
        <w:spacing w:after="0" w:line="183"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bankruptcy, insolvency or reorganization, or court appointment of a receiver, liquidator or trustee of us or any significant subsidiary of ours;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225"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When we use the term "significant subsidiary," we refer to the meaning ascribed to such term in Rule 1-02 of Regulation S-X promulgated under the Securities Act.</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199" w:lineRule="exact"/>
        <w:rPr>
          <w:sz w:val="20"/>
          <w:szCs w:val="20"/>
          <w:color w:val="auto"/>
        </w:rPr>
      </w:pPr>
    </w:p>
    <w:p>
      <w:pPr>
        <w:ind w:left="1080" w:right="100" w:hanging="532"/>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221"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payment of the principal, any premium or make-whole amount, or interest;</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70"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97"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issued under that indenture. However, no such modification or amendment may, without the consent of the holders of the debt securities affected by the modification or amendment:</w:t>
      </w:r>
    </w:p>
    <w:p>
      <w:pPr>
        <w:spacing w:after="0" w:line="208" w:lineRule="exact"/>
        <w:rPr>
          <w:sz w:val="20"/>
          <w:szCs w:val="20"/>
          <w:color w:val="auto"/>
        </w:rPr>
      </w:pPr>
    </w:p>
    <w:p>
      <w:pPr>
        <w:ind w:left="1080" w:right="36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premium or make-whole amount on, or any installment of principal of or interest on, any such debt security;</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principal amount of, the rate or amount of interest on, or any premium or make-whole amount payable on redemption of, any such debt security;</w:t>
      </w:r>
    </w:p>
    <w:p>
      <w:pPr>
        <w:spacing w:after="0" w:line="199" w:lineRule="exact"/>
        <w:rPr>
          <w:rFonts w:ascii="Arial" w:cs="Arial" w:eastAsia="Arial" w:hAnsi="Arial"/>
          <w:sz w:val="18"/>
          <w:szCs w:val="18"/>
          <w:color w:val="auto"/>
        </w:rPr>
      </w:pPr>
    </w:p>
    <w:p>
      <w:pPr>
        <w:ind w:left="1080" w:right="620" w:hanging="532"/>
        <w:spacing w:after="0" w:line="370" w:lineRule="auto"/>
        <w:tabs>
          <w:tab w:leader="none" w:pos="108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129" w:lineRule="exact"/>
        <w:rPr>
          <w:rFonts w:ascii="Arial" w:cs="Arial" w:eastAsia="Arial" w:hAnsi="Arial"/>
          <w:sz w:val="15"/>
          <w:szCs w:val="15"/>
          <w:color w:val="auto"/>
        </w:rPr>
      </w:pPr>
    </w:p>
    <w:p>
      <w:pPr>
        <w:ind w:left="1080" w:right="14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 the place of payment or the coin or currency for payment of principal of, or any premium or make-whole amount, or interest on, any such debt security;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such debt security;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207"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94"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13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213"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252" w:lineRule="exact"/>
        <w:rPr>
          <w:rFonts w:ascii="Arial" w:cs="Arial" w:eastAsia="Arial" w:hAnsi="Arial"/>
          <w:sz w:val="18"/>
          <w:szCs w:val="18"/>
          <w:color w:val="auto"/>
        </w:rPr>
      </w:pPr>
    </w:p>
    <w:p>
      <w:pPr>
        <w:jc w:val="both"/>
        <w:ind w:left="1080" w:right="160" w:hanging="532"/>
        <w:spacing w:after="0" w:line="306"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add or change any provisions of an indenture (i) to change or eliminate restrictions on the payment of principal of, or premium or make-whole amount, or interest on, debt securities in bearer form, or (ii) to permit or facilitate the issuance of debt securities in uncertificated form, provided that such action shall not adversely affect the interests of the holders of the debt securities of any series in any material respect;</w:t>
      </w:r>
    </w:p>
    <w:p>
      <w:pPr>
        <w:spacing w:after="0" w:line="174" w:lineRule="exact"/>
        <w:rPr>
          <w:rFonts w:ascii="Arial" w:cs="Arial" w:eastAsia="Arial" w:hAnsi="Arial"/>
          <w:sz w:val="16"/>
          <w:szCs w:val="16"/>
          <w:color w:val="auto"/>
        </w:rPr>
      </w:pPr>
    </w:p>
    <w:p>
      <w:pPr>
        <w:ind w:left="1080" w:right="60" w:hanging="532"/>
        <w:spacing w:after="0" w:line="33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199" w:lineRule="exact"/>
        <w:rPr>
          <w:rFonts w:ascii="Arial" w:cs="Arial" w:eastAsia="Arial" w:hAnsi="Arial"/>
          <w:sz w:val="18"/>
          <w:szCs w:val="18"/>
          <w:color w:val="auto"/>
        </w:rPr>
      </w:pPr>
    </w:p>
    <w:p>
      <w:pPr>
        <w:ind w:left="1080" w:right="240" w:hanging="532"/>
        <w:spacing w:after="0" w:line="370" w:lineRule="auto"/>
        <w:tabs>
          <w:tab w:leader="none" w:pos="108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143" w:lineRule="exact"/>
        <w:rPr>
          <w:sz w:val="20"/>
          <w:szCs w:val="20"/>
          <w:color w:val="auto"/>
        </w:rPr>
      </w:pPr>
    </w:p>
    <w:p>
      <w:pPr>
        <w:ind w:left="1080" w:right="140" w:hanging="532"/>
        <w:spacing w:after="0" w:line="332"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152" w:lineRule="exact"/>
        <w:rPr>
          <w:rFonts w:ascii="Arial" w:cs="Arial" w:eastAsia="Arial" w:hAnsi="Arial"/>
          <w:sz w:val="16"/>
          <w:szCs w:val="16"/>
          <w:color w:val="auto"/>
        </w:rPr>
      </w:pPr>
    </w:p>
    <w:p>
      <w:pPr>
        <w:jc w:val="both"/>
        <w:ind w:left="1080" w:right="300" w:hanging="532"/>
        <w:spacing w:after="0" w:line="335" w:lineRule="auto"/>
        <w:tabs>
          <w:tab w:leader="none" w:pos="108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155" w:lineRule="exact"/>
        <w:rPr>
          <w:rFonts w:ascii="Arial" w:cs="Arial" w:eastAsia="Arial" w:hAnsi="Arial"/>
          <w:sz w:val="15"/>
          <w:szCs w:val="15"/>
          <w:color w:val="auto"/>
        </w:rPr>
      </w:pPr>
    </w:p>
    <w:p>
      <w:pPr>
        <w:ind w:left="10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debt securities owned by us or any other obligor upon the debt securities or by any affiliate of ours or of such other obligor shall be disregarded.</w:t>
      </w:r>
    </w:p>
    <w:p>
      <w:pPr>
        <w:spacing w:after="0" w:line="24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98"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67"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156"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25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provided in the applicable prospectus supplement, subordinated debt securities will be subject to the following subordination provisions.</w:t>
      </w:r>
    </w:p>
    <w:p>
      <w:pPr>
        <w:spacing w:after="0" w:line="248"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and our subsidiaries. As a result of these subordination provisions, in the event of a distribution of assets upon insolvency, holders of subordinated debt securities may recover less, ratably, than our general creditors.</w:t>
      </w:r>
    </w:p>
    <w:p>
      <w:pPr>
        <w:spacing w:after="0" w:line="174"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199" w:lineRule="exact"/>
        <w:rPr>
          <w:sz w:val="20"/>
          <w:szCs w:val="20"/>
          <w:color w:val="auto"/>
        </w:rPr>
      </w:pPr>
    </w:p>
    <w:p>
      <w:pPr>
        <w:ind w:left="1080" w:hanging="532"/>
        <w:spacing w:after="0" w:line="25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22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Unless otherwise provided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183"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defease and be discharged from any and all obligations with respect to such debt securities; or</w:t>
      </w:r>
    </w:p>
    <w:p>
      <w:pPr>
        <w:spacing w:after="0" w:line="252" w:lineRule="exact"/>
        <w:rPr>
          <w:rFonts w:ascii="Arial" w:cs="Arial" w:eastAsia="Arial" w:hAnsi="Arial"/>
          <w:sz w:val="18"/>
          <w:szCs w:val="18"/>
          <w:color w:val="auto"/>
        </w:rPr>
      </w:pPr>
    </w:p>
    <w:p>
      <w:pPr>
        <w:jc w:val="both"/>
        <w:ind w:left="1080" w:right="14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94"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indentures only permit us to establish the trust described in the paragraph above if, among other things, we have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we use the term "government obligations," we mean securities that are:</w:t>
      </w:r>
    </w:p>
    <w:p>
      <w:pPr>
        <w:spacing w:after="0" w:line="239" w:lineRule="exact"/>
        <w:rPr>
          <w:sz w:val="20"/>
          <w:szCs w:val="20"/>
          <w:color w:val="auto"/>
        </w:rPr>
      </w:pPr>
    </w:p>
    <w:p>
      <w:pPr>
        <w:ind w:left="1080" w:right="3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212" w:lineRule="exact"/>
        <w:rPr>
          <w:rFonts w:ascii="Arial" w:cs="Arial" w:eastAsia="Arial" w:hAnsi="Arial"/>
          <w:sz w:val="18"/>
          <w:szCs w:val="18"/>
          <w:color w:val="auto"/>
        </w:rPr>
      </w:pPr>
    </w:p>
    <w:p>
      <w:pPr>
        <w:ind w:left="1080" w:right="60" w:hanging="532"/>
        <w:spacing w:after="0" w:line="289"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we use the term "conversion event," we mean the cessation of use of:</w:t>
      </w:r>
    </w:p>
    <w:p>
      <w:pPr>
        <w:spacing w:after="0" w:line="239" w:lineRule="exact"/>
        <w:rPr>
          <w:sz w:val="20"/>
          <w:szCs w:val="20"/>
          <w:color w:val="auto"/>
        </w:rPr>
      </w:pPr>
    </w:p>
    <w:p>
      <w:pPr>
        <w:ind w:left="1080" w:right="660" w:hanging="532"/>
        <w:spacing w:after="0" w:line="33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152"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European Currency Unit both within the European Monetary System and for the settlement of transactions by public institutions of or within the European Communities;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currency unit or composite currency other than the European Currency Unit for the purposes for which it was established.</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39"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the event that (i) we effect covenant defeasance with respect to any debt securities and (ii)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default. However, the issuing company would remain liable to make payments of any amounts due at the time of acceleration.</w:t>
      </w:r>
    </w:p>
    <w:p>
      <w:pPr>
        <w:spacing w:after="0" w:line="225"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Recourse</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No recourse shall be had under any obligation, covenant or agreement of ours in the senior indenture or any supplemental indenture, or in any of the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debt securities, waives and releases all such liability.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applicable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54"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94"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spacing w:after="0" w:line="139"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6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31" w:lineRule="exact"/>
        <w:rPr>
          <w:sz w:val="20"/>
          <w:szCs w:val="20"/>
          <w:color w:val="auto"/>
        </w:rPr>
      </w:pPr>
    </w:p>
    <w:p>
      <w:pPr>
        <w:ind w:right="540" w:firstLine="351"/>
        <w:spacing w:after="0" w:line="306" w:lineRule="auto"/>
        <w:rPr>
          <w:sz w:val="20"/>
          <w:szCs w:val="20"/>
          <w:color w:val="auto"/>
        </w:rPr>
      </w:pPr>
      <w:r>
        <w:rPr>
          <w:rFonts w:ascii="Arial" w:cs="Arial" w:eastAsia="Arial" w:hAnsi="Arial"/>
          <w:sz w:val="16"/>
          <w:szCs w:val="16"/>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74" w:lineRule="exact"/>
        <w:rPr>
          <w:sz w:val="20"/>
          <w:szCs w:val="20"/>
          <w:color w:val="auto"/>
        </w:rPr>
      </w:pPr>
    </w:p>
    <w:p>
      <w:pPr>
        <w:ind w:right="480" w:firstLine="341"/>
        <w:spacing w:after="0" w:line="306" w:lineRule="auto"/>
        <w:rPr>
          <w:sz w:val="20"/>
          <w:szCs w:val="20"/>
          <w:color w:val="auto"/>
        </w:rPr>
      </w:pPr>
      <w:r>
        <w:rPr>
          <w:rFonts w:ascii="Arial" w:cs="Arial" w:eastAsia="Arial" w:hAnsi="Arial"/>
          <w:sz w:val="16"/>
          <w:szCs w:val="16"/>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Preferred Stock</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31"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211"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Neither we nor the depositary will be liable if either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PURCHASE CONTRACTS AND PURCHASE UNITS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may issue purchase contracts, including contracts obligating holders to purchase from or sell to us, and obligating us to sell to or purchase from the holders, a specified number of shares of our common stock, preferred stock or depositary shares at a future date or dates, which we refer to in this prospectus as purchase contracts. The price per share of common stock, preferred stock or depositary shares and the number of shares of each may be fixed at the time the purchase contracts are issued or may be determined by reference to a specific formula set forth in the purchase contracts. The purchase contracts may be issued separately or as part of units, often known as purchase units, consisting of one or more purchase contracts and beneficial interests in debt securities or any other securities described in the applicable prospectus supplement or any combination of the foregoing, securing the holders' obligations to purchase the common stock, preferred stock or depositary shares under the purchase contracts.</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purchase contracts may require us to make periodic payments to the holders of the purchase units or vice versa, and these payments may be unsecured or prefunded on some basis. The purchase contracts may require holders to secure their obligations under those contracts in a specified manner, including pledging their interest in another purchase contract.</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applicable prospectus supplement will describe the terms of the purchase contracts and purchase units, including, if applicable, collateral or depositary arrangements.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may issue warrants to purchase debt securities, common stock, preferred stock or depositary shares. We may offer warrants separately or together with one or more additional warrants, debt securities, common stock, preferred stock or depositary shares,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210"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proposed listing, if any, of the warrants or any securities purchasable upon exercise of the warrants on any securities exchange;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designation, aggregate principal amount, currency and terms of any debt securities that may be purchased upon exercise of the warrants;</w:t>
      </w:r>
    </w:p>
    <w:p>
      <w:pPr>
        <w:spacing w:after="0" w:line="275" w:lineRule="exact"/>
        <w:rPr>
          <w:rFonts w:ascii="Arial" w:cs="Arial" w:eastAsia="Arial" w:hAnsi="Arial"/>
          <w:sz w:val="16"/>
          <w:szCs w:val="16"/>
          <w:color w:val="auto"/>
        </w:rPr>
      </w:pPr>
    </w:p>
    <w:p>
      <w:pPr>
        <w:ind w:left="1080" w:right="30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common stock, preferred stock or depositary shares with which the warrants are issued and, the number of warrants issued with each security;</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common stock, preferred stock or depositary shares will be separately transferable;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number of shares of common stock, the number of shares of preferred stock or the number of depositary shares purchasable upon exercise of a warrant and the price at which those shares may be purchased;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or exercise of the warrants.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FORMS OF SECURITIES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Each debt security, depositary share, purchase contract, purchase unit and warrant will be represented either by a certificate issued in definitive form to a particular investor or by one or more global securities representing the entire issuance of securities. Unless otherwise provided in the applicable prospectus supplement,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purchase contracts, purchase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may issue the registered debt securities, depositary shares, purchase contracts, purchase units and warrants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72"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deposit agreement, purchase contract, warrant agreement or purchase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deposit agreement,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purchase contract, purchase unit agreement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deposit agreement, purchase contract, purchase unit agreement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deposit agreement, purchase contract, purchase unit agreement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depositary shares, warrants, purchase agreements or purchase units, represented by a registered global security registered in the name of a depositary or its nominee will be made to the depositary or its nominee, as the case may be, as the registered owner of the registered global security. None of us, the trustees, the warrant agents, the unit agents or any other agent of ours,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74"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If the depositary for any of the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securities:</w:t>
      </w:r>
    </w:p>
    <w:p>
      <w:pPr>
        <w:spacing w:after="0" w:line="23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directly to one or more other purchasers in negotiated sales or competitively bid transactions;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of 1933, as amended, or the Securities Act, to or through a market maker or into an existing trading market, on an exchange or otherwise;</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w:t>
      </w:r>
    </w:p>
    <w:p>
      <w:pPr>
        <w:spacing w:after="0" w:line="225"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23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213"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time of sale to them, and we will set forth in the prospectus supplement relating to such offering the names of the underwriters or agents and the terms of the related agreement with them.</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39"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6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9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8" w:lineRule="exact"/>
        <w:rPr>
          <w:sz w:val="20"/>
          <w:szCs w:val="20"/>
          <w:color w:val="auto"/>
        </w:rPr>
      </w:pPr>
    </w:p>
    <w:p>
      <w:pPr>
        <w:ind w:left="1080" w:right="40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94"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1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Under Rule 15c6-1 of the Exchange Act, trades in the secondary market generally are required to settle in three business days, unless the parties to any such trade expressly agree otherwise. The applicable prospectus supplement may provide that the original issue date for your securities may be 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70"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compliance with the guidelines of the Financial Industry Regulatory Authority,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Unless the applicable prospectus supplement indicates otherwise, the validity of the securities in respect of which this prospectus is being delivered will be passed upon by Goodwin Procter LLP.</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rFonts w:ascii="Arial" w:cs="Arial" w:eastAsia="Arial" w:hAnsi="Arial"/>
          <w:sz w:val="18"/>
          <w:szCs w:val="18"/>
          <w:color w:val="0000EE"/>
        </w:rPr>
      </w:pPr>
      <w:hyperlink r:id="rId78">
        <w:r>
          <w:rPr>
            <w:rFonts w:ascii="Arial" w:cs="Arial" w:eastAsia="Arial" w:hAnsi="Arial"/>
            <w:sz w:val="18"/>
            <w:szCs w:val="18"/>
            <w:color w:val="auto"/>
          </w:rPr>
          <w:t xml:space="preserve">The consolidated financial statements of Blueprint Medicines Corporation appearing in Blueprint Medicines Corporation's </w:t>
        </w:r>
        <w:r>
          <w:rPr>
            <w:rFonts w:ascii="Arial" w:cs="Arial" w:eastAsia="Arial" w:hAnsi="Arial"/>
            <w:sz w:val="18"/>
            <w:szCs w:val="18"/>
            <w:u w:val="single" w:color="auto"/>
            <w:color w:val="0000EE"/>
          </w:rPr>
          <w:t>Annual Report on Form 10-K for</w:t>
        </w:r>
      </w:hyperlink>
      <w:r>
        <w:rPr>
          <w:rFonts w:ascii="Arial" w:cs="Arial" w:eastAsia="Arial" w:hAnsi="Arial"/>
          <w:sz w:val="18"/>
          <w:szCs w:val="18"/>
          <w:color w:val="auto"/>
        </w:rPr>
        <w:t xml:space="preserve"> </w:t>
      </w:r>
      <w:hyperlink r:id="rId78">
        <w:r>
          <w:rPr>
            <w:rFonts w:ascii="Arial" w:cs="Arial" w:eastAsia="Arial" w:hAnsi="Arial"/>
            <w:sz w:val="18"/>
            <w:szCs w:val="18"/>
            <w:u w:val="single" w:color="auto"/>
            <w:color w:val="0000EE"/>
          </w:rPr>
          <w:t>the year ended December 31, 2016</w:t>
        </w:r>
        <w:r>
          <w:rPr>
            <w:rFonts w:ascii="Arial" w:cs="Arial" w:eastAsia="Arial" w:hAnsi="Arial"/>
            <w:sz w:val="18"/>
            <w:szCs w:val="18"/>
            <w:color w:val="0000EE"/>
          </w:rPr>
          <w:t xml:space="preserve"> </w:t>
        </w:r>
        <w:r>
          <w:rPr>
            <w:rFonts w:ascii="Arial" w:cs="Arial" w:eastAsia="Arial" w:hAnsi="Arial"/>
            <w:sz w:val="18"/>
            <w:szCs w:val="18"/>
            <w:color w:val="000000"/>
          </w:rPr>
          <w:t>have been audited by Ernst &amp; Young LLP, independent registered public accounting firm, as set forth in their report thereon,</w:t>
        </w:r>
      </w:hyperlink>
      <w:r>
        <w:rPr>
          <w:rFonts w:ascii="Arial" w:cs="Arial" w:eastAsia="Arial" w:hAnsi="Arial"/>
          <w:sz w:val="18"/>
          <w:szCs w:val="18"/>
          <w:color w:val="0000EE"/>
        </w:rPr>
        <w:t xml:space="preserve"> </w:t>
      </w:r>
      <w:r>
        <w:rPr>
          <w:rFonts w:ascii="Arial" w:cs="Arial" w:eastAsia="Arial" w:hAnsi="Arial"/>
          <w:sz w:val="18"/>
          <w:szCs w:val="18"/>
          <w:color w:val="000000"/>
        </w:rPr>
        <w:t>included therein and incorporated herein by reference. Such financial statements are incorporated herein by reference in reliance upon such report given on the authority of said firm as experts in auditing and accounting.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$325,000,000</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144780</wp:posOffset>
            </wp:positionV>
            <wp:extent cx="4219575" cy="14662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4219575"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PROSPECTUS SUPPLEMENT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60" w:type="dxa"/>
            <w:vAlign w:val="bottom"/>
          </w:tcPr>
          <w:p>
            <w:pPr>
              <w:jc w:val="center"/>
              <w:ind w:left="672"/>
              <w:spacing w:after="0"/>
              <w:rPr>
                <w:sz w:val="20"/>
                <w:szCs w:val="20"/>
                <w:color w:val="auto"/>
              </w:rPr>
            </w:pPr>
            <w:r>
              <w:rPr>
                <w:rFonts w:ascii="Arial" w:cs="Arial" w:eastAsia="Arial" w:hAnsi="Arial"/>
                <w:sz w:val="18"/>
                <w:szCs w:val="18"/>
                <w:b w:val="1"/>
                <w:bCs w:val="1"/>
                <w:color w:val="auto"/>
                <w:w w:val="98"/>
              </w:rPr>
              <w:t>Goldman Sachs &amp; Co. LLC</w:t>
            </w:r>
          </w:p>
        </w:tc>
        <w:tc>
          <w:tcPr>
            <w:tcW w:w="2920" w:type="dxa"/>
            <w:vAlign w:val="bottom"/>
          </w:tcPr>
          <w:p>
            <w:pPr>
              <w:spacing w:after="0"/>
              <w:rPr>
                <w:sz w:val="20"/>
                <w:szCs w:val="20"/>
                <w:color w:val="auto"/>
              </w:rPr>
            </w:pPr>
          </w:p>
        </w:tc>
        <w:tc>
          <w:tcPr>
            <w:tcW w:w="4140" w:type="dxa"/>
            <w:vAlign w:val="bottom"/>
          </w:tcPr>
          <w:p>
            <w:pPr>
              <w:jc w:val="center"/>
              <w:ind w:right="872"/>
              <w:spacing w:after="0"/>
              <w:rPr>
                <w:sz w:val="20"/>
                <w:szCs w:val="20"/>
                <w:color w:val="auto"/>
              </w:rPr>
            </w:pPr>
            <w:r>
              <w:rPr>
                <w:rFonts w:ascii="Arial" w:cs="Arial" w:eastAsia="Arial" w:hAnsi="Arial"/>
                <w:sz w:val="18"/>
                <w:szCs w:val="18"/>
                <w:b w:val="1"/>
                <w:bCs w:val="1"/>
                <w:color w:val="auto"/>
                <w:w w:val="98"/>
              </w:rPr>
              <w:t>Cowen</w:t>
            </w:r>
          </w:p>
        </w:tc>
      </w:tr>
      <w:tr>
        <w:trPr>
          <w:trHeight w:val="446"/>
        </w:trPr>
        <w:tc>
          <w:tcPr>
            <w:tcW w:w="4360" w:type="dxa"/>
            <w:vAlign w:val="bottom"/>
          </w:tcPr>
          <w:p>
            <w:pPr>
              <w:jc w:val="center"/>
              <w:ind w:left="672"/>
              <w:spacing w:after="0"/>
              <w:rPr>
                <w:sz w:val="20"/>
                <w:szCs w:val="20"/>
                <w:color w:val="auto"/>
              </w:rPr>
            </w:pPr>
            <w:r>
              <w:rPr>
                <w:rFonts w:ascii="Arial" w:cs="Arial" w:eastAsia="Arial" w:hAnsi="Arial"/>
                <w:sz w:val="18"/>
                <w:szCs w:val="18"/>
                <w:b w:val="1"/>
                <w:bCs w:val="1"/>
                <w:color w:val="auto"/>
                <w:w w:val="96"/>
              </w:rPr>
              <w:t>Canaccord Genuity</w:t>
            </w:r>
          </w:p>
        </w:tc>
        <w:tc>
          <w:tcPr>
            <w:tcW w:w="2920" w:type="dxa"/>
            <w:vAlign w:val="bottom"/>
          </w:tcPr>
          <w:p>
            <w:pPr>
              <w:jc w:val="center"/>
              <w:ind w:right="132"/>
              <w:spacing w:after="0"/>
              <w:rPr>
                <w:sz w:val="20"/>
                <w:szCs w:val="20"/>
                <w:color w:val="auto"/>
              </w:rPr>
            </w:pPr>
            <w:r>
              <w:rPr>
                <w:rFonts w:ascii="Arial" w:cs="Arial" w:eastAsia="Arial" w:hAnsi="Arial"/>
                <w:sz w:val="18"/>
                <w:szCs w:val="18"/>
                <w:b w:val="1"/>
                <w:bCs w:val="1"/>
                <w:color w:val="auto"/>
                <w:w w:val="98"/>
              </w:rPr>
              <w:t>JMP Securities</w:t>
            </w:r>
          </w:p>
        </w:tc>
        <w:tc>
          <w:tcPr>
            <w:tcW w:w="4140" w:type="dxa"/>
            <w:vAlign w:val="bottom"/>
          </w:tcPr>
          <w:p>
            <w:pPr>
              <w:jc w:val="center"/>
              <w:ind w:right="892"/>
              <w:spacing w:after="0"/>
              <w:rPr>
                <w:sz w:val="20"/>
                <w:szCs w:val="20"/>
                <w:color w:val="auto"/>
              </w:rPr>
            </w:pPr>
            <w:r>
              <w:rPr>
                <w:rFonts w:ascii="Arial" w:cs="Arial" w:eastAsia="Arial" w:hAnsi="Arial"/>
                <w:sz w:val="18"/>
                <w:szCs w:val="18"/>
                <w:b w:val="1"/>
                <w:bCs w:val="1"/>
                <w:color w:val="auto"/>
                <w:w w:val="97"/>
              </w:rPr>
              <w:t>Raymond James</w:t>
            </w:r>
          </w:p>
        </w:tc>
      </w:tr>
      <w:tr>
        <w:trPr>
          <w:trHeight w:val="419"/>
        </w:trPr>
        <w:tc>
          <w:tcPr>
            <w:tcW w:w="4360" w:type="dxa"/>
            <w:vAlign w:val="bottom"/>
          </w:tcPr>
          <w:p>
            <w:pPr>
              <w:spacing w:after="0"/>
              <w:rPr>
                <w:sz w:val="24"/>
                <w:szCs w:val="24"/>
                <w:color w:val="auto"/>
              </w:rPr>
            </w:pPr>
          </w:p>
        </w:tc>
        <w:tc>
          <w:tcPr>
            <w:tcW w:w="2920" w:type="dxa"/>
            <w:vAlign w:val="bottom"/>
          </w:tcPr>
          <w:p>
            <w:pPr>
              <w:jc w:val="center"/>
              <w:ind w:right="112"/>
              <w:spacing w:after="0"/>
              <w:rPr>
                <w:sz w:val="20"/>
                <w:szCs w:val="20"/>
                <w:color w:val="auto"/>
              </w:rPr>
            </w:pPr>
            <w:r>
              <w:rPr>
                <w:rFonts w:ascii="Arial" w:cs="Arial" w:eastAsia="Arial" w:hAnsi="Arial"/>
                <w:sz w:val="18"/>
                <w:szCs w:val="18"/>
                <w:color w:val="auto"/>
              </w:rPr>
              <w:t>January   , 2020</w:t>
            </w:r>
          </w:p>
        </w:tc>
        <w:tc>
          <w:tcPr>
            <w:tcW w:w="4140" w:type="dxa"/>
            <w:vAlign w:val="bottom"/>
          </w:tcPr>
          <w:p>
            <w:pPr>
              <w:spacing w:after="0"/>
              <w:rPr>
                <w:sz w:val="24"/>
                <w:szCs w:val="24"/>
                <w:color w:val="auto"/>
              </w:rPr>
            </w:pPr>
          </w:p>
        </w:tc>
      </w:tr>
      <w:tr>
        <w:trPr>
          <w:trHeight w:val="488"/>
        </w:trPr>
        <w:tc>
          <w:tcPr>
            <w:tcW w:w="43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r>
        <w:trPr>
          <w:trHeight w:val="41"/>
        </w:trPr>
        <w:tc>
          <w:tcPr>
            <w:tcW w:w="436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r>
      <w:tr>
        <w:trPr>
          <w:trHeight w:val="226"/>
        </w:trPr>
        <w:tc>
          <w:tcPr>
            <w:tcW w:w="436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2" w:name="page83"/>
    <w:bookmarkEnd w:id="8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lvl w:ilvl="1">
      <w:lvlJc w:val="left"/>
      <w:lvlText w:val="•"/>
      <w:numFmt w:val="bullet"/>
      <w:start w:val="1"/>
    </w:lvl>
  </w:abstractNum>
  <w:abstractNum w:abstractNumId="20">
    <w:nsid w:val="153EA438"/>
    <w:multiLevelType w:val="hybridMultilevel"/>
    <w:lvl w:ilvl="0">
      <w:lvlJc w:val="left"/>
      <w:lvlText w:val="(%1)"/>
      <w:numFmt w:val="decimal"/>
      <w:start w:val="4"/>
    </w:lvl>
  </w:abstractNum>
  <w:abstractNum w:abstractNumId="21">
    <w:nsid w:val="3855585C"/>
    <w:multiLevelType w:val="hybridMultilevel"/>
    <w:lvl w:ilvl="0">
      <w:lvlJc w:val="left"/>
      <w:lvlText w:val="(%1)"/>
      <w:numFmt w:val="lowerRoman"/>
      <w:start w:val="5"/>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lvl w:ilvl="1">
      <w:lvlJc w:val="left"/>
      <w:lvlText w:val="(%2)"/>
      <w:numFmt w:val="lowerRoman"/>
      <w:start w:val="2"/>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28" Type="http://schemas.openxmlformats.org/officeDocument/2006/relationships/image" Target="media/image7.png"/><Relationship Id="rId29" Type="http://schemas.openxmlformats.org/officeDocument/2006/relationships/image" Target="media/image8.png"/><Relationship Id="rId30" Type="http://schemas.openxmlformats.org/officeDocument/2006/relationships/image" Target="media/image9.png"/><Relationship Id="rId31" Type="http://schemas.openxmlformats.org/officeDocument/2006/relationships/image" Target="media/image10.png"/><Relationship Id="rId32"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9"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jpeg"/><Relationship Id="rId126" Type="http://schemas.openxmlformats.org/officeDocument/2006/relationships/image" Target="media/image102.png"/><Relationship Id="rId127" Type="http://schemas.openxmlformats.org/officeDocument/2006/relationships/image" Target="media/image103.png"/><Relationship Id="rId13" Type="http://schemas.openxmlformats.org/officeDocument/2006/relationships/hyperlink" Target="http://www.sec.gov/Archives/edgar/data/1597264/000155837019001094/bpmc-20181231x10k.htm" TargetMode="External"/><Relationship Id="rId14" Type="http://schemas.openxmlformats.org/officeDocument/2006/relationships/hyperlink" Target="http://www.sec.gov/Archives/edgar/data/1597264/000155837019003477/def14a.htm" TargetMode="External"/><Relationship Id="rId16" Type="http://schemas.openxmlformats.org/officeDocument/2006/relationships/hyperlink" Target="http://www.sec.gov/Archives/edgar/data/1597264/000155837019004709/bpmc-20190331x10q.htm" TargetMode="External"/><Relationship Id="rId17" Type="http://schemas.openxmlformats.org/officeDocument/2006/relationships/hyperlink" Target="http://www.sec.gov/Archives/edgar/data/1597264/000155837019006820/0001558370-19-006820-index.htm" TargetMode="External"/><Relationship Id="rId18" Type="http://schemas.openxmlformats.org/officeDocument/2006/relationships/hyperlink" Target="http://www.sec.gov/Archives/edgar/data/1597264/000155837019009888/0001558370-19-009888-index.htm" TargetMode="External"/><Relationship Id="rId19" Type="http://schemas.openxmlformats.org/officeDocument/2006/relationships/hyperlink" Target="http://www.sec.gov/Archives/edgar/data/1597264/000155837019008914/0001558370-19-008914-index.htm" TargetMode="External"/><Relationship Id="rId20" Type="http://schemas.openxmlformats.org/officeDocument/2006/relationships/hyperlink" Target="http://www.sec.gov/Archives/edgar/data/1597264/000155837019009188/0001558370-19-009188-index.htm" TargetMode="External"/><Relationship Id="rId21" Type="http://schemas.openxmlformats.org/officeDocument/2006/relationships/hyperlink" Target="http://www.sec.gov/Archives/edgar/data/1597264/000155837019011419/0001558370-19-011419-index.htm" TargetMode="External"/><Relationship Id="rId22" Type="http://schemas.openxmlformats.org/officeDocument/2006/relationships/hyperlink" Target="http://www.sec.gov/Archives/edgar/data/1597264/000155837019011670/0001558370-19-011670-index.htm" TargetMode="External"/><Relationship Id="rId23" Type="http://schemas.openxmlformats.org/officeDocument/2006/relationships/hyperlink" Target="http://www.sec.gov/Archives/edgar/data/1597264/000155837020000074/0001558370-20-000074-index.htm" TargetMode="External"/><Relationship Id="rId24" Type="http://schemas.openxmlformats.org/officeDocument/2006/relationships/hyperlink" Target="http://www.sec.gov/Archives/edgar/data/1597264/000155837020000102/0001558370-20-000102-index.htm" TargetMode="External"/><Relationship Id="rId25" Type="http://schemas.openxmlformats.org/officeDocument/2006/relationships/hyperlink" Target="http://www.sec.gov/Archives/edgar/data/1597264/000155837020000136/0001558370-20-000136-index.htm" TargetMode="External"/><Relationship Id="rId26" Type="http://schemas.openxmlformats.org/officeDocument/2006/relationships/hyperlink" Target="http://www.sec.gov/Archives/edgar/data/1597264/000110465920005550/0001104659-20-005550-index.htm" TargetMode="External"/><Relationship Id="rId27" Type="http://schemas.openxmlformats.org/officeDocument/2006/relationships/hyperlink" Target="http://www.sec.gov/Archives/edgar/data/1597264/000110465915030565/a15-4342_98a12b.htm" TargetMode="External"/><Relationship Id="rId78" Type="http://schemas.openxmlformats.org/officeDocument/2006/relationships/hyperlink" Target="http://www.sec.gov/Archives/edgar/data/1597264/000155837017001547/bpmc-20161231x10k.htm" TargetMode="External"/><Relationship Id="rId80" Type="http://schemas.openxmlformats.org/officeDocument/2006/relationships/hyperlink" Target="http://www.sec.gov/Archives/edgar/data/1597264/000155837016004066/bpmc-20151231x10k.htm" TargetMode="External"/><Relationship Id="rId81" Type="http://schemas.openxmlformats.org/officeDocument/2006/relationships/hyperlink" Target="http://www.sec.gov/Archives/edgar/data/1597264/000155837016004972/bpmc-20160621x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2020-01-21T15:46:09Z</dcterms:created>
  <dcterms:modified xsi:type="dcterms:W3CDTF">2020-01-21T15:46:09Z</dcterms:modified>
</cp:coreProperties>
</file>