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8.8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10,284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1.87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11,684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100.92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02/10/2025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10/08/2024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March 17, 2020 pursuant to Rule 10b5-1 under the Securities Exchange Act of 1934, as amended.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option was granted on February 10, 2015 and is fully vested as of the date hereof.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This option was granted on October 8, 2014 and is fully vested as of the date hereof.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-5344160</wp:posOffset>
            </wp:positionV>
            <wp:extent cx="7033260" cy="4163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16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2020-11-18T15:25:50Z</dcterms:created>
  <dcterms:modified xsi:type="dcterms:W3CDTF">2020-11-18T15:25:50Z</dcterms:modified>
</cp:coreProperties>
</file>