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35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5"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74295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60" w:right="299" w:firstLine="648"/>
        <w:spacing w:after="0" w:line="312" w:lineRule="auto"/>
        <w:rPr>
          <w:sz w:val="20"/>
          <w:szCs w:val="20"/>
          <w:color w:val="auto"/>
        </w:rPr>
      </w:pPr>
      <w:r>
        <w:rPr>
          <w:rFonts w:ascii="Arial" w:cs="Arial" w:eastAsia="Arial" w:hAnsi="Arial"/>
          <w:sz w:val="16"/>
          <w:szCs w:val="16"/>
          <w:color w:val="auto"/>
        </w:rPr>
        <w:t>On February 21, 2018, Blueprint Medicines Corporation (the “Company”) announced its financial results for the quarter and year ended December 31, 2017. The full text of the press release issued in connection with the announcement is furnished as Exhibit 99.1 to this Current Report on Form 8-K and is incorporated by reference herein.</w:t>
      </w:r>
    </w:p>
    <w:p>
      <w:pPr>
        <w:spacing w:after="0" w:line="147"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7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February 21,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 w:name="page3"/>
    <w:bookmarkEnd w:id="2"/>
    <w:tbl>
      <w:tblPr>
        <w:tblLayout w:type="fixed"/>
        <w:tblInd w:w="1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46"/>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6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issued by Blueprint Medicines Corporation on February 21, 2018</w:t>
              </w:r>
            </w:hyperlink>
          </w:p>
        </w:tc>
        <w:tc>
          <w:tcPr>
            <w:tcW w:w="20" w:type="dxa"/>
            <w:vAlign w:val="bottom"/>
          </w:tcPr>
          <w:p>
            <w:pPr>
              <w:spacing w:after="0"/>
              <w:rPr>
                <w:sz w:val="14"/>
                <w:szCs w:val="14"/>
                <w:color w:val="auto"/>
              </w:rPr>
            </w:pPr>
          </w:p>
        </w:tc>
      </w:tr>
      <w:tr>
        <w:trPr>
          <w:trHeight w:val="885"/>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60" w:type="dxa"/>
            <w:vAlign w:val="bottom"/>
            <w:tcBorders>
              <w:top w:val="single" w:sz="8" w:color="0000EE"/>
            </w:tcBorders>
          </w:tcPr>
          <w:p>
            <w:pPr>
              <w:jc w:val="right"/>
              <w:ind w:right="2810"/>
              <w:spacing w:after="0"/>
              <w:rPr>
                <w:sz w:val="20"/>
                <w:szCs w:val="20"/>
                <w:color w:val="auto"/>
              </w:rPr>
            </w:pPr>
            <w:r>
              <w:rPr>
                <w:rFonts w:ascii="Arial" w:cs="Arial" w:eastAsia="Arial" w:hAnsi="Arial"/>
                <w:sz w:val="18"/>
                <w:szCs w:val="18"/>
                <w:color w:val="auto"/>
              </w:rPr>
              <w:t>3</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36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280" w:type="dxa"/>
            <w:vAlign w:val="bottom"/>
            <w:gridSpan w:val="2"/>
          </w:tcPr>
          <w:p>
            <w:pPr>
              <w:ind w:left="132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61"/>
        </w:trPr>
        <w:tc>
          <w:tcPr>
            <w:tcW w:w="3060" w:type="dxa"/>
            <w:vAlign w:val="bottom"/>
          </w:tcPr>
          <w:p>
            <w:pPr>
              <w:ind w:left="20"/>
              <w:spacing w:after="0"/>
              <w:rPr>
                <w:sz w:val="20"/>
                <w:szCs w:val="20"/>
                <w:color w:val="auto"/>
              </w:rPr>
            </w:pPr>
            <w:r>
              <w:rPr>
                <w:rFonts w:ascii="Arial" w:cs="Arial" w:eastAsia="Arial" w:hAnsi="Arial"/>
                <w:sz w:val="18"/>
                <w:szCs w:val="18"/>
                <w:color w:val="auto"/>
              </w:rPr>
              <w:t>Date: February 21, 2018</w:t>
            </w:r>
          </w:p>
        </w:tc>
        <w:tc>
          <w:tcPr>
            <w:tcW w:w="5280" w:type="dxa"/>
            <w:vAlign w:val="bottom"/>
            <w:gridSpan w:val="2"/>
          </w:tcPr>
          <w:p>
            <w:pPr>
              <w:ind w:left="132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3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91"/>
        </w:trPr>
        <w:tc>
          <w:tcPr>
            <w:tcW w:w="306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72"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Reports Fourth Quarter and Full Year 2017 Financial Results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Presented clinical data from ongoing Phase 1 trials of avapritinib in patients with advanced gastrointestinal stromal</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tumors and advanced systemic mastocytosis at CTOS and ASH Annual Meetings –</w:t>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BLU-782 selected as development candidate for the treatment of fibrodysplasia ossificans progressiva –</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Completed successful follow-on offering in December 2017 and ended year with $673.4 million in cash, cash</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equivalents and investments –</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 Plans to present initial clinical data from Phase 1 trial of BLU-667 in patients with RET-altered solid tumors on track</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for first half of 2018 –</w:t>
      </w:r>
    </w:p>
    <w:p>
      <w:pPr>
        <w:spacing w:after="0" w:line="277" w:lineRule="exact"/>
        <w:rPr>
          <w:sz w:val="20"/>
          <w:szCs w:val="20"/>
          <w:color w:val="auto"/>
        </w:rPr>
      </w:pPr>
    </w:p>
    <w:p>
      <w:pPr>
        <w:ind w:left="160" w:right="459"/>
        <w:spacing w:after="0" w:line="276" w:lineRule="auto"/>
        <w:rPr>
          <w:sz w:val="20"/>
          <w:szCs w:val="20"/>
          <w:color w:val="auto"/>
        </w:rPr>
      </w:pPr>
      <w:r>
        <w:rPr>
          <w:rFonts w:ascii="Arial" w:cs="Arial" w:eastAsia="Arial" w:hAnsi="Arial"/>
          <w:sz w:val="16"/>
          <w:szCs w:val="16"/>
          <w:color w:val="auto"/>
        </w:rPr>
        <w:t>CAMBRIDGE, Mass., February 21, 2018 – Blueprint Medicines Corporation (NASDAQ:BPMC), a leader in discovering and developing targeted kinase medicines for patients with genomically defined diseases, today reported financial results and provided a business update for the fourth quarter and full year ended December 31, 2017.</w:t>
      </w:r>
    </w:p>
    <w:p>
      <w:pPr>
        <w:spacing w:after="0" w:line="257" w:lineRule="exact"/>
        <w:rPr>
          <w:sz w:val="20"/>
          <w:szCs w:val="20"/>
          <w:color w:val="auto"/>
        </w:rPr>
      </w:pPr>
    </w:p>
    <w:p>
      <w:pPr>
        <w:ind w:left="160" w:right="239"/>
        <w:spacing w:after="0" w:line="255" w:lineRule="auto"/>
        <w:rPr>
          <w:sz w:val="20"/>
          <w:szCs w:val="20"/>
          <w:color w:val="auto"/>
        </w:rPr>
      </w:pPr>
      <w:r>
        <w:rPr>
          <w:rFonts w:ascii="Arial" w:cs="Arial" w:eastAsia="Arial" w:hAnsi="Arial"/>
          <w:sz w:val="16"/>
          <w:szCs w:val="16"/>
          <w:color w:val="auto"/>
        </w:rPr>
        <w:t>“2017 marked a year of significant achievements for Blueprint Medicines as we moved closer to realizing our vision of delivering a new generation of kinase medicines to patients with genomically defined diseases,” said Jeff Albers, Chief Executive Officer of Blueprint Medicines. “We presented transformative data across our full clinical-stage portfolio and expanded our extensive pipeline of highly selective kinase medicines with the nomination of our fourth development candidate, BLU-782. In 2018, we expect to continue this cadence of clinical and preclinical data disclosures, while also working to progress avapritinib quickly toward potential approval for gastrointestinal stromal tumors and systemic mastocytosis and to define the development path for BLU-554. We also plan to devote additional resources to commercial readiness as we progress pivotal clinical trials in multiple patient populations.”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Clinical Programs: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Avapritinib: Gastrointestinal Stromal Tumors (GIST)</w:t>
      </w:r>
    </w:p>
    <w:p>
      <w:pPr>
        <w:ind w:left="800" w:right="159" w:hanging="325"/>
        <w:spacing w:after="0" w:line="21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November 2017, Blueprint Medicines presented updated data from the dose escalation and expansion portion of its ongoing Phase 1 clinical trial of avapritinib in patients with advanced GIST, called the Navigator trial, at the 22</w:t>
      </w:r>
      <w:r>
        <w:rPr>
          <w:rFonts w:ascii="Arial" w:cs="Arial" w:eastAsia="Arial" w:hAnsi="Arial"/>
          <w:sz w:val="8"/>
          <w:szCs w:val="8"/>
          <w:color w:val="auto"/>
        </w:rPr>
        <w:t>nd</w:t>
      </w:r>
      <w:r>
        <w:rPr>
          <w:rFonts w:ascii="Arial" w:cs="Arial" w:eastAsia="Arial" w:hAnsi="Arial"/>
          <w:sz w:val="17"/>
          <w:szCs w:val="17"/>
          <w:color w:val="auto"/>
        </w:rPr>
        <w:t xml:space="preserve"> Connective Tissue Oncology Society (CTOS) Annual Meeting. Among evaluable patients with heavily pretreated KIT-driven GIST treated with 300 to 400mg of avapritinib once daily, the data showed radiographic tumor reductions in 67 percent of these patients, an objective response rate (ORR) of 17 percent and median progression free survival (PFS) of 11.5 months. In evaluable patients with PDGFRα D842-driven GIST, the data showed an ORR of 71 percent and an estimated 12-month PFS of 78 percent. The data also showed that avapritinib was generally well-tolerated, and most adverse events (AEs) reported by investigators were Grade 1 or 2. Read the full data here.</w:t>
      </w:r>
    </w:p>
    <w:p>
      <w:pPr>
        <w:spacing w:after="0" w:line="4" w:lineRule="exact"/>
        <w:rPr>
          <w:rFonts w:ascii="Arial" w:cs="Arial" w:eastAsia="Arial" w:hAnsi="Arial"/>
          <w:sz w:val="17"/>
          <w:szCs w:val="17"/>
          <w:color w:val="auto"/>
        </w:rPr>
      </w:pPr>
    </w:p>
    <w:p>
      <w:pPr>
        <w:ind w:left="800" w:right="199" w:hanging="325"/>
        <w:spacing w:after="0" w:line="20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Also in November 2017, Blueprint Medicines expanded its ongoing Navigator trial to increase the enrollment target for patients previously treated with imatinib and at least one additional prior tyrosine kinase inhibitor (TKI) from 50 to 100 patients and added a new cohort to evaluate avapritinib in second-line GIST patients. Blueprint Medicines continues to expect to complete enrollment of the PDGFRα D842V expansion cohort by the middle of 2018. Blueprint Medicines also plans to initiate a global, randomized Phase 3 clinical trial evaluating avapritinib compared to regorafenib in third-line patients with KIT-driven GIST, called the Voyager trial, in the first half of 2018, with the goal of supporting the potential approval of avapritinib in a broader population of GIST patients.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Avapritinib: Systemic Mastocytosis (SM)</w:t>
      </w:r>
    </w:p>
    <w:p>
      <w:pPr>
        <w:ind w:left="800" w:right="159" w:hanging="325"/>
        <w:spacing w:after="0" w:line="227"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December 2017, Blueprint Medicines presented updated data from the dose escalation portion of its ongoing Phase 1 clinical trial of avapritinib in patients with advanced SM, called the Explorer trial, at the 59th American Society of Hematology Annual Meeting and Exposition (ASH). The data showed an ORR of 72 percent and a disease control rate of 100 percent in patients evaluable for response, based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121285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800" w:right="279"/>
        <w:spacing w:after="0" w:line="236" w:lineRule="auto"/>
        <w:rPr>
          <w:sz w:val="20"/>
          <w:szCs w:val="20"/>
          <w:color w:val="auto"/>
        </w:rPr>
      </w:pPr>
      <w:r>
        <w:rPr>
          <w:rFonts w:ascii="Arial" w:cs="Arial" w:eastAsia="Arial" w:hAnsi="Arial"/>
          <w:sz w:val="16"/>
          <w:szCs w:val="16"/>
          <w:color w:val="auto"/>
        </w:rPr>
        <w:t>International Working Group – Myeloproliferative Neoplasms Research and Treatment and European Competence Network on Mastocytosis consensus criteria. The data also showed that avapritinib was generally well-tolerated and most AEs reported by investigators were Grade 1 or 2. Read the full data here.</w:t>
      </w:r>
    </w:p>
    <w:p>
      <w:pPr>
        <w:ind w:left="800" w:right="179" w:hanging="325"/>
        <w:spacing w:after="0" w:line="22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Also in December 2017, Blueprint Medicines announced plans to engage global regulatory authorities in the first half of 2018 to obtain input on registration pathways for avapritinib in patients with advanced SM and patients with indolent and smoldering SM. Blueprint Medicines expects to initiate a registration-enabling Phase 2 clinical trial in patients with advanced SM in the first half of 2018 and a dose-finding and proof-of-concept Phase 2 clinical trial in patients with indolent and smoldering SM in the second half of 2018. Blueprint Medicines continues to enroll patients in the expansion portion of its ongoing Explorer trial, with the goal of generating additional data in 2018.</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Avapritinib: Recent Scientific Publications</w:t>
      </w:r>
    </w:p>
    <w:p>
      <w:pPr>
        <w:ind w:left="800" w:right="219" w:hanging="325"/>
        <w:spacing w:after="0" w:line="212"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November 2017, Blueprint Medicines announced the publication of preclinical data and clinical case studies for avapritinib, highlighting the potent activity of avapritinib against activation loop mutations, as well as a broad spectrum of additional clinically relevant mutations, with a selectivity profile minimizing inhibition of other kinases. The paper, titled “A precision therapy against cancers driven by KIT/PDGFRA mutations” was published online in </w:t>
      </w:r>
      <w:r>
        <w:rPr>
          <w:rFonts w:ascii="Arial" w:cs="Arial" w:eastAsia="Arial" w:hAnsi="Arial"/>
          <w:sz w:val="18"/>
          <w:szCs w:val="18"/>
          <w:i w:val="1"/>
          <w:iCs w:val="1"/>
          <w:color w:val="auto"/>
        </w:rPr>
        <w:t>Science Translational Medicine</w:t>
      </w:r>
      <w:r>
        <w:rPr>
          <w:rFonts w:ascii="Arial" w:cs="Arial" w:eastAsia="Arial" w:hAnsi="Arial"/>
          <w:sz w:val="18"/>
          <w:szCs w:val="18"/>
          <w:color w:val="auto"/>
        </w:rPr>
        <w:t>.</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BLU-554: Hepatocellular Carcinoma</w:t>
      </w:r>
    </w:p>
    <w:p>
      <w:pPr>
        <w:jc w:val="both"/>
        <w:ind w:left="800" w:right="219" w:hanging="325"/>
        <w:spacing w:after="0" w:line="229"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Blueprint Medicines continues to enroll patients in the expansion portion of its ongoing Phase 1 clinical trial of BLU-554 in patients with advanced hepatocellular carcinoma (HCC). In November 2017, Blueprint Medicines added a new cohort to this trial to enroll approximately 40 TKI-naïve patients with FGFR4-driven HCC.</w:t>
      </w:r>
    </w:p>
    <w:p>
      <w:pPr>
        <w:ind w:left="800" w:right="279"/>
        <w:spacing w:after="0" w:line="214" w:lineRule="auto"/>
        <w:rPr>
          <w:rFonts w:ascii="Arial" w:cs="Arial" w:eastAsia="Arial" w:hAnsi="Arial"/>
          <w:sz w:val="16"/>
          <w:szCs w:val="16"/>
          <w:color w:val="auto"/>
        </w:rPr>
      </w:pPr>
      <w:r>
        <w:rPr>
          <w:rFonts w:ascii="Arial" w:cs="Arial" w:eastAsia="Arial" w:hAnsi="Arial"/>
          <w:sz w:val="18"/>
          <w:szCs w:val="18"/>
          <w:color w:val="auto"/>
        </w:rPr>
        <w:t>Blueprint Medicines is also exploring opportunities to evaluate BLU-554 in combination with an immune checkpoint inhibitor. Blueprint Medicines plans to report updated data from the expansion portion of its ongoing Phase 1 clinical trial for advanced HCC, including from the new TKI-naïve cohort, in the second half of 2018.</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BLU-667: RET-Altered Solid Tumors</w:t>
      </w:r>
    </w:p>
    <w:p>
      <w:pPr>
        <w:ind w:left="800" w:right="159" w:hanging="325"/>
        <w:spacing w:after="0" w:line="234"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Blueprint Medicines continues to enroll patients in the dose escalation portion of its ongoing Phase 1 clinical trial of BLU-667 in patients with RET-altered non-small cell lung cancer (NSCLC), medullary thyroid cancer (MTC) and other advanced solid tumors. In December 2017, Blueprint Medicines provided an update on its ongoing Phase 1 clinical trial. As previously reported, as of December 1, 2017, 30 patients were enrolled in the trial, and BLU-667 was generally well-tolerated. The majority of adverse events reported by investigators were Grade 1, and the maximum tolerated dose or recommended part 2 dose had not yet been established. Investigators reported preliminary evidence of clinical activity in patients with RET-altered NSCLC, including patients with KIF5B and other RET fusions, and RET-altered MTC. Blueprint Medicines plans to report preliminary clinical data and initiate the expansion portion of this Phase 1 clinical trial in the first half of 2018.</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Research Programs:</w:t>
      </w:r>
    </w:p>
    <w:p>
      <w:pPr>
        <w:spacing w:after="0" w:line="162" w:lineRule="exact"/>
        <w:rPr>
          <w:sz w:val="20"/>
          <w:szCs w:val="20"/>
          <w:color w:val="auto"/>
        </w:rPr>
      </w:pPr>
    </w:p>
    <w:p>
      <w:pPr>
        <w:ind w:left="800" w:right="239" w:hanging="325"/>
        <w:spacing w:after="0" w:line="266"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December 2017, Blueprint Medicines announced the selection of BLU-782 as its development candidate for the treatment of patients with fibrodysplasia ossificans progressiva, a rare genetic disease caused by mutations in the ALK2 gene. Blueprint Medicines plans to initiate investigational new drug (IND) application-enabling studies for BLU-782 in the first half of 2018 and plans to report preclinical data for this program in 2018.</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Highlights:</w:t>
      </w:r>
    </w:p>
    <w:p>
      <w:pPr>
        <w:spacing w:after="0" w:line="162" w:lineRule="exact"/>
        <w:rPr>
          <w:sz w:val="20"/>
          <w:szCs w:val="20"/>
          <w:color w:val="auto"/>
        </w:rPr>
      </w:pPr>
    </w:p>
    <w:p>
      <w:pPr>
        <w:ind w:left="800" w:right="219" w:hanging="325"/>
        <w:spacing w:after="0" w:line="238"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December 2017, Blueprint Medicines announced the closing of an underwritten public offering of 4,259,259 shares of its common stock at a public offering price of $81.00 per share, including the exercise in full by the underwriters of their option to purchase additional shares of common stock.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120015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6" w:name="page7"/>
    <w:bookmarkEnd w:id="6"/>
    <w:p>
      <w:pPr>
        <w:ind w:left="800" w:right="1019"/>
        <w:spacing w:after="0" w:line="235" w:lineRule="auto"/>
        <w:rPr>
          <w:sz w:val="20"/>
          <w:szCs w:val="20"/>
          <w:color w:val="auto"/>
        </w:rPr>
      </w:pPr>
      <w:r>
        <w:rPr>
          <w:rFonts w:ascii="Arial" w:cs="Arial" w:eastAsia="Arial" w:hAnsi="Arial"/>
          <w:sz w:val="18"/>
          <w:szCs w:val="18"/>
          <w:color w:val="auto"/>
        </w:rPr>
        <w:t>Medicines received net proceeds from the offering of approximately $325.7 million, after deducting underwriting discounts and commissions and offering expenses.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Fourth Quarter and Year End 2017 Financial Results:</w:t>
      </w:r>
    </w:p>
    <w:p>
      <w:pPr>
        <w:spacing w:after="0" w:line="158" w:lineRule="exact"/>
        <w:rPr>
          <w:sz w:val="20"/>
          <w:szCs w:val="20"/>
          <w:color w:val="auto"/>
        </w:rPr>
      </w:pPr>
    </w:p>
    <w:p>
      <w:pPr>
        <w:ind w:left="800" w:right="199" w:hanging="325"/>
        <w:spacing w:after="0" w:line="20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2017, cash, cash equivalents and investments were $673.4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$268.2 million as of December 31, 2016. This increase was primarily due to an aggregate of $541.3 million in net proceeds from Blueprint Medicines’ underwritten public offerings in April and December 2017, partially offset by $119.9 million in cash used to fund operating activities for the year ended December 31, 2017.</w:t>
      </w:r>
    </w:p>
    <w:p>
      <w:pPr>
        <w:ind w:left="800" w:right="239" w:hanging="325"/>
        <w:spacing w:after="0" w:line="20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Revenues: </w:t>
      </w:r>
      <w:r>
        <w:rPr>
          <w:rFonts w:ascii="Arial" w:cs="Arial" w:eastAsia="Arial" w:hAnsi="Arial"/>
          <w:sz w:val="18"/>
          <w:szCs w:val="18"/>
          <w:color w:val="auto"/>
        </w:rPr>
        <w:t>Collaboration revenues were $1.6 million for the fourth quarter of 2017 and $21.4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year ended December 31, 2017, as compared to $7.7 million for the fourth quarter of 2016 and $27.8 million for the year ended December 31, 2016. This decrease was primarily due to the termination of the Alexion agreement during the fourth quarter of 2017.</w:t>
      </w:r>
    </w:p>
    <w:p>
      <w:pPr>
        <w:spacing w:after="0" w:line="1" w:lineRule="exact"/>
        <w:rPr>
          <w:rFonts w:ascii="Arial" w:cs="Arial" w:eastAsia="Arial" w:hAnsi="Arial"/>
          <w:sz w:val="18"/>
          <w:szCs w:val="18"/>
          <w:color w:val="auto"/>
        </w:rPr>
      </w:pPr>
    </w:p>
    <w:p>
      <w:pPr>
        <w:ind w:left="800" w:right="239" w:hanging="325"/>
        <w:spacing w:after="0" w:line="229"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R&amp;D Expenses: </w:t>
      </w:r>
      <w:r>
        <w:rPr>
          <w:rFonts w:ascii="Arial" w:cs="Arial" w:eastAsia="Arial" w:hAnsi="Arial"/>
          <w:sz w:val="16"/>
          <w:szCs w:val="16"/>
          <w:color w:val="auto"/>
        </w:rPr>
        <w:t>Research and development expenses were $43.6 million for the fourth quarter of 2017 and</w:t>
      </w:r>
      <w:r>
        <w:rPr>
          <w:rFonts w:ascii="Arial" w:cs="Arial" w:eastAsia="Arial" w:hAnsi="Arial"/>
          <w:sz w:val="16"/>
          <w:szCs w:val="16"/>
          <w:b w:val="1"/>
          <w:bCs w:val="1"/>
          <w:color w:val="auto"/>
        </w:rPr>
        <w:t xml:space="preserve"> </w:t>
      </w:r>
      <w:r>
        <w:rPr>
          <w:rFonts w:ascii="Arial" w:cs="Arial" w:eastAsia="Arial" w:hAnsi="Arial"/>
          <w:sz w:val="16"/>
          <w:szCs w:val="16"/>
          <w:color w:val="auto"/>
        </w:rPr>
        <w:t>$144.7 million for the year ended December 31, 2017, as compared to $24.1 million for the fourth quarter of 2016 and $81.1 million for the year ended December 31, 2016. This increase was primarily attributable to increased clinical and manufacturing expenses associated with advancing avapritinib, BLU-554, and BLU-667 further through Phase 1 clinical trials and increased personnel-related expenses. Research and development expenses included $1.9 million in stock-based compensation expenses for the fourth quarter of 2017 and $6.3 million in stock-based compensation expenses for the year ended December 31, 2017.</w:t>
      </w:r>
    </w:p>
    <w:p>
      <w:pPr>
        <w:ind w:left="800" w:hanging="325"/>
        <w:spacing w:after="0" w:line="215"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G&amp;A Expenses: </w:t>
      </w:r>
      <w:r>
        <w:rPr>
          <w:rFonts w:ascii="Arial" w:cs="Arial" w:eastAsia="Arial" w:hAnsi="Arial"/>
          <w:sz w:val="17"/>
          <w:szCs w:val="17"/>
          <w:color w:val="auto"/>
        </w:rPr>
        <w:t>General and administrative expenses were $8.1 million for the fourth quarter of 2017 and</w:t>
      </w:r>
    </w:p>
    <w:p>
      <w:pPr>
        <w:ind w:left="800" w:right="179"/>
        <w:spacing w:after="0" w:line="229" w:lineRule="auto"/>
        <w:rPr>
          <w:rFonts w:ascii="Arial" w:cs="Arial" w:eastAsia="Arial" w:hAnsi="Arial"/>
          <w:sz w:val="17"/>
          <w:szCs w:val="17"/>
          <w:color w:val="auto"/>
        </w:rPr>
      </w:pPr>
      <w:r>
        <w:rPr>
          <w:rFonts w:ascii="Arial" w:cs="Arial" w:eastAsia="Arial" w:hAnsi="Arial"/>
          <w:sz w:val="16"/>
          <w:szCs w:val="16"/>
          <w:color w:val="auto"/>
        </w:rPr>
        <w:t>$28.0 million for the year ended December 31, 2017, as compared to $5.0 million for the fourth quarter of 2016 and $19.2 million for the year ended December 31, 2016. This increase was primarily attributable to increased personnel-related expenses and professional fees, including market research and public relation costs. General and administrative expenses included $1.8 million in stock-based compensation expenses for the fourth quarter of 2017 and $6.2 million in stock-based compensation expenses for the year ended December 31, 2017.</w:t>
      </w:r>
    </w:p>
    <w:p>
      <w:pPr>
        <w:ind w:left="800" w:right="179" w:hanging="325"/>
        <w:spacing w:after="0" w:line="214"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$49.0 million for the fourth quarter of 2017 and $148.1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or a net loss per share of $1.23 and $3.92, respectively, as compared to a net loss of $21.3 million for the fourth quarter of 2016 and $72.5 million for the year ended December 31, 2016, or a net loss per share of $0.75 and $2.64, respectively.</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Financial Guidance:</w:t>
      </w:r>
    </w:p>
    <w:p>
      <w:pPr>
        <w:spacing w:after="0" w:line="162" w:lineRule="exact"/>
        <w:rPr>
          <w:sz w:val="20"/>
          <w:szCs w:val="20"/>
          <w:color w:val="auto"/>
        </w:rPr>
      </w:pPr>
    </w:p>
    <w:p>
      <w:pPr>
        <w:ind w:left="160" w:right="659"/>
        <w:spacing w:after="0" w:line="259" w:lineRule="auto"/>
        <w:rPr>
          <w:sz w:val="20"/>
          <w:szCs w:val="20"/>
          <w:color w:val="auto"/>
        </w:rPr>
      </w:pPr>
      <w:r>
        <w:rPr>
          <w:rFonts w:ascii="Arial" w:cs="Arial" w:eastAsia="Arial" w:hAnsi="Arial"/>
          <w:sz w:val="16"/>
          <w:szCs w:val="16"/>
          <w:color w:val="auto"/>
        </w:rPr>
        <w:t>Based on its current plans, Blueprint Medicines expects that its existing cash, cash equivalents and investments, excluding any potential option fees and milestone payments under its existing collaboration with Roche, will be sufficient to enable it to fund its operating expenses and capital expenditure requirements into the middle of 2020.</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Conference Call Information:</w:t>
      </w:r>
    </w:p>
    <w:p>
      <w:pPr>
        <w:spacing w:after="0" w:line="297" w:lineRule="exact"/>
        <w:rPr>
          <w:sz w:val="20"/>
          <w:szCs w:val="20"/>
          <w:color w:val="auto"/>
        </w:rPr>
      </w:pPr>
    </w:p>
    <w:p>
      <w:pPr>
        <w:ind w:left="160" w:right="219"/>
        <w:spacing w:after="0" w:line="229" w:lineRule="auto"/>
        <w:rPr>
          <w:sz w:val="20"/>
          <w:szCs w:val="20"/>
          <w:color w:val="auto"/>
        </w:rPr>
      </w:pPr>
      <w:r>
        <w:rPr>
          <w:rFonts w:ascii="Arial" w:cs="Arial" w:eastAsia="Arial" w:hAnsi="Arial"/>
          <w:sz w:val="17"/>
          <w:szCs w:val="17"/>
          <w:color w:val="auto"/>
        </w:rPr>
        <w:t>Blueprint Medicines will host a live conference call and webcast today at 8:30 a.m. ET. The conference call may be accessed by dialing 1-855-728-4793 (domestic) or 1-503-343-6666 (international) and referring to conference ID 3391675. A webcast of the conference call will be available in the Investors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Blueprint Medicines:</w:t>
      </w:r>
    </w:p>
    <w:p>
      <w:pPr>
        <w:spacing w:after="0" w:line="310" w:lineRule="exact"/>
        <w:rPr>
          <w:sz w:val="20"/>
          <w:szCs w:val="20"/>
          <w:color w:val="auto"/>
        </w:rPr>
      </w:pPr>
    </w:p>
    <w:p>
      <w:pPr>
        <w:jc w:val="both"/>
        <w:ind w:left="160" w:right="479"/>
        <w:spacing w:after="0" w:line="259" w:lineRule="auto"/>
        <w:rPr>
          <w:sz w:val="20"/>
          <w:szCs w:val="20"/>
          <w:color w:val="auto"/>
        </w:rPr>
      </w:pPr>
      <w:r>
        <w:rPr>
          <w:rFonts w:ascii="Arial" w:cs="Arial" w:eastAsia="Arial" w:hAnsi="Arial"/>
          <w:sz w:val="16"/>
          <w:szCs w:val="16"/>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111125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160" w:right="199"/>
        <w:spacing w:after="0" w:line="219" w:lineRule="auto"/>
        <w:rPr>
          <w:sz w:val="20"/>
          <w:szCs w:val="20"/>
          <w:color w:val="auto"/>
        </w:rPr>
      </w:pPr>
      <w:r>
        <w:rPr>
          <w:rFonts w:ascii="Arial" w:cs="Arial" w:eastAsia="Arial" w:hAnsi="Arial"/>
          <w:sz w:val="18"/>
          <w:szCs w:val="18"/>
          <w:color w:val="auto"/>
        </w:rPr>
        <w:t xml:space="preserve">programs in clinical development for subsets of patients with gastrointestinal stromal tumors, hepatocellular carcinoma, </w:t>
      </w:r>
      <w:r>
        <w:rPr>
          <w:rFonts w:ascii="Arial" w:cs="Arial" w:eastAsia="Arial" w:hAnsi="Arial"/>
          <w:sz w:val="18"/>
          <w:szCs w:val="18"/>
          <w:color w:val="auto"/>
        </w:rPr>
        <w:t>systemic mastocytosis, non-small cell lung cancer, medullary thyroid cancer and other advanced solid tumors, as well as multiple programs in research and preclinical development. For more information, please visit www.blueprintmedicines.com.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Availability of Other Information About Blueprint Medicines:</w:t>
      </w:r>
    </w:p>
    <w:p>
      <w:pPr>
        <w:spacing w:after="0" w:line="297" w:lineRule="exact"/>
        <w:rPr>
          <w:sz w:val="20"/>
          <w:szCs w:val="20"/>
          <w:color w:val="auto"/>
        </w:rPr>
      </w:pPr>
    </w:p>
    <w:p>
      <w:pPr>
        <w:ind w:left="160" w:right="199"/>
        <w:spacing w:after="0" w:line="235" w:lineRule="auto"/>
        <w:rPr>
          <w:sz w:val="20"/>
          <w:szCs w:val="20"/>
          <w:color w:val="auto"/>
        </w:rPr>
      </w:pPr>
      <w:r>
        <w:rPr>
          <w:rFonts w:ascii="Arial" w:cs="Arial" w:eastAsia="Arial" w:hAnsi="Arial"/>
          <w:sz w:val="16"/>
          <w:szCs w:val="16"/>
          <w:color w:val="auto"/>
        </w:rPr>
        <w:t>Investors and others should note that Blueprint Medicines communicates with its investors and the public using its company website (www.blueprintmedicines.com), including but not limited to investor presentations and scientific presentations, Securities and Exchange Commission filings, press releases, public conference calls and webcasts. You can also connect with Blueprint Medicines on Twitter (@BlueprintMeds) or LinkedIn. The information that Blueprint Medicines posts on these channels and websites could be deemed to be material information. As a result, Blueprint Medicines encourages investors, the media and others interested in Blueprint Medicines to review the information that it posts on these channels, including Blueprint Medicines' investor relations website, on a regular basis. This list of channels may be updated from time to time on Blueprint Medicines' investor relations website and may include other social media channels than the ones described above. The contents of Blueprint Medicines' website or these channels, or any other website that may be accessed from its website or these channels, shall not be deemed incorporated by reference in any filing under the Securities Act of 1933, as amended.</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60" w:right="139"/>
        <w:spacing w:after="0" w:line="21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plans and timelines for the clinical development of avapritinib, BLU-554, BLU-667 and BLU-782; the potential benefits of Blueprint Medicines’ current and future drug candidates in treating patients; plans and timelines for presenting preclinical and clinical data for Blueprint Medicines’ current or future clinical trials; plans and timelines for initiating Blueprint Medicines’ Voyager trial; plans and timelines for initiating a registration-enabling clinical trial in patients with advanced SM; plans and timelines for initiating a proof-of-concept Phase 2 clinical trial in patients with indolent and smoldering SM; plans and timelines for engaging regulatory authorities to obtain input on registration pathways for avapritinib and BLU-554; the timing of initial clinical data for Blueprint Medicines’ Phase 1 clinical trial for BLU-667; plans and timelines for initiating the expansion portion of Blueprint Medicines’ Phase 1 clinical trial for BLU-667; plans and timelines for initiating IND-enabling studies for BLU-782; the timing for reporting preclinical data for the BLU-782 program; plans to devote additional resources to commercial readiness; expectations regarding plans and timelines for pivotal clinical trials in multiple patient populations; expectations regarding potential milestones;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avapritinib for PDGFRα D842V-driven GIST and BLU-667 for RET-driven NSCLC; and the success of Blueprint Medicines’ cancer immunotherapy collaboration with F. Hoffmann-La Roche Ltd and Hoffmann-La Roche Inc. These and other risks and uncertainties are described in greater detail in the section entitled “Risk Factors” in Blueprint Medicines’ Quarterly Report on Form 10-Q for the quarter ended September 30, 2017, as filed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130810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ind w:left="160" w:right="219"/>
        <w:spacing w:after="0" w:line="232" w:lineRule="auto"/>
        <w:rPr>
          <w:sz w:val="20"/>
          <w:szCs w:val="20"/>
          <w:color w:val="auto"/>
        </w:rPr>
      </w:pPr>
      <w:r>
        <w:rPr>
          <w:rFonts w:ascii="Arial" w:cs="Arial" w:eastAsia="Arial" w:hAnsi="Arial"/>
          <w:sz w:val="17"/>
          <w:szCs w:val="17"/>
          <w:color w:val="auto"/>
        </w:rPr>
        <w:t>on October 31, 2017,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344170</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21" w:lineRule="auto"/>
        <w:rPr>
          <w:sz w:val="20"/>
          <w:szCs w:val="20"/>
          <w:color w:val="auto"/>
        </w:rPr>
      </w:pPr>
      <w:r>
        <w:rPr>
          <w:rFonts w:ascii="Arial" w:cs="Arial" w:eastAsia="Arial" w:hAnsi="Arial"/>
          <w:sz w:val="18"/>
          <w:szCs w:val="18"/>
          <w:b w:val="1"/>
          <w:bCs w:val="1"/>
          <w:color w:val="auto"/>
        </w:rPr>
        <w:t>Selected Condensed Consolidated Balance Sheet Data</w:t>
      </w:r>
    </w:p>
    <w:p>
      <w:pPr>
        <w:jc w:val="center"/>
        <w:spacing w:after="0" w:line="220"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673,356</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300" w:type="dxa"/>
            <w:vAlign w:val="bottom"/>
          </w:tcPr>
          <w:p>
            <w:pPr>
              <w:spacing w:after="0"/>
              <w:rPr>
                <w:sz w:val="20"/>
                <w:szCs w:val="20"/>
                <w:color w:val="auto"/>
              </w:rPr>
            </w:pPr>
          </w:p>
        </w:tc>
        <w:tc>
          <w:tcPr>
            <w:tcW w:w="2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(1)</w:t>
            </w:r>
          </w:p>
        </w:tc>
        <w:tc>
          <w:tcPr>
            <w:tcW w:w="3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642,615</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715,737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282,795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35,373</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Term loan payable</w:t>
            </w: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1,518</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incentive obligation</w:t>
            </w:r>
          </w:p>
        </w:tc>
        <w:tc>
          <w:tcPr>
            <w:tcW w:w="3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623,970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213,078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Operations Data</w:t>
      </w:r>
    </w:p>
    <w:p>
      <w:pPr>
        <w:jc w:val="center"/>
        <w:spacing w:after="0" w:line="219"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9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7"/>
                <w:szCs w:val="17"/>
                <w:color w:val="auto"/>
              </w:rPr>
            </w:pPr>
          </w:p>
        </w:tc>
        <w:tc>
          <w:tcPr>
            <w:tcW w:w="17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Years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center"/>
              <w:ind w:right="320"/>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7"/>
                <w:szCs w:val="17"/>
                <w:color w:val="auto"/>
              </w:rPr>
            </w:pPr>
          </w:p>
        </w:tc>
        <w:tc>
          <w:tcPr>
            <w:tcW w:w="1740" w:type="dxa"/>
            <w:vAlign w:val="bottom"/>
            <w:gridSpan w:val="4"/>
          </w:tcPr>
          <w:p>
            <w:pPr>
              <w:jc w:val="right"/>
              <w:ind w:right="330"/>
              <w:spacing w:after="0" w:line="202"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9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30"/>
              <w:spacing w:after="0" w:line="170" w:lineRule="exact"/>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0"/>
              <w:spacing w:after="0" w:line="170" w:lineRule="exact"/>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30"/>
              <w:spacing w:after="0" w:line="170" w:lineRule="exact"/>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(49,027)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(21,263)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(148,119)</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(72,495)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20"/>
              <w:spacing w:after="0" w:line="135" w:lineRule="exact"/>
              <w:rPr>
                <w:sz w:val="20"/>
                <w:szCs w:val="20"/>
                <w:color w:val="auto"/>
              </w:rPr>
            </w:pPr>
            <w:r>
              <w:rPr>
                <w:rFonts w:ascii="Arial" w:cs="Arial" w:eastAsia="Arial" w:hAnsi="Arial"/>
                <w:sz w:val="15"/>
                <w:szCs w:val="15"/>
                <w:color w:val="auto"/>
              </w:rPr>
              <w:t>Net loss per share applicable to common stockholders — basic</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92)</w:t>
            </w:r>
          </w:p>
        </w:tc>
        <w:tc>
          <w:tcPr>
            <w:tcW w:w="16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CFF"/>
            </w:tcBorders>
          </w:tcPr>
          <w:p>
            <w:pPr>
              <w:ind w:left="240"/>
              <w:spacing w:after="0" w:line="189" w:lineRule="exact"/>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940" w:type="dxa"/>
            <w:vAlign w:val="bottom"/>
            <w:shd w:val="clear" w:color="auto" w:fill="CCECFF"/>
          </w:tcPr>
          <w:p>
            <w:pPr>
              <w:ind w:left="20"/>
              <w:spacing w:after="0" w:line="135" w:lineRule="exact"/>
              <w:rPr>
                <w:sz w:val="20"/>
                <w:szCs w:val="20"/>
                <w:color w:val="auto"/>
              </w:rPr>
            </w:pPr>
            <w:r>
              <w:rPr>
                <w:rFonts w:ascii="Arial" w:cs="Arial" w:eastAsia="Arial" w:hAnsi="Arial"/>
                <w:sz w:val="15"/>
                <w:szCs w:val="15"/>
                <w:color w:val="auto"/>
              </w:rPr>
              <w:t>Weighted-average number of common shares used in net loss per</w:t>
            </w:r>
          </w:p>
        </w:tc>
        <w:tc>
          <w:tcPr>
            <w:tcW w:w="120" w:type="dxa"/>
            <w:vAlign w:val="bottom"/>
            <w:shd w:val="clear" w:color="auto" w:fill="CCECFF"/>
          </w:tcPr>
          <w:p>
            <w:pPr>
              <w:spacing w:after="0"/>
              <w:rPr>
                <w:sz w:val="11"/>
                <w:szCs w:val="11"/>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39,988</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28,450</w:t>
            </w: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37,793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27,492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CFF"/>
            </w:tcBorders>
            <w:shd w:val="clear" w:color="auto" w:fill="CCECFF"/>
          </w:tcPr>
          <w:p>
            <w:pPr>
              <w:ind w:left="240"/>
              <w:spacing w:after="0" w:line="189" w:lineRule="exact"/>
              <w:rPr>
                <w:sz w:val="20"/>
                <w:szCs w:val="20"/>
                <w:color w:val="auto"/>
              </w:rPr>
            </w:pPr>
            <w:r>
              <w:rPr>
                <w:rFonts w:ascii="Arial" w:cs="Arial" w:eastAsia="Arial" w:hAnsi="Arial"/>
                <w:sz w:val="18"/>
                <w:szCs w:val="18"/>
                <w:color w:val="auto"/>
                <w:w w:val="94"/>
              </w:rPr>
              <w:t>share applicable to common stockholders — basic and diluted</w:t>
            </w:r>
          </w:p>
        </w:tc>
        <w:tc>
          <w:tcPr>
            <w:tcW w:w="120" w:type="dxa"/>
            <w:vAlign w:val="bottom"/>
            <w:tcBorders>
              <w:bottom w:val="single" w:sz="8" w:color="auto"/>
            </w:tcBorders>
            <w:shd w:val="clear" w:color="auto" w:fill="CCECFF"/>
          </w:tcPr>
          <w:p>
            <w:pPr>
              <w:spacing w:after="0"/>
              <w:rPr>
                <w:sz w:val="17"/>
                <w:szCs w:val="17"/>
                <w:color w:val="auto"/>
              </w:rPr>
            </w:pPr>
          </w:p>
        </w:tc>
        <w:tc>
          <w:tcPr>
            <w:tcW w:w="700" w:type="dxa"/>
            <w:vAlign w:val="bottom"/>
            <w:tcBorders>
              <w:bottom w:val="single" w:sz="8" w:color="auto"/>
            </w:tcBorders>
            <w:vMerge w:val="continue"/>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spacing w:after="0"/>
              <w:rPr>
                <w:sz w:val="17"/>
                <w:szCs w:val="17"/>
                <w:color w:val="auto"/>
              </w:rPr>
            </w:pPr>
          </w:p>
        </w:tc>
        <w:tc>
          <w:tcPr>
            <w:tcW w:w="680" w:type="dxa"/>
            <w:vAlign w:val="bottom"/>
            <w:tcBorders>
              <w:bottom w:val="single" w:sz="8" w:color="auto"/>
            </w:tcBorders>
            <w:vMerge w:val="continue"/>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760" w:type="dxa"/>
            <w:vAlign w:val="bottom"/>
            <w:tcBorders>
              <w:bottom w:val="single" w:sz="8" w:color="auto"/>
            </w:tcBorders>
            <w:vMerge w:val="continue"/>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680" w:type="dxa"/>
            <w:vAlign w:val="bottom"/>
            <w:tcBorders>
              <w:bottom w:val="single" w:sz="8" w:color="auto"/>
            </w:tcBorders>
            <w:vMerge w:val="continue"/>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10" w:name="page11"/>
    <w:bookmarkEnd w:id="10"/>
    <w:p>
      <w:pPr>
        <w:ind w:left="160"/>
        <w:spacing w:after="0"/>
        <w:rPr>
          <w:sz w:val="20"/>
          <w:szCs w:val="20"/>
          <w:color w:val="auto"/>
        </w:rPr>
      </w:pPr>
      <w:r>
        <w:rPr>
          <w:rFonts w:ascii="Arial" w:cs="Arial" w:eastAsia="Arial" w:hAnsi="Arial"/>
          <w:sz w:val="16"/>
          <w:szCs w:val="16"/>
          <w:b w:val="1"/>
          <w:bCs w:val="1"/>
          <w:color w:val="auto"/>
        </w:rPr>
        <w:t>Media and Investor Relations Contacts: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Kristin Hodous</w:t>
      </w:r>
    </w:p>
    <w:p>
      <w:pPr>
        <w:ind w:left="160"/>
        <w:spacing w:after="0" w:line="203" w:lineRule="auto"/>
        <w:rPr>
          <w:sz w:val="20"/>
          <w:szCs w:val="20"/>
          <w:color w:val="auto"/>
        </w:rPr>
      </w:pPr>
      <w:r>
        <w:rPr>
          <w:rFonts w:ascii="Arial" w:cs="Arial" w:eastAsia="Arial" w:hAnsi="Arial"/>
          <w:sz w:val="18"/>
          <w:szCs w:val="18"/>
          <w:color w:val="auto"/>
        </w:rPr>
        <w:t>617 714 6674</w:t>
      </w:r>
    </w:p>
    <w:p>
      <w:pPr>
        <w:ind w:left="160"/>
        <w:spacing w:after="0"/>
        <w:rPr>
          <w:sz w:val="20"/>
          <w:szCs w:val="20"/>
          <w:color w:val="auto"/>
        </w:rPr>
      </w:pPr>
      <w:r>
        <w:rPr>
          <w:rFonts w:ascii="Arial" w:cs="Arial" w:eastAsia="Arial" w:hAnsi="Arial"/>
          <w:sz w:val="18"/>
          <w:szCs w:val="18"/>
          <w:color w:val="auto"/>
        </w:rPr>
        <w:t>khodous@blueprintmedicines.com</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Jim Baker</w:t>
      </w:r>
    </w:p>
    <w:p>
      <w:pPr>
        <w:ind w:left="160"/>
        <w:spacing w:after="0" w:line="203" w:lineRule="auto"/>
        <w:rPr>
          <w:sz w:val="20"/>
          <w:szCs w:val="20"/>
          <w:color w:val="auto"/>
        </w:rPr>
      </w:pPr>
      <w:r>
        <w:rPr>
          <w:rFonts w:ascii="Arial" w:cs="Arial" w:eastAsia="Arial" w:hAnsi="Arial"/>
          <w:sz w:val="18"/>
          <w:szCs w:val="18"/>
          <w:color w:val="auto"/>
        </w:rPr>
        <w:t>617 844 8236</w:t>
      </w:r>
    </w:p>
    <w:p>
      <w:pPr>
        <w:ind w:left="160"/>
        <w:spacing w:after="0"/>
        <w:rPr>
          <w:sz w:val="20"/>
          <w:szCs w:val="20"/>
          <w:color w:val="auto"/>
        </w:rPr>
      </w:pPr>
      <w:r>
        <w:rPr>
          <w:rFonts w:ascii="Arial" w:cs="Arial" w:eastAsia="Arial" w:hAnsi="Arial"/>
          <w:sz w:val="18"/>
          <w:szCs w:val="18"/>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125095</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2019-12-29T01:29:27Z</dcterms:created>
  <dcterms:modified xsi:type="dcterms:W3CDTF">2019-12-29T01:29:27Z</dcterms:modified>
</cp:coreProperties>
</file>