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 PROSPECTUS SUPPLEMENT</w:t>
        </w:r>
      </w:hyperlink>
    </w:p>
    <w:p>
      <w:pPr>
        <w:spacing w:after="0" w:line="19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333-216573</w:t>
      </w:r>
    </w:p>
    <w:p>
      <w:pPr>
        <w:spacing w:after="0" w:line="190" w:lineRule="exact"/>
        <w:rPr>
          <w:sz w:val="24"/>
          <w:szCs w:val="24"/>
          <w:color w:val="auto"/>
        </w:rPr>
      </w:pPr>
    </w:p>
    <w:p>
      <w:pPr>
        <w:ind w:right="40"/>
        <w:spacing w:after="0" w:line="244" w:lineRule="auto"/>
        <w:rPr>
          <w:sz w:val="20"/>
          <w:szCs w:val="20"/>
          <w:color w:val="auto"/>
        </w:rPr>
      </w:pPr>
      <w:r>
        <w:rPr>
          <w:rFonts w:ascii="Arial" w:cs="Arial" w:eastAsia="Arial" w:hAnsi="Arial"/>
          <w:sz w:val="18"/>
          <w:szCs w:val="18"/>
          <w:b w:val="1"/>
          <w:bCs w:val="1"/>
          <w:color w:val="FF4040"/>
        </w:rPr>
        <w:t>The information in this preliminary prospectus supplement is not complete and may be changed. A registration statement relating to these securities has become effective by rule of the Securities and Exchange Commission. This preliminary prospectus supplement and the accompanying prospectus are not an offer to sell these securities, and we are not soliciting offers to buy these securities, in any state or other jurisdiction where the offer or sale is not permitted.</w:t>
      </w:r>
    </w:p>
    <w:p>
      <w:pPr>
        <w:spacing w:after="0" w:line="185" w:lineRule="exact"/>
        <w:rPr>
          <w:sz w:val="24"/>
          <w:szCs w:val="24"/>
          <w:color w:val="auto"/>
        </w:rPr>
      </w:pPr>
    </w:p>
    <w:p>
      <w:pPr>
        <w:ind w:left="3480"/>
        <w:spacing w:after="0"/>
        <w:rPr>
          <w:sz w:val="20"/>
          <w:szCs w:val="20"/>
          <w:color w:val="auto"/>
        </w:rPr>
      </w:pPr>
      <w:r>
        <w:rPr>
          <w:rFonts w:ascii="Arial" w:cs="Arial" w:eastAsia="Arial" w:hAnsi="Arial"/>
          <w:sz w:val="18"/>
          <w:szCs w:val="18"/>
          <w:b w:val="1"/>
          <w:bCs w:val="1"/>
          <w:color w:val="FF4040"/>
        </w:rPr>
        <w:t>SUBJECT TO COMPLETION, DATED MARCH 29, 2017</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 to Prospectus dated March 9, 2017.</w:t>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$150,000,000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1883410</wp:posOffset>
            </wp:positionH>
            <wp:positionV relativeFrom="paragraph">
              <wp:posOffset>144780</wp:posOffset>
            </wp:positionV>
            <wp:extent cx="3498850" cy="1183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98850" cy="11836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Blueprint Medicines Corporation</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31" w:lineRule="exact"/>
        <w:rPr>
          <w:sz w:val="24"/>
          <w:szCs w:val="24"/>
          <w:color w:val="auto"/>
        </w:rPr>
      </w:pPr>
    </w:p>
    <w:p>
      <w:pPr>
        <w:ind w:left="500"/>
        <w:spacing w:after="0"/>
        <w:rPr>
          <w:sz w:val="20"/>
          <w:szCs w:val="20"/>
          <w:color w:val="auto"/>
        </w:rPr>
      </w:pPr>
      <w:r>
        <w:rPr>
          <w:rFonts w:ascii="Arial" w:cs="Arial" w:eastAsia="Arial" w:hAnsi="Arial"/>
          <w:sz w:val="18"/>
          <w:szCs w:val="18"/>
          <w:color w:val="auto"/>
        </w:rPr>
        <w:t>We are offering up to $150,000,000 of shares of our common stock.</w:t>
      </w:r>
    </w:p>
    <w:p>
      <w:pPr>
        <w:spacing w:after="0" w:line="212" w:lineRule="exact"/>
        <w:rPr>
          <w:sz w:val="24"/>
          <w:szCs w:val="24"/>
          <w:color w:val="auto"/>
        </w:rPr>
      </w:pPr>
    </w:p>
    <w:p>
      <w:pPr>
        <w:ind w:right="240" w:firstLine="488"/>
        <w:spacing w:after="0" w:line="239" w:lineRule="auto"/>
        <w:rPr>
          <w:sz w:val="20"/>
          <w:szCs w:val="20"/>
          <w:color w:val="auto"/>
        </w:rPr>
      </w:pPr>
      <w:r>
        <w:rPr>
          <w:rFonts w:ascii="Arial" w:cs="Arial" w:eastAsia="Arial" w:hAnsi="Arial"/>
          <w:sz w:val="18"/>
          <w:szCs w:val="18"/>
          <w:color w:val="auto"/>
        </w:rPr>
        <w:t>Our common stock is listed on The NASDAQ Global Select Market under the symbol "BPMC". The last reported sale price of our common stock on The NASDAQ Global Select Market on March 28, 2017 was $42.31 per share.</w:t>
      </w:r>
    </w:p>
    <w:p>
      <w:pPr>
        <w:spacing w:after="0" w:line="209" w:lineRule="exact"/>
        <w:rPr>
          <w:sz w:val="24"/>
          <w:szCs w:val="24"/>
          <w:color w:val="auto"/>
        </w:rPr>
      </w:pPr>
    </w:p>
    <w:p>
      <w:pPr>
        <w:ind w:right="40" w:firstLine="488"/>
        <w:spacing w:after="0" w:line="23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supplement and future filings.</w:t>
      </w:r>
    </w:p>
    <w:p>
      <w:pPr>
        <w:spacing w:after="0" w:line="191" w:lineRule="exact"/>
        <w:rPr>
          <w:sz w:val="24"/>
          <w:szCs w:val="24"/>
          <w:color w:val="auto"/>
        </w:rPr>
      </w:pPr>
    </w:p>
    <w:p>
      <w:pPr>
        <w:ind w:right="100" w:firstLine="488"/>
        <w:spacing w:after="0" w:line="247" w:lineRule="auto"/>
        <w:rPr>
          <w:sz w:val="20"/>
          <w:szCs w:val="20"/>
          <w:color w:val="auto"/>
        </w:rPr>
      </w:pPr>
      <w:r>
        <w:rPr>
          <w:rFonts w:ascii="Arial" w:cs="Arial" w:eastAsia="Arial" w:hAnsi="Arial"/>
          <w:sz w:val="18"/>
          <w:szCs w:val="18"/>
          <w:i w:val="1"/>
          <w:iCs w:val="1"/>
          <w:color w:val="auto"/>
        </w:rPr>
        <w:t>Investing in our common stock involves a high degree of risk. See "Risk Factors" beginning on page S-12 of this prospectus supplement, as well as in the documents incorporated or deemed to be incorporated by reference into this prospectus supplement and the accompanying prospectus, for a discussion of the factors you should carefully consider before deciding to purchase our common stock.</w:t>
      </w:r>
    </w:p>
    <w:p>
      <w:pPr>
        <w:spacing w:after="0" w:line="181" w:lineRule="exact"/>
        <w:rPr>
          <w:sz w:val="24"/>
          <w:szCs w:val="24"/>
          <w:color w:val="auto"/>
        </w:rPr>
      </w:pPr>
    </w:p>
    <w:p>
      <w:pPr>
        <w:ind w:right="140" w:firstLine="488"/>
        <w:spacing w:after="0" w:line="249" w:lineRule="auto"/>
        <w:rPr>
          <w:sz w:val="20"/>
          <w:szCs w:val="20"/>
          <w:color w:val="auto"/>
        </w:rPr>
      </w:pPr>
      <w:r>
        <w:rPr>
          <w:rFonts w:ascii="Arial" w:cs="Arial" w:eastAsia="Arial" w:hAnsi="Arial"/>
          <w:sz w:val="18"/>
          <w:szCs w:val="18"/>
          <w:b w:val="1"/>
          <w:bCs w:val="1"/>
          <w:color w:val="auto"/>
        </w:rPr>
        <w:t>Neither the Securities and Exchange Commission nor any other regulatory body has approved or disapproved of these securities or passed upon the adequacy or accuracy of this prospectus supplement or the accompanying prospectus. Any representation to the contrary is a criminal offense.</w:t>
      </w:r>
    </w:p>
    <w:p>
      <w:pPr>
        <w:spacing w:after="0" w:line="208" w:lineRule="exact"/>
        <w:rPr>
          <w:sz w:val="24"/>
          <w:szCs w:val="24"/>
          <w:color w:val="auto"/>
        </w:rPr>
      </w:pPr>
    </w:p>
    <w:tbl>
      <w:tblPr>
        <w:tblLayout w:type="fixed"/>
        <w:tblInd w:w="114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Per share</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Total</w:t>
            </w:r>
          </w:p>
        </w:tc>
      </w:tr>
      <w:tr>
        <w:trPr>
          <w:trHeight w:val="206"/>
        </w:trPr>
        <w:tc>
          <w:tcPr>
            <w:tcW w:w="6060" w:type="dxa"/>
            <w:vAlign w:val="bottom"/>
            <w:gridSpan w:val="2"/>
          </w:tcPr>
          <w:p>
            <w:pPr>
              <w:spacing w:after="0" w:line="206" w:lineRule="exact"/>
              <w:rPr>
                <w:sz w:val="20"/>
                <w:szCs w:val="20"/>
                <w:color w:val="auto"/>
              </w:rPr>
            </w:pPr>
            <w:r>
              <w:rPr>
                <w:rFonts w:ascii="Arial" w:cs="Arial" w:eastAsia="Arial" w:hAnsi="Arial"/>
                <w:sz w:val="18"/>
                <w:szCs w:val="18"/>
                <w:color w:val="auto"/>
              </w:rPr>
              <w:t>Public offering price</w:t>
            </w:r>
          </w:p>
        </w:tc>
        <w:tc>
          <w:tcPr>
            <w:tcW w:w="1960" w:type="dxa"/>
            <w:vAlign w:val="bottom"/>
            <w:gridSpan w:val="2"/>
          </w:tcPr>
          <w:p>
            <w:pPr>
              <w:jc w:val="right"/>
              <w:ind w:right="632"/>
              <w:spacing w:after="0" w:line="206"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32"/>
              <w:spacing w:after="0" w:line="206" w:lineRule="exact"/>
              <w:rPr>
                <w:sz w:val="20"/>
                <w:szCs w:val="20"/>
                <w:color w:val="auto"/>
              </w:rPr>
            </w:pPr>
            <w:r>
              <w:rPr>
                <w:rFonts w:ascii="Arial" w:cs="Arial" w:eastAsia="Arial" w:hAnsi="Arial"/>
                <w:sz w:val="18"/>
                <w:szCs w:val="18"/>
                <w:color w:val="auto"/>
              </w:rPr>
              <w:t>$</w:t>
            </w: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Underwriting discount(1)</w:t>
            </w:r>
          </w:p>
        </w:tc>
        <w:tc>
          <w:tcPr>
            <w:tcW w:w="1960" w:type="dxa"/>
            <w:vAlign w:val="bottom"/>
            <w:gridSpan w:val="2"/>
          </w:tcPr>
          <w:p>
            <w:pPr>
              <w:jc w:val="right"/>
              <w:ind w:right="632"/>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32"/>
              <w:spacing w:after="0" w:line="202" w:lineRule="exact"/>
              <w:rPr>
                <w:sz w:val="20"/>
                <w:szCs w:val="20"/>
                <w:color w:val="auto"/>
              </w:rPr>
            </w:pPr>
            <w:r>
              <w:rPr>
                <w:rFonts w:ascii="Arial" w:cs="Arial" w:eastAsia="Arial" w:hAnsi="Arial"/>
                <w:sz w:val="18"/>
                <w:szCs w:val="18"/>
                <w:color w:val="auto"/>
              </w:rPr>
              <w:t>$</w:t>
            </w:r>
          </w:p>
        </w:tc>
      </w:tr>
      <w:tr>
        <w:trPr>
          <w:trHeight w:val="211"/>
        </w:trPr>
        <w:tc>
          <w:tcPr>
            <w:tcW w:w="6060" w:type="dxa"/>
            <w:vAlign w:val="bottom"/>
            <w:gridSpan w:val="2"/>
          </w:tcPr>
          <w:p>
            <w:pPr>
              <w:spacing w:after="0"/>
              <w:rPr>
                <w:sz w:val="20"/>
                <w:szCs w:val="20"/>
                <w:color w:val="auto"/>
              </w:rPr>
            </w:pPr>
            <w:r>
              <w:rPr>
                <w:rFonts w:ascii="Arial" w:cs="Arial" w:eastAsia="Arial" w:hAnsi="Arial"/>
                <w:sz w:val="18"/>
                <w:szCs w:val="18"/>
                <w:color w:val="auto"/>
              </w:rPr>
              <w:t>Proceeds, before expenses, to Blueprint Medicines Corporation</w:t>
            </w:r>
          </w:p>
        </w:tc>
        <w:tc>
          <w:tcPr>
            <w:tcW w:w="196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32"/>
              <w:spacing w:after="0"/>
              <w:rPr>
                <w:sz w:val="20"/>
                <w:szCs w:val="20"/>
                <w:color w:val="auto"/>
              </w:rPr>
            </w:pPr>
            <w:r>
              <w:rPr>
                <w:rFonts w:ascii="Arial" w:cs="Arial" w:eastAsia="Arial" w:hAnsi="Arial"/>
                <w:sz w:val="18"/>
                <w:szCs w:val="18"/>
                <w:color w:val="auto"/>
              </w:rPr>
              <w:t>$</w:t>
            </w:r>
          </w:p>
        </w:tc>
      </w:tr>
      <w:tr>
        <w:trPr>
          <w:trHeight w:val="97"/>
        </w:trPr>
        <w:tc>
          <w:tcPr>
            <w:tcW w:w="940" w:type="dxa"/>
            <w:vAlign w:val="bottom"/>
            <w:tcBorders>
              <w:bottom w:val="single" w:sz="8" w:color="auto"/>
            </w:tcBorders>
          </w:tcPr>
          <w:p>
            <w:pPr>
              <w:spacing w:after="0"/>
              <w:rPr>
                <w:sz w:val="8"/>
                <w:szCs w:val="8"/>
                <w:color w:val="auto"/>
              </w:rPr>
            </w:pPr>
          </w:p>
        </w:tc>
        <w:tc>
          <w:tcPr>
            <w:tcW w:w="5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r>
    </w:tbl>
    <w:p>
      <w:pPr>
        <w:spacing w:after="0" w:line="219" w:lineRule="exact"/>
        <w:rPr>
          <w:sz w:val="24"/>
          <w:szCs w:val="24"/>
          <w:color w:val="auto"/>
        </w:rPr>
      </w:pPr>
    </w:p>
    <w:p>
      <w:pPr>
        <w:ind w:left="1680" w:right="320" w:hanging="531"/>
        <w:spacing w:after="0" w:line="239" w:lineRule="auto"/>
        <w:tabs>
          <w:tab w:leader="none" w:pos="1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refer you to "Underwriting" beginning on page S-21 of this prospectus supplement for additional information regarding underwriter compensation.</w:t>
      </w:r>
    </w:p>
    <w:p>
      <w:pPr>
        <w:spacing w:after="0" w:line="209" w:lineRule="exact"/>
        <w:rPr>
          <w:sz w:val="24"/>
          <w:szCs w:val="24"/>
          <w:color w:val="auto"/>
        </w:rPr>
      </w:pPr>
    </w:p>
    <w:p>
      <w:pPr>
        <w:ind w:right="600" w:firstLine="488"/>
        <w:spacing w:after="0" w:line="299" w:lineRule="auto"/>
        <w:rPr>
          <w:sz w:val="20"/>
          <w:szCs w:val="20"/>
          <w:color w:val="auto"/>
        </w:rPr>
      </w:pPr>
      <w:r>
        <w:rPr>
          <w:rFonts w:ascii="Arial" w:cs="Arial" w:eastAsia="Arial" w:hAnsi="Arial"/>
          <w:sz w:val="16"/>
          <w:szCs w:val="16"/>
          <w:color w:val="auto"/>
        </w:rPr>
        <w:t>We have granted the underwriters an option for a period of 30 days from the date of this prospectus supplement to purchase up to an additional $22,500,000 of shares of our common stock at the public offering price less the underwriting discounts and commissions.</w:t>
      </w:r>
    </w:p>
    <w:p>
      <w:pPr>
        <w:spacing w:after="0" w:line="163" w:lineRule="exact"/>
        <w:rPr>
          <w:sz w:val="24"/>
          <w:szCs w:val="24"/>
          <w:color w:val="auto"/>
        </w:rPr>
      </w:pPr>
    </w:p>
    <w:p>
      <w:pPr>
        <w:ind w:left="500"/>
        <w:spacing w:after="0"/>
        <w:tabs>
          <w:tab w:leader="none" w:pos="8680" w:val="left"/>
        </w:tabs>
        <w:rPr>
          <w:sz w:val="20"/>
          <w:szCs w:val="20"/>
          <w:color w:val="auto"/>
        </w:rPr>
      </w:pPr>
      <w:r>
        <w:rPr>
          <w:rFonts w:ascii="Arial" w:cs="Arial" w:eastAsia="Arial" w:hAnsi="Arial"/>
          <w:sz w:val="18"/>
          <w:szCs w:val="18"/>
          <w:color w:val="auto"/>
        </w:rPr>
        <w:t>The underwriters expect to deliver the shares against payment in New York, New York on or about April</w:t>
      </w:r>
      <w:r>
        <w:rPr>
          <w:sz w:val="20"/>
          <w:szCs w:val="20"/>
          <w:color w:val="auto"/>
        </w:rPr>
        <w:tab/>
      </w:r>
      <w:r>
        <w:rPr>
          <w:rFonts w:ascii="Arial" w:cs="Arial" w:eastAsia="Arial" w:hAnsi="Arial"/>
          <w:sz w:val="16"/>
          <w:szCs w:val="16"/>
          <w:color w:val="auto"/>
        </w:rPr>
        <w:t>, 2017.</w:t>
      </w:r>
    </w:p>
    <w:p>
      <w:pPr>
        <w:spacing w:after="0" w:line="175" w:lineRule="exact"/>
        <w:rPr>
          <w:sz w:val="24"/>
          <w:szCs w:val="24"/>
          <w:color w:val="auto"/>
        </w:rPr>
      </w:pPr>
    </w:p>
    <w:p>
      <w:pPr>
        <w:ind w:left="1140"/>
        <w:spacing w:after="0"/>
        <w:tabs>
          <w:tab w:leader="none" w:pos="4920" w:val="left"/>
          <w:tab w:leader="none" w:pos="7900" w:val="left"/>
        </w:tabs>
        <w:rPr>
          <w:sz w:val="20"/>
          <w:szCs w:val="20"/>
          <w:color w:val="auto"/>
        </w:rPr>
      </w:pPr>
      <w:r>
        <w:rPr>
          <w:rFonts w:ascii="Arial" w:cs="Arial" w:eastAsia="Arial" w:hAnsi="Arial"/>
          <w:sz w:val="24"/>
          <w:szCs w:val="24"/>
          <w:b w:val="1"/>
          <w:bCs w:val="1"/>
          <w:color w:val="auto"/>
        </w:rPr>
        <w:t>Goldman, Sachs &amp; Co.</w:t>
      </w:r>
      <w:r>
        <w:rPr>
          <w:sz w:val="20"/>
          <w:szCs w:val="20"/>
          <w:color w:val="auto"/>
        </w:rPr>
        <w:tab/>
      </w:r>
      <w:r>
        <w:rPr>
          <w:rFonts w:ascii="Arial" w:cs="Arial" w:eastAsia="Arial" w:hAnsi="Arial"/>
          <w:sz w:val="24"/>
          <w:szCs w:val="24"/>
          <w:b w:val="1"/>
          <w:bCs w:val="1"/>
          <w:color w:val="auto"/>
        </w:rPr>
        <w:t>Morgan Stanley</w:t>
      </w:r>
      <w:r>
        <w:rPr>
          <w:sz w:val="20"/>
          <w:szCs w:val="20"/>
          <w:color w:val="auto"/>
        </w:rPr>
        <w:tab/>
      </w:r>
      <w:r>
        <w:rPr>
          <w:rFonts w:ascii="Arial" w:cs="Arial" w:eastAsia="Arial" w:hAnsi="Arial"/>
          <w:sz w:val="24"/>
          <w:szCs w:val="24"/>
          <w:b w:val="1"/>
          <w:bCs w:val="1"/>
          <w:color w:val="auto"/>
        </w:rPr>
        <w:t>Cowen and Company</w:t>
      </w: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Raymond James</w:t>
      </w:r>
    </w:p>
    <w:p>
      <w:pPr>
        <w:sectPr>
          <w:pgSz w:w="11900" w:h="16838" w:orient="portrait"/>
          <w:cols w:equalWidth="0" w:num="1">
            <w:col w:w="11420"/>
          </w:cols>
          <w:pgMar w:left="240" w:top="685" w:right="239" w:bottom="1149" w:gutter="0" w:footer="0" w:header="0"/>
        </w:sectPr>
      </w:pPr>
    </w:p>
    <w:p>
      <w:pPr>
        <w:spacing w:after="0" w:line="200" w:lineRule="exact"/>
        <w:rPr>
          <w:sz w:val="24"/>
          <w:szCs w:val="24"/>
          <w:color w:val="auto"/>
        </w:rPr>
      </w:pPr>
    </w:p>
    <w:p>
      <w:pPr>
        <w:spacing w:after="0" w:line="344" w:lineRule="exact"/>
        <w:rPr>
          <w:sz w:val="24"/>
          <w:szCs w:val="24"/>
          <w:color w:val="auto"/>
        </w:rPr>
      </w:pPr>
    </w:p>
    <w:p>
      <w:pPr>
        <w:ind w:left="3680"/>
        <w:spacing w:after="0"/>
        <w:tabs>
          <w:tab w:leader="none" w:pos="7240" w:val="left"/>
        </w:tabs>
        <w:rPr>
          <w:sz w:val="20"/>
          <w:szCs w:val="20"/>
          <w:color w:val="auto"/>
        </w:rPr>
      </w:pPr>
      <w:r>
        <w:rPr>
          <w:rFonts w:ascii="Arial" w:cs="Arial" w:eastAsia="Arial" w:hAnsi="Arial"/>
          <w:sz w:val="18"/>
          <w:szCs w:val="18"/>
          <w:color w:val="auto"/>
        </w:rPr>
        <w:t>Prospectus Supplement dated March</w:t>
      </w:r>
      <w:r>
        <w:rPr>
          <w:sz w:val="20"/>
          <w:szCs w:val="20"/>
          <w:color w:val="auto"/>
        </w:rPr>
        <w:tab/>
      </w:r>
      <w:r>
        <w:rPr>
          <w:rFonts w:ascii="Arial" w:cs="Arial" w:eastAsia="Arial" w:hAnsi="Arial"/>
          <w:sz w:val="16"/>
          <w:szCs w:val="16"/>
          <w:color w:val="auto"/>
        </w:rPr>
        <w:t>,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14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600" w:type="dxa"/>
            <w:vAlign w:val="bottom"/>
            <w:gridSpan w:val="2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09"/>
        </w:trPr>
        <w:tc>
          <w:tcPr>
            <w:tcW w:w="11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6"/>
          </w:tcPr>
          <w:p>
            <w:pPr>
              <w:jc w:val="center"/>
              <w:ind w:right="2860"/>
              <w:spacing w:after="0"/>
              <w:rPr>
                <w:sz w:val="20"/>
                <w:szCs w:val="20"/>
                <w:color w:val="auto"/>
              </w:rPr>
            </w:pPr>
            <w:r>
              <w:rPr>
                <w:rFonts w:ascii="Arial" w:cs="Arial" w:eastAsia="Arial" w:hAnsi="Arial"/>
                <w:sz w:val="18"/>
                <w:szCs w:val="18"/>
                <w:b w:val="1"/>
                <w:bCs w:val="1"/>
                <w:color w:val="auto"/>
                <w:w w:val="96"/>
              </w:rPr>
              <w:t>TABLE OF CONTENTS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3"/>
        </w:trPr>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3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7"/>
              </w:rPr>
              <w:t>PROSPECTUS SUPPLEMENT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WHERE YOU CAN FIND MORE INFORMATION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S-2</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S-2</w:t>
              </w:r>
            </w:hyperlink>
          </w:p>
        </w:tc>
      </w:tr>
      <w:tr>
        <w:trPr>
          <w:trHeight w:val="183"/>
        </w:trPr>
        <w:tc>
          <w:tcPr>
            <w:tcW w:w="1140" w:type="dxa"/>
            <w:vAlign w:val="bottom"/>
          </w:tcPr>
          <w:p>
            <w:pPr>
              <w:spacing w:after="0"/>
              <w:rPr>
                <w:sz w:val="15"/>
                <w:szCs w:val="15"/>
                <w:color w:val="auto"/>
              </w:rPr>
            </w:pPr>
          </w:p>
        </w:tc>
        <w:tc>
          <w:tcPr>
            <w:tcW w:w="5820" w:type="dxa"/>
            <w:vAlign w:val="bottom"/>
            <w:tcBorders>
              <w:bottom w:val="single" w:sz="8" w:color="0000EE"/>
            </w:tcBorders>
            <w:gridSpan w:val="22"/>
          </w:tcPr>
          <w:p>
            <w:pPr>
              <w:spacing w:after="0" w:line="182" w:lineRule="exact"/>
              <w:rPr>
                <w:rFonts w:ascii="Arial" w:cs="Arial" w:eastAsia="Arial" w:hAnsi="Arial"/>
                <w:sz w:val="18"/>
                <w:szCs w:val="18"/>
                <w:color w:val="0000EE"/>
                <w:w w:val="96"/>
              </w:rPr>
            </w:pPr>
            <w:hyperlink w:anchor="page6">
              <w:r>
                <w:rPr>
                  <w:rFonts w:ascii="Arial" w:cs="Arial" w:eastAsia="Arial" w:hAnsi="Arial"/>
                  <w:sz w:val="18"/>
                  <w:szCs w:val="18"/>
                  <w:color w:val="0000EE"/>
                  <w:w w:val="96"/>
                </w:rPr>
                <w:t>CAUTIONARY NOTE REGARDING FORWARD-LOOKING STATEMENTS</w:t>
              </w:r>
            </w:hyperlink>
          </w:p>
        </w:tc>
        <w:tc>
          <w:tcPr>
            <w:tcW w:w="26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S-4</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PROSPECTUS SUPPLEMENT SUMMARY</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S-6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20" w:type="dxa"/>
            <w:vAlign w:val="bottom"/>
            <w:tcBorders>
              <w:bottom w:val="single" w:sz="8" w:color="0000EE"/>
            </w:tcBorders>
            <w:gridSpan w:val="4"/>
          </w:tcPr>
          <w:p>
            <w:pPr>
              <w:spacing w:after="0" w:line="182" w:lineRule="exact"/>
              <w:rPr>
                <w:rFonts w:ascii="Arial" w:cs="Arial" w:eastAsia="Arial" w:hAnsi="Arial"/>
                <w:sz w:val="18"/>
                <w:szCs w:val="18"/>
                <w:color w:val="0000EE"/>
                <w:w w:val="96"/>
              </w:rPr>
            </w:pPr>
            <w:hyperlink w:anchor="page12">
              <w:r>
                <w:rPr>
                  <w:rFonts w:ascii="Arial" w:cs="Arial" w:eastAsia="Arial" w:hAnsi="Arial"/>
                  <w:sz w:val="18"/>
                  <w:szCs w:val="18"/>
                  <w:color w:val="0000EE"/>
                  <w:w w:val="96"/>
                </w:rPr>
                <w:t>THE OFFERING</w:t>
              </w:r>
            </w:hyperlink>
          </w:p>
        </w:tc>
        <w:tc>
          <w:tcPr>
            <w:tcW w:w="2040" w:type="dxa"/>
            <w:vAlign w:val="bottom"/>
            <w:gridSpan w:val="12"/>
          </w:tcPr>
          <w:p>
            <w:pPr>
              <w:spacing w:after="0"/>
              <w:rPr>
                <w:sz w:val="15"/>
                <w:szCs w:val="15"/>
                <w:color w:val="auto"/>
              </w:rPr>
            </w:pPr>
          </w:p>
        </w:tc>
        <w:tc>
          <w:tcPr>
            <w:tcW w:w="5100" w:type="dxa"/>
            <w:vAlign w:val="bottom"/>
            <w:gridSpan w:val="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S-10</w:t>
              </w:r>
            </w:hyperlink>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4">
              <w:r>
                <w:rPr>
                  <w:rFonts w:ascii="Arial" w:cs="Arial" w:eastAsia="Arial" w:hAnsi="Arial"/>
                  <w:sz w:val="18"/>
                  <w:szCs w:val="18"/>
                  <w:color w:val="0000EE"/>
                  <w:w w:val="96"/>
                </w:rPr>
                <w:t>RISK FACTORS</w:t>
              </w:r>
            </w:hyperlink>
          </w:p>
        </w:tc>
        <w:tc>
          <w:tcPr>
            <w:tcW w:w="7160" w:type="dxa"/>
            <w:vAlign w:val="bottom"/>
            <w:gridSpan w:val="21"/>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S-12</w:t>
              </w:r>
            </w:hyperlink>
          </w:p>
        </w:tc>
      </w:tr>
      <w:tr>
        <w:trPr>
          <w:trHeight w:val="183"/>
        </w:trPr>
        <w:tc>
          <w:tcPr>
            <w:tcW w:w="1140" w:type="dxa"/>
            <w:vAlign w:val="bottom"/>
          </w:tcPr>
          <w:p>
            <w:pPr>
              <w:spacing w:after="0"/>
              <w:rPr>
                <w:sz w:val="15"/>
                <w:szCs w:val="15"/>
                <w:color w:val="auto"/>
              </w:rPr>
            </w:pPr>
          </w:p>
        </w:tc>
        <w:tc>
          <w:tcPr>
            <w:tcW w:w="1700" w:type="dxa"/>
            <w:vAlign w:val="bottom"/>
            <w:tcBorders>
              <w:bottom w:val="single" w:sz="8" w:color="0000EE"/>
            </w:tcBorders>
            <w:gridSpan w:val="8"/>
          </w:tcPr>
          <w:p>
            <w:pPr>
              <w:spacing w:after="0" w:line="18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USE OF PROCEEDS</w:t>
              </w:r>
            </w:hyperlink>
          </w:p>
        </w:tc>
        <w:tc>
          <w:tcPr>
            <w:tcW w:w="676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S-16</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DILUTION</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S-17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PRICE RANGE OF COMMON STOCK</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21">
              <w:r>
                <w:rPr>
                  <w:rFonts w:ascii="Arial" w:cs="Arial" w:eastAsia="Arial" w:hAnsi="Arial"/>
                  <w:sz w:val="18"/>
                  <w:szCs w:val="18"/>
                  <w:color w:val="0000EE"/>
                  <w:w w:val="94"/>
                </w:rPr>
                <w:t>S-19</w:t>
              </w:r>
            </w:hyperlink>
          </w:p>
        </w:tc>
      </w:tr>
      <w:tr>
        <w:trPr>
          <w:trHeight w:val="183"/>
        </w:trPr>
        <w:tc>
          <w:tcPr>
            <w:tcW w:w="1140" w:type="dxa"/>
            <w:vAlign w:val="bottom"/>
          </w:tcPr>
          <w:p>
            <w:pPr>
              <w:spacing w:after="0"/>
              <w:rPr>
                <w:sz w:val="15"/>
                <w:szCs w:val="15"/>
                <w:color w:val="auto"/>
              </w:rPr>
            </w:pPr>
          </w:p>
        </w:tc>
        <w:tc>
          <w:tcPr>
            <w:tcW w:w="302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DIVIDEND POLICY</w:t>
              </w:r>
            </w:hyperlink>
          </w:p>
        </w:tc>
        <w:tc>
          <w:tcPr>
            <w:tcW w:w="544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22">
              <w:r>
                <w:rPr>
                  <w:rFonts w:ascii="Arial" w:cs="Arial" w:eastAsia="Arial" w:hAnsi="Arial"/>
                  <w:sz w:val="18"/>
                  <w:szCs w:val="18"/>
                  <w:color w:val="0000EE"/>
                  <w:w w:val="94"/>
                </w:rPr>
                <w:t>S-20</w:t>
              </w:r>
            </w:hyperlink>
          </w:p>
        </w:tc>
      </w:tr>
      <w:tr>
        <w:trPr>
          <w:trHeight w:val="183"/>
        </w:trPr>
        <w:tc>
          <w:tcPr>
            <w:tcW w:w="1140" w:type="dxa"/>
            <w:vAlign w:val="bottom"/>
          </w:tcPr>
          <w:p>
            <w:pPr>
              <w:spacing w:after="0"/>
              <w:rPr>
                <w:sz w:val="15"/>
                <w:szCs w:val="15"/>
                <w:color w:val="auto"/>
              </w:rPr>
            </w:pPr>
          </w:p>
        </w:tc>
        <w:tc>
          <w:tcPr>
            <w:tcW w:w="140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UNDERWRITING</w:t>
              </w:r>
            </w:hyperlink>
          </w:p>
        </w:tc>
        <w:tc>
          <w:tcPr>
            <w:tcW w:w="140" w:type="dxa"/>
            <w:vAlign w:val="bottom"/>
            <w:tcBorders>
              <w:top w:val="single" w:sz="8" w:color="0000EE"/>
            </w:tcBorders>
            <w:gridSpan w:val="2"/>
          </w:tcPr>
          <w:p>
            <w:pPr>
              <w:spacing w:after="0"/>
              <w:rPr>
                <w:sz w:val="15"/>
                <w:szCs w:val="15"/>
                <w:color w:val="auto"/>
              </w:rPr>
            </w:pPr>
          </w:p>
        </w:tc>
        <w:tc>
          <w:tcPr>
            <w:tcW w:w="69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S-21</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MATERIAL U.S. FEDERAL INCOME TAX CONSIDERATIONS FOR NON-U.S. HOLDERS</w:t>
              </w:r>
            </w:hyperlink>
          </w:p>
        </w:tc>
        <w:tc>
          <w:tcPr>
            <w:tcW w:w="140" w:type="dxa"/>
            <w:vAlign w:val="bottom"/>
          </w:tcPr>
          <w:p>
            <w:pPr>
              <w:spacing w:after="0"/>
              <w:rPr>
                <w:sz w:val="15"/>
                <w:szCs w:val="15"/>
                <w:color w:val="auto"/>
              </w:rPr>
            </w:pPr>
          </w:p>
        </w:tc>
        <w:tc>
          <w:tcPr>
            <w:tcW w:w="380" w:type="dxa"/>
            <w:vAlign w:val="bottom"/>
            <w:gridSpan w:val="4"/>
          </w:tcPr>
          <w:p>
            <w:pPr>
              <w:jc w:val="right"/>
              <w:spacing w:after="0" w:line="182"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S-28</w:t>
              </w:r>
            </w:hyperlink>
          </w:p>
        </w:tc>
      </w:tr>
      <w:tr>
        <w:trPr>
          <w:trHeight w:val="183"/>
        </w:trPr>
        <w:tc>
          <w:tcPr>
            <w:tcW w:w="1140" w:type="dxa"/>
            <w:vAlign w:val="bottom"/>
          </w:tcPr>
          <w:p>
            <w:pPr>
              <w:spacing w:after="0"/>
              <w:rPr>
                <w:sz w:val="15"/>
                <w:szCs w:val="15"/>
                <w:color w:val="auto"/>
              </w:rPr>
            </w:pPr>
          </w:p>
        </w:tc>
        <w:tc>
          <w:tcPr>
            <w:tcW w:w="702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LEGAL MATTERS</w:t>
              </w:r>
            </w:hyperlink>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S-32</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4">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4">
              <w:r>
                <w:rPr>
                  <w:rFonts w:ascii="Arial" w:cs="Arial" w:eastAsia="Arial" w:hAnsi="Arial"/>
                  <w:sz w:val="18"/>
                  <w:szCs w:val="18"/>
                  <w:color w:val="0000EE"/>
                  <w:w w:val="94"/>
                </w:rPr>
                <w:t>S-32</w:t>
              </w:r>
            </w:hyperlink>
          </w:p>
        </w:tc>
      </w:tr>
      <w:tr>
        <w:trPr>
          <w:trHeight w:val="640"/>
        </w:trPr>
        <w:tc>
          <w:tcPr>
            <w:tcW w:w="114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5"/>
          </w:tcPr>
          <w:p>
            <w:pPr>
              <w:jc w:val="center"/>
              <w:ind w:right="3160"/>
              <w:spacing w:after="0"/>
              <w:rPr>
                <w:sz w:val="20"/>
                <w:szCs w:val="20"/>
                <w:color w:val="auto"/>
              </w:rPr>
            </w:pPr>
            <w:r>
              <w:rPr>
                <w:rFonts w:ascii="Arial" w:cs="Arial" w:eastAsia="Arial" w:hAnsi="Arial"/>
                <w:sz w:val="18"/>
                <w:szCs w:val="18"/>
                <w:b w:val="1"/>
                <w:bCs w:val="1"/>
                <w:color w:val="auto"/>
                <w:w w:val="98"/>
              </w:rPr>
              <w:t>PROSPECTUS</w:t>
            </w:r>
          </w:p>
        </w:tc>
        <w:tc>
          <w:tcPr>
            <w:tcW w:w="1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42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color w:val="auto"/>
              </w:rPr>
              <w:t>Page</w:t>
            </w:r>
          </w:p>
        </w:tc>
      </w:tr>
      <w:tr>
        <w:trPr>
          <w:trHeight w:val="176"/>
        </w:trPr>
        <w:tc>
          <w:tcPr>
            <w:tcW w:w="1140" w:type="dxa"/>
            <w:vAlign w:val="bottom"/>
          </w:tcPr>
          <w:p>
            <w:pPr>
              <w:spacing w:after="0"/>
              <w:rPr>
                <w:sz w:val="15"/>
                <w:szCs w:val="15"/>
                <w:color w:val="auto"/>
              </w:rPr>
            </w:pPr>
          </w:p>
        </w:tc>
        <w:tc>
          <w:tcPr>
            <w:tcW w:w="8460" w:type="dxa"/>
            <w:vAlign w:val="bottom"/>
            <w:gridSpan w:val="24"/>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ABOUT THIS PROSPECTUS</w:t>
              </w:r>
            </w:hyperlink>
          </w:p>
        </w:tc>
        <w:tc>
          <w:tcPr>
            <w:tcW w:w="520" w:type="dxa"/>
            <w:vAlign w:val="bottom"/>
            <w:gridSpan w:val="5"/>
          </w:tcPr>
          <w:p>
            <w:pPr>
              <w:jc w:val="right"/>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RISK FACTORS</w:t>
              </w:r>
            </w:hyperlink>
          </w:p>
        </w:tc>
        <w:tc>
          <w:tcPr>
            <w:tcW w:w="1020" w:type="dxa"/>
            <w:vAlign w:val="bottom"/>
            <w:gridSpan w:val="7"/>
          </w:tcPr>
          <w:p>
            <w:pPr>
              <w:spacing w:after="0"/>
              <w:rPr>
                <w:sz w:val="15"/>
                <w:szCs w:val="15"/>
                <w:color w:val="auto"/>
              </w:rPr>
            </w:pPr>
          </w:p>
        </w:tc>
        <w:tc>
          <w:tcPr>
            <w:tcW w:w="6140" w:type="dxa"/>
            <w:vAlign w:val="bottom"/>
            <w:gridSpan w:val="1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WHERE YOU CAN FIND MORE INFORMATION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00" w:type="dxa"/>
            <w:vAlign w:val="bottom"/>
            <w:gridSpan w:val="12"/>
          </w:tcPr>
          <w:p>
            <w:pPr>
              <w:spacing w:after="0" w:line="182"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INCORPORATION BY REFERENCE</w:t>
              </w:r>
            </w:hyperlink>
          </w:p>
        </w:tc>
        <w:tc>
          <w:tcPr>
            <w:tcW w:w="900" w:type="dxa"/>
            <w:vAlign w:val="bottom"/>
            <w:gridSpan w:val="7"/>
          </w:tcPr>
          <w:p>
            <w:pPr>
              <w:spacing w:after="0"/>
              <w:rPr>
                <w:sz w:val="15"/>
                <w:szCs w:val="15"/>
                <w:color w:val="auto"/>
              </w:rPr>
            </w:pPr>
          </w:p>
        </w:tc>
        <w:tc>
          <w:tcPr>
            <w:tcW w:w="4660" w:type="dxa"/>
            <w:vAlign w:val="bottom"/>
            <w:gridSpan w:val="5"/>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FORWARD-LOOKING STATEMENTS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BLUEPRINT MEDICINES CORPORATION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CONSOLIDATED RATIOS OF EARNINGS TO FIXED CHARGES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w w:val="97"/>
              </w:rPr>
            </w:pPr>
            <w:hyperlink w:anchor="page43">
              <w:r>
                <w:rPr>
                  <w:rFonts w:ascii="Arial" w:cs="Arial" w:eastAsia="Arial" w:hAnsi="Arial"/>
                  <w:sz w:val="18"/>
                  <w:szCs w:val="18"/>
                  <w:color w:val="0000EE"/>
                  <w:w w:val="97"/>
                </w:rPr>
                <w:t>USE OF PROCEEDS</w:t>
              </w:r>
            </w:hyperlink>
          </w:p>
        </w:tc>
        <w:tc>
          <w:tcPr>
            <w:tcW w:w="3400" w:type="dxa"/>
            <w:vAlign w:val="bottom"/>
            <w:gridSpan w:val="12"/>
          </w:tcPr>
          <w:p>
            <w:pPr>
              <w:spacing w:after="0"/>
              <w:rPr>
                <w:sz w:val="15"/>
                <w:szCs w:val="15"/>
                <w:color w:val="auto"/>
              </w:rPr>
            </w:pPr>
          </w:p>
        </w:tc>
        <w:tc>
          <w:tcPr>
            <w:tcW w:w="3360" w:type="dxa"/>
            <w:vAlign w:val="bottom"/>
            <w:gridSpan w:val="4"/>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880" w:type="dxa"/>
            <w:vAlign w:val="bottom"/>
            <w:gridSpan w:val="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8"/>
          </w:tcPr>
          <w:p>
            <w:pPr>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DILUTION</w:t>
              </w:r>
            </w:hyperlink>
          </w:p>
        </w:tc>
        <w:tc>
          <w:tcPr>
            <w:tcW w:w="6760" w:type="dxa"/>
            <w:vAlign w:val="bottom"/>
            <w:gridSpan w:val="16"/>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4">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3"/>
          </w:tcPr>
          <w:p>
            <w:pPr>
              <w:spacing w:after="0" w:line="182" w:lineRule="exact"/>
              <w:rPr>
                <w:rFonts w:ascii="Arial" w:cs="Arial" w:eastAsia="Arial" w:hAnsi="Arial"/>
                <w:sz w:val="18"/>
                <w:szCs w:val="18"/>
                <w:color w:val="0000EE"/>
                <w:w w:val="95"/>
              </w:rPr>
            </w:pPr>
            <w:hyperlink w:anchor="page45">
              <w:r>
                <w:rPr>
                  <w:rFonts w:ascii="Arial" w:cs="Arial" w:eastAsia="Arial" w:hAnsi="Arial"/>
                  <w:sz w:val="18"/>
                  <w:szCs w:val="18"/>
                  <w:color w:val="0000EE"/>
                  <w:w w:val="95"/>
                </w:rPr>
                <w:t>DESCRIPTION OF CAPITAL STOCK</w:t>
              </w:r>
            </w:hyperlink>
          </w:p>
        </w:tc>
        <w:tc>
          <w:tcPr>
            <w:tcW w:w="5540" w:type="dxa"/>
            <w:vAlign w:val="bottom"/>
            <w:gridSpan w:val="11"/>
          </w:tcPr>
          <w:p>
            <w:pPr>
              <w:spacing w:after="0"/>
              <w:rPr>
                <w:sz w:val="15"/>
                <w:szCs w:val="15"/>
                <w:color w:val="auto"/>
              </w:rPr>
            </w:pPr>
          </w:p>
        </w:tc>
        <w:tc>
          <w:tcPr>
            <w:tcW w:w="520" w:type="dxa"/>
            <w:vAlign w:val="bottom"/>
            <w:gridSpan w:val="5"/>
          </w:tcPr>
          <w:p>
            <w:pPr>
              <w:jc w:val="right"/>
              <w:spacing w:after="0" w:line="182" w:lineRule="exact"/>
              <w:rPr>
                <w:rFonts w:ascii="Arial" w:cs="Arial" w:eastAsia="Arial" w:hAnsi="Arial"/>
                <w:sz w:val="18"/>
                <w:szCs w:val="18"/>
                <w:color w:val="0000EE"/>
              </w:rPr>
            </w:pPr>
            <w:hyperlink w:anchor="page45">
              <w:r>
                <w:rPr>
                  <w:rFonts w:ascii="Arial" w:cs="Arial" w:eastAsia="Arial" w:hAnsi="Arial"/>
                  <w:sz w:val="18"/>
                  <w:szCs w:val="18"/>
                  <w:color w:val="0000EE"/>
                </w:rPr>
                <w:t>9</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DESCRIPTION OF DEBT SECURITIES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220" w:type="dxa"/>
            <w:vAlign w:val="bottom"/>
            <w:gridSpan w:val="7"/>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3440" w:type="dxa"/>
            <w:vAlign w:val="bottom"/>
            <w:tcBorders>
              <w:bottom w:val="single" w:sz="8" w:color="0000EE"/>
            </w:tcBorders>
            <w:gridSpan w:val="17"/>
          </w:tcPr>
          <w:p>
            <w:pPr>
              <w:spacing w:after="0" w:line="182" w:lineRule="exact"/>
              <w:rPr>
                <w:rFonts w:ascii="Arial" w:cs="Arial" w:eastAsia="Arial" w:hAnsi="Arial"/>
                <w:sz w:val="18"/>
                <w:szCs w:val="18"/>
                <w:color w:val="0000EE"/>
                <w:w w:val="96"/>
              </w:rPr>
            </w:pPr>
            <w:hyperlink w:anchor="page67">
              <w:r>
                <w:rPr>
                  <w:rFonts w:ascii="Arial" w:cs="Arial" w:eastAsia="Arial" w:hAnsi="Arial"/>
                  <w:sz w:val="18"/>
                  <w:szCs w:val="18"/>
                  <w:color w:val="0000EE"/>
                  <w:w w:val="96"/>
                </w:rPr>
                <w:t>DESCRIPTION OF DEPOSITARY SHARES</w:t>
              </w:r>
            </w:hyperlink>
          </w:p>
        </w:tc>
        <w:tc>
          <w:tcPr>
            <w:tcW w:w="5020" w:type="dxa"/>
            <w:vAlign w:val="bottom"/>
            <w:gridSpan w:val="7"/>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31</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DESCRIPTION OF PURCHASE CONTRACTS AND PURCHASE UNITS</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34</w:t>
              </w:r>
            </w:hyperlink>
          </w:p>
        </w:tc>
      </w:tr>
      <w:tr>
        <w:trPr>
          <w:trHeight w:val="183"/>
        </w:trPr>
        <w:tc>
          <w:tcPr>
            <w:tcW w:w="1140" w:type="dxa"/>
            <w:vAlign w:val="bottom"/>
          </w:tcPr>
          <w:p>
            <w:pPr>
              <w:spacing w:after="0"/>
              <w:rPr>
                <w:sz w:val="15"/>
                <w:szCs w:val="15"/>
                <w:color w:val="auto"/>
              </w:rPr>
            </w:pPr>
          </w:p>
        </w:tc>
        <w:tc>
          <w:tcPr>
            <w:tcW w:w="568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71">
              <w:r>
                <w:rPr>
                  <w:rFonts w:ascii="Arial" w:cs="Arial" w:eastAsia="Arial" w:hAnsi="Arial"/>
                  <w:sz w:val="18"/>
                  <w:szCs w:val="18"/>
                  <w:color w:val="0000EE"/>
                </w:rPr>
                <w:t>DESCRIPTION OF WARRANTS</w:t>
              </w:r>
            </w:hyperlink>
          </w:p>
        </w:tc>
        <w:tc>
          <w:tcPr>
            <w:tcW w:w="2780" w:type="dxa"/>
            <w:vAlign w:val="bottom"/>
            <w:gridSpan w:val="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1">
              <w:r>
                <w:rPr>
                  <w:rFonts w:ascii="Arial" w:cs="Arial" w:eastAsia="Arial" w:hAnsi="Arial"/>
                  <w:sz w:val="18"/>
                  <w:szCs w:val="18"/>
                  <w:color w:val="0000EE"/>
                  <w:w w:val="89"/>
                </w:rPr>
                <w:t>35</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7"/>
              </w:rPr>
            </w:pPr>
            <w:hyperlink w:anchor="page72">
              <w:r>
                <w:rPr>
                  <w:rFonts w:ascii="Arial" w:cs="Arial" w:eastAsia="Arial" w:hAnsi="Arial"/>
                  <w:sz w:val="18"/>
                  <w:szCs w:val="18"/>
                  <w:color w:val="0000EE"/>
                  <w:w w:val="97"/>
                </w:rPr>
                <w:t>FORMS OF SECURITIES</w:t>
              </w:r>
            </w:hyperlink>
          </w:p>
        </w:tc>
        <w:tc>
          <w:tcPr>
            <w:tcW w:w="500" w:type="dxa"/>
            <w:vAlign w:val="bottom"/>
            <w:tcBorders>
              <w:top w:val="single" w:sz="8" w:color="0000EE"/>
            </w:tcBorders>
            <w:gridSpan w:val="2"/>
          </w:tcPr>
          <w:p>
            <w:pPr>
              <w:spacing w:after="0"/>
              <w:rPr>
                <w:sz w:val="15"/>
                <w:szCs w:val="15"/>
                <w:color w:val="auto"/>
              </w:rPr>
            </w:pPr>
          </w:p>
        </w:tc>
        <w:tc>
          <w:tcPr>
            <w:tcW w:w="5920" w:type="dxa"/>
            <w:vAlign w:val="bottom"/>
            <w:gridSpan w:val="13"/>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72">
              <w:r>
                <w:rPr>
                  <w:rFonts w:ascii="Arial" w:cs="Arial" w:eastAsia="Arial" w:hAnsi="Arial"/>
                  <w:sz w:val="18"/>
                  <w:szCs w:val="18"/>
                  <w:color w:val="0000EE"/>
                  <w:w w:val="89"/>
                </w:rPr>
                <w:t>36</w:t>
              </w:r>
            </w:hyperlink>
          </w:p>
        </w:tc>
      </w:tr>
      <w:tr>
        <w:trPr>
          <w:trHeight w:val="183"/>
        </w:trPr>
        <w:tc>
          <w:tcPr>
            <w:tcW w:w="1140" w:type="dxa"/>
            <w:vAlign w:val="bottom"/>
          </w:tcPr>
          <w:p>
            <w:pPr>
              <w:spacing w:after="0"/>
              <w:rPr>
                <w:sz w:val="15"/>
                <w:szCs w:val="15"/>
                <w:color w:val="auto"/>
              </w:rPr>
            </w:pPr>
          </w:p>
        </w:tc>
        <w:tc>
          <w:tcPr>
            <w:tcW w:w="8460" w:type="dxa"/>
            <w:vAlign w:val="bottom"/>
            <w:gridSpan w:val="24"/>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PLAN OF DISTRIBUTION</w:t>
              </w:r>
            </w:hyperlink>
          </w:p>
        </w:tc>
        <w:tc>
          <w:tcPr>
            <w:tcW w:w="520" w:type="dxa"/>
            <w:vAlign w:val="bottom"/>
            <w:gridSpan w:val="5"/>
          </w:tcPr>
          <w:p>
            <w:pPr>
              <w:jc w:val="right"/>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38</w:t>
              </w:r>
            </w:hyperlink>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LEGAL MATTERS</w:t>
              </w:r>
            </w:hyperlink>
          </w:p>
        </w:tc>
        <w:tc>
          <w:tcPr>
            <w:tcW w:w="6420" w:type="dxa"/>
            <w:vAlign w:val="bottom"/>
            <w:gridSpan w:val="15"/>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41</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77">
              <w:r>
                <w:rPr>
                  <w:rFonts w:ascii="Arial" w:cs="Arial" w:eastAsia="Arial" w:hAnsi="Arial"/>
                  <w:sz w:val="18"/>
                  <w:szCs w:val="18"/>
                  <w:color w:val="0000EE"/>
                </w:rPr>
                <w:t>EXPERTS</w:t>
              </w:r>
            </w:hyperlink>
          </w:p>
        </w:tc>
        <w:tc>
          <w:tcPr>
            <w:tcW w:w="7020" w:type="dxa"/>
            <w:vAlign w:val="bottom"/>
            <w:gridSpan w:val="18"/>
          </w:tcPr>
          <w:p>
            <w:pPr>
              <w:spacing w:after="0"/>
              <w:rPr>
                <w:sz w:val="15"/>
                <w:szCs w:val="15"/>
                <w:color w:val="auto"/>
              </w:rPr>
            </w:pPr>
          </w:p>
        </w:tc>
        <w:tc>
          <w:tcPr>
            <w:tcW w:w="32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41</w:t>
              </w:r>
            </w:hyperlink>
          </w:p>
        </w:tc>
      </w:tr>
      <w:tr>
        <w:trPr>
          <w:trHeight w:val="20"/>
        </w:trPr>
        <w:tc>
          <w:tcPr>
            <w:tcW w:w="11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3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120" w:firstLine="485"/>
        <w:spacing w:after="0" w:line="236" w:lineRule="auto"/>
        <w:rPr>
          <w:sz w:val="20"/>
          <w:szCs w:val="20"/>
          <w:color w:val="auto"/>
        </w:rPr>
      </w:pPr>
      <w:r>
        <w:rPr>
          <w:rFonts w:ascii="Arial" w:cs="Arial" w:eastAsia="Arial" w:hAnsi="Arial"/>
          <w:sz w:val="18"/>
          <w:szCs w:val="18"/>
          <w:color w:val="auto"/>
        </w:rPr>
        <w:t>This document is part of the registration statement that we filed with the Securities and Exchange Commission, or the SEC, using a "shelf" registration process and consists of two parts. The first part is this prospectus supplement, including the documents incorporated by reference, which describes the specific terms of this offering. The second part, the accompanying prospectus, including the documents incorporated by reference, gives more general information, some of which may not apply to this offering. Generally, when we refer to the "prospectus", we are referring to both parts combined. This prospectus supplement may add to, update or change information in the accompanying prospectus and the documents incorporated by reference into this prospectus supplement or the accompanying prospectus.</w:t>
      </w:r>
    </w:p>
    <w:p>
      <w:pPr>
        <w:spacing w:after="0" w:line="210"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information in this prospectus supplement is inconsistent with the accompanying prospectus or with any document incorporated by reference that was filed with the SEC before the date of this prospectus supplement, you should rely on this prospectus supplement. This prospectus supplement, the accompanying prospectus and the documents incorporated by reference into each include important information about us, the securities being offered and other information you should know before investing in our securities. You should also read and consider information in the documents we have referred you to in the sections of this prospectus supplement entitled "Where You Can Find More Information" and "Incorporation by Reference" and the accompanying prospectus entitled "Where You Can Find More Information" and "Incorporation by Reference".</w:t>
      </w:r>
    </w:p>
    <w:p>
      <w:pPr>
        <w:spacing w:after="0" w:line="209"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take no responsibility for, and can provide no assurances as to the reliability of, any information that is in addition to or different from that contained or incorporated by reference in this prospectus supplement and the accompanying prospectus. We are not offering to sell these securities in any jurisdiction where the offer or sale is not permitted. You should not assume that the information contained or incorporated by reference in this prospectus supplement or the accompanying prospectus is accurate as of any date other than as of the date of this prospectus supplement or the accompanying prospectus, as the case may be, or in the case of the documents incorporated by reference, the date of such documents regardless of the time of delivery of this prospectus supplement and the accompanying prospectus or any sale of our securities. Our business, financial condition, liquidity, results of operations and prospects may have changed since those dates.</w:t>
      </w:r>
    </w:p>
    <w:p>
      <w:pPr>
        <w:spacing w:after="0" w:line="191" w:lineRule="exact"/>
        <w:rPr>
          <w:sz w:val="20"/>
          <w:szCs w:val="20"/>
          <w:color w:val="auto"/>
        </w:rPr>
      </w:pPr>
    </w:p>
    <w:p>
      <w:pPr>
        <w:ind w:right="140" w:firstLine="488"/>
        <w:spacing w:after="0" w:line="247" w:lineRule="auto"/>
        <w:rPr>
          <w:sz w:val="20"/>
          <w:szCs w:val="20"/>
          <w:color w:val="auto"/>
        </w:rPr>
      </w:pPr>
      <w:r>
        <w:rPr>
          <w:rFonts w:ascii="Arial" w:cs="Arial" w:eastAsia="Arial" w:hAnsi="Arial"/>
          <w:sz w:val="18"/>
          <w:szCs w:val="18"/>
          <w:i w:val="1"/>
          <w:iCs w:val="1"/>
          <w:color w:val="auto"/>
        </w:rPr>
        <w:t>Unless otherwise stated, all references in this prospectus supplement or the accompanying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81" w:lineRule="exact"/>
        <w:rPr>
          <w:sz w:val="20"/>
          <w:szCs w:val="20"/>
          <w:color w:val="auto"/>
        </w:rPr>
      </w:pPr>
    </w:p>
    <w:p>
      <w:pPr>
        <w:ind w:right="100" w:firstLine="488"/>
        <w:spacing w:after="0" w:line="244" w:lineRule="auto"/>
        <w:rPr>
          <w:sz w:val="20"/>
          <w:szCs w:val="20"/>
          <w:color w:val="auto"/>
        </w:rPr>
      </w:pPr>
      <w:r>
        <w:rPr>
          <w:rFonts w:ascii="Arial" w:cs="Arial" w:eastAsia="Arial" w:hAnsi="Arial"/>
          <w:sz w:val="18"/>
          <w:szCs w:val="18"/>
          <w:b w:val="1"/>
          <w:bCs w:val="1"/>
          <w:color w:val="auto"/>
        </w:rPr>
        <w:t>No action is being taken in any jurisdiction outside the United States to permit a public offering of the securities or possession or distribution of this prospectus supplement or the accompanying prospectus in that jurisdiction. Persons who come into possession of this prospectus supplement or the accompanying prospectus in jurisdictions outside the United States are required to inform themselves about and to observe any restrictions as to this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and the distribution of this prospectus supplement or the accompanying prospectus applicable to that jurisdiction.</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supplement or the accompanying prospectus and is not incorporated by reference in this prospectus supplement or the accompanying prospectus. You may also read and copy any document we file at the SEC's Public Reference Room, 100 F Street, N.E., Washington, D.C. 20549. Please call the SEC at 1-800-SEC-0330 for further information on the operation of the Public Reference Room.</w:t>
      </w:r>
    </w:p>
    <w:p>
      <w:pPr>
        <w:spacing w:after="0" w:line="210" w:lineRule="exact"/>
        <w:rPr>
          <w:sz w:val="20"/>
          <w:szCs w:val="20"/>
          <w:color w:val="auto"/>
        </w:rPr>
      </w:pPr>
    </w:p>
    <w:p>
      <w:pPr>
        <w:ind w:right="80" w:firstLine="485"/>
        <w:spacing w:after="0" w:line="236" w:lineRule="auto"/>
        <w:rPr>
          <w:sz w:val="20"/>
          <w:szCs w:val="20"/>
          <w:color w:val="auto"/>
        </w:rPr>
      </w:pPr>
      <w:r>
        <w:rPr>
          <w:rFonts w:ascii="Arial" w:cs="Arial" w:eastAsia="Arial" w:hAnsi="Arial"/>
          <w:sz w:val="18"/>
          <w:szCs w:val="18"/>
          <w:color w:val="auto"/>
        </w:rPr>
        <w:t>This prospectus supplement is part of a registration statement we filed with the SEC. This prospectus supplement, filed as part of the registration statement,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supplement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BY REFERENCE</w:t>
      </w:r>
    </w:p>
    <w:p>
      <w:pPr>
        <w:spacing w:after="0" w:line="234"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supplement and the accompanying prospectus is considered to be part of this prospectus.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the accompanying prospectus or in any document previously incorporated by reference have been modified or superseded. This prospectus supplement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between the date of this prospectus supplement and the termination of this offering:</w:t>
      </w:r>
    </w:p>
    <w:p>
      <w:pPr>
        <w:spacing w:after="0" w:line="215" w:lineRule="exact"/>
        <w:rPr>
          <w:sz w:val="20"/>
          <w:szCs w:val="20"/>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11" w:lineRule="exact"/>
        <w:rPr>
          <w:rFonts w:ascii="Arial" w:cs="Arial" w:eastAsia="Arial" w:hAnsi="Arial"/>
          <w:sz w:val="18"/>
          <w:szCs w:val="18"/>
          <w:color w:val="auto"/>
        </w:rPr>
      </w:pPr>
    </w:p>
    <w:p>
      <w:pPr>
        <w:ind w:left="1080" w:right="60" w:hanging="532"/>
        <w:spacing w:after="0" w:line="23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portions of our Definitive Proxy Statement on Schedule 14A, filed with the SEC on April 28, 2016, incorporated by reference into our Annual Report on Form 10-K for the fiscal year ended December 31, 2015; and</w:t>
      </w:r>
    </w:p>
    <w:p>
      <w:pPr>
        <w:spacing w:after="0" w:line="195" w:lineRule="exact"/>
        <w:rPr>
          <w:rFonts w:ascii="Arial" w:cs="Arial" w:eastAsia="Arial" w:hAnsi="Arial"/>
          <w:sz w:val="18"/>
          <w:szCs w:val="18"/>
          <w:color w:val="auto"/>
        </w:rPr>
      </w:pPr>
    </w:p>
    <w:p>
      <w:pPr>
        <w:ind w:left="1080" w:right="420" w:hanging="532"/>
        <w:spacing w:after="0" w:line="239"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You may request a copy of these filings, at no cost, by contacting us, either orally or in writing, at the following:</w:t>
      </w:r>
    </w:p>
    <w:p>
      <w:pPr>
        <w:spacing w:after="0" w:line="230"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Blueprint Medicines Corporation</w:t>
      </w:r>
    </w:p>
    <w:p>
      <w:pPr>
        <w:jc w:val="center"/>
        <w:ind w:right="-1220"/>
        <w:spacing w:after="0" w:line="234" w:lineRule="auto"/>
        <w:rPr>
          <w:sz w:val="20"/>
          <w:szCs w:val="20"/>
          <w:color w:val="auto"/>
        </w:rPr>
      </w:pPr>
      <w:r>
        <w:rPr>
          <w:rFonts w:ascii="Arial" w:cs="Arial" w:eastAsia="Arial" w:hAnsi="Arial"/>
          <w:sz w:val="18"/>
          <w:szCs w:val="18"/>
          <w:color w:val="auto"/>
        </w:rPr>
        <w:t>38 Sidney Street, Suite 200</w:t>
      </w:r>
    </w:p>
    <w:p>
      <w:pPr>
        <w:jc w:val="center"/>
        <w:ind w:right="-1220"/>
        <w:spacing w:after="0" w:line="235" w:lineRule="auto"/>
        <w:rPr>
          <w:sz w:val="20"/>
          <w:szCs w:val="20"/>
          <w:color w:val="auto"/>
        </w:rPr>
      </w:pPr>
      <w:r>
        <w:rPr>
          <w:rFonts w:ascii="Arial" w:cs="Arial" w:eastAsia="Arial" w:hAnsi="Arial"/>
          <w:sz w:val="18"/>
          <w:szCs w:val="18"/>
          <w:color w:val="auto"/>
        </w:rPr>
        <w:t>Cambridge, Massachusetts 02139</w:t>
      </w:r>
    </w:p>
    <w:p>
      <w:pPr>
        <w:jc w:val="center"/>
        <w:ind w:right="-1220"/>
        <w:spacing w:after="0" w:line="235" w:lineRule="auto"/>
        <w:rPr>
          <w:sz w:val="20"/>
          <w:szCs w:val="20"/>
          <w:color w:val="auto"/>
        </w:rPr>
      </w:pPr>
      <w:r>
        <w:rPr>
          <w:rFonts w:ascii="Arial" w:cs="Arial" w:eastAsia="Arial" w:hAnsi="Arial"/>
          <w:sz w:val="18"/>
          <w:szCs w:val="18"/>
          <w:color w:val="auto"/>
        </w:rPr>
        <w:t>Attn: Investor Relations</w:t>
      </w:r>
    </w:p>
    <w:p>
      <w:pPr>
        <w:jc w:val="center"/>
        <w:ind w:right="-1220"/>
        <w:spacing w:after="0" w:line="235" w:lineRule="auto"/>
        <w:rPr>
          <w:sz w:val="20"/>
          <w:szCs w:val="20"/>
          <w:color w:val="auto"/>
        </w:rPr>
      </w:pPr>
      <w:r>
        <w:rPr>
          <w:rFonts w:ascii="Arial" w:cs="Arial" w:eastAsia="Arial" w:hAnsi="Arial"/>
          <w:sz w:val="18"/>
          <w:szCs w:val="18"/>
          <w:color w:val="auto"/>
        </w:rPr>
        <w:t>Phone: (617) 714-6674</w:t>
      </w:r>
    </w:p>
    <w:p>
      <w:pPr>
        <w:jc w:val="center"/>
        <w:ind w:right="-1220"/>
        <w:spacing w:after="0"/>
        <w:rPr>
          <w:sz w:val="20"/>
          <w:szCs w:val="20"/>
          <w:color w:val="auto"/>
        </w:rPr>
      </w:pPr>
      <w:r>
        <w:rPr>
          <w:rFonts w:ascii="Arial" w:cs="Arial" w:eastAsia="Arial" w:hAnsi="Arial"/>
          <w:sz w:val="18"/>
          <w:szCs w:val="18"/>
          <w:color w:val="auto"/>
        </w:rPr>
        <w:t>E-mail: ir@blueprintmedicines.com</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information incorporated by reference herein and therein contain statements that are not historical facts and are considered forward-looking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w:t>
      </w:r>
    </w:p>
    <w:p>
      <w:pPr>
        <w:spacing w:after="0" w:line="209"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the net proceeds from this offering;</w:t>
      </w:r>
    </w:p>
    <w:p>
      <w:pPr>
        <w:spacing w:after="0" w:line="211" w:lineRule="exact"/>
        <w:rPr>
          <w:rFonts w:ascii="Arial" w:cs="Arial" w:eastAsia="Arial" w:hAnsi="Arial"/>
          <w:sz w:val="18"/>
          <w:szCs w:val="18"/>
          <w:color w:val="auto"/>
        </w:rPr>
      </w:pPr>
    </w:p>
    <w:p>
      <w:pPr>
        <w:ind w:left="1080" w:right="34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Phase 1 clinical trials for BLU-285, BLU-554 and BLU-667, and our research and development programs;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211"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estimates of our expenses, future revenues, capital requirements and our needs for additional financing;</w:t>
      </w:r>
    </w:p>
    <w:p>
      <w:pPr>
        <w:spacing w:after="0" w:line="198" w:lineRule="exact"/>
        <w:rPr>
          <w:rFonts w:ascii="Arial" w:cs="Arial" w:eastAsia="Arial" w:hAnsi="Arial"/>
          <w:sz w:val="18"/>
          <w:szCs w:val="18"/>
          <w:color w:val="auto"/>
        </w:rPr>
      </w:pPr>
    </w:p>
    <w:p>
      <w:pPr>
        <w:ind w:left="1080" w:right="240" w:hanging="532"/>
        <w:spacing w:after="0" w:line="23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potential benefits of our existing rare genetic disease collaboration with Alexion Pharma Holding and our existing cancer immunotherapy collaboration with F. Hoffmann-La Roche Ltd and Hoffmann-La Roche Inc., as well as our ability to enter into other strategic arrangements;</w:t>
      </w:r>
    </w:p>
    <w:p>
      <w:pPr>
        <w:spacing w:after="0" w:line="208" w:lineRule="exact"/>
        <w:rPr>
          <w:rFonts w:ascii="Arial" w:cs="Arial" w:eastAsia="Arial" w:hAnsi="Arial"/>
          <w:sz w:val="18"/>
          <w:szCs w:val="18"/>
          <w:color w:val="auto"/>
        </w:rPr>
      </w:pPr>
    </w:p>
    <w:p>
      <w:pPr>
        <w:ind w:left="1080" w:right="600" w:hanging="532"/>
        <w:spacing w:after="0" w:line="299" w:lineRule="auto"/>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development of companion diagnostic tests for our drug candidates, including our companion diagnostic test with Ventana Medical Systems, Inc. for BLU-554 and our companion diagnostic test with QIAGEN Manchester Limited for BLU-285;</w:t>
      </w:r>
    </w:p>
    <w:p>
      <w:pPr>
        <w:spacing w:after="0" w:line="149" w:lineRule="exact"/>
        <w:rPr>
          <w:rFonts w:ascii="Arial" w:cs="Arial" w:eastAsia="Arial" w:hAnsi="Arial"/>
          <w:sz w:val="16"/>
          <w:szCs w:val="16"/>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12" w:lineRule="exact"/>
        <w:rPr>
          <w:sz w:val="20"/>
          <w:szCs w:val="20"/>
          <w:color w:val="auto"/>
        </w:rPr>
      </w:pPr>
    </w:p>
    <w:p>
      <w:pPr>
        <w:ind w:right="80" w:firstLine="488"/>
        <w:spacing w:after="0" w:line="236" w:lineRule="auto"/>
        <w:rPr>
          <w:sz w:val="20"/>
          <w:szCs w:val="20"/>
          <w:color w:val="auto"/>
        </w:rPr>
      </w:pPr>
      <w:r>
        <w:rPr>
          <w:rFonts w:ascii="Arial" w:cs="Arial" w:eastAsia="Arial" w:hAnsi="Arial"/>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supplement, the accompanying prospectus and the documents incorporated by reference herein and therein, particularly in the "Risk factors" section, that could cause actual results or events to differ materially from the forward-looking statements that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we make. Our forward-looking statements do not reflect the potential impact of any future acquisitions, mergers, dispositions, joint ventures or investments we may make or enter into.</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as well as the document that we have filed as exhibits to the registration statement of which this prospectus forms a part,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211"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6033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603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ind w:left="240" w:right="40" w:firstLine="488"/>
        <w:spacing w:after="0" w:line="239"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supplement and the accompanying prospectus and in the documents incorporated by reference herein or therein. This summary does not contain all the information that you should consider before investing in our common stock. You should read this entire prospectus supplement and the accompanying prospectus carefully, especially the risks of investing in our common stock discussed under "Risk Factors" beginning on page S-12 of this prospectus supplement, along with our consolidated financial statements and notes to those consolidated financial statements and the other information incorporated by reference in this prospectus supplement and the accompanying prospectus, before making an investment decision. This prospectus supplement may add to, update or change information in the accompanying prospectus.</w:t>
      </w: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left="240" w:right="20" w:firstLine="488"/>
        <w:spacing w:after="0" w:line="270"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85"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Our most advanced drug candidates are BLU-285, BLU-554 and BLU-667. BLU-285 is an orally available, potent and highly selective inhibitor that targets KIT, including Exon 17 mutations, and targets PDGFRa, including the D842V mutation. These mutations abnormally activate receptor tyrosine kinases that are drivers of cancer and proliferative disorders, including gastrointestinal stromal tumors, or GIST, and systemic mastocytosis, or SM. We are currently evaluating BLU-285 in an ongoing Phase 1 clinical trial for defined subsets of patients with GIST and an ongoing Phase 1 clinical trial for advanced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BLU-667 targets RET, a receptor tyrosine kinase that is abnormally activated by mutations or translocations, and RET resistant mutants that we predict will arise from treatment with first generation therapies. RET is a driver of disease in non-small cell lung cancer, or NSCLC, and cancers of the thyroid, including medullary thyroid carcinoma, or MTC, and our research suggests that RET may be a driver of disease in subsets of colon cancer, breast cancer and other cancers. In March 2017, we dosed the first patient in our Phase 1 clinical trial for BLU-667 in patients with NSCLC, MTC and other advanced solid tumors that harbor a RET alteration.</w:t>
      </w:r>
    </w:p>
    <w:p>
      <w:pPr>
        <w:spacing w:after="0" w:line="215" w:lineRule="exact"/>
        <w:rPr>
          <w:sz w:val="20"/>
          <w:szCs w:val="20"/>
          <w:color w:val="auto"/>
        </w:rPr>
      </w:pPr>
    </w:p>
    <w:p>
      <w:pPr>
        <w:ind w:left="240" w:right="140" w:firstLine="488"/>
        <w:spacing w:after="0" w:line="237" w:lineRule="auto"/>
        <w:rPr>
          <w:sz w:val="20"/>
          <w:szCs w:val="20"/>
          <w:color w:val="auto"/>
        </w:rPr>
      </w:pPr>
      <w:r>
        <w:rPr>
          <w:rFonts w:ascii="Arial" w:cs="Arial" w:eastAsia="Arial" w:hAnsi="Arial"/>
          <w:sz w:val="18"/>
          <w:szCs w:val="18"/>
          <w:color w:val="auto"/>
        </w:rPr>
        <w:t>In September 2015, the FDA granted orphan drug designation to BLU-554 for the treatment of HCC, and in January 2016, the FDA granted orphan drug designation to BLU-285 for the treatment of GIST and SM. In addition, in October 2016, the FDA granted fast track designation to BLU-285 for the treatment of patients with unresectable or metastatic GIST that progressed following treatment with imatinib and a second tyrosine kinase inhibitor and for the treatment of patients with</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827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40" w:right="300"/>
        <w:spacing w:after="0" w:line="259" w:lineRule="auto"/>
        <w:rPr>
          <w:sz w:val="20"/>
          <w:szCs w:val="20"/>
          <w:color w:val="auto"/>
        </w:rPr>
      </w:pPr>
      <w:r>
        <w:rPr>
          <w:rFonts w:ascii="Arial" w:cs="Arial" w:eastAsia="Arial" w:hAnsi="Arial"/>
          <w:sz w:val="18"/>
          <w:szCs w:val="18"/>
          <w:color w:val="auto"/>
        </w:rPr>
        <w:t>unresectable or metastatic GIST with the PDGFRa D842V mutation regardless of prior therapy. We plan to seek regulatory guidance on potential pathways for expedited clinical development of BLU-285 for the treatment of PDGFRa-driven GIST and patients with relapsed or refractory KIT-driven GIST, which we collectively refer to as advanced GIST.</w:t>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We have worldwide development and commercialization rights to BLU-285, BLU-554 and BLU-667.</w:t>
      </w:r>
    </w:p>
    <w:p>
      <w:pPr>
        <w:spacing w:after="0" w:line="1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Phase 1 Clinical Programs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BLU-285 for the Treatment of Advanced SM</w:t>
      </w:r>
    </w:p>
    <w:p>
      <w:pPr>
        <w:spacing w:after="0" w:line="230" w:lineRule="exact"/>
        <w:rPr>
          <w:sz w:val="20"/>
          <w:szCs w:val="20"/>
          <w:color w:val="auto"/>
        </w:rPr>
      </w:pPr>
    </w:p>
    <w:p>
      <w:pPr>
        <w:ind w:left="240" w:firstLine="488"/>
        <w:spacing w:after="0" w:line="235" w:lineRule="auto"/>
        <w:rPr>
          <w:sz w:val="20"/>
          <w:szCs w:val="20"/>
          <w:color w:val="auto"/>
        </w:rPr>
      </w:pPr>
      <w:r>
        <w:rPr>
          <w:rFonts w:ascii="Arial" w:cs="Arial" w:eastAsia="Arial" w:hAnsi="Arial"/>
          <w:sz w:val="18"/>
          <w:szCs w:val="18"/>
          <w:color w:val="auto"/>
        </w:rPr>
        <w:t>BLU-285 is currently being evaluated in the dose escalation stage of a Phase 1 clinical trial in patients with advanced SM, and enrollment is ongoing. In December 2016, we presented preliminary data from our ongoing Phase 1 clinical trial at the 2016 American Society of Hematology Annual Meeting. The data showed that BLU-285 was observed to be well-tolerated and achieved proof-of-concept in advanced SM. Based on the preliminary safety profile and clinical activity observed in this clinical trial, we plan to continue to enroll patients in the dose escalation stage of this Phase 1 clinical trial until a maximum tolerated dose, or MTD, is reached or a recommended dose is established. We plan to open enrollment in expansion cohorts to evaluate BLU-285 as a single agent in advanced SM once a recommended dose for further clinical evaluation has been determined or an MTD has been reached. We expect to initiate the expansion stage of this clinical trial in 2017. In addition, based on the preliminary safety and clinical activity data, we plan to evaluate options to expand the clinical development of BLU-285 in other KIT-driven diseases, including possible opportunities for the treatment of indolent SM and KIT-mutant acute myeloid leukemia, groups of patients in need of more effective treatments.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BLU-285 for the Treatment of Advanced GIST</w:t>
      </w:r>
    </w:p>
    <w:p>
      <w:pPr>
        <w:spacing w:after="0" w:line="230" w:lineRule="exact"/>
        <w:rPr>
          <w:sz w:val="20"/>
          <w:szCs w:val="20"/>
          <w:color w:val="auto"/>
        </w:rPr>
      </w:pPr>
    </w:p>
    <w:p>
      <w:pPr>
        <w:ind w:left="240" w:right="200" w:firstLine="488"/>
        <w:spacing w:after="0" w:line="275" w:lineRule="auto"/>
        <w:rPr>
          <w:sz w:val="20"/>
          <w:szCs w:val="20"/>
          <w:color w:val="auto"/>
        </w:rPr>
      </w:pPr>
      <w:r>
        <w:rPr>
          <w:rFonts w:ascii="Arial" w:cs="Arial" w:eastAsia="Arial" w:hAnsi="Arial"/>
          <w:sz w:val="16"/>
          <w:szCs w:val="16"/>
          <w:color w:val="auto"/>
        </w:rPr>
        <w:t>BLU-285 is currently being evaluated in the dose expansion stage of a Phase 1 clinical trial in patients with advanced GIST, and enrollment is ongoing. In December 2016, we presented preliminary data from the dose escalation stage of this clinical trial in December 2016 at the 28th EORTC-NCI-AACR Symposium on Molecular Targets and Cancer Therapeutics. The data showed that BLU-285 was observed to be well-tolerated and had achieved proof-of-concept in PDGFRa-driven GIST and KIT-driven GIST. Based on the preliminary safety profile and clinical activity observed in this clinical trial, we have increased the cohort size in the expansion stage to evaluate the potential of BLU-285 as a single agent therapy in PDGFRa-driven GIST and KIT-driven GIST and to accelerate our evaluation of expanded development options for BLU-285 in GIST, including opportunities to move to earlier lines of therapy and possible combinations.</w:t>
      </w:r>
    </w:p>
    <w:p>
      <w:pPr>
        <w:spacing w:after="0" w:line="16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BLU-554 for the Treatment of Advanced HCC</w:t>
      </w:r>
    </w:p>
    <w:p>
      <w:pPr>
        <w:spacing w:after="0" w:line="230" w:lineRule="exact"/>
        <w:rPr>
          <w:sz w:val="20"/>
          <w:szCs w:val="20"/>
          <w:color w:val="auto"/>
        </w:rPr>
      </w:pPr>
    </w:p>
    <w:p>
      <w:pPr>
        <w:ind w:left="240" w:right="60" w:firstLine="488"/>
        <w:spacing w:after="0" w:line="264" w:lineRule="auto"/>
        <w:rPr>
          <w:sz w:val="20"/>
          <w:szCs w:val="20"/>
          <w:color w:val="auto"/>
        </w:rPr>
      </w:pPr>
      <w:r>
        <w:rPr>
          <w:rFonts w:ascii="Arial" w:cs="Arial" w:eastAsia="Arial" w:hAnsi="Arial"/>
          <w:sz w:val="16"/>
          <w:szCs w:val="16"/>
          <w:color w:val="auto"/>
        </w:rPr>
        <w:t>BLU-554 is currently being evaluated in the dose expansion stage of a Phase 1 clinical trial in patients with advanced HCC, and enrollment is ongoing. In November 2016, we presented preliminary data from the dose escalation stage of this ongoing clinical trial at the 28th EORTC-NCI-AACR Symposium on Molecular Targets and Cancer Therapeutics. The data showed that BLU-554 had achieved proof-of concept in this indication and an MTD had been established for BLU-554. Based on the observed mean half-life of approximately 10 hours for BLU-554 on a QD dosing schedule, we recently amended the protocol for this clinical trial to also explore a BID dosing schedule for BLU-</w:t>
      </w:r>
    </w:p>
    <w:p>
      <w:pPr>
        <w:spacing w:after="0" w:line="1" w:lineRule="exact"/>
        <w:rPr>
          <w:sz w:val="20"/>
          <w:szCs w:val="20"/>
          <w:color w:val="auto"/>
        </w:rPr>
      </w:pPr>
    </w:p>
    <w:p>
      <w:pPr>
        <w:ind w:left="240" w:right="600" w:firstLine="2"/>
        <w:spacing w:after="0" w:line="239" w:lineRule="auto"/>
        <w:tabs>
          <w:tab w:leader="none" w:pos="631"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the preliminary data, we also plan to accelerate our evaluation of expanded development options for BLU-554 in HCC, including opportunities to move to earlier lines of therapy and possible combinations.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61874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6187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BLU-667 for the Treatment of NSCLC, MTC and Other Advanced Solid Tumors</w:t>
      </w:r>
    </w:p>
    <w:p>
      <w:pPr>
        <w:spacing w:after="0" w:line="230" w:lineRule="exact"/>
        <w:rPr>
          <w:sz w:val="20"/>
          <w:szCs w:val="20"/>
          <w:color w:val="auto"/>
        </w:rPr>
      </w:pPr>
    </w:p>
    <w:p>
      <w:pPr>
        <w:ind w:left="240" w:right="20" w:firstLine="488"/>
        <w:spacing w:after="0" w:line="235" w:lineRule="auto"/>
        <w:rPr>
          <w:sz w:val="20"/>
          <w:szCs w:val="20"/>
          <w:color w:val="auto"/>
        </w:rPr>
      </w:pPr>
      <w:r>
        <w:rPr>
          <w:rFonts w:ascii="Arial" w:cs="Arial" w:eastAsia="Arial" w:hAnsi="Arial"/>
          <w:sz w:val="18"/>
          <w:szCs w:val="18"/>
          <w:color w:val="auto"/>
        </w:rPr>
        <w:t>In March 2017, we dosed the first patient in our Phase 1 clinical trial for BLU-667 in patients with NSCLC, MTC and other advanced solid tumors that harbor a RET alteration. Our Phase 1 clinical trial of BLU-667 in RET is designed to evaluate the safety and tolerability of BLU-667 in multiple ascending doses in patients with NSCLC, MTC and other advanced solid tumors with the goal of establishing an MTD or a recommended dose if the MTD is not achieved. Once the MTD is reached, or a recommended dose is established, we plan to open expansion cohorts for the following four patient groups: (1) NSCLC patients with a RET rearrangement who have undergone prior treatment with a tyrosine kinase inhibitor, or TKI, that inhibits RET; (2) NSCLC patients with a RET rearrangement who have never undergone treatment with a TKI that inhibits RET; (3) patients with MTC; and (4) patients with RET-altered solid tumors, other than NSCLC and MTC. Secondary objectives for this Phase 1 clinical trial include assessing the PK profile of BLU-667, assessing RET gene status in plasma and tumor tissue, characterizing the PD of BLU-667 and assessing response rate by RECIST.</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Preclinical Development Programs</w:t>
      </w:r>
    </w:p>
    <w:p>
      <w:pPr>
        <w:spacing w:after="0" w:line="234" w:lineRule="exact"/>
        <w:rPr>
          <w:sz w:val="20"/>
          <w:szCs w:val="20"/>
          <w:color w:val="auto"/>
        </w:rPr>
      </w:pPr>
    </w:p>
    <w:p>
      <w:pPr>
        <w:ind w:left="240" w:right="60" w:firstLine="488"/>
        <w:spacing w:after="0" w:line="236" w:lineRule="auto"/>
        <w:rPr>
          <w:sz w:val="20"/>
          <w:szCs w:val="20"/>
          <w:color w:val="auto"/>
        </w:rPr>
      </w:pPr>
      <w:r>
        <w:rPr>
          <w:rFonts w:ascii="Arial" w:cs="Arial" w:eastAsia="Arial" w:hAnsi="Arial"/>
          <w:sz w:val="18"/>
          <w:szCs w:val="18"/>
          <w:color w:val="auto"/>
        </w:rPr>
        <w:t>We also have initiated a discovery program targeting protein kinase cAMP-activated catalytic subunit alpha, or PRKACA, fusions for the treatment of fibrolamellar carcinoma, or FLC, a rare and distinct subtype of liver cancer that typically arises in young adults. PRKACA fusions are the only known recurrent genomic events in FLC and are considered to be the driver gene of the disease. Currently, there are no approved therapies for FLC, and surgery is the only available treatment option for some patients, but most patients inevitably progress. We plan to continue to leverage our discovery platform to systematically and reproducibly identify kinases that are drivers of diseases in genomically defined patient populations and craft drug candidates that potently and selectively target these kinases. We anticipate nominating at least one additional discovery program in 2017.</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Collaboration Programs</w:t>
      </w:r>
    </w:p>
    <w:p>
      <w:pPr>
        <w:spacing w:after="0" w:line="234" w:lineRule="exact"/>
        <w:rPr>
          <w:sz w:val="20"/>
          <w:szCs w:val="20"/>
          <w:color w:val="auto"/>
        </w:rPr>
      </w:pPr>
    </w:p>
    <w:p>
      <w:pPr>
        <w:ind w:left="240" w:firstLine="488"/>
        <w:spacing w:after="0" w:line="236" w:lineRule="auto"/>
        <w:rPr>
          <w:sz w:val="20"/>
          <w:szCs w:val="20"/>
          <w:color w:val="auto"/>
        </w:rPr>
      </w:pPr>
      <w:r>
        <w:rPr>
          <w:rFonts w:ascii="Arial" w:cs="Arial" w:eastAsia="Arial" w:hAnsi="Arial"/>
          <w:sz w:val="18"/>
          <w:szCs w:val="18"/>
          <w:color w:val="auto"/>
        </w:rPr>
        <w:t>In addition to our wholly-owned clinical and pre-clinical programs, we have leveraged our discovery platform to enter into collaboration programs with Alexion Pharma Holding, or Alexion, and F. Hoffmann-La Roche Ltd and Hoffmann-La Roche Inc., which we refer to collectively as Roche. In March 2015, we entered into an agreement with Alexion to discover, develop and commercialize one or more drug candidates targeting an undisclosed rare genetic disease. In March 2016, we entered into an agreement with Roche to discover, develop and commercialize up to five small molecule therapeutics targeting kinases believed to be important in cancer immunotherapy, as single products or possibly in combination with other therapeutics.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Our Strategy</w:t>
      </w:r>
    </w:p>
    <w:p>
      <w:pPr>
        <w:spacing w:after="0" w:line="234" w:lineRule="exact"/>
        <w:rPr>
          <w:sz w:val="20"/>
          <w:szCs w:val="20"/>
          <w:color w:val="auto"/>
        </w:rPr>
      </w:pPr>
    </w:p>
    <w:p>
      <w:pPr>
        <w:ind w:left="240" w:right="260" w:firstLine="488"/>
        <w:spacing w:after="0" w:line="239" w:lineRule="auto"/>
        <w:rPr>
          <w:sz w:val="20"/>
          <w:szCs w:val="20"/>
          <w:color w:val="auto"/>
        </w:rPr>
      </w:pPr>
      <w:r>
        <w:rPr>
          <w:rFonts w:ascii="Arial" w:cs="Arial" w:eastAsia="Arial" w:hAnsi="Arial"/>
          <w:sz w:val="18"/>
          <w:szCs w:val="18"/>
          <w:color w:val="auto"/>
        </w:rPr>
        <w:t>Our goal is to become a fully-integrated biopharmaceutical company capable of delivering transformative drugs to patients. The key tenets of our strategy include the following:</w:t>
      </w:r>
    </w:p>
    <w:p>
      <w:pPr>
        <w:spacing w:after="0" w:line="223" w:lineRule="exact"/>
        <w:rPr>
          <w:sz w:val="20"/>
          <w:szCs w:val="20"/>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Rapidly advance our lead drug candidates, BLU-285, BLU-554 and BLU-667, through clinical development.</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 a pipeline of kinase drugs for patients with genomically defined drivers of disease.</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Continuously invest in our proprietary discovery platform to ensure future growth.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422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Evaluate strategic collaborations to maximize the value of our programs and platform.</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Blueprint Medicines' patient-focused and science-driven culture as we grow our business.</w:t>
      </w: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4" w:lineRule="exact"/>
        <w:rPr>
          <w:sz w:val="20"/>
          <w:szCs w:val="20"/>
          <w:color w:val="auto"/>
        </w:rPr>
      </w:pPr>
    </w:p>
    <w:p>
      <w:pPr>
        <w:ind w:left="240" w:right="40" w:firstLine="488"/>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Securities and Exchange Commission, which means the market value of our common stock that is held by non-affiliates exceeds $700 million as of June 30th of the previous year. For so long as we remain an emerging growth company, we are permitted and intend to rely on exemptions from certain disclosure requirements that are applicable to other public companies that are not emerging growth companies.</w:t>
      </w:r>
    </w:p>
    <w:p>
      <w:pPr>
        <w:spacing w:after="0" w:line="39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Company Information</w:t>
      </w:r>
    </w:p>
    <w:p>
      <w:pPr>
        <w:spacing w:after="0" w:line="234" w:lineRule="exact"/>
        <w:rPr>
          <w:sz w:val="20"/>
          <w:szCs w:val="20"/>
          <w:color w:val="auto"/>
        </w:rPr>
      </w:pPr>
    </w:p>
    <w:p>
      <w:pPr>
        <w:ind w:left="240" w:right="120" w:firstLine="488"/>
        <w:spacing w:after="0" w:line="273" w:lineRule="auto"/>
        <w:rPr>
          <w:sz w:val="20"/>
          <w:szCs w:val="20"/>
          <w:color w:val="auto"/>
        </w:rPr>
      </w:pPr>
      <w:r>
        <w:rPr>
          <w:rFonts w:ascii="Arial" w:cs="Arial" w:eastAsia="Arial" w:hAnsi="Arial"/>
          <w:sz w:val="16"/>
          <w:szCs w:val="16"/>
          <w:color w:val="auto"/>
        </w:rPr>
        <w:t>We were incorporated in Delaware in October 2008. Our mailing address and executive offices are located at 38 Sidney Street, Suite 200, Cambridge, Massachusetts, 02139, and our telephone number is (617) 374-7580. We maintain an Internet website at the following address: www.blueprintmedicines.com. The information on, or that can be accessed through, our website does not constitute part of this prospectus supplement or the accompanying prospectus, and you should not rely on any such information in making the decision whether to purchase our common stock. Our common stock trades on The NASDAQ Global Select Market under the symbol "BPMC".</w:t>
      </w:r>
    </w:p>
    <w:p>
      <w:pPr>
        <w:spacing w:after="0" w:line="183" w:lineRule="exact"/>
        <w:rPr>
          <w:sz w:val="20"/>
          <w:szCs w:val="20"/>
          <w:color w:val="auto"/>
        </w:rPr>
      </w:pPr>
    </w:p>
    <w:p>
      <w:pPr>
        <w:ind w:left="240" w:firstLine="485"/>
        <w:spacing w:after="0" w:line="237" w:lineRule="auto"/>
        <w:rPr>
          <w:sz w:val="20"/>
          <w:szCs w:val="20"/>
          <w:color w:val="auto"/>
        </w:rPr>
      </w:pPr>
      <w:r>
        <w:rPr>
          <w:rFonts w:ascii="Arial" w:cs="Arial" w:eastAsia="Arial" w:hAnsi="Arial"/>
          <w:sz w:val="18"/>
          <w:szCs w:val="18"/>
          <w:color w:val="auto"/>
        </w:rPr>
        <w:t>The trademarks, trade names and services marks appearing in this prospectus supplement and the accompanying prospectus are the property of their respective owners. Solely for convenience, the trademarks and trade names in this prospectus may be referred to without the ® and ™ symbols, but such references should not be construed as any indicator that their respective owners will not assert, to the fullest extent under applicable law, their rights thereto.</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5913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913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40"/>
          </w:cols>
          <w:pgMar w:left="240" w:top="143" w:right="519" w:bottom="1440" w:gutter="0" w:footer="0" w:header="0"/>
        </w:sectPr>
      </w:pPr>
    </w:p>
    <w:p>
      <w:pPr>
        <w:spacing w:after="0" w:line="25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offered by us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$150,000,000 of shares</w:t>
      </w:r>
    </w:p>
    <w:p>
      <w:pPr>
        <w:spacing w:after="0" w:line="200" w:lineRule="exact"/>
        <w:rPr>
          <w:sz w:val="20"/>
          <w:szCs w:val="20"/>
          <w:color w:val="auto"/>
        </w:rPr>
      </w:pPr>
    </w:p>
    <w:p>
      <w:pPr>
        <w:sectPr>
          <w:pgSz w:w="11900" w:h="16838" w:orient="portrait"/>
          <w:cols w:equalWidth="0" w:num="2">
            <w:col w:w="3900" w:space="720"/>
            <w:col w:w="6520"/>
          </w:cols>
          <w:pgMar w:left="240" w:top="143" w:right="519" w:bottom="1440" w:gutter="0" w:footer="0" w:header="0"/>
          <w:type w:val="continuous"/>
        </w:sectPr>
      </w:pPr>
    </w:p>
    <w:p>
      <w:pPr>
        <w:spacing w:after="0" w:line="3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Common stock outstanding following the offering</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36,670,740 shares, which is based on an offering of $150,000,000 of shares of our common stock at an assumed offering price of $42.31 per share, the last reported sale price of our common stock on The NASDAQ Global Select Market on March 28, 2017</w:t>
      </w:r>
    </w:p>
    <w:p>
      <w:pPr>
        <w:spacing w:after="0" w:line="200" w:lineRule="exact"/>
        <w:rPr>
          <w:sz w:val="20"/>
          <w:szCs w:val="20"/>
          <w:color w:val="auto"/>
        </w:rPr>
      </w:pPr>
    </w:p>
    <w:p>
      <w:pPr>
        <w:sectPr>
          <w:pgSz w:w="11900" w:h="16838" w:orient="portrait"/>
          <w:cols w:equalWidth="0" w:num="2">
            <w:col w:w="4020" w:space="600"/>
            <w:col w:w="6520"/>
          </w:cols>
          <w:pgMar w:left="240" w:top="143" w:right="519" w:bottom="1440" w:gutter="0" w:footer="0" w:header="0"/>
          <w:type w:val="continuous"/>
        </w:sectPr>
      </w:pP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Underwriters' option to purchase additional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have granted the underwriters an option to purchase up to an additional</w:t>
      </w:r>
    </w:p>
    <w:p>
      <w:pPr>
        <w:spacing w:after="0"/>
        <w:rPr>
          <w:sz w:val="20"/>
          <w:szCs w:val="20"/>
          <w:color w:val="auto"/>
        </w:rPr>
      </w:pPr>
      <w:r>
        <w:rPr>
          <w:rFonts w:ascii="Arial" w:cs="Arial" w:eastAsia="Arial" w:hAnsi="Arial"/>
          <w:sz w:val="16"/>
          <w:szCs w:val="16"/>
          <w:color w:val="auto"/>
        </w:rPr>
        <w:t>$22,500,000 of shares of common stock. The underwriters can exercise this option</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at any time within 30 days from the date of this prospectus supplement.</w:t>
      </w:r>
    </w:p>
    <w:p>
      <w:pPr>
        <w:spacing w:after="0" w:line="200" w:lineRule="exact"/>
        <w:rPr>
          <w:sz w:val="20"/>
          <w:szCs w:val="20"/>
          <w:color w:val="auto"/>
        </w:rPr>
      </w:pPr>
    </w:p>
    <w:p>
      <w:pPr>
        <w:sectPr>
          <w:pgSz w:w="11900" w:h="16838" w:orient="portrait"/>
          <w:cols w:equalWidth="0" w:num="2">
            <w:col w:w="4140" w:space="480"/>
            <w:col w:w="6520"/>
          </w:cols>
          <w:pgMar w:left="240" w:top="143" w:right="519" w:bottom="1440" w:gutter="0" w:footer="0" w:header="0"/>
          <w:type w:val="continuous"/>
        </w:sectPr>
      </w:pPr>
    </w:p>
    <w:p>
      <w:pPr>
        <w:spacing w:after="0" w:line="1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Arial" w:cs="Arial" w:eastAsia="Arial" w:hAnsi="Arial"/>
          <w:sz w:val="16"/>
          <w:szCs w:val="16"/>
          <w:color w:val="auto"/>
        </w:rPr>
        <w:t>We estimate the net proceeds from this offering will be approximately $140.3 million (or approximately $161.5 million if the underwriters exercise their option to purchase additional shares in full), after deducting estimated underwriting discounts and commissions and estimated offering expenses payable by us. We intend to use the net proceeds from this offering to fund clinical trials for BLU-285 in GIST and SM, which may include the expansion of our current Phase 1 clinical trials for these indications, registration clinical trials or indication expansion clinical trials; to fund clinical trials for BLU-554 in HCC, which may include the expansion of our current Phase 1 clinical trial for this indication, registration clinical trials or indication expansion clinical trials; to fund the completion of our current Phase 1 clinical trial for BLU-667 in non-small cell lung cancer, medullary thyroid cancer and other advanced solid tumors and the initiation of additional clinical trials for BLU-667 in RET-driven cancers; and the balance, if any, to fund working capital and other general corporate purposes, including ongoing research and pre-commercial planning activities. See "Use of Proceeds" for additional information.</w:t>
      </w:r>
    </w:p>
    <w:p>
      <w:pPr>
        <w:spacing w:after="0" w:line="200" w:lineRule="exact"/>
        <w:rPr>
          <w:sz w:val="20"/>
          <w:szCs w:val="20"/>
          <w:color w:val="auto"/>
        </w:rPr>
      </w:pPr>
    </w:p>
    <w:p>
      <w:pPr>
        <w:sectPr>
          <w:pgSz w:w="11900" w:h="16838" w:orient="portrait"/>
          <w:cols w:equalWidth="0" w:num="2">
            <w:col w:w="3900" w:space="720"/>
            <w:col w:w="6520"/>
          </w:cols>
          <w:pgMar w:left="240" w:top="143" w:right="519" w:bottom="1440" w:gutter="0" w:footer="0" w:header="0"/>
          <w:type w:val="continuous"/>
        </w:sectPr>
      </w:pPr>
    </w:p>
    <w:p>
      <w:pPr>
        <w:spacing w:after="0" w:line="20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Investing in our common stock involves risks. See "Risk Factors" beginning on page S-12 of this prospectus supplement and other information included or incorporated by reference into this prospectus supplement and the accompanying prospectus for a discussion of the factors you should carefully consider before deciding to invest in our securities.</w:t>
      </w:r>
    </w:p>
    <w:p>
      <w:pPr>
        <w:spacing w:after="0" w:line="200" w:lineRule="exact"/>
        <w:rPr>
          <w:sz w:val="20"/>
          <w:szCs w:val="20"/>
          <w:color w:val="auto"/>
        </w:rPr>
      </w:pPr>
    </w:p>
    <w:p>
      <w:pPr>
        <w:sectPr>
          <w:pgSz w:w="11900" w:h="16838" w:orient="portrait"/>
          <w:cols w:equalWidth="0" w:num="2">
            <w:col w:w="3900" w:space="720"/>
            <w:col w:w="6520"/>
          </w:cols>
          <w:pgMar w:left="240" w:top="143" w:right="519" w:bottom="1440" w:gutter="0" w:footer="0" w:header="0"/>
          <w:type w:val="continuous"/>
        </w:sectPr>
      </w:pPr>
    </w:p>
    <w:p>
      <w:pPr>
        <w:spacing w:after="0" w:line="1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"BPMC"</w:t>
      </w:r>
    </w:p>
    <w:p>
      <w:pPr>
        <w:spacing w:after="0" w:line="200" w:lineRule="exact"/>
        <w:rPr>
          <w:sz w:val="20"/>
          <w:szCs w:val="20"/>
          <w:color w:val="auto"/>
        </w:rPr>
      </w:pPr>
    </w:p>
    <w:p>
      <w:pPr>
        <w:sectPr>
          <w:pgSz w:w="11900" w:h="16838" w:orient="portrait"/>
          <w:cols w:equalWidth="0" w:num="2">
            <w:col w:w="3900" w:space="720"/>
            <w:col w:w="6520"/>
          </w:cols>
          <w:pgMar w:left="240" w:top="143" w:right="519" w:bottom="1440" w:gutter="0" w:footer="0" w:header="0"/>
          <w:type w:val="continuous"/>
        </w:sectPr>
      </w:pPr>
    </w:p>
    <w:p>
      <w:pPr>
        <w:spacing w:after="0" w:line="35" w:lineRule="exact"/>
        <w:rPr>
          <w:sz w:val="20"/>
          <w:szCs w:val="20"/>
          <w:color w:val="auto"/>
        </w:rPr>
      </w:pPr>
    </w:p>
    <w:p>
      <w:pPr>
        <w:ind w:left="240" w:right="240" w:firstLine="485"/>
        <w:spacing w:after="0" w:line="281" w:lineRule="auto"/>
        <w:rPr>
          <w:sz w:val="20"/>
          <w:szCs w:val="20"/>
          <w:color w:val="auto"/>
        </w:rPr>
      </w:pPr>
      <w:r>
        <w:rPr>
          <w:rFonts w:ascii="Arial" w:cs="Arial" w:eastAsia="Arial" w:hAnsi="Arial"/>
          <w:sz w:val="16"/>
          <w:szCs w:val="16"/>
          <w:color w:val="auto"/>
        </w:rPr>
        <w:t>The number of shares of our common stock to be outstanding after the offering is based on 33,125,479 shares of common stock outstanding as of December 31, 2016, and assumes the sale of $150,000,000 of shares of common stock at an assumed offering price of $42.31 per share, the last reported sale price of our common stock on The NASDAQ Global Select Market on March 28,</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43" w:right="51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928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92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40" w:right="20"/>
        <w:spacing w:after="0" w:line="239" w:lineRule="auto"/>
        <w:rPr>
          <w:sz w:val="20"/>
          <w:szCs w:val="20"/>
          <w:color w:val="auto"/>
        </w:rPr>
      </w:pPr>
      <w:r>
        <w:rPr>
          <w:rFonts w:ascii="Arial" w:cs="Arial" w:eastAsia="Arial" w:hAnsi="Arial"/>
          <w:sz w:val="18"/>
          <w:szCs w:val="18"/>
          <w:color w:val="auto"/>
        </w:rPr>
        <w:t>2017, including 2,125 shares that are subject to repurchase by us and are not considered outstanding for accounting purposes until vested, and excludes:</w:t>
      </w:r>
    </w:p>
    <w:p>
      <w:pPr>
        <w:spacing w:after="0" w:line="223" w:lineRule="exact"/>
        <w:rPr>
          <w:sz w:val="20"/>
          <w:szCs w:val="20"/>
          <w:color w:val="auto"/>
        </w:rPr>
      </w:pPr>
    </w:p>
    <w:p>
      <w:pPr>
        <w:ind w:left="1320" w:right="24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2,622,741 shares of common stock issuable upon the exercise of stock options outstanding as of December 31, 2016, at a weighted average exercise price of $11.67 per share;</w:t>
      </w:r>
    </w:p>
    <w:p>
      <w:pPr>
        <w:spacing w:after="0" w:line="195" w:lineRule="exact"/>
        <w:rPr>
          <w:rFonts w:ascii="Arial" w:cs="Arial" w:eastAsia="Arial" w:hAnsi="Arial"/>
          <w:sz w:val="18"/>
          <w:szCs w:val="18"/>
          <w:color w:val="auto"/>
        </w:rPr>
      </w:pPr>
    </w:p>
    <w:p>
      <w:pPr>
        <w:ind w:left="1320" w:hanging="538"/>
        <w:spacing w:after="0" w:line="23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1,551,519 shares of common stock reserved for future issuance under our 2015 Stock Option and Incentive Plan, or the 2015 Plan, as of December 31, 2016, plus any future increases in the number of shares of common stock reserved for issuance under the 2015 Plan pursuant to the evergreen provision of the 2015 Plan; and</w:t>
      </w:r>
    </w:p>
    <w:p>
      <w:pPr>
        <w:spacing w:after="0" w:line="194" w:lineRule="exact"/>
        <w:rPr>
          <w:rFonts w:ascii="Arial" w:cs="Arial" w:eastAsia="Arial" w:hAnsi="Arial"/>
          <w:sz w:val="18"/>
          <w:szCs w:val="18"/>
          <w:color w:val="auto"/>
        </w:rPr>
      </w:pPr>
    </w:p>
    <w:p>
      <w:pPr>
        <w:ind w:left="1320" w:right="740" w:hanging="538"/>
        <w:spacing w:after="0" w:line="239"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491,982 shares of common stock reserved for future issuance under our 2015 Employee Stock Purchase Plan as of December 31, 2016.</w:t>
      </w:r>
    </w:p>
    <w:p>
      <w:pPr>
        <w:spacing w:after="0" w:line="20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Except as otherwise indicated, all information in this prospectus supplement assumes:</w:t>
      </w:r>
    </w:p>
    <w:p>
      <w:pPr>
        <w:spacing w:after="0" w:line="225" w:lineRule="exact"/>
        <w:rPr>
          <w:sz w:val="20"/>
          <w:szCs w:val="20"/>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in this offering; and</w:t>
      </w:r>
    </w:p>
    <w:p>
      <w:pPr>
        <w:spacing w:after="0" w:line="198" w:lineRule="exact"/>
        <w:rPr>
          <w:rFonts w:ascii="Arial" w:cs="Arial" w:eastAsia="Arial" w:hAnsi="Arial"/>
          <w:sz w:val="18"/>
          <w:szCs w:val="18"/>
          <w:color w:val="auto"/>
        </w:rPr>
      </w:pPr>
    </w:p>
    <w:p>
      <w:pPr>
        <w:ind w:left="1320" w:hanging="538"/>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exercise of stock options after December 31, 2016.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43" w:right="59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20" w:firstLine="488"/>
        <w:spacing w:after="0" w:line="274" w:lineRule="auto"/>
        <w:rPr>
          <w:sz w:val="20"/>
          <w:szCs w:val="20"/>
          <w:color w:val="auto"/>
        </w:rPr>
      </w:pPr>
      <w:r>
        <w:rPr>
          <w:rFonts w:ascii="Arial" w:cs="Arial" w:eastAsia="Arial" w:hAnsi="Arial"/>
          <w:sz w:val="16"/>
          <w:szCs w:val="16"/>
          <w:i w:val="1"/>
          <w:iCs w:val="1"/>
          <w:color w:val="auto"/>
        </w:rPr>
        <w:t>Investing in our common stock involves significant risks. In addition to the other information contained in this prospectus supplement, the accompanying prospectus and in the documents that we have incorporated by reference, you should carefully consider the risks discussed below and under the heading "Risk Factors" in our Annual Report on Form 10-K for the fiscal year ended December 31, 2016, filed with the SEC on March 9, 2017, as updated by our subsequent filings under the Exchange Act, before making a decision about investing in our common stock. Such risks and uncertainties and those discussed below are not the only ones facing us. Additional risks and uncertainties not presently known to us, or that we currently see as immaterial, may also harm our business. If any of these risks occur, our business, financial condition and operating results could be harmed, the trading price of our common stock could decline and you could lose part or all of your investment.</w:t>
      </w:r>
    </w:p>
    <w:p>
      <w:pPr>
        <w:spacing w:after="0" w:line="36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i w:val="1"/>
          <w:iCs w:val="1"/>
          <w:color w:val="auto"/>
        </w:rPr>
        <w:t>The price of our common stock historically has been and may in the future be volatile and fluctuate substantially, which may affect the price at which you could sell the common stock.</w:t>
      </w:r>
    </w:p>
    <w:p>
      <w:pPr>
        <w:spacing w:after="0" w:line="189"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Our stock price has been and in the future may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$44.54 and a low price of $13.04 per share for the period beginning on April 30, 2015, our first day of trading on The NASDAQ Global Select Market, through March 28, 2017. As a result of this volatility, our stockholders could incur substantial losses. In addition, the market price for our common stock may be influenced by many factors, including:</w:t>
      </w:r>
    </w:p>
    <w:p>
      <w:pPr>
        <w:spacing w:after="0" w:line="210"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drug candidates or drugs;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221" w:lineRule="exact"/>
        <w:rPr>
          <w:rFonts w:ascii="Arial" w:cs="Arial" w:eastAsia="Arial" w:hAnsi="Arial"/>
          <w:sz w:val="16"/>
          <w:szCs w:val="16"/>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3"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as well as our existing cash, cash equivalents and investments, and may not use them effectively, which could affect our results of operations and cause our stock price to decline.</w:t>
      </w:r>
    </w:p>
    <w:p>
      <w:pPr>
        <w:spacing w:after="0" w:line="189" w:lineRule="exact"/>
        <w:rPr>
          <w:sz w:val="20"/>
          <w:szCs w:val="20"/>
          <w:color w:val="auto"/>
        </w:rPr>
      </w:pPr>
    </w:p>
    <w:p>
      <w:pPr>
        <w:ind w:right="60" w:firstLine="488"/>
        <w:spacing w:after="0" w:line="236" w:lineRule="auto"/>
        <w:rPr>
          <w:sz w:val="20"/>
          <w:szCs w:val="20"/>
          <w:color w:val="auto"/>
        </w:rPr>
      </w:pPr>
      <w:r>
        <w:rPr>
          <w:rFonts w:ascii="Arial" w:cs="Arial" w:eastAsia="Arial" w:hAnsi="Arial"/>
          <w:sz w:val="18"/>
          <w:szCs w:val="18"/>
          <w:color w:val="auto"/>
        </w:rPr>
        <w:t>We will have considerable discretion in the application of the net proceeds of this offering, including for any of the purposes described in the section entitled "Use of Proceeds", as well as our existing cash, cash equivalents and investments, and you will be relying on the judgment of our management regarding such application. You will not have the opportunity, as part of your investment decision, to assess whether the proceeds are being used appropriately. As a result, investors will be relying upon management's judgment with only limited information about our specific intentions for the use of the balance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w:t>
      </w:r>
    </w:p>
    <w:p>
      <w:pPr>
        <w:spacing w:after="0" w:line="189"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89" w:lineRule="exact"/>
        <w:rPr>
          <w:sz w:val="20"/>
          <w:szCs w:val="20"/>
          <w:color w:val="auto"/>
        </w:rPr>
      </w:pPr>
    </w:p>
    <w:p>
      <w:pPr>
        <w:ind w:firstLine="485"/>
        <w:spacing w:after="0" w:line="235" w:lineRule="auto"/>
        <w:rPr>
          <w:sz w:val="20"/>
          <w:szCs w:val="20"/>
          <w:color w:val="auto"/>
        </w:rPr>
      </w:pPr>
      <w:r>
        <w:rPr>
          <w:rFonts w:ascii="Arial" w:cs="Arial" w:eastAsia="Arial" w:hAnsi="Arial"/>
          <w:sz w:val="18"/>
          <w:szCs w:val="18"/>
          <w:color w:val="auto"/>
        </w:rPr>
        <w:t>The holdings of our executive officers, directors and stockholders who own more than 5% of our outstanding common stock, together with their affiliates and related persons, represent beneficial ownership, in the aggregate, of approximately 44% of our common stock, based on the number of shares of our common stock outstanding as December 31, 2016. Upon the closing of this offering, the holdings of our executive officers, directors and stockholders who owned more than 5% of our outstanding common stock before this offering, together with their affiliates and related persons, will represent beneficial ownership, in the aggregate, of approximately 40% of our common stock (approximately 39% if the underwriters exercise in full their option to purchase additional shares), based on the number of shares of our common stock outstanding as December 31, 2016. As a result, these stockholders, if they choose to act together, will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this concentration of ownership might adversely affect the market price of our common stock by:</w:t>
      </w:r>
    </w:p>
    <w:p>
      <w:pPr>
        <w:spacing w:after="0" w:line="212"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98" w:lineRule="exact"/>
        <w:rPr>
          <w:rFonts w:ascii="Arial" w:cs="Arial" w:eastAsia="Arial" w:hAnsi="Arial"/>
          <w:sz w:val="18"/>
          <w:szCs w:val="18"/>
          <w:color w:val="auto"/>
        </w:rPr>
      </w:pPr>
    </w:p>
    <w:p>
      <w:pPr>
        <w:ind w:left="5520" w:right="2000" w:hanging="4972"/>
        <w:spacing w:after="0" w:line="48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 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232" w:lineRule="exact"/>
        <w:rPr>
          <w:sz w:val="20"/>
          <w:szCs w:val="20"/>
          <w:color w:val="auto"/>
        </w:rPr>
      </w:pPr>
    </w:p>
    <w:p>
      <w:pPr>
        <w:ind w:right="20" w:firstLine="488"/>
        <w:spacing w:after="0" w:line="236"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as of December 31, 2016 after subtracting our liabilities. As a result, investors purchasing shares of common stock in this offering will incur immediate dilution of $32.67 per share, based on the difference between the assumed public offering price of $42.31 per share, which was the last reported sale price of our common stock on The NASDAQ Global Select Market on March 28, 2017, and the as adjusted net tangible book value per share of our outstanding common stock as of December 31, 2016.</w:t>
      </w:r>
    </w:p>
    <w:p>
      <w:pPr>
        <w:spacing w:after="0" w:line="211" w:lineRule="exact"/>
        <w:rPr>
          <w:sz w:val="20"/>
          <w:szCs w:val="20"/>
          <w:color w:val="auto"/>
        </w:rPr>
      </w:pPr>
    </w:p>
    <w:p>
      <w:pPr>
        <w:ind w:right="60" w:firstLine="485"/>
        <w:spacing w:after="0" w:line="236" w:lineRule="auto"/>
        <w:rPr>
          <w:sz w:val="20"/>
          <w:szCs w:val="20"/>
          <w:color w:val="auto"/>
        </w:rPr>
      </w:pPr>
      <w:r>
        <w:rPr>
          <w:rFonts w:ascii="Arial" w:cs="Arial" w:eastAsia="Arial" w:hAnsi="Arial"/>
          <w:sz w:val="18"/>
          <w:szCs w:val="18"/>
          <w:color w:val="auto"/>
        </w:rPr>
        <w:t>This dilution is due to the substantially lower price paid by some of our investors who purchased shares prior to this offering as compared to the price offered to the public in this offering, and the exercise of stock options granted to our employees. In addition, as of December 31, 2016, options to purchase 2,622,741 shares of our common stock at a weighted average exercise price of $11.67 per share were outstanding. The exercise of any of these options would result in additional dilution. As a result of the dilution to investors purchasing shares in this offering, investors may receive significantly less than the purchase price paid in this offering, if anything, in the event of our liquidation. Further, because we will need to raise additional capital to fund our future activities, we may in the future sell substantial amounts of common stock or securities convertible into or exchangeable for common stock.</w:t>
      </w:r>
    </w:p>
    <w:p>
      <w:pPr>
        <w:spacing w:after="0" w:line="209" w:lineRule="exact"/>
        <w:rPr>
          <w:sz w:val="20"/>
          <w:szCs w:val="20"/>
          <w:color w:val="auto"/>
        </w:rPr>
      </w:pPr>
    </w:p>
    <w:p>
      <w:pPr>
        <w:jc w:val="both"/>
        <w:ind w:right="340" w:firstLine="485"/>
        <w:spacing w:after="0" w:line="238" w:lineRule="auto"/>
        <w:rPr>
          <w:sz w:val="20"/>
          <w:szCs w:val="20"/>
          <w:color w:val="auto"/>
        </w:rPr>
      </w:pPr>
      <w:r>
        <w:rPr>
          <w:rFonts w:ascii="Arial" w:cs="Arial" w:eastAsia="Arial" w:hAnsi="Arial"/>
          <w:sz w:val="18"/>
          <w:szCs w:val="18"/>
          <w:color w:val="auto"/>
        </w:rPr>
        <w:t>These future issuances of common stock or common stock-related securities, together with the exercise of outstanding options and any additional shares issued in connection with acquisitions, if any, may result in further dilution. For a further description of the dilution that you will experience immediately after this offering, see "Dilution".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32" w:lineRule="exact"/>
        <w:rPr>
          <w:sz w:val="20"/>
          <w:szCs w:val="20"/>
          <w:color w:val="auto"/>
        </w:rPr>
      </w:pPr>
    </w:p>
    <w:p>
      <w:pPr>
        <w:ind w:right="220" w:firstLine="488"/>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addition, the sale of substantial amounts of our common stock could adversely impact its price. As of December 31, 2016, 33,125,479 shares of our common stock were outstanding, including 2,125 shares of unvested restricted stock that are subject to repurchase by us and are not considered outstanding for accounting purposes until vested but excluding options to purchase 2,622,741 shares of our common stock, of which 883,660 were exercisable as of that date. The sale or the availability for sale of a large number of shares of our common stock in the public market could cause the price of our common stock to decline.</w:t>
      </w:r>
    </w:p>
    <w:p>
      <w:pPr>
        <w:spacing w:after="0" w:line="211" w:lineRule="exact"/>
        <w:rPr>
          <w:sz w:val="20"/>
          <w:szCs w:val="20"/>
          <w:color w:val="auto"/>
        </w:rPr>
      </w:pPr>
    </w:p>
    <w:p>
      <w:pPr>
        <w:ind w:right="140" w:firstLine="488"/>
        <w:spacing w:after="0" w:line="271" w:lineRule="auto"/>
        <w:rPr>
          <w:sz w:val="20"/>
          <w:szCs w:val="20"/>
          <w:color w:val="auto"/>
        </w:rPr>
      </w:pPr>
      <w:r>
        <w:rPr>
          <w:rFonts w:ascii="Arial" w:cs="Arial" w:eastAsia="Arial" w:hAnsi="Arial"/>
          <w:sz w:val="16"/>
          <w:szCs w:val="16"/>
          <w:color w:val="auto"/>
        </w:rPr>
        <w:t>We, along with our directors and executive officers, have agreed that for a period of 90 days after the date of this prospectus supplement, subject to specified exceptions, we or they will not offer, sell, contract to sell, pledge, grant any option to purchase, make any short sale or otherwise dispose of any shares of our common stock or securities convertible into or exchangeable or exercisable for any shares of our common stock. Holders of 3,453,753 shares of our common stock have agreed to such restrictions for a period of 60 days after the date of this prospectus supplement. These lock-up periods affect approximately 4,027,656 shares of our common stock Sales of stock by any of our directors, executive officers or principal stockholders could have a material adverse effect on the trading price of our common stock.</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20" w:firstLine="488"/>
        <w:spacing w:after="0" w:line="237" w:lineRule="auto"/>
        <w:rPr>
          <w:sz w:val="20"/>
          <w:szCs w:val="20"/>
          <w:color w:val="auto"/>
        </w:rPr>
      </w:pPr>
      <w:r>
        <w:rPr>
          <w:rFonts w:ascii="Arial" w:cs="Arial" w:eastAsia="Arial" w:hAnsi="Arial"/>
          <w:sz w:val="18"/>
          <w:szCs w:val="18"/>
          <w:color w:val="auto"/>
        </w:rPr>
        <w:t>Certain holders of shares of our common stock are entitled to rights with respect to the registration of their shares under the Securities Act. See "Description of Capital Stock — Registration Rights".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trading price of our common stock.</w:t>
      </w:r>
    </w:p>
    <w:p>
      <w:pPr>
        <w:spacing w:after="0" w:line="189"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The market price of our common stock may be adversely affected by market conditions affecting the stock markets in general, including price and trading fluctuations on The NASDAQ Global Select Market.</w:t>
      </w:r>
    </w:p>
    <w:p>
      <w:pPr>
        <w:spacing w:after="0" w:line="189" w:lineRule="exact"/>
        <w:rPr>
          <w:sz w:val="20"/>
          <w:szCs w:val="20"/>
          <w:color w:val="auto"/>
        </w:rPr>
      </w:pPr>
    </w:p>
    <w:p>
      <w:pPr>
        <w:ind w:right="20" w:firstLine="488"/>
        <w:spacing w:after="0" w:line="237" w:lineRule="auto"/>
        <w:rPr>
          <w:sz w:val="20"/>
          <w:szCs w:val="20"/>
          <w:color w:val="auto"/>
        </w:rPr>
      </w:pPr>
      <w:r>
        <w:rPr>
          <w:rFonts w:ascii="Arial" w:cs="Arial" w:eastAsia="Arial" w:hAnsi="Arial"/>
          <w:sz w:val="18"/>
          <w:szCs w:val="18"/>
          <w:color w:val="auto"/>
        </w:rPr>
        <w:t>Market conditions may result in volatility in the level of, and fluctuations in, market prices of stocks generally and, in turn, our common stock and sales of substantial amounts of our common stock in the market, in each case being unrelated or disproportionate to changes in our operating performance. The overall weakness in the economy has recently contributed to the extreme volatility of the markets which may have an effect on the market price of our common stock.</w:t>
      </w: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560" w:firstLine="488"/>
        <w:spacing w:after="0" w:line="238" w:lineRule="auto"/>
        <w:rPr>
          <w:sz w:val="20"/>
          <w:szCs w:val="20"/>
          <w:color w:val="auto"/>
        </w:rPr>
      </w:pPr>
      <w:r>
        <w:rPr>
          <w:rFonts w:ascii="Arial" w:cs="Arial" w:eastAsia="Arial" w:hAnsi="Arial"/>
          <w:sz w:val="18"/>
          <w:szCs w:val="18"/>
          <w:color w:val="auto"/>
        </w:rPr>
        <w:t>We estimate that the net proceeds we will receive from this offering will be approximately $140.3 million, after deducting estimated underwriting discounts and commissions and estimated offering expenses payable by us, or approximately $161.5 million if the underwriters exercise in full their option to purchase $22,500,000 of additional shares of common stock.</w:t>
      </w:r>
    </w:p>
    <w:p>
      <w:pPr>
        <w:spacing w:after="0" w:line="20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As of December 31, 2016, we had cash, cash equivalents and investments of $268.2 million.</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intend to use the net proceeds from this offering, plus, if needed, existing cash, cash equivalents and investments, as follows:</w:t>
      </w:r>
    </w:p>
    <w:p>
      <w:pPr>
        <w:spacing w:after="0" w:line="212" w:lineRule="exact"/>
        <w:rPr>
          <w:sz w:val="20"/>
          <w:szCs w:val="20"/>
          <w:color w:val="auto"/>
        </w:rPr>
      </w:pPr>
    </w:p>
    <w:p>
      <w:pPr>
        <w:ind w:left="1080" w:right="220" w:hanging="532"/>
        <w:spacing w:after="0" w:line="23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$45.0 million to $50.0 million to fund clinical trials for BLU-285 in GIST and SM, which may include the expansion of our current Phase 1 clinical trials for these indications, registration clinical trials or indication expansion clinical trials (which may include expansion into earlier lines of therapy or additional diseases);</w:t>
      </w:r>
    </w:p>
    <w:p>
      <w:pPr>
        <w:spacing w:after="0" w:line="208" w:lineRule="exact"/>
        <w:rPr>
          <w:rFonts w:ascii="Arial" w:cs="Arial" w:eastAsia="Arial" w:hAnsi="Arial"/>
          <w:sz w:val="18"/>
          <w:szCs w:val="18"/>
          <w:color w:val="auto"/>
        </w:rPr>
      </w:pPr>
    </w:p>
    <w:p>
      <w:pPr>
        <w:ind w:left="1080" w:hanging="532"/>
        <w:spacing w:after="0" w:line="23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$20.0 million to $25.0 million to fund clinical trials for BLU-554 in HCC, which may include the expansion of our current Phase 1 clinical trial for this indication, registration clinical trials or indication expansion clinical trials (which may include expansion into earlier lines of therapy or additional diseases);</w:t>
      </w:r>
    </w:p>
    <w:p>
      <w:pPr>
        <w:spacing w:after="0" w:line="194" w:lineRule="exact"/>
        <w:rPr>
          <w:rFonts w:ascii="Arial" w:cs="Arial" w:eastAsia="Arial" w:hAnsi="Arial"/>
          <w:sz w:val="18"/>
          <w:szCs w:val="18"/>
          <w:color w:val="auto"/>
        </w:rPr>
      </w:pPr>
    </w:p>
    <w:p>
      <w:pPr>
        <w:ind w:left="1080" w:right="180" w:hanging="532"/>
        <w:spacing w:after="0" w:line="23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$20.0 million to $25.0 million to fund the completion of our current Phase 1 clinical trial for BLU-667 in non-small cell lung cancer, medullary thyroid cancer and other advanced solid tumors and the initiation of additional clinical trials for BLU-667 in RET-driven cancers; and</w:t>
      </w:r>
    </w:p>
    <w:p>
      <w:pPr>
        <w:spacing w:after="0" w:line="194" w:lineRule="exact"/>
        <w:rPr>
          <w:rFonts w:ascii="Arial" w:cs="Arial" w:eastAsia="Arial" w:hAnsi="Arial"/>
          <w:sz w:val="18"/>
          <w:szCs w:val="18"/>
          <w:color w:val="auto"/>
        </w:rPr>
      </w:pPr>
    </w:p>
    <w:p>
      <w:pPr>
        <w:ind w:left="1080" w:right="280" w:hanging="532"/>
        <w:spacing w:after="0" w:line="23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balance, if any, to fund working capital and other general corporate purposes, including ongoing research and pre-commercial planning activities.</w:t>
      </w:r>
    </w:p>
    <w:p>
      <w:pPr>
        <w:spacing w:after="0" w:line="209" w:lineRule="exact"/>
        <w:rPr>
          <w:sz w:val="20"/>
          <w:szCs w:val="20"/>
          <w:color w:val="auto"/>
        </w:rPr>
      </w:pPr>
    </w:p>
    <w:p>
      <w:pPr>
        <w:ind w:right="120" w:firstLine="488"/>
        <w:spacing w:after="0" w:line="238" w:lineRule="auto"/>
        <w:rPr>
          <w:sz w:val="20"/>
          <w:szCs w:val="20"/>
          <w:color w:val="auto"/>
        </w:rPr>
      </w:pPr>
      <w:r>
        <w:rPr>
          <w:rFonts w:ascii="Arial" w:cs="Arial" w:eastAsia="Arial" w:hAnsi="Arial"/>
          <w:sz w:val="18"/>
          <w:szCs w:val="18"/>
          <w:color w:val="auto"/>
        </w:rPr>
        <w:t>Based on our current plans, we believe our cash, cash equivalents and investments, together with the net proceeds to us from this offering, but excluding any potential option fees and milestone payments under our existing collaborations, will be sufficient to enable us to fund our operating expenses and capital expenditure requirements into the middle of 2019.</w:t>
      </w:r>
    </w:p>
    <w:p>
      <w:pPr>
        <w:spacing w:after="0" w:line="208" w:lineRule="exact"/>
        <w:rPr>
          <w:sz w:val="20"/>
          <w:szCs w:val="20"/>
          <w:color w:val="auto"/>
        </w:rPr>
      </w:pPr>
    </w:p>
    <w:p>
      <w:pPr>
        <w:ind w:right="40" w:firstLine="485"/>
        <w:spacing w:after="0" w:line="236" w:lineRule="auto"/>
        <w:rPr>
          <w:sz w:val="20"/>
          <w:szCs w:val="20"/>
          <w:color w:val="auto"/>
        </w:rPr>
      </w:pPr>
      <w:r>
        <w:rPr>
          <w:rFonts w:ascii="Arial" w:cs="Arial" w:eastAsia="Arial" w:hAnsi="Arial"/>
          <w:sz w:val="18"/>
          <w:szCs w:val="18"/>
          <w:color w:val="auto"/>
        </w:rPr>
        <w:t>This expected use of the net proceeds from this offering represents our intentions based upon our current plans and business conditions. As of the date of this prospectus supplement, we cannot predict with certainty all of the particular uses for the net proceeds to be received upon the completion of this offering, the amounts that we will actually spend on the uses set forth above or the timing of such expenditures. The amounts and timing of our actual expenditures may vary significantly depending on numerous factors, including the progress of our development efforts, the status of and results from non-clinical studies and ongoing clinical trials or any clinical trials we may commence in the future, the scope and results of our regulatory activities, and the nature and scope of our launch preparation activities, as well as any collaborations that we may enter into with third parties for our drug candidates and any unforeseen cash needs. As a result, our management will retain broad discretion over the allocation of the net proceeds from this offering.</w:t>
      </w:r>
    </w:p>
    <w:p>
      <w:pPr>
        <w:spacing w:after="0" w:line="208" w:lineRule="exact"/>
        <w:rPr>
          <w:sz w:val="20"/>
          <w:szCs w:val="20"/>
          <w:color w:val="auto"/>
        </w:rPr>
      </w:pPr>
    </w:p>
    <w:p>
      <w:pPr>
        <w:ind w:right="120" w:firstLine="488"/>
        <w:spacing w:after="0" w:line="239"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price per share of our common stock in this offering and the as adjusted net tangible book value per share of our common stock immediately after this offering.</w:t>
      </w:r>
    </w:p>
    <w:p>
      <w:pPr>
        <w:spacing w:after="0" w:line="208" w:lineRule="exact"/>
        <w:rPr>
          <w:sz w:val="20"/>
          <w:szCs w:val="20"/>
          <w:color w:val="auto"/>
        </w:rPr>
      </w:pPr>
    </w:p>
    <w:p>
      <w:pPr>
        <w:ind w:right="20" w:firstLine="478"/>
        <w:spacing w:after="0" w:line="236" w:lineRule="auto"/>
        <w:rPr>
          <w:sz w:val="20"/>
          <w:szCs w:val="20"/>
          <w:color w:val="auto"/>
        </w:rPr>
      </w:pPr>
      <w:r>
        <w:rPr>
          <w:rFonts w:ascii="Arial" w:cs="Arial" w:eastAsia="Arial" w:hAnsi="Arial"/>
          <w:sz w:val="18"/>
          <w:szCs w:val="18"/>
          <w:color w:val="auto"/>
        </w:rPr>
        <w:t>As of December 31, 2016, we had net tangible book value of approximately $213.1 million, or $6.43 per share of our common stock, based upon 33,125,479 shares of our common stock outstanding as of that date (which includes 2,125 shares of unvested restricted stock subject to repurchase by us and are not considered outstanding for accounting purposes until vested). Historical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net tangible book value per share of our common stock immediately after this offering.</w:t>
      </w:r>
    </w:p>
    <w:p>
      <w:pPr>
        <w:spacing w:after="0" w:line="210" w:lineRule="exact"/>
        <w:rPr>
          <w:sz w:val="20"/>
          <w:szCs w:val="20"/>
          <w:color w:val="auto"/>
        </w:rPr>
      </w:pPr>
    </w:p>
    <w:p>
      <w:pPr>
        <w:ind w:right="80" w:firstLine="478"/>
        <w:spacing w:after="0" w:line="236" w:lineRule="auto"/>
        <w:rPr>
          <w:sz w:val="20"/>
          <w:szCs w:val="20"/>
          <w:color w:val="auto"/>
        </w:rPr>
      </w:pPr>
      <w:r>
        <w:rPr>
          <w:rFonts w:ascii="Arial" w:cs="Arial" w:eastAsia="Arial" w:hAnsi="Arial"/>
          <w:sz w:val="18"/>
          <w:szCs w:val="18"/>
          <w:color w:val="auto"/>
        </w:rPr>
        <w:t>After giving effect to the sale of $150,000,000 of shares of common stock in this offering at the assumed public offering price of $42.31 per share, which was the last reported sale price of our common stock on The NASDAQ Global Select Market on March 28, 2017, and after deducting estimated underwriting discounts and commissions and estimated offering expenses payable by us, our as adjusted net tangible book value as of December 31, 2016 would have been approximately $353.4 million, or approximately $9.64 per share of common stock. This represents an immediate increase in as adjusted net tangible book value of $3.21 per share to our existing stockholders and an immediate dilution of $32.67 per share to investors participating in this offering at the assumed public offering price, which was the last reported sale price of our common stock on The NASDAQ Global Select Market on March 28, 2017.</w:t>
      </w:r>
    </w:p>
    <w:p>
      <w:pPr>
        <w:spacing w:after="0" w:line="209" w:lineRule="exact"/>
        <w:rPr>
          <w:sz w:val="20"/>
          <w:szCs w:val="20"/>
          <w:color w:val="auto"/>
        </w:rPr>
      </w:pPr>
    </w:p>
    <w:p>
      <w:pPr>
        <w:ind w:firstLine="488"/>
        <w:spacing w:after="0" w:line="238" w:lineRule="auto"/>
        <w:rPr>
          <w:sz w:val="20"/>
          <w:szCs w:val="20"/>
          <w:color w:val="auto"/>
        </w:rPr>
      </w:pPr>
      <w:r>
        <w:rPr>
          <w:rFonts w:ascii="Arial" w:cs="Arial" w:eastAsia="Arial" w:hAnsi="Arial"/>
          <w:sz w:val="18"/>
          <w:szCs w:val="18"/>
          <w:color w:val="auto"/>
        </w:rPr>
        <w:t>Dilution per share to new investors is determined by subtracting net tangible book value per share after this offering from the assumed public offering price per share paid by new investors. The following table illustrates this per share dilution (assuming the underwriters do not exercise in full their option to purchase additional shares):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share</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tcPr>
          <w:p>
            <w:pPr>
              <w:ind w:left="160"/>
              <w:spacing w:after="0" w:line="202" w:lineRule="exact"/>
              <w:rPr>
                <w:sz w:val="20"/>
                <w:szCs w:val="20"/>
                <w:color w:val="auto"/>
              </w:rPr>
            </w:pPr>
            <w:r>
              <w:rPr>
                <w:rFonts w:ascii="Arial" w:cs="Arial" w:eastAsia="Arial" w:hAnsi="Arial"/>
                <w:sz w:val="18"/>
                <w:szCs w:val="18"/>
                <w:color w:val="auto"/>
              </w:rPr>
              <w:t>Historical net tangible book value per share as of December 31, 2016</w:t>
            </w:r>
          </w:p>
        </w:tc>
        <w:tc>
          <w:tcPr>
            <w:tcW w:w="9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6.43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w:t>
            </w:r>
          </w:p>
        </w:tc>
        <w:tc>
          <w:tcPr>
            <w:tcW w:w="9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6"/>
        </w:trPr>
        <w:tc>
          <w:tcPr>
            <w:tcW w:w="6720" w:type="dxa"/>
            <w:vAlign w:val="bottom"/>
            <w:gridSpan w:val="2"/>
          </w:tcPr>
          <w:p>
            <w:pPr>
              <w:spacing w:after="0" w:line="196" w:lineRule="exact"/>
              <w:rPr>
                <w:sz w:val="20"/>
                <w:szCs w:val="20"/>
                <w:color w:val="auto"/>
              </w:rPr>
            </w:pPr>
            <w:r>
              <w:rPr>
                <w:rFonts w:ascii="Arial" w:cs="Arial" w:eastAsia="Arial" w:hAnsi="Arial"/>
                <w:sz w:val="18"/>
                <w:szCs w:val="18"/>
                <w:color w:val="auto"/>
              </w:rPr>
              <w:t>As adjusted net tangible book value per share after this offering</w:t>
            </w:r>
          </w:p>
        </w:tc>
        <w:tc>
          <w:tcPr>
            <w:tcW w:w="8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34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9.64</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7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32.67</w:t>
            </w:r>
          </w:p>
        </w:tc>
        <w:tc>
          <w:tcPr>
            <w:tcW w:w="1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9" w:lineRule="exact"/>
        <w:rPr>
          <w:sz w:val="20"/>
          <w:szCs w:val="20"/>
          <w:color w:val="auto"/>
        </w:rPr>
      </w:pPr>
    </w:p>
    <w:p>
      <w:pPr>
        <w:jc w:val="both"/>
        <w:ind w:right="40" w:firstLine="488"/>
        <w:spacing w:after="0" w:line="264" w:lineRule="auto"/>
        <w:rPr>
          <w:sz w:val="20"/>
          <w:szCs w:val="20"/>
          <w:color w:val="auto"/>
        </w:rPr>
      </w:pPr>
      <w:r>
        <w:rPr>
          <w:rFonts w:ascii="Arial" w:cs="Arial" w:eastAsia="Arial" w:hAnsi="Arial"/>
          <w:sz w:val="16"/>
          <w:szCs w:val="16"/>
          <w:color w:val="auto"/>
        </w:rPr>
        <w:t>Each $1.00 increase (decrease) in the assumed public offering price of $42.31 per share, the last reported sale price of our common stock on The NASDAQ Global Select Market on March 28, 2017, would (decrease) increase the number of shares of common stock to be issued by us in this offering by (81,858) and 85,820, respectively, assuming the aggregate dollar amount of shares offered by us, as set forth on the cover page of this prospectus supplement, remains the same. We may also increase or decrease the aggregate dollar amount of shares we are offering. Each increase (decrease) of $1.0 million of shares offered by us would increase (decrease) the net proceeds of this offering by approximately</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$0.9 million, assuming that the assumed public offering price remains the same, and after deducting estimated underwriting discounts and commissions and estimated offering expenses payable by us. The as adjusted information discussed above is illustrative only and will be adjusted based on the actual public offering price and other terms of this offering determined at pricing.</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firstLine="485"/>
        <w:spacing w:after="0" w:line="239" w:lineRule="auto"/>
        <w:rPr>
          <w:sz w:val="20"/>
          <w:szCs w:val="20"/>
          <w:color w:val="auto"/>
        </w:rPr>
      </w:pPr>
      <w:r>
        <w:rPr>
          <w:rFonts w:ascii="Arial" w:cs="Arial" w:eastAsia="Arial" w:hAnsi="Arial"/>
          <w:sz w:val="18"/>
          <w:szCs w:val="18"/>
          <w:color w:val="auto"/>
        </w:rPr>
        <w:t>The foregoing table and discussion is based on 33,125,479 shares of common stock outstanding as of December 31, 2016, including 2,125 shares that are subject to repurchase by us and are not considered outstanding for accounting purposes until vested and excludes:</w:t>
      </w:r>
    </w:p>
    <w:p>
      <w:pPr>
        <w:spacing w:after="0" w:line="209" w:lineRule="exact"/>
        <w:rPr>
          <w:sz w:val="20"/>
          <w:szCs w:val="20"/>
          <w:color w:val="auto"/>
        </w:rPr>
      </w:pPr>
    </w:p>
    <w:p>
      <w:pPr>
        <w:ind w:left="108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2,622,741 shares of common stock issuable upon the exercise of stock options outstanding as of December 31, 2016, at a weighted average exercise price of $11.67 per share;</w:t>
      </w:r>
    </w:p>
    <w:p>
      <w:pPr>
        <w:spacing w:after="0" w:line="20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1,551,519 shares of common stock reserved for future issuance under the 2015 Plan as of December 31, 2016; and</w:t>
      </w:r>
    </w:p>
    <w:p>
      <w:pPr>
        <w:spacing w:after="0" w:line="198" w:lineRule="exact"/>
        <w:rPr>
          <w:rFonts w:ascii="Arial" w:cs="Arial" w:eastAsia="Arial" w:hAnsi="Arial"/>
          <w:sz w:val="18"/>
          <w:szCs w:val="18"/>
          <w:color w:val="auto"/>
        </w:rPr>
      </w:pPr>
    </w:p>
    <w:p>
      <w:pPr>
        <w:ind w:left="1080" w:right="120" w:hanging="532"/>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491,982 shares of common stock reserved for future issuance under our 2015 Employee Stock Purchase Plan as of December 31, 2016.</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If the underwriters exercise in full their option to purchase an assumed $22,500,000 of additional shares of our common stock at the assumed public offering price of $42.31 per share, which was the last reported sale price of our common stock on The NASDAQ Global Select Market on March 28, 2017, the as adjusted net tangible book value after this offering would be $10.07 per share, representing an increase in net tangible book value of $3.64 per share to existing stockholders and immediate dilution in net tangible book value of $32.24 per share to investors purchasing our common stock in this offering at the assumed public offering price of $42.31, which was the last reported sale price of our common stock on The NASDAQ Global Select Market on March 28, 2017.</w:t>
      </w:r>
    </w:p>
    <w:p>
      <w:pPr>
        <w:spacing w:after="0" w:line="210" w:lineRule="exact"/>
        <w:rPr>
          <w:sz w:val="20"/>
          <w:szCs w:val="20"/>
          <w:color w:val="auto"/>
        </w:rPr>
      </w:pPr>
    </w:p>
    <w:p>
      <w:pPr>
        <w:jc w:val="both"/>
        <w:ind w:right="440" w:firstLine="485"/>
        <w:spacing w:after="0" w:line="299" w:lineRule="auto"/>
        <w:rPr>
          <w:sz w:val="20"/>
          <w:szCs w:val="20"/>
          <w:color w:val="auto"/>
        </w:rPr>
      </w:pPr>
      <w:r>
        <w:rPr>
          <w:rFonts w:ascii="Arial" w:cs="Arial" w:eastAsia="Arial" w:hAnsi="Arial"/>
          <w:sz w:val="16"/>
          <w:szCs w:val="16"/>
          <w:color w:val="auto"/>
        </w:rPr>
        <w:t>To the extent that any options are exercised, new options are issued under our equity incentive plans, or we otherwise issue additional shares of common stock in the future (including shares issued in connection with acquisitions), there will be further dilution to new investors.</w:t>
      </w:r>
    </w:p>
    <w:p>
      <w:pPr>
        <w:spacing w:after="0" w:line="163"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p>
      <w:pPr>
        <w:ind w:right="160" w:firstLine="488"/>
        <w:spacing w:after="0" w:line="238" w:lineRule="auto"/>
        <w:rPr>
          <w:sz w:val="20"/>
          <w:szCs w:val="20"/>
          <w:color w:val="auto"/>
        </w:rPr>
      </w:pPr>
      <w:r>
        <w:rPr>
          <w:rFonts w:ascii="Arial" w:cs="Arial" w:eastAsia="Arial" w:hAnsi="Arial"/>
          <w:sz w:val="18"/>
          <w:szCs w:val="18"/>
          <w:color w:val="auto"/>
        </w:rPr>
        <w:t>Our common stock began trading on The NASDAQ Global Select Market under the symbol "BPMC" on April 30, 2015. Prior to that time, there was no public market for our common stock. The following table sets forth the high and low sale prices per share of our common stock, as reported on The NASDAQ Global Select Market, for the periods indicated:</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color w:val="auto"/>
                <w:w w:val="97"/>
              </w:rPr>
              <w:t>Sales prices</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ind w:left="120"/>
              <w:spacing w:after="0"/>
              <w:rPr>
                <w:sz w:val="20"/>
                <w:szCs w:val="20"/>
                <w:color w:val="auto"/>
              </w:rPr>
            </w:pPr>
            <w:r>
              <w:rPr>
                <w:rFonts w:ascii="Arial" w:cs="Arial" w:eastAsia="Arial" w:hAnsi="Arial"/>
                <w:sz w:val="18"/>
                <w:szCs w:val="18"/>
                <w:color w:val="auto"/>
              </w:rPr>
              <w:t>High</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Low</w:t>
            </w: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ended December 31, 2015</w:t>
            </w:r>
          </w:p>
        </w:tc>
        <w:tc>
          <w:tcPr>
            <w:tcW w:w="210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Second quarter (from April 30, 2015)</w:t>
            </w:r>
          </w:p>
        </w:tc>
        <w:tc>
          <w:tcPr>
            <w:tcW w:w="2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w w:val="93"/>
              </w:rPr>
              <w:t>37.17</w:t>
            </w:r>
          </w:p>
        </w:tc>
        <w:tc>
          <w:tcPr>
            <w:tcW w:w="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18.00</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2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33.10</w:t>
            </w:r>
          </w:p>
        </w:tc>
        <w:tc>
          <w:tcPr>
            <w:tcW w:w="4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19.39</w:t>
            </w:r>
          </w:p>
        </w:tc>
        <w:tc>
          <w:tcPr>
            <w:tcW w:w="160" w:type="dxa"/>
            <w:vAlign w:val="bottom"/>
            <w:shd w:val="clear" w:color="auto" w:fill="CCEEFF"/>
          </w:tcPr>
          <w:p>
            <w:pPr>
              <w:spacing w:after="0"/>
              <w:rPr>
                <w:sz w:val="17"/>
                <w:szCs w:val="17"/>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Fourth quarter</w:t>
            </w:r>
          </w:p>
        </w:tc>
        <w:tc>
          <w:tcPr>
            <w:tcW w:w="2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w w:val="93"/>
              </w:rPr>
              <w:t>27.00</w:t>
            </w:r>
          </w:p>
        </w:tc>
        <w:tc>
          <w:tcPr>
            <w:tcW w:w="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19.08</w:t>
            </w:r>
          </w:p>
        </w:tc>
        <w:tc>
          <w:tcPr>
            <w:tcW w:w="160" w:type="dxa"/>
            <w:vAlign w:val="bottom"/>
          </w:tcPr>
          <w:p>
            <w:pPr>
              <w:spacing w:after="0"/>
              <w:rPr>
                <w:sz w:val="17"/>
                <w:szCs w:val="17"/>
                <w:color w:val="auto"/>
              </w:rPr>
            </w:pPr>
          </w:p>
        </w:tc>
      </w:tr>
      <w:tr>
        <w:trPr>
          <w:trHeight w:val="419"/>
        </w:trPr>
        <w:tc>
          <w:tcPr>
            <w:tcW w:w="20" w:type="dxa"/>
            <w:vAlign w:val="bottom"/>
          </w:tcPr>
          <w:p>
            <w:pPr>
              <w:spacing w:after="0"/>
              <w:rPr>
                <w:sz w:val="24"/>
                <w:szCs w:val="24"/>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 2016</w:t>
            </w:r>
          </w:p>
        </w:tc>
        <w:tc>
          <w:tcPr>
            <w:tcW w:w="2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First quarter</w:t>
            </w:r>
          </w:p>
        </w:tc>
        <w:tc>
          <w:tcPr>
            <w:tcW w:w="2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w w:val="93"/>
              </w:rPr>
              <w:t>25.99</w:t>
            </w:r>
          </w:p>
        </w:tc>
        <w:tc>
          <w:tcPr>
            <w:tcW w:w="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13.04</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Second quarter</w:t>
            </w:r>
          </w:p>
        </w:tc>
        <w:tc>
          <w:tcPr>
            <w:tcW w:w="2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22.48</w:t>
            </w:r>
          </w:p>
        </w:tc>
        <w:tc>
          <w:tcPr>
            <w:tcW w:w="4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13.27</w:t>
            </w:r>
          </w:p>
        </w:tc>
        <w:tc>
          <w:tcPr>
            <w:tcW w:w="160" w:type="dxa"/>
            <w:vAlign w:val="bottom"/>
            <w:shd w:val="clear" w:color="auto" w:fill="CCEEFF"/>
          </w:tcPr>
          <w:p>
            <w:pPr>
              <w:spacing w:after="0"/>
              <w:rPr>
                <w:sz w:val="17"/>
                <w:szCs w:val="17"/>
                <w:color w:val="auto"/>
              </w:rPr>
            </w:pPr>
          </w:p>
        </w:tc>
      </w:tr>
      <w:tr>
        <w:trPr>
          <w:trHeight w:val="203"/>
        </w:trPr>
        <w:tc>
          <w:tcPr>
            <w:tcW w:w="5080" w:type="dxa"/>
            <w:vAlign w:val="bottom"/>
            <w:gridSpan w:val="2"/>
          </w:tcPr>
          <w:p>
            <w:pPr>
              <w:spacing w:after="0" w:line="202" w:lineRule="exact"/>
              <w:rPr>
                <w:sz w:val="20"/>
                <w:szCs w:val="20"/>
                <w:color w:val="auto"/>
              </w:rPr>
            </w:pPr>
            <w:r>
              <w:rPr>
                <w:rFonts w:ascii="Arial" w:cs="Arial" w:eastAsia="Arial" w:hAnsi="Arial"/>
                <w:sz w:val="18"/>
                <w:szCs w:val="18"/>
                <w:color w:val="auto"/>
              </w:rPr>
              <w:t>Third quarter</w:t>
            </w:r>
          </w:p>
        </w:tc>
        <w:tc>
          <w:tcPr>
            <w:tcW w:w="23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ind w:left="160"/>
              <w:spacing w:after="0" w:line="202" w:lineRule="exact"/>
              <w:rPr>
                <w:sz w:val="20"/>
                <w:szCs w:val="20"/>
                <w:color w:val="auto"/>
              </w:rPr>
            </w:pPr>
            <w:r>
              <w:rPr>
                <w:rFonts w:ascii="Arial" w:cs="Arial" w:eastAsia="Arial" w:hAnsi="Arial"/>
                <w:sz w:val="18"/>
                <w:szCs w:val="18"/>
                <w:color w:val="auto"/>
                <w:w w:val="93"/>
              </w:rPr>
              <w:t>29.90</w:t>
            </w:r>
          </w:p>
        </w:tc>
        <w:tc>
          <w:tcPr>
            <w:tcW w:w="4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tcPr>
          <w:p>
            <w:pPr>
              <w:ind w:left="140"/>
              <w:spacing w:after="0" w:line="202" w:lineRule="exact"/>
              <w:rPr>
                <w:sz w:val="20"/>
                <w:szCs w:val="20"/>
                <w:color w:val="auto"/>
              </w:rPr>
            </w:pPr>
            <w:r>
              <w:rPr>
                <w:rFonts w:ascii="Arial" w:cs="Arial" w:eastAsia="Arial" w:hAnsi="Arial"/>
                <w:sz w:val="18"/>
                <w:szCs w:val="18"/>
                <w:color w:val="auto"/>
                <w:w w:val="93"/>
              </w:rPr>
              <w:t>19.51</w:t>
            </w:r>
          </w:p>
        </w:tc>
        <w:tc>
          <w:tcPr>
            <w:tcW w:w="1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Fourth quarter</w:t>
            </w:r>
          </w:p>
        </w:tc>
        <w:tc>
          <w:tcPr>
            <w:tcW w:w="2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38.33</w:t>
            </w:r>
          </w:p>
        </w:tc>
        <w:tc>
          <w:tcPr>
            <w:tcW w:w="4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25.08</w:t>
            </w:r>
          </w:p>
        </w:tc>
        <w:tc>
          <w:tcPr>
            <w:tcW w:w="160" w:type="dxa"/>
            <w:vAlign w:val="bottom"/>
            <w:shd w:val="clear" w:color="auto" w:fill="CCEEFF"/>
          </w:tcPr>
          <w:p>
            <w:pPr>
              <w:spacing w:after="0"/>
              <w:rPr>
                <w:sz w:val="17"/>
                <w:szCs w:val="17"/>
                <w:color w:val="auto"/>
              </w:rPr>
            </w:pPr>
          </w:p>
        </w:tc>
      </w:tr>
      <w:tr>
        <w:trPr>
          <w:trHeight w:val="419"/>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 2017</w:t>
            </w: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quarter (through March 28, 2017)</w:t>
            </w:r>
          </w:p>
        </w:tc>
        <w:tc>
          <w:tcPr>
            <w:tcW w:w="23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3"/>
              </w:rPr>
              <w:t>44.54</w:t>
            </w:r>
          </w:p>
        </w:tc>
        <w:tc>
          <w:tcPr>
            <w:tcW w:w="4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3"/>
              </w:rPr>
              <w:t>27.83</w:t>
            </w:r>
          </w:p>
        </w:tc>
        <w:tc>
          <w:tcPr>
            <w:tcW w:w="160" w:type="dxa"/>
            <w:vAlign w:val="bottom"/>
            <w:shd w:val="clear" w:color="auto" w:fill="CCEEFF"/>
          </w:tcPr>
          <w:p>
            <w:pPr>
              <w:spacing w:after="0"/>
              <w:rPr>
                <w:sz w:val="17"/>
                <w:szCs w:val="17"/>
                <w:color w:val="auto"/>
              </w:rPr>
            </w:pPr>
          </w:p>
        </w:tc>
      </w:tr>
    </w:tbl>
    <w:p>
      <w:pPr>
        <w:spacing w:after="0" w:line="219" w:lineRule="exact"/>
        <w:rPr>
          <w:sz w:val="20"/>
          <w:szCs w:val="20"/>
          <w:color w:val="auto"/>
        </w:rPr>
      </w:pPr>
    </w:p>
    <w:p>
      <w:pPr>
        <w:ind w:firstLine="478"/>
        <w:spacing w:after="0" w:line="299" w:lineRule="auto"/>
        <w:rPr>
          <w:sz w:val="20"/>
          <w:szCs w:val="20"/>
          <w:color w:val="auto"/>
        </w:rPr>
      </w:pPr>
      <w:r>
        <w:rPr>
          <w:rFonts w:ascii="Arial" w:cs="Arial" w:eastAsia="Arial" w:hAnsi="Arial"/>
          <w:sz w:val="16"/>
          <w:szCs w:val="16"/>
          <w:color w:val="auto"/>
        </w:rPr>
        <w:t>As of March 28, 2017, there were 45 record holders of our common stock. The actual number of stockholders is greater than this number of record holders and includes stockholders who are beneficial owners but whose shares are held in street name by brokers and other nominees.</w:t>
      </w:r>
    </w:p>
    <w:p>
      <w:pPr>
        <w:spacing w:after="0" w:line="1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We have never declared or paid dividends on our capital stock. We do not anticipate paying any dividends on our capital stock in the foreseeable future. We currently intend to retain all available funds and any future earnings to fund the development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80" w:firstLine="488"/>
        <w:spacing w:after="0" w:line="238" w:lineRule="auto"/>
        <w:rPr>
          <w:sz w:val="20"/>
          <w:szCs w:val="20"/>
          <w:color w:val="auto"/>
        </w:rPr>
      </w:pPr>
      <w:r>
        <w:rPr>
          <w:rFonts w:ascii="Arial" w:cs="Arial" w:eastAsia="Arial" w:hAnsi="Arial"/>
          <w:sz w:val="18"/>
          <w:szCs w:val="18"/>
          <w:color w:val="auto"/>
        </w:rPr>
        <w:t>We will enter into an underwriting agreement with the underwriters named below with respect to the shares being offered. Subject to certain conditions, each underwriter will severally agree to purchase the number of shares indicated in the following table. Goldman, Sachs &amp; Co. and Morgan Stanley &amp; Co. LLC are acting as representatives of the underwriters.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7"/>
              </w:rPr>
              <w:t>Number of</w:t>
            </w:r>
          </w:p>
        </w:tc>
      </w:tr>
      <w:tr>
        <w:trPr>
          <w:trHeight w:val="172"/>
        </w:trPr>
        <w:tc>
          <w:tcPr>
            <w:tcW w:w="7100" w:type="dxa"/>
            <w:vAlign w:val="bottom"/>
            <w:gridSpan w:val="2"/>
          </w:tcPr>
          <w:p>
            <w:pPr>
              <w:spacing w:after="0" w:line="172" w:lineRule="exact"/>
              <w:rPr>
                <w:sz w:val="20"/>
                <w:szCs w:val="20"/>
                <w:color w:val="auto"/>
              </w:rPr>
            </w:pPr>
            <w:r>
              <w:rPr>
                <w:rFonts w:ascii="Arial" w:cs="Arial" w:eastAsia="Arial" w:hAnsi="Arial"/>
                <w:sz w:val="18"/>
                <w:szCs w:val="18"/>
                <w:color w:val="auto"/>
              </w:rPr>
              <w:t>Underwriters</w:t>
            </w:r>
          </w:p>
        </w:tc>
        <w:tc>
          <w:tcPr>
            <w:tcW w:w="880" w:type="dxa"/>
            <w:vAlign w:val="bottom"/>
          </w:tcPr>
          <w:p>
            <w:pPr>
              <w:jc w:val="center"/>
              <w:spacing w:after="0" w:line="172" w:lineRule="exact"/>
              <w:rPr>
                <w:sz w:val="20"/>
                <w:szCs w:val="20"/>
                <w:color w:val="auto"/>
              </w:rPr>
            </w:pPr>
            <w:r>
              <w:rPr>
                <w:rFonts w:ascii="Arial" w:cs="Arial" w:eastAsia="Arial" w:hAnsi="Arial"/>
                <w:sz w:val="18"/>
                <w:szCs w:val="18"/>
                <w:color w:val="auto"/>
                <w:w w:val="98"/>
              </w:rPr>
              <w:t>Shares</w:t>
            </w:r>
          </w:p>
        </w:tc>
      </w:tr>
      <w:tr>
        <w:trPr>
          <w:trHeight w:val="20"/>
        </w:trPr>
        <w:tc>
          <w:tcPr>
            <w:tcW w:w="1000" w:type="dxa"/>
            <w:vAlign w:val="bottom"/>
            <w:tcBorders>
              <w:top w:val="single" w:sz="8" w:color="auto"/>
            </w:tcBorders>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7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Goldman, Sachs &amp; Co.</w:t>
            </w:r>
          </w:p>
        </w:tc>
        <w:tc>
          <w:tcPr>
            <w:tcW w:w="880" w:type="dxa"/>
            <w:vAlign w:val="bottom"/>
            <w:shd w:val="clear" w:color="auto" w:fill="CCEEFF"/>
          </w:tcPr>
          <w:p>
            <w:pPr>
              <w:spacing w:after="0"/>
              <w:rPr>
                <w:sz w:val="17"/>
                <w:szCs w:val="17"/>
                <w:color w:val="auto"/>
              </w:rPr>
            </w:pPr>
          </w:p>
        </w:tc>
      </w:tr>
      <w:tr>
        <w:trPr>
          <w:trHeight w:val="203"/>
        </w:trPr>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Morgan Stanley &amp; Co. LLC</w:t>
            </w:r>
          </w:p>
        </w:tc>
        <w:tc>
          <w:tcPr>
            <w:tcW w:w="880" w:type="dxa"/>
            <w:vAlign w:val="bottom"/>
          </w:tcPr>
          <w:p>
            <w:pPr>
              <w:spacing w:after="0"/>
              <w:rPr>
                <w:sz w:val="17"/>
                <w:szCs w:val="17"/>
                <w:color w:val="auto"/>
              </w:rPr>
            </w:pPr>
          </w:p>
        </w:tc>
      </w:tr>
      <w:tr>
        <w:trPr>
          <w:trHeight w:val="203"/>
        </w:trPr>
        <w:tc>
          <w:tcPr>
            <w:tcW w:w="71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Cowen and Company, LLC</w:t>
            </w:r>
          </w:p>
        </w:tc>
        <w:tc>
          <w:tcPr>
            <w:tcW w:w="880" w:type="dxa"/>
            <w:vAlign w:val="bottom"/>
            <w:shd w:val="clear" w:color="auto" w:fill="CCEEFF"/>
          </w:tcPr>
          <w:p>
            <w:pPr>
              <w:spacing w:after="0"/>
              <w:rPr>
                <w:sz w:val="17"/>
                <w:szCs w:val="17"/>
                <w:color w:val="auto"/>
              </w:rPr>
            </w:pPr>
          </w:p>
        </w:tc>
      </w:tr>
      <w:tr>
        <w:trPr>
          <w:trHeight w:val="203"/>
        </w:trPr>
        <w:tc>
          <w:tcPr>
            <w:tcW w:w="7100" w:type="dxa"/>
            <w:vAlign w:val="bottom"/>
            <w:gridSpan w:val="2"/>
          </w:tcPr>
          <w:p>
            <w:pPr>
              <w:spacing w:after="0" w:line="202" w:lineRule="exact"/>
              <w:rPr>
                <w:sz w:val="20"/>
                <w:szCs w:val="20"/>
                <w:color w:val="auto"/>
              </w:rPr>
            </w:pPr>
            <w:r>
              <w:rPr>
                <w:rFonts w:ascii="Arial" w:cs="Arial" w:eastAsia="Arial" w:hAnsi="Arial"/>
                <w:sz w:val="18"/>
                <w:szCs w:val="18"/>
                <w:color w:val="auto"/>
              </w:rPr>
              <w:t>Raymond James &amp; Associates, Inc.</w:t>
            </w:r>
          </w:p>
        </w:tc>
        <w:tc>
          <w:tcPr>
            <w:tcW w:w="880" w:type="dxa"/>
            <w:vAlign w:val="bottom"/>
            <w:tcBorders>
              <w:bottom w:val="single" w:sz="8" w:color="auto"/>
            </w:tcBorders>
          </w:tcPr>
          <w:p>
            <w:pPr>
              <w:spacing w:after="0"/>
              <w:rPr>
                <w:sz w:val="17"/>
                <w:szCs w:val="17"/>
                <w:color w:val="auto"/>
              </w:rPr>
            </w:pPr>
          </w:p>
        </w:tc>
      </w:tr>
      <w:tr>
        <w:trPr>
          <w:trHeight w:val="196"/>
        </w:trPr>
        <w:tc>
          <w:tcPr>
            <w:tcW w:w="71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CEEFF"/>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ind w:right="300" w:firstLine="485"/>
        <w:spacing w:after="0" w:line="239"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209" w:lineRule="exact"/>
        <w:rPr>
          <w:sz w:val="20"/>
          <w:szCs w:val="20"/>
          <w:color w:val="auto"/>
        </w:rPr>
      </w:pPr>
    </w:p>
    <w:p>
      <w:pPr>
        <w:ind w:right="120" w:firstLine="485"/>
        <w:spacing w:after="0" w:line="237" w:lineRule="auto"/>
        <w:rPr>
          <w:sz w:val="20"/>
          <w:szCs w:val="20"/>
          <w:color w:val="auto"/>
        </w:rPr>
      </w:pPr>
      <w:r>
        <w:rPr>
          <w:rFonts w:ascii="Arial" w:cs="Arial" w:eastAsia="Arial" w:hAnsi="Arial"/>
          <w:sz w:val="18"/>
          <w:szCs w:val="18"/>
          <w:color w:val="auto"/>
        </w:rPr>
        <w:t>The underwriters have an option to buy up to $22,500,000 of additional shares of our common stock from us to cover sales by the underwriters of a greater number of shares than the total number set forth in the table above. They may exercise this option for 30 days. If any shares are purchased pursuant to this option, the underwriters will severally purchase shares in approximately the same proportion as set forth in the table above.</w:t>
      </w:r>
    </w:p>
    <w:p>
      <w:pPr>
        <w:spacing w:after="0" w:line="209" w:lineRule="exact"/>
        <w:rPr>
          <w:sz w:val="20"/>
          <w:szCs w:val="20"/>
          <w:color w:val="auto"/>
        </w:rPr>
      </w:pPr>
    </w:p>
    <w:p>
      <w:pPr>
        <w:ind w:right="20" w:firstLine="485"/>
        <w:spacing w:after="0" w:line="238" w:lineRule="auto"/>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Such amounts are shown assuming both no exercise and full exercise of the underwriters' option to purchase up to $22,500,000 additional shares of our common stock.</w:t>
      </w:r>
    </w:p>
    <w:p>
      <w:pPr>
        <w:spacing w:after="0" w:line="389" w:lineRule="exact"/>
        <w:rPr>
          <w:sz w:val="20"/>
          <w:szCs w:val="20"/>
          <w:color w:val="auto"/>
        </w:rPr>
      </w:pPr>
    </w:p>
    <w:tbl>
      <w:tblPr>
        <w:tblLayout w:type="fixed"/>
        <w:tblInd w:w="1720" w:type="dxa"/>
        <w:tblCellMar>
          <w:top w:w="0" w:type="dxa"/>
          <w:left w:w="0" w:type="dxa"/>
          <w:bottom w:w="0" w:type="dxa"/>
          <w:right w:w="0" w:type="dxa"/>
        </w:tblCellMar>
      </w:tblPr>
      <w:tr>
        <w:trPr>
          <w:trHeight w:val="233"/>
        </w:trPr>
        <w:tc>
          <w:tcPr>
            <w:tcW w:w="1940" w:type="dxa"/>
            <w:vAlign w:val="bottom"/>
          </w:tcPr>
          <w:p>
            <w:pPr>
              <w:spacing w:after="0"/>
              <w:rPr>
                <w:sz w:val="20"/>
                <w:szCs w:val="20"/>
                <w:color w:val="auto"/>
              </w:rPr>
            </w:pPr>
          </w:p>
        </w:tc>
        <w:tc>
          <w:tcPr>
            <w:tcW w:w="4080" w:type="dxa"/>
            <w:vAlign w:val="bottom"/>
            <w:gridSpan w:val="2"/>
          </w:tcPr>
          <w:p>
            <w:pPr>
              <w:jc w:val="right"/>
              <w:ind w:right="1072"/>
              <w:spacing w:after="0"/>
              <w:rPr>
                <w:sz w:val="20"/>
                <w:szCs w:val="20"/>
                <w:color w:val="auto"/>
              </w:rPr>
            </w:pPr>
            <w:r>
              <w:rPr>
                <w:rFonts w:ascii="Arial" w:cs="Arial" w:eastAsia="Arial" w:hAnsi="Arial"/>
                <w:sz w:val="18"/>
                <w:szCs w:val="18"/>
                <w:b w:val="1"/>
                <w:bCs w:val="1"/>
                <w:color w:val="auto"/>
              </w:rPr>
              <w:t>Paid by the Company</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28"/>
        </w:trPr>
        <w:tc>
          <w:tcPr>
            <w:tcW w:w="1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 Exercise</w:t>
            </w:r>
          </w:p>
        </w:tc>
        <w:tc>
          <w:tcPr>
            <w:tcW w:w="160" w:type="dxa"/>
            <w:vAlign w:val="bottom"/>
          </w:tcPr>
          <w:p>
            <w:pPr>
              <w:spacing w:after="0"/>
              <w:rPr>
                <w:sz w:val="24"/>
                <w:szCs w:val="24"/>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Full Exercise</w:t>
            </w:r>
          </w:p>
        </w:tc>
        <w:tc>
          <w:tcPr>
            <w:tcW w:w="160" w:type="dxa"/>
            <w:vAlign w:val="bottom"/>
          </w:tcPr>
          <w:p>
            <w:pPr>
              <w:spacing w:after="0"/>
              <w:rPr>
                <w:sz w:val="24"/>
                <w:szCs w:val="24"/>
                <w:color w:val="auto"/>
              </w:rPr>
            </w:pPr>
          </w:p>
        </w:tc>
      </w:tr>
      <w:tr>
        <w:trPr>
          <w:trHeight w:val="203"/>
        </w:trPr>
        <w:tc>
          <w:tcPr>
            <w:tcW w:w="1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 Share</w:t>
            </w:r>
          </w:p>
        </w:tc>
        <w:tc>
          <w:tcPr>
            <w:tcW w:w="4080" w:type="dxa"/>
            <w:vAlign w:val="bottom"/>
            <w:gridSpan w:val="2"/>
            <w:shd w:val="clear" w:color="auto" w:fill="CCEEFF"/>
          </w:tcPr>
          <w:p>
            <w:pPr>
              <w:jc w:val="right"/>
              <w:ind w:right="1372"/>
              <w:spacing w:after="0" w:line="202" w:lineRule="exact"/>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45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r>
      <w:tr>
        <w:trPr>
          <w:trHeight w:val="214"/>
        </w:trPr>
        <w:tc>
          <w:tcPr>
            <w:tcW w:w="1940" w:type="dxa"/>
            <w:vAlign w:val="bottom"/>
          </w:tcPr>
          <w:p>
            <w:pPr>
              <w:spacing w:after="0"/>
              <w:rPr>
                <w:sz w:val="20"/>
                <w:szCs w:val="20"/>
                <w:color w:val="auto"/>
              </w:rPr>
            </w:pPr>
            <w:r>
              <w:rPr>
                <w:rFonts w:ascii="Arial" w:cs="Arial" w:eastAsia="Arial" w:hAnsi="Arial"/>
                <w:sz w:val="18"/>
                <w:szCs w:val="18"/>
                <w:color w:val="auto"/>
              </w:rPr>
              <w:t>Total</w:t>
            </w:r>
          </w:p>
        </w:tc>
        <w:tc>
          <w:tcPr>
            <w:tcW w:w="4080" w:type="dxa"/>
            <w:vAlign w:val="bottom"/>
            <w:gridSpan w:val="2"/>
          </w:tcPr>
          <w:p>
            <w:pPr>
              <w:jc w:val="right"/>
              <w:ind w:right="1372"/>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4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bl>
    <w:p>
      <w:pPr>
        <w:spacing w:after="0" w:line="20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Shares sold by the underwriters to the public will initially be offered at the public offering price set forth on the cover of this prospectus</w:t>
      </w:r>
    </w:p>
    <w:p>
      <w:pPr>
        <w:ind w:right="320"/>
        <w:spacing w:after="0" w:line="281" w:lineRule="auto"/>
        <w:rPr>
          <w:sz w:val="20"/>
          <w:szCs w:val="20"/>
          <w:color w:val="auto"/>
        </w:rPr>
      </w:pPr>
      <w:r>
        <w:rPr>
          <w:rFonts w:ascii="Arial" w:cs="Arial" w:eastAsia="Arial" w:hAnsi="Arial"/>
          <w:sz w:val="16"/>
          <w:szCs w:val="16"/>
          <w:color w:val="auto"/>
        </w:rPr>
        <w:t>supplement. Any shares sold by the underwriters to securities dealers may be sold at a discount of up to $ per share from the public offering price. After the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8" w:lineRule="exact"/>
        <w:rPr>
          <w:sz w:val="20"/>
          <w:szCs w:val="20"/>
          <w:color w:val="auto"/>
        </w:rPr>
      </w:pPr>
    </w:p>
    <w:p>
      <w:pPr>
        <w:ind w:firstLine="488"/>
        <w:spacing w:after="0" w:line="271" w:lineRule="auto"/>
        <w:rPr>
          <w:sz w:val="20"/>
          <w:szCs w:val="20"/>
          <w:color w:val="auto"/>
        </w:rPr>
      </w:pPr>
      <w:r>
        <w:rPr>
          <w:rFonts w:ascii="Arial" w:cs="Arial" w:eastAsia="Arial" w:hAnsi="Arial"/>
          <w:sz w:val="16"/>
          <w:szCs w:val="16"/>
          <w:color w:val="auto"/>
        </w:rPr>
        <w:t>We and our officers and directors have agreed with the underwriters, subject to certain exceptions, not to dispose of or hedge any common stock or securities convertible into or exchangeable for shares of common stock during the period from the date of this prospectus supplement continuing through the date 90 days after the date of this prospectus supplement, except with the prior written consent of the representatives. Holders of 3,453,753 shares of our common stock, or the Holders, have agreed to such restrictions for a period of 60 days. The lock-up restrictions are subject to certain exceptions, including transfers of shares of our common stock (i) acquired in this offering, except for shares acquired by our directors or officers; (ii) acquired in the open market following the completion of this offering; (iii) as a bona fide gift, to a</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trust for the benefit of the holder or his or her immediate family, by will or intestate succession, or by operation of law; (iv) to an affiliate of the holder or as part of a distribution without consideration to a holder's stockholders, partners, members or other equity holders; (v) in connection with an exercise for cash of options to purchase our common stock, the "net exercise" or "cashless" exercise of such options within 90 days of the expiration of such options, and any transfer for the payment of taxes due as result of such exercise; and (vi) in connection with establishing a trading plan pursuant to Rule 10b5-1, or 10b5-1 plan, under the Securities Exchange Act of 1934, as amended. In addition, the Holders may distribute or sell shares of common stock pursuant to such Holders' 10b5-1 plan. The representatives, in their sole discretion, may release the common stock and other securities subject to the lock-up agreements described above in whole or in part at any time.</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common stock is publicly traded on The NASDAQ Global Select Market under the symbol "BPMC".</w:t>
      </w:r>
    </w:p>
    <w:p>
      <w:pPr>
        <w:spacing w:after="0" w:line="212" w:lineRule="exact"/>
        <w:rPr>
          <w:sz w:val="20"/>
          <w:szCs w:val="20"/>
          <w:color w:val="auto"/>
        </w:rPr>
      </w:pPr>
    </w:p>
    <w:p>
      <w:pPr>
        <w:ind w:firstLine="488"/>
        <w:spacing w:after="0" w:line="235" w:lineRule="auto"/>
        <w:rPr>
          <w:sz w:val="20"/>
          <w:szCs w:val="20"/>
          <w:color w:val="auto"/>
        </w:rPr>
      </w:pPr>
      <w:r>
        <w:rPr>
          <w:rFonts w:ascii="Arial" w:cs="Arial" w:eastAsia="Arial" w:hAnsi="Arial"/>
          <w:sz w:val="18"/>
          <w:szCs w:val="18"/>
          <w:color w:val="auto"/>
        </w:rPr>
        <w:t>In connection with this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215" w:lineRule="exact"/>
        <w:rPr>
          <w:sz w:val="20"/>
          <w:szCs w:val="20"/>
          <w:color w:val="auto"/>
        </w:rPr>
      </w:pPr>
    </w:p>
    <w:p>
      <w:pPr>
        <w:jc w:val="both"/>
        <w:ind w:right="580" w:firstLine="485"/>
        <w:spacing w:after="0" w:line="238"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208" w:lineRule="exact"/>
        <w:rPr>
          <w:sz w:val="20"/>
          <w:szCs w:val="20"/>
          <w:color w:val="auto"/>
        </w:rPr>
      </w:pPr>
    </w:p>
    <w:p>
      <w:pPr>
        <w:ind w:right="100" w:firstLine="488"/>
        <w:spacing w:after="0" w:line="273"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NASDAQ Global Select Market, in the over-the-counter market or otherwise.</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underwriters do not expect sales to discretionary accounts to exceed five percent of the total number of shares offered.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60" w:firstLine="488"/>
        <w:spacing w:after="0" w:line="239" w:lineRule="auto"/>
        <w:rPr>
          <w:sz w:val="20"/>
          <w:szCs w:val="20"/>
          <w:color w:val="auto"/>
        </w:rPr>
      </w:pPr>
      <w:r>
        <w:rPr>
          <w:rFonts w:ascii="Arial" w:cs="Arial" w:eastAsia="Arial" w:hAnsi="Arial"/>
          <w:sz w:val="18"/>
          <w:szCs w:val="18"/>
          <w:color w:val="auto"/>
        </w:rPr>
        <w:t>We estimate that our share of the total expenses of the offering, excluding underwriting discounts and commissions, will be approximately $650,000. We have agreed to reimburse the underwriters for certain of their expenses in an amount up to $50,000.</w:t>
      </w:r>
    </w:p>
    <w:p>
      <w:pPr>
        <w:spacing w:after="0" w:line="209" w:lineRule="exact"/>
        <w:rPr>
          <w:sz w:val="20"/>
          <w:szCs w:val="20"/>
          <w:color w:val="auto"/>
        </w:rPr>
      </w:pPr>
    </w:p>
    <w:p>
      <w:pPr>
        <w:ind w:right="480" w:firstLine="488"/>
        <w:spacing w:after="0" w:line="239"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209"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211" w:lineRule="exact"/>
        <w:rPr>
          <w:sz w:val="20"/>
          <w:szCs w:val="20"/>
          <w:color w:val="auto"/>
        </w:rPr>
      </w:pPr>
    </w:p>
    <w:p>
      <w:pPr>
        <w:ind w:right="40" w:firstLine="488"/>
        <w:spacing w:after="0" w:line="236"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traded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European Economic Area</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each underwriter has represented and agreed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20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any legal entity that is a qualified investor as defined in the Prospectus Directive;</w:t>
      </w:r>
    </w:p>
    <w:p>
      <w:pPr>
        <w:spacing w:after="0" w:line="211" w:lineRule="exact"/>
        <w:rPr>
          <w:rFonts w:ascii="Arial" w:cs="Arial" w:eastAsia="Arial" w:hAnsi="Arial"/>
          <w:sz w:val="18"/>
          <w:szCs w:val="18"/>
          <w:color w:val="auto"/>
        </w:rPr>
      </w:pPr>
    </w:p>
    <w:p>
      <w:pPr>
        <w:ind w:left="1080" w:right="80" w:hanging="532"/>
        <w:spacing w:after="0" w:line="23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194" w:lineRule="exact"/>
        <w:rPr>
          <w:rFonts w:ascii="Arial" w:cs="Arial" w:eastAsia="Arial" w:hAnsi="Arial"/>
          <w:sz w:val="18"/>
          <w:szCs w:val="18"/>
          <w:color w:val="auto"/>
        </w:rPr>
      </w:pPr>
    </w:p>
    <w:p>
      <w:pPr>
        <w:jc w:val="both"/>
        <w:ind w:left="1080" w:right="20" w:hanging="532"/>
        <w:spacing w:after="0" w:line="23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208" w:lineRule="exact"/>
        <w:rPr>
          <w:sz w:val="20"/>
          <w:szCs w:val="20"/>
          <w:color w:val="auto"/>
        </w:rPr>
      </w:pPr>
    </w:p>
    <w:p>
      <w:pPr>
        <w:ind w:right="240" w:firstLine="488"/>
        <w:spacing w:after="0" w:line="239" w:lineRule="auto"/>
        <w:rPr>
          <w:sz w:val="20"/>
          <w:szCs w:val="20"/>
          <w:color w:val="auto"/>
        </w:rPr>
      </w:pPr>
      <w:r>
        <w:rPr>
          <w:rFonts w:ascii="Arial" w:cs="Arial" w:eastAsia="Arial" w:hAnsi="Arial"/>
          <w:sz w:val="18"/>
          <w:szCs w:val="18"/>
          <w:color w:val="auto"/>
        </w:rPr>
        <w:t>For the purposes of this provision, the expression an "offer of shares to the public" in relation to any shares in any Relevant Member State means the communication in any form and by any</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means of sufficient information on the terms of the offer and the shares to be offered so as to enable an investor to decide to purchase or subscribe for the shares, as the same may be varied in that Relevant Member State by any measure implementing the Prospectus Directive in that Relevant Member State and the expression Prospectus Directive means Directive 2003/71/EC (and amendments thereto, including the 2010 PD Amending Directive) and includes any relevant implementing measure in each Relevant Member State, and the expression "2010 PD Amending Directive" means Directive 2010/73/EU.</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United Kingdom</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underwriter has represented and agreed that:</w:t>
      </w:r>
    </w:p>
    <w:p>
      <w:pPr>
        <w:spacing w:after="0" w:line="212" w:lineRule="exact"/>
        <w:rPr>
          <w:sz w:val="20"/>
          <w:szCs w:val="20"/>
          <w:color w:val="auto"/>
        </w:rPr>
      </w:pPr>
    </w:p>
    <w:p>
      <w:pPr>
        <w:ind w:left="1080" w:right="260" w:hanging="532"/>
        <w:spacing w:after="0" w:line="28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issuer; and</w:t>
      </w:r>
    </w:p>
    <w:p>
      <w:pPr>
        <w:spacing w:after="0" w:line="177" w:lineRule="exact"/>
        <w:rPr>
          <w:rFonts w:ascii="Arial" w:cs="Arial" w:eastAsia="Arial" w:hAnsi="Arial"/>
          <w:sz w:val="16"/>
          <w:szCs w:val="16"/>
          <w:color w:val="auto"/>
        </w:rPr>
      </w:pPr>
    </w:p>
    <w:p>
      <w:pPr>
        <w:ind w:left="1080" w:right="60" w:hanging="532"/>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39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France</w:t>
      </w:r>
    </w:p>
    <w:p>
      <w:pPr>
        <w:spacing w:after="0" w:line="234" w:lineRule="exact"/>
        <w:rPr>
          <w:sz w:val="20"/>
          <w:szCs w:val="20"/>
          <w:color w:val="auto"/>
        </w:rPr>
      </w:pPr>
    </w:p>
    <w:p>
      <w:pPr>
        <w:ind w:right="300" w:firstLine="488"/>
        <w:spacing w:after="0" w:line="275" w:lineRule="auto"/>
        <w:rPr>
          <w:sz w:val="20"/>
          <w:szCs w:val="20"/>
          <w:color w:val="auto"/>
        </w:rPr>
      </w:pPr>
      <w:r>
        <w:rPr>
          <w:rFonts w:ascii="Arial" w:cs="Arial" w:eastAsia="Arial" w:hAnsi="Arial"/>
          <w:sz w:val="16"/>
          <w:szCs w:val="16"/>
          <w:color w:val="auto"/>
        </w:rPr>
        <w:t>Neither this prospectus nor any other offering material relating to the shares described in this prospectus has been submitted to the clearance procedures of the Autorité des Marchés Financiers or of the competent authority of another member state of the European Economic Area and notified to the Autorité des Marchés Financiers. The shares have not been offered or sold and will not be offered or sold, directly or indirectly, to the public in France. Neither this prospectus nor any other offering material relating to the shares has been or will be:</w:t>
      </w:r>
    </w:p>
    <w:p>
      <w:pPr>
        <w:spacing w:after="0" w:line="183"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25" w:lineRule="exact"/>
        <w:rPr>
          <w:sz w:val="20"/>
          <w:szCs w:val="20"/>
          <w:color w:val="auto"/>
        </w:rPr>
      </w:pPr>
    </w:p>
    <w:p>
      <w:pPr>
        <w:ind w:left="1080" w:right="200" w:hanging="532"/>
        <w:spacing w:after="0" w:line="23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194"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98" w:lineRule="exact"/>
        <w:rPr>
          <w:rFonts w:ascii="Arial" w:cs="Arial" w:eastAsia="Arial" w:hAnsi="Arial"/>
          <w:sz w:val="18"/>
          <w:szCs w:val="18"/>
          <w:color w:val="auto"/>
        </w:rPr>
      </w:pPr>
    </w:p>
    <w:p>
      <w:pPr>
        <w:ind w:left="1080" w:right="180" w:hanging="532"/>
        <w:spacing w:after="0" w:line="23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208" w:lineRule="exact"/>
        <w:rPr>
          <w:sz w:val="20"/>
          <w:szCs w:val="20"/>
          <w:color w:val="auto"/>
        </w:rPr>
      </w:pPr>
    </w:p>
    <w:p>
      <w:pPr>
        <w:ind w:right="200" w:firstLine="485"/>
        <w:spacing w:after="0" w:line="239" w:lineRule="auto"/>
        <w:rPr>
          <w:sz w:val="20"/>
          <w:szCs w:val="20"/>
          <w:color w:val="auto"/>
        </w:rPr>
      </w:pPr>
      <w:r>
        <w:rPr>
          <w:rFonts w:ascii="Arial" w:cs="Arial" w:eastAsia="Arial" w:hAnsi="Arial"/>
          <w:sz w:val="18"/>
          <w:szCs w:val="18"/>
          <w:color w:val="auto"/>
        </w:rPr>
        <w:t>The shares may be resold directly or indirectly, only in compliance with articles L.411-1, L.411-2, L.412-1 and L.621-8 through L.621-8-3 of the French Code monétaire et financier.</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Australia</w:t>
      </w:r>
    </w:p>
    <w:p>
      <w:pPr>
        <w:spacing w:after="0" w:line="234" w:lineRule="exact"/>
        <w:rPr>
          <w:sz w:val="20"/>
          <w:szCs w:val="20"/>
          <w:color w:val="auto"/>
        </w:rPr>
      </w:pPr>
    </w:p>
    <w:p>
      <w:pPr>
        <w:ind w:right="260" w:firstLine="488"/>
        <w:spacing w:after="0" w:line="281" w:lineRule="auto"/>
        <w:rPr>
          <w:sz w:val="20"/>
          <w:szCs w:val="20"/>
          <w:color w:val="auto"/>
        </w:rPr>
      </w:pPr>
      <w:r>
        <w:rPr>
          <w:rFonts w:ascii="Arial" w:cs="Arial" w:eastAsia="Arial" w:hAnsi="Arial"/>
          <w:sz w:val="16"/>
          <w:szCs w:val="16"/>
          <w:color w:val="auto"/>
        </w:rPr>
        <w:t>No prospectus or other disclosure document (as defined in the Corporations Act 2001 (Cth) of Australia ("Corporations Act")) in relation to the common stock has been or will be lodged with the Australian Securities &amp; Investments Commission ("ASIC"). This document has not been lodged with ASIC and is only directed to certain categories of exempt persons. Accordingly, if you receive this document in Australia:</w:t>
      </w:r>
    </w:p>
    <w:p>
      <w:pPr>
        <w:spacing w:after="0" w:line="17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confirm and warrant that you are either:</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98" w:lineRule="exact"/>
        <w:rPr>
          <w:rFonts w:ascii="Arial" w:cs="Arial" w:eastAsia="Arial" w:hAnsi="Arial"/>
          <w:sz w:val="18"/>
          <w:szCs w:val="18"/>
          <w:color w:val="auto"/>
        </w:rPr>
      </w:pPr>
    </w:p>
    <w:p>
      <w:pPr>
        <w:ind w:left="1620" w:right="220" w:hanging="532"/>
        <w:spacing w:after="0" w:line="238"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us which complies with the requirements of section 708(8)(c)(i) or (ii) of the Corporations Act and related regulations before the offer has been made;</w:t>
      </w:r>
    </w:p>
    <w:p>
      <w:pPr>
        <w:spacing w:after="0" w:line="194" w:lineRule="exact"/>
        <w:rPr>
          <w:rFonts w:ascii="Arial" w:cs="Arial" w:eastAsia="Arial" w:hAnsi="Arial"/>
          <w:sz w:val="18"/>
          <w:szCs w:val="18"/>
          <w:color w:val="auto"/>
        </w:rPr>
      </w:pPr>
    </w:p>
    <w:p>
      <w:pPr>
        <w:ind w:left="1620" w:hanging="532"/>
        <w:spacing w:after="0"/>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211" w:lineRule="exact"/>
        <w:rPr>
          <w:rFonts w:ascii="Arial" w:cs="Arial" w:eastAsia="Arial" w:hAnsi="Arial"/>
          <w:sz w:val="18"/>
          <w:szCs w:val="18"/>
          <w:color w:val="auto"/>
        </w:rPr>
      </w:pPr>
    </w:p>
    <w:p>
      <w:pPr>
        <w:ind w:left="1620" w:right="40" w:hanging="532"/>
        <w:spacing w:after="0" w:line="238" w:lineRule="auto"/>
        <w:tabs>
          <w:tab w:leader="none" w:pos="1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 "professional investor" within the meaning of section 708(11)(a) or (b) of the Corporations Act, and to the extent that you are unable to confirm or warrant that you are an exempt sophisticated investor, associated person or professional investor under the Corporations Act any offer made to you under this document is void and incapable of acceptance; and</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080" w:right="140" w:hanging="532"/>
        <w:spacing w:after="0" w:line="23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you warrant and agree that you will not offer any of the common stock for resale in Australia within 12 months of that common stock being issued unless any such resale offer is exempt from the requirement to issue a disclosure document under section 708 of the Corporations Act.</w:t>
      </w:r>
    </w:p>
    <w:p>
      <w:pPr>
        <w:spacing w:after="0" w:line="38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Hong Kong</w:t>
      </w:r>
    </w:p>
    <w:p>
      <w:pPr>
        <w:spacing w:after="0" w:line="234" w:lineRule="exact"/>
        <w:rPr>
          <w:sz w:val="20"/>
          <w:szCs w:val="20"/>
          <w:color w:val="auto"/>
        </w:rPr>
      </w:pPr>
    </w:p>
    <w:p>
      <w:pPr>
        <w:ind w:right="80" w:firstLine="485"/>
        <w:spacing w:after="0" w:line="235" w:lineRule="auto"/>
        <w:rPr>
          <w:sz w:val="20"/>
          <w:szCs w:val="20"/>
          <w:color w:val="auto"/>
        </w:rPr>
      </w:pPr>
      <w:r>
        <w:rPr>
          <w:rFonts w:ascii="Arial" w:cs="Arial" w:eastAsia="Arial" w:hAnsi="Arial"/>
          <w:sz w:val="18"/>
          <w:szCs w:val="18"/>
          <w:color w:val="auto"/>
        </w:rPr>
        <w:t>The shares may not be offered or sold by means of any document other than (i) in circumstances that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that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that are or are intended to be disposed of only to persons outside Hong Kong or only to "professional investors" within the meaning of the Securities and Futures Ordinance (Cap. 571, Laws of Hong Kong) and any rules made thereunder.</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Singapore</w:t>
      </w:r>
    </w:p>
    <w:p>
      <w:pPr>
        <w:spacing w:after="0" w:line="234" w:lineRule="exact"/>
        <w:rPr>
          <w:sz w:val="20"/>
          <w:szCs w:val="20"/>
          <w:color w:val="auto"/>
        </w:rPr>
      </w:pPr>
    </w:p>
    <w:p>
      <w:pPr>
        <w:ind w:firstLine="485"/>
        <w:spacing w:after="0" w:line="275"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09" w:lineRule="exact"/>
        <w:rPr>
          <w:sz w:val="20"/>
          <w:szCs w:val="20"/>
          <w:color w:val="auto"/>
        </w:rPr>
      </w:pPr>
    </w:p>
    <w:p>
      <w:pPr>
        <w:ind w:firstLine="488"/>
        <w:spacing w:after="0" w:line="264" w:lineRule="auto"/>
        <w:rPr>
          <w:sz w:val="20"/>
          <w:szCs w:val="20"/>
          <w:color w:val="auto"/>
        </w:rPr>
      </w:pPr>
      <w:r>
        <w:rPr>
          <w:rFonts w:ascii="Arial" w:cs="Arial" w:eastAsia="Arial" w:hAnsi="Arial"/>
          <w:sz w:val="16"/>
          <w:szCs w:val="16"/>
          <w:color w:val="auto"/>
        </w:rPr>
        <w:t>Where the shares are subscribed or purchased under Section 275 by a relevant person that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w:t>
      </w:r>
    </w:p>
    <w:p>
      <w:pPr>
        <w:spacing w:after="0" w:line="1" w:lineRule="exact"/>
        <w:rPr>
          <w:sz w:val="20"/>
          <w:szCs w:val="20"/>
          <w:color w:val="auto"/>
        </w:rPr>
      </w:pPr>
    </w:p>
    <w:p>
      <w:pPr>
        <w:ind w:right="60" w:firstLine="8"/>
        <w:spacing w:after="0" w:line="299" w:lineRule="auto"/>
        <w:tabs>
          <w:tab w:leader="none" w:pos="26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Japan</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Israel</w:t>
      </w:r>
    </w:p>
    <w:p>
      <w:pPr>
        <w:spacing w:after="0" w:line="234" w:lineRule="exact"/>
        <w:rPr>
          <w:sz w:val="20"/>
          <w:szCs w:val="20"/>
          <w:color w:val="auto"/>
        </w:rPr>
      </w:pPr>
    </w:p>
    <w:p>
      <w:pPr>
        <w:ind w:right="40" w:firstLine="488"/>
        <w:spacing w:after="0" w:line="268" w:lineRule="auto"/>
        <w:rPr>
          <w:sz w:val="20"/>
          <w:szCs w:val="20"/>
          <w:color w:val="auto"/>
        </w:rPr>
      </w:pPr>
      <w:r>
        <w:rPr>
          <w:rFonts w:ascii="Arial" w:cs="Arial" w:eastAsia="Arial" w:hAnsi="Arial"/>
          <w:sz w:val="16"/>
          <w:szCs w:val="16"/>
          <w:color w:val="auto"/>
        </w:rPr>
        <w:t>In the State of Israel this prospectus shall not be regarded as an offer to the public to purchase shares of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The company has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90" w:lineRule="exact"/>
        <w:rPr>
          <w:sz w:val="20"/>
          <w:szCs w:val="20"/>
          <w:color w:val="auto"/>
        </w:rPr>
      </w:pPr>
    </w:p>
    <w:p>
      <w:pPr>
        <w:ind w:right="100" w:firstLine="488"/>
        <w:spacing w:after="0" w:line="236" w:lineRule="auto"/>
        <w:rPr>
          <w:sz w:val="20"/>
          <w:szCs w:val="20"/>
          <w:color w:val="auto"/>
        </w:rPr>
      </w:pPr>
      <w:r>
        <w:rPr>
          <w:rFonts w:ascii="Arial" w:cs="Arial" w:eastAsia="Arial" w:hAnsi="Arial"/>
          <w:sz w:val="18"/>
          <w:szCs w:val="18"/>
          <w:color w:val="auto"/>
        </w:rPr>
        <w:t>Qualified Investors may have to submit written evidence that they meet the definitions set out in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issued common stock; (iv) that the shares of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Canada</w:t>
      </w:r>
    </w:p>
    <w:p>
      <w:pPr>
        <w:spacing w:after="0" w:line="234" w:lineRule="exact"/>
        <w:rPr>
          <w:sz w:val="20"/>
          <w:szCs w:val="20"/>
          <w:color w:val="auto"/>
        </w:rPr>
      </w:pPr>
    </w:p>
    <w:p>
      <w:pPr>
        <w:ind w:right="100" w:firstLine="485"/>
        <w:spacing w:after="0" w:line="236" w:lineRule="auto"/>
        <w:rPr>
          <w:sz w:val="20"/>
          <w:szCs w:val="20"/>
          <w:color w:val="auto"/>
        </w:rPr>
      </w:pPr>
      <w:r>
        <w:rPr>
          <w:rFonts w:ascii="Arial" w:cs="Arial" w:eastAsia="Arial" w:hAnsi="Arial"/>
          <w:sz w:val="18"/>
          <w:szCs w:val="18"/>
          <w:color w:val="auto"/>
        </w:rPr>
        <w:t>The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common stock must be made in accordance with an exemption from, or in a transaction not subject to, the prospectus requirements of applicable securities laws.</w:t>
      </w:r>
    </w:p>
    <w:p>
      <w:pPr>
        <w:spacing w:after="0" w:line="211" w:lineRule="exact"/>
        <w:rPr>
          <w:sz w:val="20"/>
          <w:szCs w:val="20"/>
          <w:color w:val="auto"/>
        </w:rPr>
      </w:pPr>
    </w:p>
    <w:p>
      <w:pPr>
        <w:ind w:right="160" w:firstLine="488"/>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1" w:lineRule="exact"/>
        <w:rPr>
          <w:sz w:val="20"/>
          <w:szCs w:val="20"/>
          <w:color w:val="auto"/>
        </w:rPr>
      </w:pPr>
    </w:p>
    <w:p>
      <w:pPr>
        <w:jc w:val="both"/>
        <w:ind w:right="140" w:firstLine="488"/>
        <w:spacing w:after="0" w:line="238"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34" w:lineRule="exact"/>
        <w:rPr>
          <w:sz w:val="20"/>
          <w:szCs w:val="20"/>
          <w:color w:val="auto"/>
        </w:rPr>
      </w:pPr>
    </w:p>
    <w:p>
      <w:pPr>
        <w:ind w:firstLine="485"/>
        <w:spacing w:after="0" w:line="236" w:lineRule="auto"/>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to non-U.S. holders, but does not purport to be a complete analysis of all the potential tax considerations relating thereto. This summary is based upon the provisions of the Internal Revenue Code of 1986, as amended, or the Code, Treasury regulations promulgated thereunder, administrative rulings and judicial decisions, all as of the date hereof and does not address changes to United States tax law that may result from tax reforms that may be enacted in 2017 or thereafter. These authorities may be changed or subject to differing interpretations, possibly with retroactive effect, so as to result in U.S. federal income tax consequences different from those set forth below. We have not sought any ruling from the Internal Revenue Service, or the IRS, with respect to the statements made and the conclusions reached in the following summary, and there can be no assurance that the IRS will agree with such statements and conclusions.</w:t>
      </w:r>
    </w:p>
    <w:p>
      <w:pPr>
        <w:spacing w:after="0" w:line="208" w:lineRule="exact"/>
        <w:rPr>
          <w:sz w:val="20"/>
          <w:szCs w:val="20"/>
          <w:color w:val="auto"/>
        </w:rPr>
      </w:pPr>
    </w:p>
    <w:p>
      <w:pPr>
        <w:ind w:right="200" w:firstLine="485"/>
        <w:spacing w:after="0" w:line="237" w:lineRule="auto"/>
        <w:rPr>
          <w:sz w:val="20"/>
          <w:szCs w:val="20"/>
          <w:color w:val="auto"/>
        </w:rPr>
      </w:pPr>
      <w:r>
        <w:rPr>
          <w:rFonts w:ascii="Arial" w:cs="Arial" w:eastAsia="Arial" w:hAnsi="Arial"/>
          <w:sz w:val="18"/>
          <w:szCs w:val="18"/>
          <w:color w:val="auto"/>
        </w:rPr>
        <w:t>This summary also does not address the tax considerations arising under the laws of any U.S. state or local or any non-U.S. jurisdiction, U.S. federal estate or gift tax laws, the Medicare tax on net investment income or any alternative minimum tax consequences. In addition, this discussion does not address tax considerations applicable to an investor's particular circumstances or to investors that may be subject to special tax rules, including, without limitation:</w:t>
      </w:r>
    </w:p>
    <w:p>
      <w:pPr>
        <w:spacing w:after="0" w:line="20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dealers in securities or currencies;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traders in securities that elect to use a mark-to-market method of accounting for their securities holdings;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98" w:lineRule="exact"/>
        <w:rPr>
          <w:rFonts w:ascii="Arial" w:cs="Arial" w:eastAsia="Arial" w:hAnsi="Arial"/>
          <w:sz w:val="18"/>
          <w:szCs w:val="18"/>
          <w:color w:val="auto"/>
        </w:rPr>
      </w:pPr>
    </w:p>
    <w:p>
      <w:pPr>
        <w:ind w:left="1080" w:right="700" w:hanging="532"/>
        <w:spacing w:after="0" w:line="23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w:t>
      </w:r>
    </w:p>
    <w:p>
      <w:pPr>
        <w:spacing w:after="0" w:line="208" w:lineRule="exact"/>
        <w:rPr>
          <w:rFonts w:ascii="Arial" w:cs="Arial" w:eastAsia="Arial" w:hAnsi="Arial"/>
          <w:sz w:val="18"/>
          <w:szCs w:val="18"/>
          <w:color w:val="auto"/>
        </w:rPr>
      </w:pPr>
    </w:p>
    <w:p>
      <w:pPr>
        <w:ind w:left="1080" w:right="660" w:hanging="532"/>
        <w:spacing w:after="0" w:line="23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persons who do not hold our common stock as a capital asset within the meaning of Section 1221 of the Code (generally, for investment purposes);</w:t>
      </w:r>
    </w:p>
    <w:p>
      <w:pPr>
        <w:spacing w:after="0" w:line="195" w:lineRule="exact"/>
        <w:rPr>
          <w:rFonts w:ascii="Arial" w:cs="Arial" w:eastAsia="Arial" w:hAnsi="Arial"/>
          <w:sz w:val="18"/>
          <w:szCs w:val="18"/>
          <w:color w:val="auto"/>
        </w:rPr>
      </w:pPr>
    </w:p>
    <w:p>
      <w:pPr>
        <w:ind w:left="1080" w:right="460" w:hanging="532"/>
        <w:spacing w:after="0" w:line="23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treated as partnerships for U.S. federal income tax purposes (or investors in any such entities);</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passive foreign investment companies; or</w:t>
      </w:r>
    </w:p>
    <w:p>
      <w:pPr>
        <w:spacing w:after="0" w:line="19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persons that acquire our common stock as compensation for services.</w:t>
      </w:r>
    </w:p>
    <w:p>
      <w:pPr>
        <w:spacing w:after="0" w:line="212" w:lineRule="exact"/>
        <w:rPr>
          <w:sz w:val="20"/>
          <w:szCs w:val="20"/>
          <w:color w:val="auto"/>
        </w:rPr>
      </w:pPr>
    </w:p>
    <w:p>
      <w:pPr>
        <w:ind w:right="200" w:firstLine="488"/>
        <w:spacing w:after="0" w:line="299" w:lineRule="auto"/>
        <w:rPr>
          <w:sz w:val="20"/>
          <w:szCs w:val="20"/>
          <w:color w:val="auto"/>
        </w:rPr>
      </w:pPr>
      <w:r>
        <w:rPr>
          <w:rFonts w:ascii="Arial" w:cs="Arial" w:eastAsia="Arial" w:hAnsi="Arial"/>
          <w:sz w:val="16"/>
          <w:szCs w:val="16"/>
          <w:color w:val="auto"/>
        </w:rPr>
        <w:t>In addition, if a partnership, including any entity or arrangement classified as a partnership for U.S. federal income tax purposes, holds our common stock, the tax treatment of a partner in such partnership generally will depend on the status of the partner and upon the activities of the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partnership. Accordingly, partnerships that hold our common stock, and partners in such partnerships, should consult their tax advisors.</w:t>
      </w:r>
    </w:p>
    <w:p>
      <w:pPr>
        <w:spacing w:after="0" w:line="190" w:lineRule="exact"/>
        <w:rPr>
          <w:sz w:val="20"/>
          <w:szCs w:val="20"/>
          <w:color w:val="auto"/>
        </w:rPr>
      </w:pPr>
    </w:p>
    <w:p>
      <w:pPr>
        <w:ind w:right="440" w:firstLine="488"/>
        <w:spacing w:after="0" w:line="244" w:lineRule="auto"/>
        <w:rPr>
          <w:sz w:val="20"/>
          <w:szCs w:val="20"/>
          <w:color w:val="auto"/>
        </w:rPr>
      </w:pPr>
      <w:r>
        <w:rPr>
          <w:rFonts w:ascii="Arial" w:cs="Arial" w:eastAsia="Arial" w:hAnsi="Arial"/>
          <w:sz w:val="18"/>
          <w:szCs w:val="18"/>
          <w:b w:val="1"/>
          <w:b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estate or gift tax rules or under the laws of any U.S. state or local or any non-U.S. or other taxing jurisdiction or under any applicable tax treaty.</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Non-U.S. Holder Defined</w:t>
      </w:r>
    </w:p>
    <w:p>
      <w:pPr>
        <w:spacing w:after="0" w:line="234"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For purposes of this discussion, you are a non-U.S. holder if you are a beneficial owner of our common stock that is for United States federal income tax purposes (i) a foreign corporation, (ii) a nonresident alien individual, (iii) a foreign estate, the income of which, if from sources without the United States and not effectively connected with the conduct of a trade or business within the United States, is not subject to tax in the United States; or (iv) a trust that has not made an election to be treated as a U.S. holder under applicable Treasury regulations and that either (A) is not subject to the primary jurisdiction of a court within the United States, or (B) is not subject to the substantial control of one or more United States persons.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ind w:firstLine="478"/>
        <w:spacing w:after="0" w:line="236" w:lineRule="auto"/>
        <w:rPr>
          <w:sz w:val="20"/>
          <w:szCs w:val="20"/>
          <w:color w:val="auto"/>
        </w:rPr>
      </w:pPr>
      <w:r>
        <w:rPr>
          <w:rFonts w:ascii="Arial" w:cs="Arial" w:eastAsia="Arial" w:hAnsi="Arial"/>
          <w:sz w:val="18"/>
          <w:szCs w:val="18"/>
          <w:color w:val="auto"/>
        </w:rPr>
        <w:t>As discussed under "Dividend Policy", above, we do not anticipate paying any dividends on our capital stock in the foreseeable future. If we were to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they will constitute a return of capital and will first reduce your basis in our common stock, but not below zero, and then will be treated as gain from the sale of stock, subject to the tax treatment described in the discussion below regarding taxable dispositions of our common stock. Any such distributions would also be subject to the discussions below regarding backup withholding and FATCA.</w:t>
      </w:r>
    </w:p>
    <w:p>
      <w:pPr>
        <w:spacing w:after="0" w:line="209"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Subject to the discussion below regarding a dividend received by you that is effectively connected with the conduct of a U.S. trade or business, a dividend paid to you generally will be subject to U.S. withholding tax either at a rate of 30% of the gross amount of the dividend or such lower rate as may be specified by an applicable income tax treaty. In order to receive a reduced treaty rate, you must provide us with a valid IRS Form W-8BEN, IRS Form W-8-BEN-E or another appropriate version of IRS Form W-8 (or a successor form), in each case, certifying qualification for the reduced rate.</w:t>
      </w:r>
    </w:p>
    <w:p>
      <w:pPr>
        <w:spacing w:after="0" w:line="211" w:lineRule="exact"/>
        <w:rPr>
          <w:sz w:val="20"/>
          <w:szCs w:val="20"/>
          <w:color w:val="auto"/>
        </w:rPr>
      </w:pPr>
    </w:p>
    <w:p>
      <w:pPr>
        <w:ind w:right="20" w:firstLine="488"/>
        <w:spacing w:after="0" w:line="270" w:lineRule="auto"/>
        <w:rPr>
          <w:sz w:val="20"/>
          <w:szCs w:val="20"/>
          <w:color w:val="auto"/>
        </w:rPr>
      </w:pPr>
      <w:r>
        <w:rPr>
          <w:rFonts w:ascii="Arial" w:cs="Arial" w:eastAsia="Arial" w:hAnsi="Arial"/>
          <w:sz w:val="16"/>
          <w:szCs w:val="16"/>
          <w:color w:val="auto"/>
        </w:rPr>
        <w:t>Dividends received by you that are effectively connected with the conduct of a U.S. trade or business (and, if required by an applicable income tax treaty, are attributable to a permanent establishment maintained by you in the United States) generally are exempt from such withholding tax. In order to obtain this exemption, you must provide us with a valid IRS Form W-8ECI or successor form or other applicable IRS Form W-8 properly certifying such exemption. Such effectively connected dividends, although not subject to withholding tax, are taxed at the same graduated rates applicable to U.S. persons, net of certain deductions and credits, subject to an applicable income tax treaty providing otherwise. In addition, if you are a corporate non-U.S. holder, you may also be subject to a branch profits tax at a rate of 30% or such lower rate as may be specified by an applicable income tax treaty on your earnings and profits in respect of such effectively connected dividend income.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firstLine="488"/>
        <w:spacing w:after="0" w:line="239" w:lineRule="auto"/>
        <w:rPr>
          <w:sz w:val="20"/>
          <w:szCs w:val="20"/>
          <w:color w:val="auto"/>
        </w:rPr>
      </w:pPr>
      <w:r>
        <w:rPr>
          <w:rFonts w:ascii="Arial" w:cs="Arial" w:eastAsia="Arial" w:hAnsi="Arial"/>
          <w:sz w:val="18"/>
          <w:szCs w:val="18"/>
          <w:color w:val="auto"/>
        </w:rPr>
        <w:t>If you are eligible for a reduced rate of withholding tax pursuant to a tax treaty, you may be able to obtain a refund of any excess amounts currently withheld if you file an appropriate claim for refund with the IRS.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Gain on Sale or Other Taxable Disposition of Common Stock</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Subject to the discussion below regarding backup withholding and FATCA, a non-U.S. Holder generally will not be required to pay U.S.</w:t>
      </w:r>
    </w:p>
    <w:p>
      <w:pPr>
        <w:spacing w:after="0"/>
        <w:rPr>
          <w:sz w:val="20"/>
          <w:szCs w:val="20"/>
          <w:color w:val="auto"/>
        </w:rPr>
      </w:pPr>
      <w:r>
        <w:rPr>
          <w:rFonts w:ascii="Arial" w:cs="Arial" w:eastAsia="Arial" w:hAnsi="Arial"/>
          <w:sz w:val="18"/>
          <w:szCs w:val="18"/>
          <w:color w:val="auto"/>
        </w:rPr>
        <w:t>federal income tax on any gain realized upon the sale or other taxable disposition of our common stock unless:</w:t>
      </w:r>
    </w:p>
    <w:p>
      <w:pPr>
        <w:spacing w:after="0" w:line="212" w:lineRule="exact"/>
        <w:rPr>
          <w:sz w:val="20"/>
          <w:szCs w:val="20"/>
          <w:color w:val="auto"/>
        </w:rPr>
      </w:pPr>
    </w:p>
    <w:p>
      <w:pPr>
        <w:jc w:val="both"/>
        <w:ind w:left="1080" w:hanging="532"/>
        <w:spacing w:after="0" w:line="236"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U.S. trade or business (and, if required by an applicable income tax treaty, the gain is attributable to a permanent establishment maintained by you in the U.S.), in which case you will be required to pay tax on the net gain derived from the sale under regular graduated U.S. federal income tax rates, and for a non-U.S. holder that is a corporation, such non-U.S. holder may be subject to the branch profits tax on any earnings and profits attributable to such gains at a 30% rate or such lower rate as may be specified by an applicable income tax treaty;</w:t>
      </w:r>
    </w:p>
    <w:p>
      <w:pPr>
        <w:spacing w:after="0" w:line="211" w:lineRule="exact"/>
        <w:rPr>
          <w:rFonts w:ascii="Arial" w:cs="Arial" w:eastAsia="Arial" w:hAnsi="Arial"/>
          <w:sz w:val="18"/>
          <w:szCs w:val="18"/>
          <w:color w:val="auto"/>
        </w:rPr>
      </w:pPr>
    </w:p>
    <w:p>
      <w:pPr>
        <w:ind w:left="1080" w:right="20" w:hanging="532"/>
        <w:spacing w:after="0" w:line="275"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are an individual who is present in the United States for a period or periods aggregating 183 days or more during the taxable year in which the sale or disposition occurs and certain other conditions are met, in which case you will be required to pay a flat 30% tax on the gain derived from the sale, which tax may be offset by certain U.S. source capital losses in the taxable year of disposition (even though you are not considered a resident of the United States) (subject to applicable income tax or other treaties); or</w:t>
      </w:r>
    </w:p>
    <w:p>
      <w:pPr>
        <w:spacing w:after="0" w:line="169" w:lineRule="exact"/>
        <w:rPr>
          <w:rFonts w:ascii="Arial" w:cs="Arial" w:eastAsia="Arial" w:hAnsi="Arial"/>
          <w:sz w:val="16"/>
          <w:szCs w:val="16"/>
          <w:color w:val="auto"/>
        </w:rPr>
      </w:pPr>
    </w:p>
    <w:p>
      <w:pPr>
        <w:ind w:left="1080" w:right="20" w:hanging="532"/>
        <w:spacing w:after="0" w:line="235"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by reason of our status as a "U.S. real property holding corporation" for U.S. federal income tax purposes, or a USRPHC, at any time within the shorter of the five-year period preceding the disposition or your holding period for our common stock. We believe that we are not currently and will not become a USRPHC. However, because the determination of whether we are a USRPHC depends on the fair market value of our U.S. real property relative to the fair market value of our other real property and business assets, there can be no assurance that we will not become a USRPHC in the future. Even if we become a USRPHC, however, as long as our common stock is regularly traded on an established securities market (as determined under the Code), such common stock will be treated as U.S. real property interests only if you actually or constructively hold more than five percent of such regularly traded common stock at any time during the applicable period that is specified in the Code.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4" w:lineRule="exact"/>
        <w:rPr>
          <w:sz w:val="20"/>
          <w:szCs w:val="20"/>
          <w:color w:val="auto"/>
        </w:rPr>
      </w:pPr>
    </w:p>
    <w:p>
      <w:pPr>
        <w:ind w:right="40" w:firstLine="488"/>
        <w:spacing w:after="0" w:line="238" w:lineRule="auto"/>
        <w:rPr>
          <w:sz w:val="20"/>
          <w:szCs w:val="20"/>
          <w:color w:val="auto"/>
        </w:rPr>
      </w:pPr>
      <w:r>
        <w:rPr>
          <w:rFonts w:ascii="Arial" w:cs="Arial" w:eastAsia="Arial" w:hAnsi="Arial"/>
          <w:sz w:val="18"/>
          <w:szCs w:val="18"/>
          <w:color w:val="auto"/>
        </w:rPr>
        <w:t>Generally, we must report annually to the IRS the amount of dividends paid to you, your name and address, and the amount of tax withheld, if any. A similar report will generally be sent to you. Pursuant to applicable income tax treaties or other agreements, the IRS may make these reports available to tax authorities in your country of residence.</w:t>
      </w:r>
    </w:p>
    <w:p>
      <w:pPr>
        <w:spacing w:after="0" w:line="208" w:lineRule="exact"/>
        <w:rPr>
          <w:sz w:val="20"/>
          <w:szCs w:val="20"/>
          <w:color w:val="auto"/>
        </w:rPr>
      </w:pPr>
    </w:p>
    <w:p>
      <w:pPr>
        <w:ind w:firstLine="488"/>
        <w:spacing w:after="0" w:line="236" w:lineRule="auto"/>
        <w:rPr>
          <w:sz w:val="20"/>
          <w:szCs w:val="20"/>
          <w:color w:val="auto"/>
        </w:rPr>
      </w:pPr>
      <w:r>
        <w:rPr>
          <w:rFonts w:ascii="Arial" w:cs="Arial" w:eastAsia="Arial" w:hAnsi="Arial"/>
          <w:sz w:val="18"/>
          <w:szCs w:val="18"/>
          <w:color w:val="auto"/>
        </w:rPr>
        <w:t>Payments of dividends or of proceeds on the disposition of stock made to you may be subject to additional information reporting and backup withholding at the then applicable rate unless you establish an exemption, for example by properly certifying your non-U.S. status on an IRS Form W-8BEN, IRS Form W-8BEN-E or another appropriate version of IRS Form W-8 (or a successor form). Notwithstanding the foregoing, backup withholding and information reporting may apply if either we or our paying agent has actual knowledge, or reason to know, that you are a U.S. person.</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jc w:val="both"/>
        <w:ind w:right="160" w:firstLine="488"/>
        <w:spacing w:after="0" w:line="238" w:lineRule="auto"/>
        <w:rPr>
          <w:sz w:val="20"/>
          <w:szCs w:val="20"/>
          <w:color w:val="auto"/>
        </w:rPr>
      </w:pPr>
      <w:r>
        <w:rPr>
          <w:rFonts w:ascii="Arial" w:cs="Arial" w:eastAsia="Arial" w:hAnsi="Arial"/>
          <w:sz w:val="18"/>
          <w:szCs w:val="18"/>
          <w:color w:val="auto"/>
        </w:rPr>
        <w:t>Backup withholding is not an additional tax; rather, the U.S. income tax liability of persons subject to backup withholding will be reduced by the amount of tax withheld. If withholding results in an overpayment of taxes, a refund or credit may generally be obtained from the IRS, provided that the required information is furnished to the IRS in a timely manner.</w:t>
      </w: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34" w:lineRule="exact"/>
        <w:rPr>
          <w:sz w:val="20"/>
          <w:szCs w:val="20"/>
          <w:color w:val="auto"/>
        </w:rPr>
      </w:pPr>
    </w:p>
    <w:p>
      <w:pPr>
        <w:ind w:firstLine="488"/>
        <w:spacing w:after="0" w:line="267" w:lineRule="auto"/>
        <w:rPr>
          <w:sz w:val="20"/>
          <w:szCs w:val="20"/>
          <w:color w:val="auto"/>
        </w:rPr>
      </w:pPr>
      <w:r>
        <w:rPr>
          <w:rFonts w:ascii="Arial" w:cs="Arial" w:eastAsia="Arial" w:hAnsi="Arial"/>
          <w:sz w:val="16"/>
          <w:szCs w:val="16"/>
          <w:color w:val="auto"/>
        </w:rPr>
        <w:t>Provisions commonly referred to as "FATCA" may impose withholding tax on certain types of payments made to "foreign financial institutions" and certain other non-U.S. entities. The legislation imposes a 30% withholding tax on dividends on, or gross proceeds from the sale or other disposition of, our common stock paid to a foreign financial institution or to certain non-financial foreign entities, unless (i) the foreign financial institution undertakes certain diligence and reporting obligations, (ii) the non-financial foreign entity either certifies it does not have any substantial U.S. owners or furnishes identifying information regarding each substantial U.S. owner and such entity meets certain other specified requirements, or (iii) the foreign financial institution or non-financial foreign entity otherwise qualifies for an exemption from these rules. If the payee is a foreign financial institution and is subject to the requirements in (i) above, it must enter into an agreement with the U.S. Treasury requiring, among other things, that it undertake to identify accounts held by certain U.S. persons or U.S.-owned foreign entities, annually report certain information about such accounts, and withhold 30% on payments to account holders whose actions prevent it from complying with these reporting and other requirements. If the country in which a payee is resident has entered into an "intergovernmental agreement" with the United States regarding FATCA, that agreement may permit the payee to report to that country rather than to the U.S. Treasury. Under final regulations and published guidance, the obligation to withhold from payments made to a foreign financial institution or a foreign non-financial entity under the new legislation with respect to dividends on our common stock are currently in effect, but with respect to the gross proceeds of a sale or other disposition of our common stock will not begin until January 1, 2019. Prospective investors should consult their tax advisors regarding FATCA.</w:t>
      </w:r>
    </w:p>
    <w:p>
      <w:pPr>
        <w:spacing w:after="0" w:line="369" w:lineRule="exact"/>
        <w:rPr>
          <w:sz w:val="20"/>
          <w:szCs w:val="20"/>
          <w:color w:val="auto"/>
        </w:rPr>
      </w:pPr>
    </w:p>
    <w:p>
      <w:pPr>
        <w:ind w:right="100" w:firstLine="488"/>
        <w:spacing w:after="0" w:line="296" w:lineRule="auto"/>
        <w:rPr>
          <w:sz w:val="20"/>
          <w:szCs w:val="20"/>
          <w:color w:val="auto"/>
        </w:rPr>
      </w:pPr>
      <w:r>
        <w:rPr>
          <w:rFonts w:ascii="Arial" w:cs="Arial" w:eastAsia="Arial" w:hAnsi="Arial"/>
          <w:sz w:val="16"/>
          <w:szCs w:val="16"/>
          <w:b w:val="1"/>
          <w:bCs w:val="1"/>
          <w:color w:val="auto"/>
        </w:rPr>
        <w:t>The preceding discussion of U.S. federal income tax considerations is for general information only. It is not tax advice. Each prospective investor should consult its tax advisor regarding the particular U.S. federal, state and local and non-U.S. tax consequences of purchasing, holding and disposing of our common stock, including the consequences of any proposed change in applicable laws.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4" w:lineRule="exact"/>
        <w:rPr>
          <w:sz w:val="20"/>
          <w:szCs w:val="20"/>
          <w:color w:val="auto"/>
        </w:rPr>
      </w:pPr>
    </w:p>
    <w:p>
      <w:pPr>
        <w:ind w:right="900" w:firstLine="488"/>
        <w:spacing w:after="0" w:line="299" w:lineRule="auto"/>
        <w:rPr>
          <w:sz w:val="20"/>
          <w:szCs w:val="20"/>
          <w:color w:val="auto"/>
        </w:rPr>
      </w:pPr>
      <w:r>
        <w:rPr>
          <w:rFonts w:ascii="Arial" w:cs="Arial" w:eastAsia="Arial" w:hAnsi="Arial"/>
          <w:sz w:val="16"/>
          <w:szCs w:val="16"/>
          <w:color w:val="auto"/>
        </w:rPr>
        <w:t>Certain legal matters with respect to the securities offered by this prospectus supplement will be passed upon for us by Goodwin Procter LLP, Boston, Massachusetts. Certain legal matters will be passed upon for the underwriters by Latham &amp; Watkins LLP.</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jc w:val="both"/>
        <w:ind w:firstLine="485"/>
        <w:spacing w:after="0" w:line="237"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PROSPECTUS</w:t>
      </w:r>
    </w:p>
    <w:p>
      <w:pPr>
        <w:spacing w:after="0" w:line="198"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Blueprint Medicines Corporation</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36"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Debt Securities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Depositary Shares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Contracts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Purchase Units</w:t>
      </w:r>
    </w:p>
    <w:p>
      <w:pPr>
        <w:spacing w:after="0" w:line="8"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may offer and sell securities from time to time in one or more offerings. This prospectus describes the general terms of these securities and the general manner in which these securities will be offered. We will provide the specific terms of these securities in one or more supplements to this prospectus. The prospectus supplements will also describe the specific manner in which these securities will be offered and may also supplement, update or amend information contained in this document. You should read this prospectus and any applicable prospectus supplement or amendment carefully before you invest in our securities.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may offer these securities in amounts, at prices and on terms determined at the time of offering. The securities may be sold directly to you, through agents, or through underwriters and dealers. If agents, underwriters or dealers are used to sell the securities, we will name them and describe their compensation in a prospectus supplement.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Select Market under the symbol "BPMC."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right="240" w:firstLine="351"/>
        <w:spacing w:after="0" w:line="261" w:lineRule="auto"/>
        <w:rPr>
          <w:sz w:val="20"/>
          <w:szCs w:val="20"/>
          <w:color w:val="auto"/>
        </w:rPr>
      </w:pPr>
      <w:r>
        <w:rPr>
          <w:rFonts w:ascii="Arial" w:cs="Arial" w:eastAsia="Arial" w:hAnsi="Arial"/>
          <w:sz w:val="21"/>
          <w:szCs w:val="21"/>
          <w:b w:val="1"/>
          <w:bCs w:val="1"/>
          <w:color w:val="auto"/>
        </w:rPr>
        <w:t>Investing in these securities involves significant risks. See "Risk Factors" included in any accompanying prospectus supplement and in the documents incorporated by reference in this prospectus for a discussion of the factors you should carefully consider before deciding to purchase these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117475</wp:posOffset>
            </wp:positionV>
            <wp:extent cx="18954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right="1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date of this prospectus is March 9,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28"/>
        </w:trPr>
        <w:tc>
          <w:tcPr>
            <w:tcW w:w="8360" w:type="dxa"/>
            <w:vAlign w:val="bottom"/>
          </w:tcPr>
          <w:p>
            <w:pPr>
              <w:ind w:left="4760"/>
              <w:spacing w:after="0"/>
              <w:rPr>
                <w:sz w:val="20"/>
                <w:szCs w:val="20"/>
                <w:color w:val="auto"/>
              </w:rPr>
            </w:pPr>
            <w:r>
              <w:rPr>
                <w:rFonts w:ascii="Arial" w:cs="Arial" w:eastAsia="Arial" w:hAnsi="Arial"/>
                <w:sz w:val="18"/>
                <w:szCs w:val="18"/>
                <w:b w:val="1"/>
                <w:bCs w:val="1"/>
                <w:color w:val="auto"/>
              </w:rPr>
              <w:t>TABLE OF CONTENTS</w:t>
            </w:r>
          </w:p>
        </w:tc>
        <w:tc>
          <w:tcPr>
            <w:tcW w:w="3060" w:type="dxa"/>
            <w:vAlign w:val="bottom"/>
          </w:tcPr>
          <w:p>
            <w:pPr>
              <w:spacing w:after="0"/>
              <w:rPr>
                <w:sz w:val="19"/>
                <w:szCs w:val="19"/>
                <w:color w:val="auto"/>
              </w:rPr>
            </w:pP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ABOUT THIS PROSPECTUS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RISK FACTORS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2</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WHERE YOU CAN FIND MORE INFORMATION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INCORPORATION BY REFERENCE</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FORWARD-LOOKING STATEMENTS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BLUEPRINT MEDICINES CORPORATION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CONSOLIDATED RATIOS OF EARNINGS TO FIXED CHARGES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USE OF PROCEEDS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DILUTION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CAPITAL STOCK</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9</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DEBT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17</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DEPOSITARY SHARES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PURCHASE CONTRACTS AND PURCHASE UNITS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34</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DESCRIPTION OF WARRANTS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35</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FORMS OF SECURITIES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36</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PLAN OF DISTRIBUTION</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38</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LEGAL MATTERS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432"/>
        </w:trPr>
        <w:tc>
          <w:tcPr>
            <w:tcW w:w="8360" w:type="dxa"/>
            <w:vAlign w:val="bottom"/>
          </w:tcPr>
          <w:p>
            <w:pPr>
              <w:ind w:left="1140"/>
              <w:spacing w:after="0"/>
              <w:rPr>
                <w:sz w:val="20"/>
                <w:szCs w:val="20"/>
                <w:color w:val="auto"/>
              </w:rPr>
            </w:pPr>
            <w:r>
              <w:rPr>
                <w:rFonts w:ascii="Arial" w:cs="Arial" w:eastAsia="Arial" w:hAnsi="Arial"/>
                <w:sz w:val="18"/>
                <w:szCs w:val="18"/>
                <w:color w:val="auto"/>
              </w:rPr>
              <w:t>EXPERTS</w:t>
            </w:r>
          </w:p>
        </w:tc>
        <w:tc>
          <w:tcPr>
            <w:tcW w:w="3060" w:type="dxa"/>
            <w:vAlign w:val="bottom"/>
          </w:tcPr>
          <w:p>
            <w:pPr>
              <w:jc w:val="right"/>
              <w:ind w:right="1052"/>
              <w:spacing w:after="0"/>
              <w:rPr>
                <w:sz w:val="20"/>
                <w:szCs w:val="20"/>
                <w:color w:val="auto"/>
              </w:rPr>
            </w:pPr>
            <w:r>
              <w:rPr>
                <w:rFonts w:ascii="Arial" w:cs="Arial" w:eastAsia="Arial" w:hAnsi="Arial"/>
                <w:sz w:val="18"/>
                <w:szCs w:val="18"/>
                <w:color w:val="auto"/>
              </w:rPr>
              <w:t>41</w:t>
            </w:r>
          </w:p>
        </w:tc>
      </w:tr>
      <w:tr>
        <w:trPr>
          <w:trHeight w:val="120"/>
        </w:trPr>
        <w:tc>
          <w:tcPr>
            <w:tcW w:w="8360" w:type="dxa"/>
            <w:vAlign w:val="bottom"/>
            <w:tcBorders>
              <w:bottom w:val="single" w:sz="8" w:color="808080"/>
            </w:tcBorders>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6" w:name="page37"/>
    <w:bookmarkEnd w:id="36"/>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80" w:firstLine="348"/>
        <w:spacing w:after="0" w:line="335" w:lineRule="auto"/>
        <w:rPr>
          <w:sz w:val="20"/>
          <w:szCs w:val="20"/>
          <w:color w:val="auto"/>
        </w:rPr>
      </w:pPr>
      <w:r>
        <w:rPr>
          <w:rFonts w:ascii="Arial" w:cs="Arial" w:eastAsia="Arial" w:hAnsi="Arial"/>
          <w:sz w:val="15"/>
          <w:szCs w:val="15"/>
          <w:color w:val="auto"/>
        </w:rPr>
        <w:t>This prospectus is part of an automatic registration statement that we filed with the Securities and Exchange Commission, which we refer to as the SEC, utilizing a "shelf" registration process as a "well-known seasoned issuer" as defined in Rule 405 under the Securities Act of 1933, as amended, or the Securities Act. Under this shelf registration process, we may from time to time sell any combination of the securities described in this prospectus in one or more offerings.</w:t>
      </w:r>
    </w:p>
    <w:p>
      <w:pPr>
        <w:spacing w:after="0" w:line="142"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This prospectus provides you with a general description of the securities we may offer. Each time we sell securities, we will provide one or more prospectus supplements that will contain specific information about the terms of the offering. The prospectus supplement may also add, update or change information contained in this prospectus. You should read both this prospectus and the accompanying prospectus supplement together with the additional information described under the heading "Where You Can Find More Information" beginning on page 3 of this prospectus.</w:t>
      </w:r>
    </w:p>
    <w:p>
      <w:pPr>
        <w:spacing w:after="0" w:line="167" w:lineRule="exact"/>
        <w:rPr>
          <w:sz w:val="20"/>
          <w:szCs w:val="20"/>
          <w:color w:val="auto"/>
        </w:rPr>
      </w:pPr>
    </w:p>
    <w:p>
      <w:pPr>
        <w:ind w:firstLine="345"/>
        <w:spacing w:after="0" w:line="290"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any accompanying prospectus supplement or in any related free writing prospectus filed by us with the SEC. We have not authorized anyone to provide you with different information. This prospectus and any accompanying prospectus supplement do not constitute an offer to sell or the solicitation of an offer to buy any securities other than the securities described in any accompanying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pacing w:after="0" w:line="172"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i w:val="1"/>
          <w:iCs w:val="1"/>
          <w:color w:val="auto"/>
        </w:rPr>
        <w:t>Unless otherwise stated, all references in this prospectus to "us," "our," "Blueprint," "Blueprint Medicines," "we," the "Company" and similar designations refer, collectively, to Blueprint Medicines Corporation, a Delaware corporation, and its consolidated subsidiary, Blueprint Medicines Security Corporation.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7" w:name="page38"/>
    <w:bookmarkEnd w:id="37"/>
    <w:p>
      <w:pPr>
        <w:jc w:val="center"/>
        <w:ind w:right="-9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Investing in our securities involves significant risks. You should carefully consider the risks and uncertainties described in this prospectus and any accompanying prospectus supplement, including the risk factors set forth in our filings with the SEC that are incorporated by reference herein, including the risk factors in our Annual Report on Form 10-K for the fiscal year ended December 31, 2016 and any of our subsequent filings with the SEC, before making an investment decision pursuant to this prospectus and any accompanying prospectus supplement relating to a specific offering.</w:t>
      </w:r>
    </w:p>
    <w:p>
      <w:pPr>
        <w:spacing w:after="0" w:line="16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Our business, financial condition and results of operations could be materially and adversely affected by any or all of these risks or by additional risks and uncertainties not presently known to us or that we currently deem immaterial that may adversely affect us in the future.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20" w:firstLine="348"/>
        <w:spacing w:after="0" w:line="255" w:lineRule="auto"/>
        <w:rPr>
          <w:sz w:val="20"/>
          <w:szCs w:val="20"/>
          <w:color w:val="auto"/>
        </w:rPr>
      </w:pPr>
      <w:r>
        <w:rPr>
          <w:rFonts w:ascii="Arial" w:cs="Arial" w:eastAsia="Arial" w:hAnsi="Arial"/>
          <w:sz w:val="18"/>
          <w:szCs w:val="18"/>
          <w:color w:val="auto"/>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www.blueprintmedicines.com. Our website is not a part of this prospectus and is not incorporated by reference in this prospectus. You may also read and copy any document we file at the SEC's Public Reference Room, 100 F Street, N.E., Washington, D.C. 20549. Please call the SEC at 1-800-SEC-0330 for further information on the operation of the Public Reference Room.</w:t>
      </w:r>
    </w:p>
    <w:p>
      <w:pPr>
        <w:spacing w:after="0" w:line="197"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on us and our consolidated subsidiary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 You can obtain a copy of the registration statement from the SEC at the address listed above or from the SEC's website.</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SEC allows us to incorporate by reference much of the information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(File No. 001-37359) and any future filings we make with the SEC under Sections 13(a), 13(c), 14 or 15(d) of the Securities Exchange Act of 1934, as amended, or the Exchange Act (in each case, other than those documents or the portions of those documents not deemed to be filed) until the offering of the securities under the registration statement is terminated or completed:</w:t>
      </w:r>
    </w:p>
    <w:p>
      <w:pPr>
        <w:spacing w:after="0" w:line="186"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2016;</w:t>
      </w:r>
    </w:p>
    <w:p>
      <w:pPr>
        <w:spacing w:after="0" w:line="252" w:lineRule="exact"/>
        <w:rPr>
          <w:rFonts w:ascii="Arial" w:cs="Arial" w:eastAsia="Arial" w:hAnsi="Arial"/>
          <w:sz w:val="18"/>
          <w:szCs w:val="18"/>
          <w:color w:val="auto"/>
        </w:rPr>
      </w:pPr>
    </w:p>
    <w:p>
      <w:pPr>
        <w:jc w:val="both"/>
        <w:ind w:left="1080" w:right="80" w:hanging="532"/>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fiscal year ended December 31, 2015 from our definitive proxy statement (other than information furnished rather than filed) for the 2016 Annual Meeting of Stockholders, which was filed with the SEC on April 28, 2016; and</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April 27, 2015, including any amendments or reports filed for the purpose of updating such description.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request a copy of these filings, at no cost, by contacting us, either orally or in writing, at the following:</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Blueprint Medicines Corporation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 Sidney Street,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Cambridge, Massachusetts 02139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Attn: Investor Relations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Phone: (617) 714-6674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E-mail: ir@blueprintmedicines.com</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This prospectus and the information incorporated by reference in this prospectus include "forward-looking statements" within the meaning of Section 27A of the Securities Act and Section 21E of the Exchange Act. All statements, other than statements of historical facts, contained or incorporated by reference in this prospectus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 Forward-looking statements include, but are not limited to, statements about the initiation, timing, progress and results of our pre-clinical studies and clinical trials, including our Phase 1 clinical trials for BLU-285, BLU-554 and BLU-667, and our research and development programs; our ability to advance drug candidates into, and successfully complete, clinical trials; the timing or likelihood of regulatory filings and approvals; the commercialization of our drug candidates, if approved; the pricing and reimbursement of our drug candidates, if approved; the implementation of our business model, strategic plans for our business, drug candidates and technology; the scope of protection we are able to establish and maintain for intellectual property rights covering our drug candidates and technology; estimates of our expenses, future revenues, capital requirements and our needs for additional financing; the potential benefits of our existing rare genetic disease collaboration with Alexion Pharma Holding and our existing cancer immunotherapy collaboration with F. Hoffmann-La Roche Ltd and Hoffmann-La Roche Inc., as well as our ability to enter into other strategic arrangements; the development of companion diagnostic tests for our drug candidates, including our companion diagnostic test with Ventana Medical Systems, Inc. for BLU-554 and our companion diagnostic test with QIAGEN Manchester Limited for BLU-285; our ability to maintain and establish collaborations; our financial performance; and developments relating to our competitors and our industry.</w:t>
      </w:r>
    </w:p>
    <w:p>
      <w:pPr>
        <w:spacing w:after="0" w:line="180" w:lineRule="exact"/>
        <w:rPr>
          <w:sz w:val="20"/>
          <w:szCs w:val="20"/>
          <w:color w:val="auto"/>
        </w:rPr>
      </w:pPr>
    </w:p>
    <w:p>
      <w:pPr>
        <w:ind w:right="20" w:firstLine="341"/>
        <w:spacing w:after="0" w:line="253" w:lineRule="auto"/>
        <w:rPr>
          <w:sz w:val="20"/>
          <w:szCs w:val="20"/>
          <w:color w:val="auto"/>
        </w:rPr>
      </w:pPr>
      <w:r>
        <w:rPr>
          <w:rFonts w:ascii="Arial" w:cs="Arial" w:eastAsia="Arial" w:hAnsi="Arial"/>
          <w:sz w:val="18"/>
          <w:szCs w:val="18"/>
          <w:color w:val="auto"/>
        </w:rPr>
        <w:t>Any forward-looking statements contained or incorporated by reference in this prospectus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See "Risk Factors" for more information. Given these uncertainties, you should not place undue reliance on these forward-looking statements. Our forward-looking statements do not reflect the potential impact of any future acquisitions, mergers, dispositions, joint ventures or investments we may make or enter into. Except as required by law, we assume no obligation to update or revise these forward-looking statements for any reason, whether as a result of new information, future events or otherwise.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jc w:val="center"/>
        <w:ind w:right="-99"/>
        <w:spacing w:after="0"/>
        <w:rPr>
          <w:sz w:val="20"/>
          <w:szCs w:val="20"/>
          <w:color w:val="auto"/>
        </w:rPr>
      </w:pPr>
      <w:r>
        <w:rPr>
          <w:rFonts w:ascii="Arial" w:cs="Arial" w:eastAsia="Arial" w:hAnsi="Arial"/>
          <w:sz w:val="18"/>
          <w:szCs w:val="18"/>
          <w:b w:val="1"/>
          <w:bCs w:val="1"/>
          <w:color w:val="auto"/>
        </w:rPr>
        <w:t>BLUEPRINT MEDICINES CORPORATION</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for patients without adequate treatment options. This integrated biology and chemistry approach enables us to identify, characterize and drug novel kinase targets that have been difficult to selectively inhibit.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w:t>
      </w:r>
    </w:p>
    <w:p>
      <w:pPr>
        <w:spacing w:after="0" w:line="174"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Our principal executive offices are located at 38 Sidney Street, Suite 200, Cambridge, Massachusetts 02139, and our telephone number is (617) 714-6674.</w:t>
      </w: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341" w:right="37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8"/>
          <w:szCs w:val="18"/>
          <w:b w:val="1"/>
          <w:bCs w:val="1"/>
          <w:color w:val="auto"/>
        </w:rPr>
        <w:t>CONSOLIDATED RATIOS OF EARNINGS TO FIXED CHARGES</w:t>
      </w:r>
    </w:p>
    <w:p>
      <w:pPr>
        <w:spacing w:after="0" w:line="231"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The following table sets forth our ratio of earnings to fixed charges for each of the periods indicated. You should read this table in conjunction with the consolidated financial statements and notes incorporated by reference in this prospectus.</w:t>
      </w:r>
    </w:p>
    <w:p>
      <w:pPr>
        <w:spacing w:after="0" w:line="23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0</wp:posOffset>
            </wp:positionV>
            <wp:extent cx="12350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jc w:val="center"/>
        <w:ind w:left="6040"/>
        <w:spacing w:after="0"/>
        <w:tabs>
          <w:tab w:leader="none" w:pos="240" w:val="left"/>
          <w:tab w:leader="none" w:pos="240" w:val="left"/>
          <w:tab w:leader="none" w:pos="22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2"/>
          <w:szCs w:val="12"/>
          <w:b w:val="1"/>
          <w:bCs w:val="1"/>
          <w:color w:val="auto"/>
        </w:rPr>
        <w:t>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4927600</wp:posOffset>
            </wp:positionH>
            <wp:positionV relativeFrom="paragraph">
              <wp:posOffset>-6985</wp:posOffset>
            </wp:positionV>
            <wp:extent cx="12350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ind w:left="1720"/>
        <w:spacing w:after="0"/>
        <w:tabs>
          <w:tab w:leader="none" w:pos="7800" w:val="left"/>
          <w:tab w:leader="none" w:pos="8320" w:val="left"/>
          <w:tab w:leader="none" w:pos="8860" w:val="left"/>
          <w:tab w:leader="none" w:pos="9380" w:val="left"/>
        </w:tabs>
        <w:rPr>
          <w:sz w:val="20"/>
          <w:szCs w:val="20"/>
          <w:color w:val="auto"/>
        </w:rPr>
      </w:pPr>
      <w:r>
        <w:rPr>
          <w:rFonts w:ascii="Arial" w:cs="Arial" w:eastAsia="Arial" w:hAnsi="Arial"/>
          <w:sz w:val="18"/>
          <w:szCs w:val="18"/>
          <w:color w:val="auto"/>
        </w:rPr>
        <w:t>Consolidated ratios of earnings to fixed charges</w:t>
      </w:r>
      <w:r>
        <w:rPr>
          <w:sz w:val="20"/>
          <w:szCs w:val="20"/>
          <w:color w:val="auto"/>
        </w:rPr>
        <w:tab/>
      </w:r>
      <w:r>
        <w:rPr>
          <w:rFonts w:ascii="Arial" w:cs="Arial" w:eastAsia="Arial" w:hAnsi="Arial"/>
          <w:sz w:val="18"/>
          <w:szCs w:val="18"/>
          <w:color w:val="auto"/>
        </w:rPr>
        <w:t>N/A</w:t>
        <w:tab/>
        <w:t>N/A</w:t>
        <w:tab/>
        <w:t>N/A</w:t>
      </w:r>
      <w:r>
        <w:rPr>
          <w:sz w:val="20"/>
          <w:szCs w:val="20"/>
          <w:color w:val="auto"/>
        </w:rPr>
        <w:tab/>
      </w:r>
      <w:r>
        <w:rPr>
          <w:rFonts w:ascii="Arial" w:cs="Arial" w:eastAsia="Arial" w:hAnsi="Arial"/>
          <w:sz w:val="16"/>
          <w:szCs w:val="16"/>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-130175</wp:posOffset>
            </wp:positionV>
            <wp:extent cx="506857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97" w:lineRule="exact"/>
        <w:rPr>
          <w:sz w:val="20"/>
          <w:szCs w:val="20"/>
          <w:color w:val="auto"/>
        </w:rPr>
      </w:pPr>
    </w:p>
    <w:p>
      <w:pPr>
        <w:ind w:right="500" w:firstLine="351"/>
        <w:spacing w:after="0" w:line="370" w:lineRule="auto"/>
        <w:rPr>
          <w:sz w:val="20"/>
          <w:szCs w:val="20"/>
          <w:color w:val="auto"/>
        </w:rPr>
      </w:pPr>
      <w:r>
        <w:rPr>
          <w:rFonts w:ascii="Arial" w:cs="Arial" w:eastAsia="Arial" w:hAnsi="Arial"/>
          <w:sz w:val="15"/>
          <w:szCs w:val="15"/>
          <w:color w:val="auto"/>
        </w:rPr>
        <w:t>For purposes of calculating the consolidated ratios of earnings to fixed charges, earnings consist of net income (loss) plus fixed charges. Fixed charges include interest expense, non-cash interest expense and the interest portion of rent expense which is deemed to be representative of the interest factor.</w:t>
      </w:r>
    </w:p>
    <w:p>
      <w:pPr>
        <w:spacing w:after="0" w:line="11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earnings were insufficient to cover fixed charges by $72.5 million for the year ended December 31, 2016, $52.8 million for the year ended December 31, 2015, $40.3 million for the year ended December 31, 2014 and $20.9 million for the year ended December 31, 2013.</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Our ratios of earnings to combined fixed charges and preferred stock dividends for the periods indicated above are the same as our ratios of earnings to fixed charges set forth above.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intend to use the net proceeds from the sale of any securities offered under this prospectus for general corporate purposes unless the applicable prospectus supplement provides otherwise. General corporate purposes may include research and development costs, the acquisition or licensing of other drugs or drug candidates, business or technologies, repayment and refinancing of debt, working capital and capital expenditures. We may temporarily invest the net proceeds in a variety of capital preservation instruments, including short-term,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there is a material dilution of the purchasers' equity interest from the sale of common equity securities offered under this prospectus, we will set forth in any prospectus supplement the following information regarding any such material dilution of the equity interests of purchasers purchasing securities in an offering under this prospectus:</w:t>
      </w:r>
    </w:p>
    <w:p>
      <w:pPr>
        <w:spacing w:after="0" w:line="20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net tangible book value per share of our equity securities before and after the offering;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amount of the increase in such net tangible book value per share attributable to the cash payments made by the purchasers in the offering; and</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the immediate dilution from the public offering price which will be absorbed by such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4" w:name="page45"/>
    <w:bookmarkEnd w:id="44"/>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following description of our capital stock is intended as a summary only. This description is based upon, and is qualified by reference to, our amended and restated certificate of incorporation, or certificate of incorporation, our amended and restated bylaws, or bylaws, and applicable provisions of the Delaware General Corporation Law. This summary is not complete. You should read our certificate of incorporation and bylaws, which are filed as exhibits to the registration statement of which this prospectus forms a part, for the provisions that are important to you.</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Our authorized capital stock consists of 120,000,000 shares of common stock, par value $0.001 per share, and 5,000,000 shares of preferred stock, par value $0.001 per share, all of which are undesignated. As of February 28, 2017, 33,203,902 shares of common stock were outstanding, and no shares of preferred stock were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i w:val="1"/>
          <w:iCs w:val="1"/>
          <w:color w:val="auto"/>
        </w:rPr>
        <w:t xml:space="preserve">Annual Meeting. </w:t>
      </w:r>
      <w:r>
        <w:rPr>
          <w:rFonts w:ascii="Arial" w:cs="Arial" w:eastAsia="Arial" w:hAnsi="Arial"/>
          <w:sz w:val="16"/>
          <w:szCs w:val="16"/>
          <w:color w:val="auto"/>
        </w:rPr>
        <w:t>Annual meetings of our stockholders are held on the date designated in accordance with our bylaws. Written notice must be mailed to</w:t>
      </w:r>
      <w:r>
        <w:rPr>
          <w:rFonts w:ascii="Arial" w:cs="Arial" w:eastAsia="Arial" w:hAnsi="Arial"/>
          <w:sz w:val="16"/>
          <w:szCs w:val="16"/>
          <w:i w:val="1"/>
          <w:iCs w:val="1"/>
          <w:color w:val="auto"/>
        </w:rPr>
        <w:t xml:space="preserve"> </w:t>
      </w:r>
      <w:r>
        <w:rPr>
          <w:rFonts w:ascii="Arial" w:cs="Arial" w:eastAsia="Arial" w:hAnsi="Arial"/>
          <w:sz w:val="16"/>
          <w:szCs w:val="16"/>
          <w:color w:val="auto"/>
        </w:rPr>
        <w:t>each stockholder entitled to vote not less than ten nor more than 60 days before the date of the meeting. The presence in person or by proxy of the holders of record of a majority of our issued and outstanding shares entitled to vote at such meeting constitutes a quorum for the transaction of business at meetings of the stockholders. Special meetings of the stockholders may be called for any purpose by the board of directors and shall be called by the chairman of the board or the secretary upon the written request, stating the purpose of such meeting, of the holders of a majority of the outstanding shares of all classes of capital stock entitled to vote at the meeting. Except as may be otherwise provided by applicable law, our certificate of incorporation or our bylaws, all elections shall be decided by a plurality, and all other questions shall be decided by a majority, of the votes cast by stockholders entitled to vote thereon at a duly held meeting of stockholders at which a quorum is present.</w:t>
      </w:r>
    </w:p>
    <w:p>
      <w:pPr>
        <w:spacing w:after="0" w:line="172"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Each holder of common stock is entitled to one vote for each share held on all matters to be voted upon by stockholders.</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The holders of common stock, after any preferences of holders of any preferred stock, are entitled to receive dividends when and if declared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board of directors out of legally available funds.</w:t>
      </w:r>
    </w:p>
    <w:p>
      <w:pPr>
        <w:spacing w:after="0" w:line="186" w:lineRule="exact"/>
        <w:rPr>
          <w:sz w:val="20"/>
          <w:szCs w:val="20"/>
          <w:color w:val="auto"/>
        </w:rPr>
      </w:pPr>
    </w:p>
    <w:p>
      <w:pPr>
        <w:ind w:right="160" w:firstLine="351"/>
        <w:spacing w:after="0" w:line="306" w:lineRule="auto"/>
        <w:rPr>
          <w:sz w:val="20"/>
          <w:szCs w:val="20"/>
          <w:color w:val="auto"/>
        </w:rPr>
      </w:pPr>
      <w:r>
        <w:rPr>
          <w:rFonts w:ascii="Arial" w:cs="Arial" w:eastAsia="Arial" w:hAnsi="Arial"/>
          <w:sz w:val="16"/>
          <w:szCs w:val="16"/>
          <w:i w:val="1"/>
          <w:iCs w:val="1"/>
          <w:color w:val="auto"/>
        </w:rPr>
        <w:t xml:space="preserve">Liquidation and Dissolution. </w:t>
      </w:r>
      <w:r>
        <w:rPr>
          <w:rFonts w:ascii="Arial" w:cs="Arial" w:eastAsia="Arial" w:hAnsi="Arial"/>
          <w:sz w:val="16"/>
          <w:szCs w:val="16"/>
          <w:color w:val="auto"/>
        </w:rPr>
        <w:t>If we are liquidated or dissolved, the holders of the common stock will be entitled to share in our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to stockholders in proportion to the amount of common stock they own. The amount available for common stockholders is calculated after payment of liabilities. Holders of any preferred stock will receive a preferential share of our assets before the holders of the common stock receive any assets.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i w:val="1"/>
          <w:iCs w:val="1"/>
          <w:color w:val="auto"/>
        </w:rPr>
        <w:t xml:space="preserve">Other Rights. </w:t>
      </w:r>
      <w:r>
        <w:rPr>
          <w:rFonts w:ascii="Arial" w:cs="Arial" w:eastAsia="Arial" w:hAnsi="Arial"/>
          <w:sz w:val="18"/>
          <w:szCs w:val="18"/>
          <w:color w:val="auto"/>
        </w:rPr>
        <w:t>Holders of the common stock have no right to convert the stock into any other security, have the stock redeemed or purchase additional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or to maintain their proportionate ownership interest. The common stock does not have cumulative voting rights. Holders of shares of the common stock are not required to make additional capital contributions.</w:t>
      </w:r>
    </w:p>
    <w:p>
      <w:pPr>
        <w:spacing w:after="0" w:line="194" w:lineRule="exact"/>
        <w:rPr>
          <w:sz w:val="20"/>
          <w:szCs w:val="20"/>
          <w:color w:val="auto"/>
        </w:rPr>
      </w:pPr>
    </w:p>
    <w:p>
      <w:pPr>
        <w:ind w:left="360"/>
        <w:spacing w:after="0"/>
        <w:tabs>
          <w:tab w:leader="none" w:pos="2780" w:val="left"/>
        </w:tabs>
        <w:rPr>
          <w:sz w:val="20"/>
          <w:szCs w:val="20"/>
          <w:color w:val="auto"/>
        </w:rPr>
      </w:pPr>
      <w:r>
        <w:rPr>
          <w:rFonts w:ascii="Arial" w:cs="Arial" w:eastAsia="Arial" w:hAnsi="Arial"/>
          <w:sz w:val="18"/>
          <w:szCs w:val="18"/>
          <w:i w:val="1"/>
          <w:iCs w:val="1"/>
          <w:color w:val="auto"/>
        </w:rPr>
        <w:t>NASDAQ Global Select Market.</w:t>
      </w:r>
      <w:r>
        <w:rPr>
          <w:sz w:val="20"/>
          <w:szCs w:val="20"/>
          <w:color w:val="auto"/>
        </w:rPr>
        <w:tab/>
      </w:r>
      <w:r>
        <w:rPr>
          <w:rFonts w:ascii="Arial" w:cs="Arial" w:eastAsia="Arial" w:hAnsi="Arial"/>
          <w:sz w:val="16"/>
          <w:szCs w:val="16"/>
          <w:color w:val="auto"/>
        </w:rPr>
        <w:t>Our common stock is listed on The NASDAQ Global Select Market under the trading symbol "BPMC."</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Computershare Trust Company, N.A. is the transfer agent and registrar for our common stock.</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authorized to issue "blank check" preferred stock, which may be issued in one or more series upon authorization of our board of directors. Our board of directors is authorized to fix the designation of the series, the number of authorized shares of the series, dividend rights and terms, conversion rights, voting rights, redemption rights and terms, liquidation preferences and any other rights, powers, preferences and limitations applicable to each series of preferred stock. The authorized shares of our preferred stock are available for issuance without further action by our stockholders, unless such action is required by applicable law or the rules of any stock exchange on which our securities may be listed. If the approval of our stockholders is not required for the issuance of shares of our preferred stock, our board may determine not to seek stockholder approval. The specific terms of any series of preferred stock offered pursuant to this prospectus will be described in the prospectus supplement relating to that series of preferred stock.</w:t>
      </w:r>
    </w:p>
    <w:p>
      <w:pPr>
        <w:spacing w:after="0" w:line="172"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series of our preferred stock could, depending on the terms of such series, impede the completion of a merger, tender offer or other takeover attempt. Our board of directors will make any determination to issue shares of preferred stock based upon its judgment as to the best interests of our stockholders. Our board of directors, in so acting, could issue preferred stock having terms that could discourage an acquisition attempt through which an acquirer may be able to change the composition of our board of directors, including a tender offer or other transaction that some, or a majority, of our stockholders might believe to be in their best interests or in which stockholders might receive a premium for their stock over the then-current market price of the stock.</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preferred stock has the terms described below unless otherwise provided in the prospectus supplement relating to a particular series of preferred stock.</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You should read the prospectus supplement relating to the particular series of preferred stock being offered for specific terms, including:</w:t>
      </w:r>
    </w:p>
    <w:p>
      <w:pPr>
        <w:spacing w:after="0" w:line="23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and stated value per share of the preferred stock and the number of shares offered;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liquidation preference per share;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at which the preferred stock will be issued;</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dividend rate, or method of calculation of dividends, the dates on which dividends will be payable, whether dividends will be cumulative or noncumulative and, if cumulative, the dates from which dividends will commence to accumulate;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redemption or sinking fund provisions;</w:t>
      </w:r>
    </w:p>
    <w:p>
      <w:pPr>
        <w:spacing w:after="0" w:line="238"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other than the currency of the United States, the currency or currencies including composite currencies in which the preferred stock is denominated and/or in which payments will or may be payable;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conversion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we have elected to offer depositary shares as described under "Description of Depositary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other rights, preferences, privileges, limitations and restrictions on the preferred stock.</w:t>
      </w:r>
    </w:p>
    <w:p>
      <w:pPr>
        <w:spacing w:after="0" w:line="225"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The preferred stock will, when issued, be fully paid and nonassessable. Unless otherwise provided in the applicable prospectus supplement, each series of preferred stock will rank equally as to dividends and liquidation rights in all respects with each other series of preferred stock. The rights of holders of shares of each series of preferred stock will be subordinate to those of our general creditors.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jc w:val="both"/>
        <w:ind w:right="60" w:firstLine="341"/>
        <w:spacing w:after="0" w:line="306" w:lineRule="auto"/>
        <w:rPr>
          <w:sz w:val="20"/>
          <w:szCs w:val="20"/>
          <w:color w:val="auto"/>
        </w:rPr>
      </w:pPr>
      <w:r>
        <w:rPr>
          <w:rFonts w:ascii="Arial" w:cs="Arial" w:eastAsia="Arial" w:hAnsi="Arial"/>
          <w:sz w:val="16"/>
          <w:szCs w:val="16"/>
          <w:color w:val="auto"/>
        </w:rPr>
        <w:t>As described under "Description of Depositary Shares," we may, at our option, with respect to any series of preferred stock, elect to offer fractional interests in shares of preferred stock, and provide for the issuance of depositary receipts representing depositary shares, each of which will represent a fractional interest in a share of the series of preferred stock. The fractional interest will be specified in the prospectus supplement relating to a particular series of preferred stock.</w:t>
      </w:r>
    </w:p>
    <w:p>
      <w:pPr>
        <w:spacing w:after="0" w:line="161"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i w:val="1"/>
          <w:iCs w:val="1"/>
          <w:color w:val="auto"/>
        </w:rPr>
        <w:t xml:space="preserve">Rank. </w:t>
      </w:r>
      <w:r>
        <w:rPr>
          <w:rFonts w:ascii="Arial" w:cs="Arial" w:eastAsia="Arial" w:hAnsi="Arial"/>
          <w:sz w:val="18"/>
          <w:szCs w:val="18"/>
          <w:color w:val="auto"/>
        </w:rPr>
        <w:t>Unless otherwise provided in the applicable prospectus supplement, the preferred stock will, with respect to dividend rights and rights upon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dissolution or winding up of our affairs, rank:</w:t>
      </w:r>
    </w:p>
    <w:p>
      <w:pPr>
        <w:spacing w:after="0" w:line="199" w:lineRule="exact"/>
        <w:rPr>
          <w:sz w:val="20"/>
          <w:szCs w:val="20"/>
          <w:color w:val="auto"/>
        </w:rPr>
      </w:pPr>
    </w:p>
    <w:p>
      <w:pPr>
        <w:ind w:left="1080" w:right="30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senior to our common stock and to all equity securities ranking junior to such preferred stock with respect to dividend rights or rights upon our liquidation, dissolution or winding up of our affairs;</w:t>
      </w:r>
    </w:p>
    <w:p>
      <w:pPr>
        <w:spacing w:after="0" w:line="212" w:lineRule="exact"/>
        <w:rPr>
          <w:rFonts w:ascii="Arial" w:cs="Arial" w:eastAsia="Arial" w:hAnsi="Arial"/>
          <w:sz w:val="18"/>
          <w:szCs w:val="18"/>
          <w:color w:val="auto"/>
        </w:rPr>
      </w:pPr>
    </w:p>
    <w:p>
      <w:pPr>
        <w:ind w:left="1080" w:right="46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parity with all equity securities issued by us, the terms of which specifically provide that such equity securities rank on a parity with the preferred stock with respect to dividend rights or rights upon our liquidation, dissolution or winding up of our affairs; and</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junior to all equity securities issued by us, the terms of which specifically provide that such equity securities rank senior to the preferred stock with respect to dividend rights or rights upon our liquidation, dissolution or winding up of our affairs.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Holders of the preferred stock of each series will be entitled to receive, when, as and if declared by our board of directors, cash dividends at</w:t>
      </w:r>
      <w:r>
        <w:rPr>
          <w:rFonts w:ascii="Arial" w:cs="Arial" w:eastAsia="Arial" w:hAnsi="Arial"/>
          <w:sz w:val="16"/>
          <w:szCs w:val="16"/>
          <w:i w:val="1"/>
          <w:iCs w:val="1"/>
          <w:color w:val="auto"/>
        </w:rPr>
        <w:t xml:space="preserve"> </w:t>
      </w:r>
      <w:r>
        <w:rPr>
          <w:rFonts w:ascii="Arial" w:cs="Arial" w:eastAsia="Arial" w:hAnsi="Arial"/>
          <w:sz w:val="16"/>
          <w:szCs w:val="16"/>
          <w:color w:val="auto"/>
        </w:rPr>
        <w:t>such rates and on such dates described in the prospectus supplement. Different series of preferred stock may be entitled to dividends at different rates or based on different methods of calculation. The dividend rate may be fixed or variable or both. Dividends will be payable to the holders of record as they appear on our stock books on record dates fixed by our board of directors, as specified in the applicable prospectus supplement.</w:t>
      </w:r>
    </w:p>
    <w:p>
      <w:pPr>
        <w:spacing w:after="0" w:line="167"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Dividends on any series of preferred stock may be cumulative or noncumulative, as described in the applicable prospectus supplement. If our board of directors does not declare a dividend payable on a dividend payment date on any series of noncumulative preferred stock, then the holders of that noncumulative preferred stock will have no right to receive a dividend for that dividend payment date, and we will have no obligation to pay the dividend accrued for that period, whether or not dividends on that series are declared payable on any future dividend payment dates. Dividends on any series of cumulative preferred stock will accrue from the date we initially issue shares of such series or such other date specified in the applicable prospectus supplement.</w:t>
      </w:r>
    </w:p>
    <w:p>
      <w:pPr>
        <w:spacing w:after="0" w:line="170"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No dividends may be declared or paid or funds set apart for the payment of any dividends on any parity securities unless full dividends have been paid or set apart for payment on the preferred stock. If full dividends are not paid, the preferred stock will share dividends pro rata with the parity securities.</w:t>
      </w:r>
    </w:p>
    <w:p>
      <w:pPr>
        <w:spacing w:after="0" w:line="139"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 dividends may be declared or paid or funds set apart for the payment of dividends on any junior securities unless full dividends for all dividend periods terminating on or prior to the date of the declaration or payment will have been paid or declared and a sum sufficient for the payment set apart for payment on the preferred stock.</w:t>
      </w:r>
    </w:p>
    <w:p>
      <w:pPr>
        <w:spacing w:after="0" w:line="194"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Upon any voluntary or involuntary liquidation, dissolution or winding up of our affairs, then, before we make any distribution or</w:t>
      </w:r>
      <w:r>
        <w:rPr>
          <w:rFonts w:ascii="Arial" w:cs="Arial" w:eastAsia="Arial" w:hAnsi="Arial"/>
          <w:sz w:val="16"/>
          <w:szCs w:val="16"/>
          <w:i w:val="1"/>
          <w:iCs w:val="1"/>
          <w:color w:val="auto"/>
        </w:rPr>
        <w:t xml:space="preserve"> </w:t>
      </w:r>
      <w:r>
        <w:rPr>
          <w:rFonts w:ascii="Arial" w:cs="Arial" w:eastAsia="Arial" w:hAnsi="Arial"/>
          <w:sz w:val="16"/>
          <w:szCs w:val="16"/>
          <w:color w:val="auto"/>
        </w:rPr>
        <w:t>payment to the holders of any common stock or any other class or series of our capital stock ranking junior to the preferred stock in the distribution of assets upon any liquidation, dissolution or winding up of our affairs, the holders of each series of preferred stock shall be entitled to receive out of assets legally available for distribution to stockholders, liquidating distributions in the amount of the liquidation preference per share set forth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ind w:right="20"/>
        <w:spacing w:after="0" w:line="253" w:lineRule="auto"/>
        <w:rPr>
          <w:sz w:val="20"/>
          <w:szCs w:val="20"/>
          <w:color w:val="auto"/>
        </w:rPr>
      </w:pPr>
      <w:r>
        <w:rPr>
          <w:rFonts w:ascii="Arial" w:cs="Arial" w:eastAsia="Arial" w:hAnsi="Arial"/>
          <w:sz w:val="18"/>
          <w:szCs w:val="18"/>
          <w:color w:val="auto"/>
        </w:rPr>
        <w:t>the prospectus supplement, plus any accrued and unpaid dividends thereon. Such dividends will not include any accumulation in respect of unpaid noncumulative dividends for prior dividend periods. Unless otherwise provided in the applicable prospectus supplement, after payment of the full amount of their liquidating distributions, the holders of preferred stock will have no right or claim to any of our remaining assets. Upon any such voluntary or involuntary liquidation, dissolution or winding up, if our available assets are insufficient to pay the amount of the liquidating distributions on all outstanding preferred stock and the corresponding amounts payable on all other classes or series of our capital stock ranking on parity with the preferred stock and all other such classes or series of shares of capital stock ranking on parity with the preferred stock in the distribution of assets, then the holders of the preferred stock and all other such classes or series of capital stock will share ratably in any such distribution of assets in proportion to the full liquidating distributions to which they would otherwise be entitled.</w:t>
      </w:r>
    </w:p>
    <w:p>
      <w:pPr>
        <w:spacing w:after="0" w:line="199"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Upon any such liquidation, dissolution or winding up and if we have made liquidating distributions in full to all holders of preferred stock, we will distribute our remaining assets among the holders of any other classes or series of capital stock ranking junior to the preferred stock according to their respective rights and preferences and, in each case, according to their respective number of shares. For such purposes, our consolidation or merger with or into any other corporation, trust or entity, or the sale, lease or conveyance of all or substantially all of our property or assets will not be deemed to constitute a liquidation, dissolution or winding up of our affairs.</w:t>
      </w:r>
    </w:p>
    <w:p>
      <w:pPr>
        <w:spacing w:after="0" w:line="197" w:lineRule="exact"/>
        <w:rPr>
          <w:sz w:val="20"/>
          <w:szCs w:val="20"/>
          <w:color w:val="auto"/>
        </w:rPr>
      </w:pPr>
    </w:p>
    <w:p>
      <w:pPr>
        <w:ind w:right="380" w:firstLine="351"/>
        <w:spacing w:after="0" w:line="332" w:lineRule="auto"/>
        <w:rPr>
          <w:sz w:val="20"/>
          <w:szCs w:val="20"/>
          <w:color w:val="auto"/>
        </w:rPr>
      </w:pPr>
      <w:r>
        <w:rPr>
          <w:rFonts w:ascii="Arial" w:cs="Arial" w:eastAsia="Arial" w:hAnsi="Arial"/>
          <w:sz w:val="16"/>
          <w:szCs w:val="16"/>
          <w:i w:val="1"/>
          <w:iCs w:val="1"/>
          <w:color w:val="auto"/>
        </w:rPr>
        <w:t xml:space="preserve">Redemption. </w:t>
      </w:r>
      <w:r>
        <w:rPr>
          <w:rFonts w:ascii="Arial" w:cs="Arial" w:eastAsia="Arial" w:hAnsi="Arial"/>
          <w:sz w:val="16"/>
          <w:szCs w:val="16"/>
          <w:color w:val="auto"/>
        </w:rPr>
        <w:t>If so provided in the applicable prospectus supplement, the preferred stock will be subject to mandatory redemption or redemption at our</w:t>
      </w:r>
      <w:r>
        <w:rPr>
          <w:rFonts w:ascii="Arial" w:cs="Arial" w:eastAsia="Arial" w:hAnsi="Arial"/>
          <w:sz w:val="16"/>
          <w:szCs w:val="16"/>
          <w:i w:val="1"/>
          <w:iCs w:val="1"/>
          <w:color w:val="auto"/>
        </w:rPr>
        <w:t xml:space="preserve"> </w:t>
      </w:r>
      <w:r>
        <w:rPr>
          <w:rFonts w:ascii="Arial" w:cs="Arial" w:eastAsia="Arial" w:hAnsi="Arial"/>
          <w:sz w:val="16"/>
          <w:szCs w:val="16"/>
          <w:color w:val="auto"/>
        </w:rPr>
        <w:t>option, as a whole or in part, in each case upon the terms, at the times and at the redemption prices set forth in such prospectus supplement.</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prospectus supplement relating to a series of preferred stock that is subject to mandatory redemption will specify the number of shares of preferred stock that shall be redeemed by us in each year commencing after a date to be specified, at a redemption price per share to be specified, together with an amount equal to all accrued and unpaid dividends thereon to the date of redemption. Unless the shares have a cumulative dividend, such accrued dividends will not include any accumulation in respect of unpaid dividends for prior dividend periods. We may pay the redemption price in cash or other property, as specified in the applicable prospectus supplement. If the redemption price for preferred stock of any series is payable only from the net proceeds of the issuance of shares of our capital stock, the terms of such preferred stock may provide that, if no such shares of our capital stock shall have been issued or to the extent the net proceeds from any issuance are insufficient to pay in full the aggregate redemption price then due, such preferred stock shall automatically and mandatorily be converted into the applicable shares of our capital stock pursuant to conversion provisions specified in the applicable prospectus supplement. Notwithstanding the foregoing, we will not redeem any preferred stock of a series unless:</w:t>
      </w:r>
    </w:p>
    <w:p>
      <w:pPr>
        <w:spacing w:after="0" w:line="187" w:lineRule="exact"/>
        <w:rPr>
          <w:sz w:val="20"/>
          <w:szCs w:val="20"/>
          <w:color w:val="auto"/>
        </w:rPr>
      </w:pPr>
    </w:p>
    <w:p>
      <w:pPr>
        <w:ind w:left="1080" w:right="120" w:hanging="532"/>
        <w:spacing w:after="0" w:line="332"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that series of preferred stock has a cumulative dividend, we have declared and paid or contemporaneously declare and pay or set aside funds to pay full cumulative dividends on the preferred stock for all past dividend periods and the then current dividend period; or</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such series of preferred stock does not have a cumulative dividend, we have declared and paid or contemporaneously declare and pay or set aside funds to pay full dividends for the then current dividend period.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will not acquire any preferred stock of a series unless:</w:t>
      </w:r>
    </w:p>
    <w:p>
      <w:pPr>
        <w:spacing w:after="0" w:line="239" w:lineRule="exact"/>
        <w:rPr>
          <w:sz w:val="20"/>
          <w:szCs w:val="20"/>
          <w:color w:val="auto"/>
        </w:rPr>
      </w:pPr>
    </w:p>
    <w:p>
      <w:pPr>
        <w:ind w:left="1080" w:right="2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that series of preferred stock has a cumulative dividend, we have declared and paid or contemporaneously declare and pay or set aside funds to pay full cumulative dividends on all outstanding shares of such series of preferred stock for all past dividend periods and the then current dividend period;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that series of preferred stock does not have a cumulative dividend, we have declared and paid or contemporaneously declare and pay or set aside funds to pay full dividends on the preferred stock of such series for the then current dividend period.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However, at any time we may purchase or acquire preferred stock of that series (1) pursuant to a purchase or exchange offer made on the same terms to holders of all outstanding preferred stock of such series or (2) by conversion into or exchange for shares of our capital stock ranking junior to the preferred stock of such series as to dividends and upon liquidation.</w:t>
      </w:r>
    </w:p>
    <w:p>
      <w:pPr>
        <w:spacing w:after="0" w:line="194"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color w:val="auto"/>
        </w:rPr>
        <w:t>If fewer than all of the outstanding shares of preferred stock of any series are to be redeemed, we will determine the number of shares that may be redeemed pro rata from the holders of record of such shares in proportion to the number of such shares held or for which redemption is requested by such holder or by any other equitable manner that we determine. Such determination will reflect adjustments to avoid redemption of fractional shares.</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we will mail notice of redemption at least 30 days but not more than 60 days before the redemption date to each holder of record of preferred stock to be redeemed at the address shown on our stock transfer books. Each notice shall state:</w:t>
      </w:r>
    </w:p>
    <w:p>
      <w:pPr>
        <w:spacing w:after="0" w:line="166"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and series of preferred stock to be redeemed;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place or places where certificates for such preferred stock are to be surrendered for payment of the redemption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dividends on the shares to be redeemed will cease to accrue on such redemption 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on which the holder's conversion rights, if any, as to such shares shall terminate;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specific number of shares to be redeemed from each such holder if fewer than all the shares of any series are to be redeemed.</w:t>
      </w:r>
    </w:p>
    <w:p>
      <w:pPr>
        <w:spacing w:after="0" w:line="248" w:lineRule="exact"/>
        <w:rPr>
          <w:sz w:val="20"/>
          <w:szCs w:val="20"/>
          <w:color w:val="auto"/>
        </w:rPr>
      </w:pPr>
    </w:p>
    <w:p>
      <w:pPr>
        <w:jc w:val="both"/>
        <w:ind w:right="340" w:firstLine="351"/>
        <w:spacing w:after="0" w:line="259" w:lineRule="auto"/>
        <w:rPr>
          <w:sz w:val="20"/>
          <w:szCs w:val="20"/>
          <w:color w:val="auto"/>
        </w:rPr>
      </w:pPr>
      <w:r>
        <w:rPr>
          <w:rFonts w:ascii="Arial" w:cs="Arial" w:eastAsia="Arial" w:hAnsi="Arial"/>
          <w:sz w:val="18"/>
          <w:szCs w:val="18"/>
          <w:color w:val="auto"/>
        </w:rPr>
        <w:t>If notice of redemption has been given and we have set aside the funds necessary for such redemption in trust for the benefit of the holders of any shares called for redemption, then from and after the redemption date, dividends will cease to accrue on such shares, and all rights of the holders of such shares will terminate, except the right to receive the redemption price.</w:t>
      </w:r>
    </w:p>
    <w:p>
      <w:pPr>
        <w:spacing w:after="0" w:line="194" w:lineRule="exact"/>
        <w:rPr>
          <w:sz w:val="20"/>
          <w:szCs w:val="20"/>
          <w:color w:val="auto"/>
        </w:rPr>
      </w:pPr>
    </w:p>
    <w:p>
      <w:pPr>
        <w:ind w:left="360"/>
        <w:spacing w:after="0"/>
        <w:tabs>
          <w:tab w:leader="none" w:pos="1500" w:val="left"/>
        </w:tabs>
        <w:rPr>
          <w:sz w:val="20"/>
          <w:szCs w:val="20"/>
          <w:color w:val="auto"/>
        </w:rPr>
      </w:pPr>
      <w:r>
        <w:rPr>
          <w:rFonts w:ascii="Arial" w:cs="Arial" w:eastAsia="Arial" w:hAnsi="Arial"/>
          <w:sz w:val="18"/>
          <w:szCs w:val="18"/>
          <w:i w:val="1"/>
          <w:iCs w:val="1"/>
          <w:color w:val="auto"/>
        </w:rPr>
        <w:t>Voting Rights.</w:t>
      </w:r>
      <w:r>
        <w:rPr>
          <w:sz w:val="20"/>
          <w:szCs w:val="20"/>
          <w:color w:val="auto"/>
        </w:rPr>
        <w:tab/>
      </w:r>
      <w:r>
        <w:rPr>
          <w:rFonts w:ascii="Arial" w:cs="Arial" w:eastAsia="Arial" w:hAnsi="Arial"/>
          <w:sz w:val="15"/>
          <w:szCs w:val="15"/>
          <w:color w:val="auto"/>
        </w:rPr>
        <w:t>Holders of preferred stock will not have any voting rights, except as required by law or as indicated in the applicable prospectus supplement.</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Unless otherwise provided for under the terms of any series of preferred stock, no consent or vote of the holders of shares of preferred stock or any series thereof shall be required for any amendment to our certificate of incorporation that would increase the number of authorized shares of preferred stock or the number of authorized shares of any series thereof or decrease the number of authorized shares of preferred stock or the number of authorized shares of any series thereof (but not below the number of authorized shares of preferred stock or such series, as the case may be, then outstanding).</w:t>
      </w:r>
    </w:p>
    <w:p>
      <w:pPr>
        <w:spacing w:after="0" w:line="16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Conversion Rights. </w:t>
      </w:r>
      <w:r>
        <w:rPr>
          <w:rFonts w:ascii="Arial" w:cs="Arial" w:eastAsia="Arial" w:hAnsi="Arial"/>
          <w:sz w:val="18"/>
          <w:szCs w:val="18"/>
          <w:color w:val="auto"/>
        </w:rPr>
        <w:t>The terms and conditions, if any, upon which any series of preferred stock is convertible into our common stock will be set forth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prospectus supplement relating thereto. Such terms will include the number of shares of common stock into which the shares of preferred stock are convertible, the conversion price, rate or manner of calculation thereof, the conversion period, provisions as to whether conversion will be at our option or at the option of the holders of the preferred stock, the events requiring an adjustment of the conversion price and provisions affecting conversion in the event of the redemption.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9" w:name="page50"/>
    <w:bookmarkEnd w:id="49"/>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preferred stock will be set forth in the applicable prospectus supplement.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Authorized but Unissued Stock</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shares of common stock and preferred stock available for future issuance without stockholder approval, subject to any limitations imposed by the listing standards of The NASDAQ Global Select Market.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our company by means of a merger, tender offer, proxy contest or otherwise. In addition, if we issue preferred stock, the issuance could adversely affect the voting power of holders of common stock and the likelihood that such holders will receive dividend payments and payments upon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entered into a second amended and restated investors' rights agreement, dated as of November 7, 2014, which we refer to as the Investors' Rights Agreement, with the holders of shares of our common stock. Under the Investors' Rights Agreement,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registration on Form S-1 within 60 days before or 180 days following any offering of our securities or a requested registration on Form S-3 within 30 days before or 90 days following any offering of our securities. The registration rights will terminate upon the later of the date on which all registrable shares have been sold and May 5, 2020.</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i w:val="1"/>
          <w:iCs w:val="1"/>
          <w:color w:val="auto"/>
        </w:rPr>
        <w:t xml:space="preserve">Demand Registration Rights. </w:t>
      </w:r>
      <w:r>
        <w:rPr>
          <w:rFonts w:ascii="Arial" w:cs="Arial" w:eastAsia="Arial" w:hAnsi="Arial"/>
          <w:sz w:val="18"/>
          <w:szCs w:val="18"/>
          <w:color w:val="auto"/>
        </w:rPr>
        <w:t>The holders of at least a majority of our registrable shares may require us to file a registration statement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Act on a Form S-1 or Form S-3, if available, at our expense with respect to the resale of their registrable shares, and we are required to use our best efforts to effect the registration.</w:t>
      </w:r>
    </w:p>
    <w:p>
      <w:pPr>
        <w:spacing w:after="0" w:line="194"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i w:val="1"/>
          <w:iCs w:val="1"/>
          <w:color w:val="auto"/>
        </w:rPr>
        <w:t xml:space="preserve">Piggyback Registration Rights. </w:t>
      </w:r>
      <w:r>
        <w:rPr>
          <w:rFonts w:ascii="Arial" w:cs="Arial" w:eastAsia="Arial" w:hAnsi="Arial"/>
          <w:sz w:val="16"/>
          <w:szCs w:val="16"/>
          <w:color w:val="auto"/>
        </w:rPr>
        <w:t>If we propose to register any of our securities under the Securities Act for our own account or the account of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holder, the holders of registrable shares are entitled to notice of such registration and to request that we include registrable shares for resale on such registration statement, subject to the right of any underwriter to limit the number of shares included in such registration.</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We will pay all registration expenses, other than underwriting discounts and commissions, related to any demand or piggyback registration.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Rights Agreement contains customary cross-indemnification provisions pursuant to which we are obligated to indemnify the selling stockholders in the event of misstatements or omissions in the registration statement attributable to us except in the event of fraud and they are obligated to indemnify us for misstatements or omissions attributable to them.</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Provisions of our Certificate of Incorporation and Bylaws and Delaware Law That May Have Anti-takeover Effects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certificate of incorporation and bylaws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94"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i w:val="1"/>
          <w:iCs w:val="1"/>
          <w:color w:val="auto"/>
        </w:rPr>
        <w:t xml:space="preserve">Board Composition and Filling Vacancies. </w:t>
      </w:r>
      <w:r>
        <w:rPr>
          <w:rFonts w:ascii="Arial" w:cs="Arial" w:eastAsia="Arial" w:hAnsi="Arial"/>
          <w:sz w:val="18"/>
          <w:szCs w:val="18"/>
          <w:color w:val="auto"/>
        </w:rPr>
        <w:t>In accordance with our certificate of incorporation, our board is divided into three classes serving three-year</w:t>
      </w:r>
      <w:r>
        <w:rPr>
          <w:rFonts w:ascii="Arial" w:cs="Arial" w:eastAsia="Arial" w:hAnsi="Arial"/>
          <w:sz w:val="18"/>
          <w:szCs w:val="18"/>
          <w:i w:val="1"/>
          <w:iCs w:val="1"/>
          <w:color w:val="auto"/>
        </w:rPr>
        <w:t xml:space="preserve"> </w:t>
      </w:r>
      <w:r>
        <w:rPr>
          <w:rFonts w:ascii="Arial" w:cs="Arial" w:eastAsia="Arial" w:hAnsi="Arial"/>
          <w:sz w:val="18"/>
          <w:szCs w:val="18"/>
          <w:color w:val="auto"/>
        </w:rPr>
        <w:t>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97"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i w:val="1"/>
          <w:iCs w:val="1"/>
          <w:color w:val="auto"/>
        </w:rPr>
        <w:t xml:space="preserve">No Written Consent of Stockholders. </w:t>
      </w:r>
      <w:r>
        <w:rPr>
          <w:rFonts w:ascii="Arial" w:cs="Arial" w:eastAsia="Arial" w:hAnsi="Arial"/>
          <w:sz w:val="16"/>
          <w:szCs w:val="16"/>
          <w:color w:val="auto"/>
        </w:rPr>
        <w:t>Our certificate of incorporation provides that all stockholder actions are required to be taken by a vote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at an annual or special meeting, and that stockholders may not take any action by written consent in lieu of a meeting.</w:t>
      </w:r>
    </w:p>
    <w:p>
      <w:pPr>
        <w:spacing w:after="0" w:line="139" w:lineRule="exact"/>
        <w:rPr>
          <w:sz w:val="20"/>
          <w:szCs w:val="20"/>
          <w:color w:val="auto"/>
        </w:rPr>
      </w:pPr>
    </w:p>
    <w:p>
      <w:pPr>
        <w:ind w:right="340" w:firstLine="351"/>
        <w:spacing w:after="0" w:line="306" w:lineRule="auto"/>
        <w:rPr>
          <w:sz w:val="20"/>
          <w:szCs w:val="20"/>
          <w:color w:val="auto"/>
        </w:rPr>
      </w:pPr>
      <w:r>
        <w:rPr>
          <w:rFonts w:ascii="Arial" w:cs="Arial" w:eastAsia="Arial" w:hAnsi="Arial"/>
          <w:sz w:val="16"/>
          <w:szCs w:val="16"/>
          <w:i w:val="1"/>
          <w:iCs w:val="1"/>
          <w:color w:val="auto"/>
        </w:rPr>
        <w:t xml:space="preserve">Meetings of Stockholders. </w:t>
      </w:r>
      <w:r>
        <w:rPr>
          <w:rFonts w:ascii="Arial" w:cs="Arial" w:eastAsia="Arial" w:hAnsi="Arial"/>
          <w:sz w:val="16"/>
          <w:szCs w:val="16"/>
          <w:color w:val="auto"/>
        </w:rPr>
        <w:t>Our bylaws provide that only a majority of the members of our board of directors then in office may call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6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i w:val="1"/>
          <w:iCs w:val="1"/>
          <w:color w:val="auto"/>
        </w:rPr>
        <w:t xml:space="preserve">Advance Notice Requirements. </w:t>
      </w:r>
      <w:r>
        <w:rPr>
          <w:rFonts w:ascii="Arial" w:cs="Arial" w:eastAsia="Arial" w:hAnsi="Arial"/>
          <w:sz w:val="16"/>
          <w:szCs w:val="16"/>
          <w:color w:val="auto"/>
        </w:rPr>
        <w:t>Our bylaws establish advance notice procedures with regard to stockholder proposals relating to the nomination of</w:t>
      </w:r>
      <w:r>
        <w:rPr>
          <w:rFonts w:ascii="Arial" w:cs="Arial" w:eastAsia="Arial" w:hAnsi="Arial"/>
          <w:sz w:val="16"/>
          <w:szCs w:val="16"/>
          <w:i w:val="1"/>
          <w:iCs w:val="1"/>
          <w:color w:val="auto"/>
        </w:rPr>
        <w:t xml:space="preserve"> </w:t>
      </w:r>
      <w:r>
        <w:rPr>
          <w:rFonts w:ascii="Arial" w:cs="Arial" w:eastAsia="Arial" w:hAnsi="Arial"/>
          <w:sz w:val="16"/>
          <w:szCs w:val="16"/>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72"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i w:val="1"/>
          <w:iCs w:val="1"/>
          <w:color w:val="auto"/>
        </w:rPr>
        <w:t xml:space="preserve">Amendment to Certificate of Incorporation and Bylaws. </w:t>
      </w:r>
      <w:r>
        <w:rPr>
          <w:rFonts w:ascii="Arial" w:cs="Arial" w:eastAsia="Arial" w:hAnsi="Arial"/>
          <w:sz w:val="16"/>
          <w:szCs w:val="16"/>
          <w:color w:val="auto"/>
        </w:rPr>
        <w:t>As required by the Delaware General Corporation Law, any amendment of our certificate of</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ind w:right="20" w:firstLine="351"/>
        <w:spacing w:after="0" w:line="288" w:lineRule="auto"/>
        <w:rPr>
          <w:sz w:val="20"/>
          <w:szCs w:val="20"/>
          <w:color w:val="auto"/>
        </w:rPr>
      </w:pPr>
      <w:r>
        <w:rPr>
          <w:rFonts w:ascii="Arial" w:cs="Arial" w:eastAsia="Arial" w:hAnsi="Arial"/>
          <w:sz w:val="16"/>
          <w:szCs w:val="16"/>
          <w:i w:val="1"/>
          <w:iCs w:val="1"/>
          <w:color w:val="auto"/>
        </w:rPr>
        <w:t xml:space="preserve">Blank Check Preferred Stock. </w:t>
      </w:r>
      <w:r>
        <w:rPr>
          <w:rFonts w:ascii="Arial" w:cs="Arial" w:eastAsia="Arial" w:hAnsi="Arial"/>
          <w:sz w:val="16"/>
          <w:szCs w:val="16"/>
          <w:color w:val="auto"/>
        </w:rPr>
        <w:t>Our certificate of incorporation provides for 5,000,000 authorized shares of preferred stock. The existence of authorized but</w:t>
      </w:r>
      <w:r>
        <w:rPr>
          <w:rFonts w:ascii="Arial" w:cs="Arial" w:eastAsia="Arial" w:hAnsi="Arial"/>
          <w:sz w:val="16"/>
          <w:szCs w:val="16"/>
          <w:i w:val="1"/>
          <w:iCs w:val="1"/>
          <w:color w:val="auto"/>
        </w:rPr>
        <w:t xml:space="preserve"> </w:t>
      </w:r>
      <w:r>
        <w:rPr>
          <w:rFonts w:ascii="Arial" w:cs="Arial" w:eastAsia="Arial" w:hAnsi="Arial"/>
          <w:sz w:val="16"/>
          <w:szCs w:val="16"/>
          <w:color w:val="auto"/>
        </w:rPr>
        <w:t>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Section 203 of the Delaware General Corporation Law. </w:t>
      </w:r>
      <w:r>
        <w:rPr>
          <w:rFonts w:ascii="Arial" w:cs="Arial" w:eastAsia="Arial" w:hAnsi="Arial"/>
          <w:sz w:val="16"/>
          <w:szCs w:val="16"/>
          <w:color w:val="auto"/>
        </w:rPr>
        <w:t>We are subject to the provisions of Section 203 of the Delaware General Corporation Law. In</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 Under Section 203, a business combination between a corporation and an interested stockholder is prohibited unless it satisfies one of the following conditions:</w:t>
      </w:r>
    </w:p>
    <w:p>
      <w:pPr>
        <w:spacing w:after="0" w:line="186" w:lineRule="exact"/>
        <w:rPr>
          <w:sz w:val="20"/>
          <w:szCs w:val="20"/>
          <w:color w:val="auto"/>
        </w:rPr>
      </w:pPr>
    </w:p>
    <w:p>
      <w:pPr>
        <w:ind w:left="1080" w:right="1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before the stockholder became interested, the board of directors approved either the business combination or the transaction which resulted in the stockholder becoming an interested stockholder;</w:t>
      </w:r>
    </w:p>
    <w:p>
      <w:pPr>
        <w:spacing w:after="0" w:line="212" w:lineRule="exact"/>
        <w:rPr>
          <w:rFonts w:ascii="Arial" w:cs="Arial" w:eastAsia="Arial" w:hAnsi="Arial"/>
          <w:sz w:val="18"/>
          <w:szCs w:val="18"/>
          <w:color w:val="auto"/>
        </w:rPr>
      </w:pPr>
    </w:p>
    <w:p>
      <w:pPr>
        <w:jc w:val="both"/>
        <w:ind w:left="1080" w:right="320" w:hanging="532"/>
        <w:spacing w:after="0" w:line="306"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that is not owned by the interested stockholder.</w:t>
      </w:r>
    </w:p>
    <w:p>
      <w:pPr>
        <w:spacing w:after="0" w:line="194" w:lineRule="exact"/>
        <w:rPr>
          <w:sz w:val="20"/>
          <w:szCs w:val="20"/>
          <w:color w:val="auto"/>
        </w:rPr>
      </w:pPr>
    </w:p>
    <w:p>
      <w:pPr>
        <w:ind w:right="180" w:firstLine="341"/>
        <w:spacing w:after="0" w:line="306" w:lineRule="auto"/>
        <w:rPr>
          <w:sz w:val="20"/>
          <w:szCs w:val="20"/>
          <w:color w:val="auto"/>
        </w:rPr>
      </w:pPr>
      <w:r>
        <w:rPr>
          <w:rFonts w:ascii="Arial" w:cs="Arial" w:eastAsia="Arial" w:hAnsi="Arial"/>
          <w:sz w:val="16"/>
          <w:szCs w:val="16"/>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i w:val="1"/>
          <w:iCs w:val="1"/>
          <w:color w:val="auto"/>
        </w:rPr>
        <w:t xml:space="preserve">Exclusive Jurisdiction of Certain Actions. </w:t>
      </w:r>
      <w:r>
        <w:rPr>
          <w:rFonts w:ascii="Arial" w:cs="Arial" w:eastAsia="Arial" w:hAnsi="Arial"/>
          <w:sz w:val="18"/>
          <w:szCs w:val="18"/>
          <w:color w:val="auto"/>
        </w:rPr>
        <w:t>Our certificate of incorporation requires, to the fullest extent permitted by law, that derivative actions brought in</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 actions against our directors, officers and employees for breach of fiduciary duty and other similar actions may be brought only in the Court of Chancery in the State of Delaware, unless we otherwise consent.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may offer debt securities which may be senior or subordinated. We refer to the senior debt securities and the subordinated debt securities collectively as debt securities. The following description summarizes the general terms and provisions of the debt securities. We will describe the specific terms of the debt securities and the extent, if any, to which the general provisions summarized below apply to any series of debt securities in the prospectus supplement relating to the series and any applicable free writing prospectus that we authorize to be delivered. When we refer to "the Company," "we," "our," and "us" in this section, we mean Blueprint Medicines Corporation excluding, unless the context otherwise requires or as otherwise expressly stated, our subsidiaries.</w:t>
      </w:r>
    </w:p>
    <w:p>
      <w:pPr>
        <w:spacing w:after="0" w:line="170"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We may issue senior debt securities from time to time, in one or more series under a senior indenture to be entered into between us and a senior trustee to be named in a prospectus supplement, which we refer to as the senior trustee. We may issue subordinated debt securities from time to time, in one or more series under a subordinated indenture to be entered into between us and a subordinated trustee to be named in a prospectus supplement, which we refer to as the subordinated trustee. The forms of senior indenture and subordinated indenture are filed as exhibits to the registration statement of which this prospectus forms a part. Together, the senior indenture and the subordinated indenture are referred to as the indentures and, together, the senior trustee and the subordinated trustee are referred to as the trustees. This prospectus briefly outlines some of the provisions of the indentures. The following summary of the material provisions of the indentures is qualified in its entirety by the provisions of the indentures, including definitions of certain terms used in the indentures. Wherever we refer to particular sections or defined terms of the indentures, those sections or defined terms are incorporated by reference in this prospectus or the applicable prospectus supplement. You should review the indentures that are filed as exhibits to the registration statement of which this prospectus forms a part for additional information. As used in this prospectus, the term "debt securities" includes the debt securities being offered by this prospectus and all other debt securities issued by us under the indentures.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indentures:</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 not limit the amount of debt securities that we may issue;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allow us to issue debt securities in one or more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 not require us to issue all of the debt securities of a series at the same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allow us to reopen a series to issue additional debt securities without the consent of the holders of the debt securities of such series;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provide that the debt securities will be unsecured, except as may be set forth in the applicable prospectus supplement.</w:t>
      </w:r>
    </w:p>
    <w:p>
      <w:pPr>
        <w:spacing w:after="0" w:line="225" w:lineRule="exact"/>
        <w:rPr>
          <w:sz w:val="20"/>
          <w:szCs w:val="20"/>
          <w:color w:val="auto"/>
        </w:rPr>
      </w:pPr>
    </w:p>
    <w:p>
      <w:pPr>
        <w:jc w:val="both"/>
        <w:ind w:right="120" w:firstLine="351"/>
        <w:spacing w:after="0" w:line="306" w:lineRule="auto"/>
        <w:rPr>
          <w:sz w:val="20"/>
          <w:szCs w:val="20"/>
          <w:color w:val="auto"/>
        </w:rPr>
      </w:pPr>
      <w:r>
        <w:rPr>
          <w:rFonts w:ascii="Arial" w:cs="Arial" w:eastAsia="Arial" w:hAnsi="Arial"/>
          <w:sz w:val="16"/>
          <w:szCs w:val="16"/>
          <w:color w:val="auto"/>
        </w:rPr>
        <w:t>Unless otherwise provided in the applicable prospectus supplement, the senior debt securities will be unsubordinated obligations and will rank equally with all of our other unsecured and unsubordinated indebtedness. Payments on the subordinated debt securities will be subordinated to the prior payment in full of all of our senior indebtedness, as described under "—Subordination" and in the applicable prospectus supplement.</w:t>
      </w:r>
    </w:p>
    <w:p>
      <w:pPr>
        <w:spacing w:after="0" w:line="16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53" w:name="page54"/>
    <w:bookmarkEnd w:id="53"/>
    <w:p>
      <w:pPr>
        <w:jc w:val="both"/>
        <w:ind w:right="180"/>
        <w:spacing w:after="0" w:line="370" w:lineRule="auto"/>
        <w:rPr>
          <w:sz w:val="20"/>
          <w:szCs w:val="20"/>
          <w:color w:val="auto"/>
        </w:rPr>
      </w:pPr>
      <w:r>
        <w:rPr>
          <w:rFonts w:ascii="Arial" w:cs="Arial" w:eastAsia="Arial" w:hAnsi="Arial"/>
          <w:sz w:val="15"/>
          <w:szCs w:val="15"/>
          <w:color w:val="auto"/>
        </w:rPr>
        <w:t>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prospectus supplement for each offering will provide the following terms, where applicable:</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title of the debt securities and whether they are senior or subordinated;</w:t>
      </w:r>
    </w:p>
    <w:p>
      <w:pPr>
        <w:spacing w:after="0" w:line="252" w:lineRule="exact"/>
        <w:rPr>
          <w:rFonts w:ascii="Arial" w:cs="Arial" w:eastAsia="Arial" w:hAnsi="Arial"/>
          <w:sz w:val="18"/>
          <w:szCs w:val="18"/>
          <w:color w:val="auto"/>
        </w:rPr>
      </w:pPr>
    </w:p>
    <w:p>
      <w:pPr>
        <w:ind w:left="1080" w:hanging="532"/>
        <w:spacing w:after="0" w:line="370" w:lineRule="auto"/>
        <w:tabs>
          <w:tab w:leader="none" w:pos="10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129" w:lineRule="exact"/>
        <w:rPr>
          <w:rFonts w:ascii="Arial" w:cs="Arial" w:eastAsia="Arial" w:hAnsi="Arial"/>
          <w:sz w:val="15"/>
          <w:szCs w:val="15"/>
          <w:color w:val="auto"/>
        </w:rPr>
      </w:pPr>
    </w:p>
    <w:p>
      <w:pPr>
        <w:ind w:left="1080" w:right="60" w:hanging="532"/>
        <w:spacing w:after="0" w:line="256"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price at which the debt securities will be issued, expressed as a percentage of the principal and, if other than the principal amount thereof, the portion of the principal amount thereof payable upon declaration of acceleration of the maturity thereof or, if applicable, the portion of the principal amount of such debt securities that is convertible into common stock or other securities of ours or the method by which any such portion shall be determined;</w:t>
      </w:r>
    </w:p>
    <w:p>
      <w:pPr>
        <w:spacing w:after="0" w:line="210"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if convertible, the terms on which such debt securities are convertible, including the initial conversion price or rate and the conversion period and any applicable limitations on the ownership or transferability of common stock or other securities of ours received on conversion;</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on which the principal of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fixed or variable interest rate or rates of the debt securities, or the method by which the interest rate or rates is determined;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 or dates, or the method for determining the date or dates, from which interest will accrue;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dates on which interest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record dates for interest payment dates, or the method by which such dates will be determine;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persons to whom interest will be payable;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basis upon which interest will be calculated if other than that of a 360-day year of twelve 30-day months;</w:t>
      </w:r>
    </w:p>
    <w:p>
      <w:pPr>
        <w:spacing w:after="0" w:line="238"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premium or make-whole amount, and interest on, the debt securities will be payable;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where the debt securities may be surrendered for registration of transfer or conversion or exchange;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where notices or demands to or upon us in respect of the debt securities and the applicable indenture may be served;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times, prices and other terms and conditions upon which we may redeem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ind w:left="540" w:right="280" w:hanging="532"/>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obligation;</w:t>
      </w:r>
    </w:p>
    <w:p>
      <w:pPr>
        <w:spacing w:after="0" w:line="221" w:lineRule="exact"/>
        <w:rPr>
          <w:rFonts w:ascii="Arial" w:cs="Arial" w:eastAsia="Arial" w:hAnsi="Arial"/>
          <w:sz w:val="18"/>
          <w:szCs w:val="18"/>
          <w:color w:val="auto"/>
        </w:rPr>
      </w:pPr>
    </w:p>
    <w:p>
      <w:pPr>
        <w:jc w:val="both"/>
        <w:ind w:left="540" w:right="240" w:hanging="532"/>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currency or currencies in which the debt securities are denominated and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207" w:lineRule="exact"/>
        <w:rPr>
          <w:rFonts w:ascii="Arial" w:cs="Arial" w:eastAsia="Arial" w:hAnsi="Arial"/>
          <w:sz w:val="18"/>
          <w:szCs w:val="18"/>
          <w:color w:val="auto"/>
        </w:rPr>
      </w:pPr>
    </w:p>
    <w:p>
      <w:pPr>
        <w:ind w:left="540" w:right="40" w:hanging="532"/>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207" w:lineRule="exact"/>
        <w:rPr>
          <w:rFonts w:ascii="Arial" w:cs="Arial" w:eastAsia="Arial" w:hAnsi="Arial"/>
          <w:sz w:val="18"/>
          <w:szCs w:val="18"/>
          <w:color w:val="auto"/>
        </w:rPr>
      </w:pPr>
    </w:p>
    <w:p>
      <w:pPr>
        <w:ind w:left="540" w:right="22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212" w:lineRule="exact"/>
        <w:rPr>
          <w:rFonts w:ascii="Arial" w:cs="Arial" w:eastAsia="Arial" w:hAnsi="Arial"/>
          <w:sz w:val="18"/>
          <w:szCs w:val="18"/>
          <w:color w:val="auto"/>
        </w:rPr>
      </w:pPr>
    </w:p>
    <w:p>
      <w:pPr>
        <w:ind w:left="540" w:right="180" w:hanging="532"/>
        <w:spacing w:after="0" w:line="305" w:lineRule="auto"/>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whether the debt securities will be in registered form, bearer form, or both, and (i) if in registered form, the person to whom any interest shall be payable, if other than the person in whose name the security is registered at the close of business on the regular record date for such interest, or</w:t>
      </w:r>
    </w:p>
    <w:p>
      <w:pPr>
        <w:ind w:left="540" w:right="20" w:firstLine="8"/>
        <w:spacing w:after="0" w:line="261" w:lineRule="auto"/>
        <w:tabs>
          <w:tab w:leader="none" w:pos="798" w:val="left"/>
        </w:tabs>
        <w:numPr>
          <w:ilvl w:val="1"/>
          <w:numId w:val="32"/>
        </w:numPr>
        <w:rPr>
          <w:rFonts w:ascii="Arial" w:cs="Arial" w:eastAsia="Arial" w:hAnsi="Arial"/>
          <w:sz w:val="18"/>
          <w:szCs w:val="18"/>
          <w:color w:val="auto"/>
        </w:rPr>
      </w:pPr>
      <w:r>
        <w:rPr>
          <w:rFonts w:ascii="Arial" w:cs="Arial" w:eastAsia="Arial" w:hAnsi="Arial"/>
          <w:sz w:val="18"/>
          <w:szCs w:val="18"/>
          <w:color w:val="auto"/>
        </w:rPr>
        <w:t>if in bearer form, the manner in which, or the person to whom, any interest on the security shall be payable if otherwise than upon presentation and surrender upon maturity;</w:t>
      </w:r>
    </w:p>
    <w:p>
      <w:pPr>
        <w:spacing w:after="0" w:line="205" w:lineRule="exact"/>
        <w:rPr>
          <w:rFonts w:ascii="Arial" w:cs="Arial" w:eastAsia="Arial" w:hAnsi="Arial"/>
          <w:sz w:val="18"/>
          <w:szCs w:val="18"/>
          <w:color w:val="auto"/>
        </w:rPr>
      </w:pPr>
    </w:p>
    <w:p>
      <w:pPr>
        <w:ind w:left="540" w:right="40" w:hanging="532"/>
        <w:spacing w:after="0" w:line="332"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152" w:lineRule="exact"/>
        <w:rPr>
          <w:rFonts w:ascii="Arial" w:cs="Arial" w:eastAsia="Arial" w:hAnsi="Arial"/>
          <w:sz w:val="16"/>
          <w:szCs w:val="16"/>
          <w:color w:val="auto"/>
        </w:rPr>
      </w:pPr>
    </w:p>
    <w:p>
      <w:pPr>
        <w:jc w:val="both"/>
        <w:ind w:left="540" w:hanging="532"/>
        <w:spacing w:after="0" w:line="335" w:lineRule="auto"/>
        <w:tabs>
          <w:tab w:leader="none" w:pos="540" w:val="left"/>
        </w:tabs>
        <w:numPr>
          <w:ilvl w:val="0"/>
          <w:numId w:val="32"/>
        </w:numPr>
        <w:rPr>
          <w:rFonts w:ascii="Arial" w:cs="Arial" w:eastAsia="Arial" w:hAnsi="Arial"/>
          <w:sz w:val="15"/>
          <w:szCs w:val="15"/>
          <w:color w:val="auto"/>
        </w:rPr>
      </w:pPr>
      <w:r>
        <w:rPr>
          <w:rFonts w:ascii="Arial" w:cs="Arial" w:eastAsia="Arial" w:hAnsi="Arial"/>
          <w:sz w:val="15"/>
          <w:szCs w:val="15"/>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169" w:lineRule="exact"/>
        <w:rPr>
          <w:rFonts w:ascii="Arial" w:cs="Arial" w:eastAsia="Arial" w:hAnsi="Arial"/>
          <w:sz w:val="15"/>
          <w:szCs w:val="15"/>
          <w:color w:val="auto"/>
        </w:rPr>
      </w:pPr>
    </w:p>
    <w:p>
      <w:pPr>
        <w:ind w:left="540" w:hanging="532"/>
        <w:spacing w:after="0"/>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identity of the depositary for securities in registered form, if such series are to be issuable as a global security;</w:t>
      </w:r>
    </w:p>
    <w:p>
      <w:pPr>
        <w:spacing w:after="0" w:line="238" w:lineRule="exact"/>
        <w:rPr>
          <w:rFonts w:ascii="Arial" w:cs="Arial" w:eastAsia="Arial" w:hAnsi="Arial"/>
          <w:sz w:val="18"/>
          <w:szCs w:val="18"/>
          <w:color w:val="auto"/>
        </w:rPr>
      </w:pPr>
    </w:p>
    <w:p>
      <w:pPr>
        <w:ind w:left="54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as of which any debt securities in bearer form or in temporary global form shall be dated if other than the original issuance date of the first security of the series to be issued;</w:t>
      </w:r>
    </w:p>
    <w:p>
      <w:pPr>
        <w:spacing w:after="0" w:line="199" w:lineRule="exact"/>
        <w:rPr>
          <w:rFonts w:ascii="Arial" w:cs="Arial" w:eastAsia="Arial" w:hAnsi="Arial"/>
          <w:sz w:val="18"/>
          <w:szCs w:val="18"/>
          <w:color w:val="auto"/>
        </w:rPr>
      </w:pPr>
    </w:p>
    <w:p>
      <w:pPr>
        <w:ind w:left="540" w:hanging="532"/>
        <w:spacing w:after="0"/>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applicability, if any, of the defeasance and covenant defeasance provisions described in this prospectus or in the applicable indenture;</w:t>
      </w:r>
    </w:p>
    <w:p>
      <w:pPr>
        <w:spacing w:after="0" w:line="275" w:lineRule="exact"/>
        <w:rPr>
          <w:rFonts w:ascii="Arial" w:cs="Arial" w:eastAsia="Arial" w:hAnsi="Arial"/>
          <w:sz w:val="16"/>
          <w:szCs w:val="16"/>
          <w:color w:val="auto"/>
        </w:rPr>
      </w:pPr>
    </w:p>
    <w:p>
      <w:pPr>
        <w:ind w:left="540" w:right="980" w:hanging="532"/>
        <w:spacing w:after="0" w:line="332"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152" w:lineRule="exact"/>
        <w:rPr>
          <w:rFonts w:ascii="Arial" w:cs="Arial" w:eastAsia="Arial" w:hAnsi="Arial"/>
          <w:sz w:val="16"/>
          <w:szCs w:val="16"/>
          <w:color w:val="auto"/>
        </w:rPr>
      </w:pPr>
    </w:p>
    <w:p>
      <w:pPr>
        <w:ind w:left="540" w:right="120" w:hanging="532"/>
        <w:spacing w:after="0" w:line="268"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under what circumstances the debt securities being offered are convertible into common stock or other securities of ours, as the case may be, including the conversion price or rate and the manner or calculation thereof;</w:t>
      </w:r>
    </w:p>
    <w:p>
      <w:pPr>
        <w:spacing w:after="0" w:line="199" w:lineRule="exact"/>
        <w:rPr>
          <w:rFonts w:ascii="Arial" w:cs="Arial" w:eastAsia="Arial" w:hAnsi="Arial"/>
          <w:sz w:val="18"/>
          <w:szCs w:val="18"/>
          <w:color w:val="auto"/>
        </w:rPr>
      </w:pPr>
    </w:p>
    <w:p>
      <w:pPr>
        <w:ind w:left="540" w:right="60" w:hanging="532"/>
        <w:spacing w:after="0" w:line="259"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circumstances, if any, specified in the applicable prospectus supplement,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194"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780" w:top="145" w:right="259" w:bottom="1440" w:gutter="0" w:footer="0" w:header="0"/>
        </w:sectPr>
      </w:pPr>
    </w:p>
    <w:bookmarkStart w:id="55" w:name="page56"/>
    <w:bookmarkEnd w:id="55"/>
    <w:p>
      <w:pPr>
        <w:ind w:left="1080" w:right="60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provisions granting special rights to holders of securities upon the occurrence of such events as specified in the applicable prospectus supplement;</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the debt securities of such series are to be issuable in definitive form only upon receipt of certain certificates or other documents or satisfaction of other conditions, then the form and/or terms of such certificates, documents or conditions;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name of the applicable trustee and the nature of any material relationship with us or any of our affiliates, and the percentage of debt securities of the class necessary to require the trustee to take action;</w:t>
      </w:r>
    </w:p>
    <w:p>
      <w:pPr>
        <w:spacing w:after="0" w:line="199"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any deletions from, modifications of or additions to our events of default or covenants with regard to such debt securities and any change in the right of any trustee or any of the holders to declare the principal amount of any of such debt securities due and payable;</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applicable CUSIP numbers;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such debt securities not inconsistent with the provisions of the applicable indenture.</w:t>
      </w:r>
    </w:p>
    <w:p>
      <w:pPr>
        <w:spacing w:after="0" w:line="225"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We may issue debt securities that provide for less than the entire principal amount thereof to be payable upon declaration of acceleration of the maturity of the debt securities. We refer to any such debt securities throughout this prospectus as "original issue discount securities." The applicable prospectus supplement will describe the United States federal income tax consequences and other relevant considerations applicable to original issue discount securities.</w:t>
      </w:r>
    </w:p>
    <w:p>
      <w:pPr>
        <w:spacing w:after="0" w:line="161"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We also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w:t>
      </w:r>
    </w:p>
    <w:p>
      <w:pPr>
        <w:spacing w:after="0" w:line="16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Except as described under "—Merger, Consolidation or Sale of Assets" or as may be set forth in any prospectus supplement, the debt securities will not contain any provisions that (i) would limit our ability to incur indebtedness or (ii) would afford holders of debt securities protection in the event of (a) a highly leveraged or similar transaction involving us,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w:t>
      </w:r>
    </w:p>
    <w:p>
      <w:pPr>
        <w:spacing w:after="0" w:line="198"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Our governing instruments do not define the term "substantially all" as it relates to the sale of assets. Additionally, Delaware cases interpreting the term "substantially all" rely upon the facts and circumstances of each particular case. Consequently, to determine whether a sale of "substantially all" of our assets has occurred, a holder of debt securities must review the financial and other information that we have disclosed to the public.</w:t>
      </w:r>
    </w:p>
    <w:p>
      <w:pPr>
        <w:spacing w:after="0" w:line="161"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principal of, and any premium or make-whole amount, and interest on, any series of the debt securities will be payable at</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5" w:right="319" w:bottom="1440" w:gutter="0" w:footer="0" w:header="0"/>
        </w:sectPr>
      </w:pPr>
    </w:p>
    <w:bookmarkStart w:id="56" w:name="page57"/>
    <w:bookmarkEnd w:id="56"/>
    <w:p>
      <w:pPr>
        <w:jc w:val="both"/>
        <w:spacing w:after="0" w:line="259" w:lineRule="auto"/>
        <w:rPr>
          <w:sz w:val="20"/>
          <w:szCs w:val="20"/>
          <w:color w:val="auto"/>
        </w:rPr>
      </w:pPr>
      <w:r>
        <w:rPr>
          <w:rFonts w:ascii="Arial" w:cs="Arial" w:eastAsia="Arial" w:hAnsi="Arial"/>
          <w:sz w:val="18"/>
          <w:szCs w:val="18"/>
          <w:color w:val="auto"/>
        </w:rPr>
        <w:t>the corporate trust office of the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94" w:lineRule="exact"/>
        <w:rPr>
          <w:sz w:val="20"/>
          <w:szCs w:val="20"/>
          <w:color w:val="auto"/>
        </w:rPr>
      </w:pPr>
    </w:p>
    <w:p>
      <w:pPr>
        <w:ind w:right="160" w:firstLine="341"/>
        <w:spacing w:after="0" w:line="306" w:lineRule="auto"/>
        <w:rPr>
          <w:sz w:val="20"/>
          <w:szCs w:val="20"/>
          <w:color w:val="auto"/>
        </w:rPr>
      </w:pPr>
      <w:r>
        <w:rPr>
          <w:rFonts w:ascii="Arial" w:cs="Arial" w:eastAsia="Arial" w:hAnsi="Arial"/>
          <w:sz w:val="16"/>
          <w:szCs w:val="16"/>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 Interest, Registration and Transfer</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debt securities of any series will be issuable in denominations of $1,000 and integral multiples of $1,000.</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Subject to the limitations imposed upon debt securities that are evidenced by a computerized entry in the records of a depository company rather than by physical delivery of a note, a holder of debt securities of any series may:</w:t>
      </w:r>
    </w:p>
    <w:p>
      <w:pPr>
        <w:spacing w:after="0" w:line="199" w:lineRule="exact"/>
        <w:rPr>
          <w:sz w:val="20"/>
          <w:szCs w:val="20"/>
          <w:color w:val="auto"/>
        </w:rPr>
      </w:pPr>
    </w:p>
    <w:p>
      <w:pPr>
        <w:ind w:left="108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surrender them for registration of transfer or exchange at the corporate trust office of the applicable trustee or at the office of any transfer agent that we designate for such purpose.</w:t>
      </w:r>
    </w:p>
    <w:p>
      <w:pPr>
        <w:spacing w:after="0" w:line="186"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Every debt security surrendered for registration of transfer or exchange must be duly endorsed or accompanied by a written instrument of transfer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Neither we, nor any trustee, will be required to:</w:t>
      </w:r>
    </w:p>
    <w:p>
      <w:pPr>
        <w:spacing w:after="0" w:line="239" w:lineRule="exact"/>
        <w:rPr>
          <w:sz w:val="20"/>
          <w:szCs w:val="20"/>
          <w:color w:val="auto"/>
        </w:rPr>
      </w:pPr>
    </w:p>
    <w:p>
      <w:pPr>
        <w:ind w:left="1080" w:right="4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207"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security, or portion thereof, so selected for redemption, in whole or in part, except the unredeemed portion of any debt security being redeemed in part;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security that has been surrendered for repayment at the option of the holder, except the portion, if any, of such debt security not to be so repaid.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Merger, Consolidation or Sale of Assets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indentures provide that we may, without the consent of the holders of any outstanding debt securities, (i) consolidate with, (ii) sell, lease or convey all or substantially all of our assets to, or (iii) merge with or into, any other entity provided that:</w:t>
      </w:r>
    </w:p>
    <w:p>
      <w:pPr>
        <w:spacing w:after="0" w:line="199" w:lineRule="exact"/>
        <w:rPr>
          <w:sz w:val="20"/>
          <w:szCs w:val="20"/>
          <w:color w:val="auto"/>
        </w:rPr>
      </w:pPr>
    </w:p>
    <w:p>
      <w:pPr>
        <w:jc w:val="both"/>
        <w:ind w:left="1080" w:right="4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either we are the continuing entity, or the successor entity, if other than us, assumes the obligations (a) to pay the principal of, and any premium or make-whole amount, and interest on, all of the debt securities and (b) to duly perform and observe all of the covenants and conditions contained in each indenture;</w:t>
      </w:r>
    </w:p>
    <w:p>
      <w:pPr>
        <w:sectPr>
          <w:pgSz w:w="11900" w:h="16838" w:orient="portrait"/>
          <w:cols w:equalWidth="0" w:num="1">
            <w:col w:w="11420"/>
          </w:cols>
          <w:pgMar w:left="240" w:top="125" w:right="239" w:bottom="1440" w:gutter="0" w:footer="0" w:header="0"/>
        </w:sectPr>
      </w:pP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6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Covenants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after giving effect to the transaction, there is no event of default under the indentures and no event which, after notice or the lapse of time, or both, would become such an event of default, occurs and continues; 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an officers' certificate and legal opinion covering such conditions are delivered to each applicable trustee.</w:t>
      </w:r>
    </w:p>
    <w:p>
      <w:pPr>
        <w:spacing w:after="0" w:line="591" w:lineRule="exact"/>
        <w:rPr>
          <w:sz w:val="20"/>
          <w:szCs w:val="20"/>
          <w:color w:val="auto"/>
        </w:rPr>
      </w:pPr>
    </w:p>
    <w:p>
      <w:pPr>
        <w:sectPr>
          <w:pgSz w:w="11900" w:h="16838" w:orient="portrait"/>
          <w:cols w:equalWidth="0" w:num="2">
            <w:col w:w="800" w:space="280"/>
            <w:col w:w="10340"/>
          </w:cols>
          <w:pgMar w:left="240" w:top="125" w:right="239" w:bottom="1440" w:gutter="0" w:footer="0" w:header="0"/>
          <w:type w:val="continuous"/>
        </w:sectPr>
      </w:pPr>
    </w:p>
    <w:p>
      <w:pPr>
        <w:spacing w:after="0" w:line="6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i w:val="1"/>
          <w:iCs w:val="1"/>
          <w:color w:val="auto"/>
        </w:rPr>
        <w:t xml:space="preserve">Existence. </w:t>
      </w:r>
      <w:r>
        <w:rPr>
          <w:rFonts w:ascii="Arial" w:cs="Arial" w:eastAsia="Arial" w:hAnsi="Arial"/>
          <w:sz w:val="18"/>
          <w:szCs w:val="18"/>
          <w:color w:val="auto"/>
        </w:rPr>
        <w:t>Except as described under "—Merger, Consolidation or Sale of Assets," the indentures require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However, the indentures do not require us to preserve any right or franchise if we determine that any right or franchise is no longer desirable in the conduct of our business.</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Payment of taxes and other claims. </w:t>
      </w:r>
      <w:r>
        <w:rPr>
          <w:rFonts w:ascii="Arial" w:cs="Arial" w:eastAsia="Arial" w:hAnsi="Arial"/>
          <w:sz w:val="18"/>
          <w:szCs w:val="18"/>
          <w:color w:val="auto"/>
        </w:rPr>
        <w:t>The indentures require us to pay, discharge or cause to be paid or discharged, before they become delinquent (i) all</w:t>
      </w:r>
      <w:r>
        <w:rPr>
          <w:rFonts w:ascii="Arial" w:cs="Arial" w:eastAsia="Arial" w:hAnsi="Arial"/>
          <w:sz w:val="18"/>
          <w:szCs w:val="18"/>
          <w:i w:val="1"/>
          <w:iCs w:val="1"/>
          <w:color w:val="auto"/>
        </w:rPr>
        <w:t xml:space="preserve"> </w:t>
      </w:r>
      <w:r>
        <w:rPr>
          <w:rFonts w:ascii="Arial" w:cs="Arial" w:eastAsia="Arial" w:hAnsi="Arial"/>
          <w:sz w:val="18"/>
          <w:szCs w:val="18"/>
          <w:color w:val="auto"/>
        </w:rPr>
        <w:t>taxes, assessments and governmental charges levied or imposed on us, our subsidiaries or our subsidiaries' income, profits or property, and (ii) all lawful claims for labor, materials and supplies which, if unpaid, might by law become a lien upon our property or the property of our subsidiaries. However, we will not be required to pay, discharge or cause to be paid or discharged any such tax, assessment, charge or claim whose amount, applicability or validity is being contested in good faith by appropriate proceedings.</w:t>
      </w:r>
    </w:p>
    <w:p>
      <w:pPr>
        <w:spacing w:after="0" w:line="197"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i w:val="1"/>
          <w:iCs w:val="1"/>
          <w:color w:val="auto"/>
        </w:rPr>
        <w:t xml:space="preserve">Provision of financial information. </w:t>
      </w:r>
      <w:r>
        <w:rPr>
          <w:rFonts w:ascii="Arial" w:cs="Arial" w:eastAsia="Arial" w:hAnsi="Arial"/>
          <w:sz w:val="16"/>
          <w:szCs w:val="16"/>
          <w:color w:val="auto"/>
        </w:rPr>
        <w:t>The indentures require us to (i) within 15 days of each of the respective dates by which we are required to file our</w:t>
      </w:r>
      <w:r>
        <w:rPr>
          <w:rFonts w:ascii="Arial" w:cs="Arial" w:eastAsia="Arial" w:hAnsi="Arial"/>
          <w:sz w:val="16"/>
          <w:szCs w:val="16"/>
          <w:i w:val="1"/>
          <w:iCs w:val="1"/>
          <w:color w:val="auto"/>
        </w:rPr>
        <w:t xml:space="preserve"> </w:t>
      </w:r>
      <w:r>
        <w:rPr>
          <w:rFonts w:ascii="Arial" w:cs="Arial" w:eastAsia="Arial" w:hAnsi="Arial"/>
          <w:sz w:val="16"/>
          <w:szCs w:val="16"/>
          <w:color w:val="auto"/>
        </w:rPr>
        <w:t>annual reports, quarterly reports and other documents with the SEC, file with the trustee copies of the annual report, quarterly report and other documents that we file with the SEC under Section 13 or 15(d) of the Exchange Act, (ii) file with the trustee and the SEC any additional information, documents and reports regarding compliance by us with the conditions and covenants of the indentures, as required, (iii) within 30 days after the filing with the trustee, mail to all holders of debt securities, as their names and addresses appear in the applicable register for such debt securities, without cost to such holders, summaries of any documents and reports required to be filed by us pursuant to (i) and (ii) above, and (iv) supply, promptly upon written request and payment of the reasonable cost of duplication and delivery, copies of such documents to any prospective holder.</w:t>
      </w:r>
    </w:p>
    <w:p>
      <w:pPr>
        <w:spacing w:after="0" w:line="172" w:lineRule="exact"/>
        <w:rPr>
          <w:sz w:val="20"/>
          <w:szCs w:val="20"/>
          <w:color w:val="auto"/>
        </w:rPr>
      </w:pPr>
    </w:p>
    <w:p>
      <w:pPr>
        <w:ind w:left="360"/>
        <w:spacing w:after="0"/>
        <w:tabs>
          <w:tab w:leader="none" w:pos="2040" w:val="left"/>
        </w:tabs>
        <w:rPr>
          <w:sz w:val="20"/>
          <w:szCs w:val="20"/>
          <w:color w:val="auto"/>
        </w:rPr>
      </w:pPr>
      <w:r>
        <w:rPr>
          <w:rFonts w:ascii="Arial" w:cs="Arial" w:eastAsia="Arial" w:hAnsi="Arial"/>
          <w:sz w:val="18"/>
          <w:szCs w:val="18"/>
          <w:i w:val="1"/>
          <w:iCs w:val="1"/>
          <w:color w:val="auto"/>
        </w:rPr>
        <w:t>Additional covenants.</w:t>
      </w:r>
      <w:r>
        <w:rPr>
          <w:sz w:val="20"/>
          <w:szCs w:val="20"/>
          <w:color w:val="auto"/>
        </w:rPr>
        <w:tab/>
      </w:r>
      <w:r>
        <w:rPr>
          <w:rFonts w:ascii="Arial" w:cs="Arial" w:eastAsia="Arial" w:hAnsi="Arial"/>
          <w:sz w:val="15"/>
          <w:szCs w:val="15"/>
          <w:color w:val="auto"/>
        </w:rPr>
        <w:t>The applicable prospectus supplement will set forth any additional covenants relating to any series of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Events of Default, Notice and Waiver</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Unless the applicable prospectus supplement states otherwise, when we refer to "events of default" as defined in the indentures with respect to any series of debt securities, we mean:</w:t>
      </w:r>
    </w:p>
    <w:p>
      <w:pPr>
        <w:spacing w:after="0" w:line="19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any installment of interest on any debt security of such series continuing for 30 days;</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payment of principal of, or any premium or make-whole amount on, any debt security of such series for five business days at its stated maturity;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making any sinking fund payment as required for any debt security of such series for five business days;</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in the debt securities or in the indenture by us continuing for 60 days after written notice as provided in the applicable indenture, but not of a covenant added to the indenture solely for the benefit of a series of debt securities issued thereunder other than such series;</w:t>
      </w:r>
    </w:p>
    <w:p>
      <w:pPr>
        <w:spacing w:after="0" w:line="221"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default under any bond, debenture, note, mortgage, indenture or instrument: (i) having an aggregate principal amount of at least $30,000,000; or (ii) under which there may be issued, secured or evidenced any existing or later created indebtedness for money borrowed by us or our subsidiaries, if we are directly responsible or liable as obligor or guarantor,</w:t>
      </w:r>
    </w:p>
    <w:p>
      <w:pPr>
        <w:spacing w:after="0" w:line="19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the default results in the indebtedness becoming or being declared due and payable prior to the date it otherwise would have, without such indebtedness having been discharged, or such acceleration having been rescinded or annulled, within 30 days after notice to the issuing company specifying such default. Such notice shall be given to us by the trustee, or to us and the trustee by the holders of at least 10% in principal amount of the outstanding debt securities of that series. The written notice shall specify such default and require us to cause such indebtedness to be discharged or cause such acceleration to be rescinded or annulled and shall state that such notice is a "Notice of Default" under such indenture;</w:t>
      </w:r>
    </w:p>
    <w:p>
      <w:pPr>
        <w:spacing w:after="0" w:line="183"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bankruptcy, insolvency or reorganization, or court appointment of a receiver, liquidator or trustee of us or any significant subsidiary of ours;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a particular series of debt securities.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When we use the term "significant subsidiary," we refer to the meaning ascribed to such term in Rule 1-02 of Regulation S-X promulgated under the Securities Act.</w:t>
      </w:r>
    </w:p>
    <w:p>
      <w:pPr>
        <w:spacing w:after="0" w:line="186"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199" w:lineRule="exact"/>
        <w:rPr>
          <w:sz w:val="20"/>
          <w:szCs w:val="20"/>
          <w:color w:val="auto"/>
        </w:rPr>
      </w:pPr>
    </w:p>
    <w:p>
      <w:pPr>
        <w:ind w:left="1080" w:right="10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deposited with the applicable trustee all required payments of the principal, any premium or make-whole amount, interest and, to the extent permitted by law, interest on overdue installment of interest, plus applicable fees, expenses, disbursements and advances of the applicable trustee; and</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9" w:name="page60"/>
    <w:bookmarkEnd w:id="59"/>
    <w:p>
      <w:pPr>
        <w:ind w:left="10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accelerated principal, or a specified portion thereof, and any premium or make-whole amount, have been cured or waived.</w:t>
      </w:r>
    </w:p>
    <w:p>
      <w:pPr>
        <w:spacing w:after="0" w:line="186"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22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payment of the principal, any premium or make-whole amount, or interest;</w:t>
      </w:r>
    </w:p>
    <w:p>
      <w:pPr>
        <w:spacing w:after="0" w:line="238"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respect of a covenant or provision contained in the applicable indenture that cannot be modified or amended without the consent of the holders of the outstanding debt security that is affected by the default;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respect of a covenant or provision for the benefit or protection of the trustee, without its express written consent.</w:t>
      </w:r>
    </w:p>
    <w:p>
      <w:pPr>
        <w:spacing w:after="0" w:line="225"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indentures require each trustee to give notice to the holders of debt securities within 90 days of a default unless such default has been cured or waived. However, the trustee may withhold notice if specified persons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70" w:lineRule="exact"/>
        <w:rPr>
          <w:sz w:val="20"/>
          <w:szCs w:val="20"/>
          <w:color w:val="auto"/>
        </w:rPr>
      </w:pPr>
    </w:p>
    <w:p>
      <w:pPr>
        <w:jc w:val="both"/>
        <w:ind w:firstLine="348"/>
        <w:spacing w:after="0" w:line="294" w:lineRule="auto"/>
        <w:rPr>
          <w:sz w:val="20"/>
          <w:szCs w:val="20"/>
          <w:color w:val="auto"/>
        </w:rPr>
      </w:pPr>
      <w:r>
        <w:rPr>
          <w:rFonts w:ascii="Arial" w:cs="Arial" w:eastAsia="Arial" w:hAnsi="Arial"/>
          <w:sz w:val="16"/>
          <w:szCs w:val="16"/>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197"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 in conflict with any law or the applicable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involve the trustee in personal liability;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may be unduly prejudicial to the holders of debt securities of the series not joining the proceeding.</w:t>
      </w:r>
    </w:p>
    <w:p>
      <w:pPr>
        <w:spacing w:after="0" w:line="225"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5" w:right="2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Modification of the Indentures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indentures provide that modifications and amendments may be made only with the consent of the affected holders of a majority in principal amount of all outstanding debt securities issued under that indenture. However, no such modification or amendment may, without the consent of the holders of the debt securities affected by the modification or amendment:</w:t>
      </w:r>
    </w:p>
    <w:p>
      <w:pPr>
        <w:spacing w:after="0" w:line="208" w:lineRule="exact"/>
        <w:rPr>
          <w:sz w:val="20"/>
          <w:szCs w:val="20"/>
          <w:color w:val="auto"/>
        </w:rPr>
      </w:pPr>
    </w:p>
    <w:p>
      <w:pPr>
        <w:ind w:left="1080" w:right="3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premium or make-whole amount on, or any installment of principal of or interest on, any such debt security;</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amount of, the rate or amount of interest on, or any premium or make-whole amount payable on redemption of, any such debt security;</w:t>
      </w:r>
    </w:p>
    <w:p>
      <w:pPr>
        <w:spacing w:after="0" w:line="199" w:lineRule="exact"/>
        <w:rPr>
          <w:rFonts w:ascii="Arial" w:cs="Arial" w:eastAsia="Arial" w:hAnsi="Arial"/>
          <w:sz w:val="18"/>
          <w:szCs w:val="18"/>
          <w:color w:val="auto"/>
        </w:rPr>
      </w:pPr>
    </w:p>
    <w:p>
      <w:pPr>
        <w:ind w:left="1080" w:right="620" w:hanging="532"/>
        <w:spacing w:after="0" w:line="370" w:lineRule="auto"/>
        <w:tabs>
          <w:tab w:leader="none" w:pos="10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129" w:lineRule="exact"/>
        <w:rPr>
          <w:rFonts w:ascii="Arial" w:cs="Arial" w:eastAsia="Arial" w:hAnsi="Arial"/>
          <w:sz w:val="15"/>
          <w:szCs w:val="15"/>
          <w:color w:val="auto"/>
        </w:rPr>
      </w:pPr>
    </w:p>
    <w:p>
      <w:pPr>
        <w:ind w:left="1080" w:right="14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place of payment or the coin or currency for payment of principal of, or any premium or make-whole amount, or interest on, any such debt security;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or with respect to any such debt security;</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207"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94" w:lineRule="exact"/>
        <w:rPr>
          <w:sz w:val="20"/>
          <w:szCs w:val="20"/>
          <w:color w:val="auto"/>
        </w:rPr>
      </w:pPr>
    </w:p>
    <w:p>
      <w:pPr>
        <w:ind w:right="280" w:firstLine="348"/>
        <w:spacing w:after="0" w:line="332" w:lineRule="auto"/>
        <w:rPr>
          <w:sz w:val="20"/>
          <w:szCs w:val="20"/>
          <w:color w:val="auto"/>
        </w:rPr>
      </w:pPr>
      <w:r>
        <w:rPr>
          <w:rFonts w:ascii="Arial" w:cs="Arial" w:eastAsia="Arial" w:hAnsi="Arial"/>
          <w:sz w:val="16"/>
          <w:szCs w:val="16"/>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39"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and our respective trustee may make modifications and amendments of an indenture without the consent of any holder of debt securities for any of the following purposes:</w:t>
      </w:r>
    </w:p>
    <w:p>
      <w:pPr>
        <w:spacing w:after="0" w:line="213"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evidence the succession of another person to us as obligor under such indenture;</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add to our covenants for the benefit of the holders of all or any series of debt securities or to surrender any right or power conferred upon us in such indenture;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add events of default for the benefit of the holders of all or any series of debt securities;</w:t>
      </w:r>
    </w:p>
    <w:p>
      <w:pPr>
        <w:spacing w:after="0" w:line="252" w:lineRule="exact"/>
        <w:rPr>
          <w:rFonts w:ascii="Arial" w:cs="Arial" w:eastAsia="Arial" w:hAnsi="Arial"/>
          <w:sz w:val="18"/>
          <w:szCs w:val="18"/>
          <w:color w:val="auto"/>
        </w:rPr>
      </w:pPr>
    </w:p>
    <w:p>
      <w:pPr>
        <w:jc w:val="both"/>
        <w:ind w:left="1080" w:right="160" w:hanging="532"/>
        <w:spacing w:after="0" w:line="306"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add or change any provisions of an indenture (i) to change or eliminate restrictions on the payment of principal of, or premium or make-whole amount, or interest on, debt securities in bearer form, or (ii) to permit or facilitate the issuance of debt securities in uncertificated form, provided that such action shall not adversely affect the interests of the holders of the debt securities of any series in any material respect;</w:t>
      </w:r>
    </w:p>
    <w:p>
      <w:pPr>
        <w:spacing w:after="0" w:line="174" w:lineRule="exact"/>
        <w:rPr>
          <w:rFonts w:ascii="Arial" w:cs="Arial" w:eastAsia="Arial" w:hAnsi="Arial"/>
          <w:sz w:val="16"/>
          <w:szCs w:val="16"/>
          <w:color w:val="auto"/>
        </w:rPr>
      </w:pPr>
    </w:p>
    <w:p>
      <w:pPr>
        <w:ind w:left="1080" w:right="60" w:hanging="532"/>
        <w:spacing w:after="0" w:line="332" w:lineRule="auto"/>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secure the debt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establish the form or terms of debt securities of any series;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provide for the acceptance of appointment by a successor trustee or facilitate the administration of the trusts under an indenture by more than one trustee;</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cure any ambiguity, defect or inconsistency in an indenture, provided that such action shall not adversely affect the interests of holders of debt securities of any series issued under such indenture; and</w:t>
      </w:r>
    </w:p>
    <w:p>
      <w:pPr>
        <w:spacing w:after="0" w:line="199" w:lineRule="exact"/>
        <w:rPr>
          <w:rFonts w:ascii="Arial" w:cs="Arial" w:eastAsia="Arial" w:hAnsi="Arial"/>
          <w:sz w:val="18"/>
          <w:szCs w:val="18"/>
          <w:color w:val="auto"/>
        </w:rPr>
      </w:pPr>
    </w:p>
    <w:p>
      <w:pPr>
        <w:ind w:left="1080" w:right="240" w:hanging="532"/>
        <w:spacing w:after="0" w:line="370" w:lineRule="auto"/>
        <w:tabs>
          <w:tab w:leader="none" w:pos="108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right="40" w:firstLine="348"/>
        <w:spacing w:after="0" w:line="370" w:lineRule="auto"/>
        <w:rPr>
          <w:sz w:val="20"/>
          <w:szCs w:val="20"/>
          <w:color w:val="auto"/>
        </w:rPr>
      </w:pPr>
      <w:r>
        <w:rPr>
          <w:rFonts w:ascii="Arial" w:cs="Arial" w:eastAsia="Arial" w:hAnsi="Arial"/>
          <w:sz w:val="15"/>
          <w:szCs w:val="15"/>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143" w:lineRule="exact"/>
        <w:rPr>
          <w:sz w:val="20"/>
          <w:szCs w:val="20"/>
          <w:color w:val="auto"/>
        </w:rPr>
      </w:pPr>
    </w:p>
    <w:p>
      <w:pPr>
        <w:ind w:left="1080" w:right="14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152" w:lineRule="exact"/>
        <w:rPr>
          <w:rFonts w:ascii="Arial" w:cs="Arial" w:eastAsia="Arial" w:hAnsi="Arial"/>
          <w:sz w:val="16"/>
          <w:szCs w:val="16"/>
          <w:color w:val="auto"/>
        </w:rPr>
      </w:pPr>
    </w:p>
    <w:p>
      <w:pPr>
        <w:jc w:val="both"/>
        <w:ind w:left="1080" w:right="300" w:hanging="532"/>
        <w:spacing w:after="0" w:line="335" w:lineRule="auto"/>
        <w:tabs>
          <w:tab w:leader="none" w:pos="10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preceding bullet point;</w:t>
      </w:r>
    </w:p>
    <w:p>
      <w:pPr>
        <w:spacing w:after="0" w:line="155"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debt securities owned by us or any other obligor upon the debt securities or by any affiliate of ours or of such other obligor shall be disregarded.</w:t>
      </w:r>
    </w:p>
    <w:p>
      <w:pPr>
        <w:spacing w:after="0" w:line="248"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98"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62" w:name="page63"/>
    <w:bookmarkEnd w:id="62"/>
    <w:p>
      <w:pPr>
        <w:ind w:firstLine="341"/>
        <w:spacing w:after="0" w:line="298" w:lineRule="auto"/>
        <w:rPr>
          <w:sz w:val="20"/>
          <w:szCs w:val="20"/>
          <w:color w:val="auto"/>
        </w:rPr>
      </w:pPr>
      <w:r>
        <w:rPr>
          <w:rFonts w:ascii="Arial" w:cs="Arial" w:eastAsia="Arial" w:hAnsi="Arial"/>
          <w:sz w:val="16"/>
          <w:szCs w:val="16"/>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67" w:lineRule="exact"/>
        <w:rPr>
          <w:sz w:val="20"/>
          <w:szCs w:val="20"/>
          <w:color w:val="auto"/>
        </w:rPr>
      </w:pPr>
    </w:p>
    <w:p>
      <w:pPr>
        <w:ind w:right="100" w:firstLine="351"/>
        <w:spacing w:after="0" w:line="335" w:lineRule="auto"/>
        <w:rPr>
          <w:sz w:val="20"/>
          <w:szCs w:val="20"/>
          <w:color w:val="auto"/>
        </w:rPr>
      </w:pPr>
      <w:r>
        <w:rPr>
          <w:rFonts w:ascii="Arial" w:cs="Arial" w:eastAsia="Arial" w:hAnsi="Arial"/>
          <w:sz w:val="15"/>
          <w:szCs w:val="15"/>
          <w:color w:val="auto"/>
        </w:rPr>
        <w:t>Notwithstanding the foregoing provisions, the indentures provide that if any action is to be taken at a meeting with respect to any request, demand, authorization, direction, notice, consent, waiver or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156"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shall be no minimum quorum requirement for such meeting; and</w:t>
      </w:r>
    </w:p>
    <w:p>
      <w:pPr>
        <w:spacing w:after="0" w:line="252"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principal amount of the outstanding debt securities of such series that vote in favor of such request, demand, authorization, direction, notice, consent, waiver or other action shall be taken account in determining whether such request, demand, authorization, direction, notice, consent, waiver or other action has been made, given or taken under such indenture.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provided in the applicable prospectus supplement, subordinated debt securities will be subject to the following subordination provisions.</w:t>
      </w:r>
    </w:p>
    <w:p>
      <w:pPr>
        <w:spacing w:after="0" w:line="248"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Upon any distribution to our creditors in a liquidation, dissolution or reorganization, the payment of the principal of and interest on any subordinated debt securities will be subordinated to the extent provided in the applicable indenture in right of payment to the prior payment in full of all senior debt. However, our obligation to make payments of the principal of and interest on such subordinated debt securities otherwise will not be affected. No payment of principal or interest will be permitted to be made on subordinated debt securities at any time if a default on senior debt exists that permits the holders of such senior debt to accelerate its maturity and the default is the subject of judicial proceedings or we receive notice of the default. After all senior debt is paid in full and until the subordinated debt securities are paid in full, holders of subordinated debt securities will be subrogated to the rights of holders of senior debt to the extent that distributions otherwise payable to holders of subordinated debt securities have been applied to the payment of senior debt. The subordinated indenture will not restrict the amount of senior debt or other indebtedness of ours and our subsidiaries. As a result of these subordination provisions, in the event of a distribution of assets upon insolvency, holders of subordinated debt securities may recover less, ratably, than our general creditors.</w:t>
      </w:r>
    </w:p>
    <w:p>
      <w:pPr>
        <w:spacing w:after="0" w:line="174"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term "senior debt" will be defined in the applicable indenture as the principal of and interest on, or substantially similar payments to be made by us in respect of, other outstanding indebtedness, whether outstanding at the date of execution of the applicable indenture or subsequently incurred, created or assumed. The prospectus supplement may include a description of additional terms implementing the subordination feature.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restrictions will be included in any indenture relating to subordinated debt securities upon the creation of additional senior debt.</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If this prospectus is being delivered in connection with the offering of a series of subordinated debt securities, the accompanying prospectus supplement or the information incorporated in this prospectus by reference will set forth the approximate amount of senior debt outstanding as of the end of our most recent fiscal quarter.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Discharge, Defeasance and Covenant Defeasance</w:t>
      </w:r>
    </w:p>
    <w:p>
      <w:pPr>
        <w:spacing w:after="0" w:line="231"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Unless otherwise provided in the applicable prospectus supplement, the indentures allow us to discharge our obligations to holders of any series of debt securities issued under any indenture when:</w:t>
      </w:r>
    </w:p>
    <w:p>
      <w:pPr>
        <w:spacing w:after="0" w:line="199" w:lineRule="exact"/>
        <w:rPr>
          <w:sz w:val="20"/>
          <w:szCs w:val="20"/>
          <w:color w:val="auto"/>
        </w:rPr>
      </w:pPr>
    </w:p>
    <w:p>
      <w:pPr>
        <w:ind w:left="1080" w:hanging="532"/>
        <w:spacing w:after="0" w:line="25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either (i) all securities of such series have already been delivered to the applicable trustee for cancellation; or (ii)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22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payable; and</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officers' certificate and an opinion of counsel stating the conditions to discharging the debt securities have been satisfied has been delivered to the trustee.</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provided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the issuing company may elect either:</w:t>
      </w:r>
    </w:p>
    <w:p>
      <w:pPr>
        <w:spacing w:after="0" w:line="183"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defease and be discharged from any and all obligations with respect to such debt securities; or</w:t>
      </w:r>
    </w:p>
    <w:p>
      <w:pPr>
        <w:spacing w:after="0" w:line="252"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be released from its obligations with respect to such debt securities under the applicable indenture or, if provided in the applicable prospectus supplement, its obligations with respect to any other covenant, and any omission to comply with such obligations shall not constitute an event of default with respect to such debt securities.</w:t>
      </w:r>
    </w:p>
    <w:p>
      <w:pPr>
        <w:spacing w:after="0" w:line="194"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97"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United States federal income tax purposes as a result of such defeasance or covenant defeasance and will be subject to United States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United States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4" w:name="page65"/>
    <w:bookmarkEnd w:id="64"/>
    <w:p>
      <w:pPr>
        <w:ind w:left="360"/>
        <w:spacing w:after="0"/>
        <w:rPr>
          <w:sz w:val="20"/>
          <w:szCs w:val="20"/>
          <w:color w:val="auto"/>
        </w:rPr>
      </w:pPr>
      <w:r>
        <w:rPr>
          <w:rFonts w:ascii="Arial" w:cs="Arial" w:eastAsia="Arial" w:hAnsi="Arial"/>
          <w:sz w:val="18"/>
          <w:szCs w:val="18"/>
          <w:color w:val="auto"/>
        </w:rPr>
        <w:t>When we use the term "government obligations," we mean securities that are:</w:t>
      </w:r>
    </w:p>
    <w:p>
      <w:pPr>
        <w:spacing w:after="0" w:line="239" w:lineRule="exact"/>
        <w:rPr>
          <w:sz w:val="20"/>
          <w:szCs w:val="20"/>
          <w:color w:val="auto"/>
        </w:rPr>
      </w:pPr>
    </w:p>
    <w:p>
      <w:pPr>
        <w:ind w:left="1080" w:right="38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212" w:lineRule="exact"/>
        <w:rPr>
          <w:rFonts w:ascii="Arial" w:cs="Arial" w:eastAsia="Arial" w:hAnsi="Arial"/>
          <w:sz w:val="18"/>
          <w:szCs w:val="18"/>
          <w:color w:val="auto"/>
        </w:rPr>
      </w:pPr>
    </w:p>
    <w:p>
      <w:pPr>
        <w:ind w:left="1080" w:right="60" w:hanging="532"/>
        <w:spacing w:after="0" w:line="289"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72"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Unless otherwise provided in the applicable prospectus supplement, if after we have deposited funds and/or government obligations to effect defeasance or covenant defeasance with respect to debt securities of any series, (i)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(ii)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When we use the term "conversion event," we mean the cessation of use of:</w:t>
      </w:r>
    </w:p>
    <w:p>
      <w:pPr>
        <w:spacing w:after="0" w:line="239" w:lineRule="exact"/>
        <w:rPr>
          <w:sz w:val="20"/>
          <w:szCs w:val="20"/>
          <w:color w:val="auto"/>
        </w:rPr>
      </w:pPr>
    </w:p>
    <w:p>
      <w:pPr>
        <w:ind w:left="1080" w:right="660" w:hanging="532"/>
        <w:spacing w:after="0" w:line="332"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152"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European Currency Unit both within the European Monetary System and for the settlement of transactions by public institutions of or within the European Communities; 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currency unit or composite currency other than the European Currency Unit for the purposes for which it was established.</w:t>
      </w:r>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Unless otherwise provided in the applicable prospectus supplement, all payments of principal of, and any premium or make-whole amount, and interest on, any debt security that is payable in a foreign currency that ceases to be used by its government of issuance shall be made in United States dollars.</w:t>
      </w:r>
    </w:p>
    <w:p>
      <w:pPr>
        <w:spacing w:after="0" w:line="139"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In the event that (i) we effect covenant defeasance with respect to any debt securities and (ii) those debt securities are declared due and payable because of the occurrence of any event of default, the amount in the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default. However, the issuing company would remain liable to make payments of any amounts due at the time of acceleration.</w:t>
      </w:r>
    </w:p>
    <w:p>
      <w:pPr>
        <w:spacing w:after="0" w:line="225" w:lineRule="exact"/>
        <w:rPr>
          <w:sz w:val="20"/>
          <w:szCs w:val="20"/>
          <w:color w:val="auto"/>
        </w:rPr>
      </w:pPr>
    </w:p>
    <w:p>
      <w:pPr>
        <w:ind w:right="600" w:firstLine="348"/>
        <w:spacing w:after="0" w:line="332" w:lineRule="auto"/>
        <w:rPr>
          <w:sz w:val="20"/>
          <w:szCs w:val="20"/>
          <w:color w:val="auto"/>
        </w:rPr>
      </w:pPr>
      <w:r>
        <w:rPr>
          <w:rFonts w:ascii="Arial" w:cs="Arial" w:eastAsia="Arial" w:hAnsi="Arial"/>
          <w:sz w:val="16"/>
          <w:szCs w:val="16"/>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Recourse</w:t>
      </w:r>
    </w:p>
    <w:p>
      <w:pPr>
        <w:spacing w:after="0" w:line="23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No recourse shall be had under any obligation, covenant or agreement of ours in the senior indenture or any supplemental indenture, or in any of the debt securities or because of the creation of any indebtedness represented thereby, against any of our incorporators, stockholders, officers or directors, past, present or future, or of any predecessor or successor entity thereof under any law, statute or constitutional provision or by the enforcement of any assessment or by any legal or equitable proceeding or otherwise. Each holder, by accepting the debt securities, waives and releases all such liability.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jc w:val="center"/>
        <w:ind w:right="40"/>
        <w:spacing w:after="0"/>
        <w:rPr>
          <w:sz w:val="20"/>
          <w:szCs w:val="20"/>
          <w:color w:val="auto"/>
        </w:rPr>
      </w:pPr>
      <w:r>
        <w:rPr>
          <w:rFonts w:ascii="Arial" w:cs="Arial" w:eastAsia="Arial" w:hAnsi="Arial"/>
          <w:sz w:val="18"/>
          <w:szCs w:val="18"/>
          <w:b w:val="1"/>
          <w:bCs w:val="1"/>
          <w:color w:val="auto"/>
        </w:rPr>
        <w:t>DESCRIPTION OF DEPOSITARY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may, at our option, elect to offer fractional shares of preferred stock, which we call depositary shares, rather than full shares of preferred stock. If we do, we will issue to the public receipts, called depositary receipts, for depositary shares, each of which will represent a fraction, to be described in the applicable prospectus supplement, of a share of a particular series of preferred stock. Unless otherwise provided in the applicable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spacing w:after="0" w:line="154" w:lineRule="exact"/>
        <w:rPr>
          <w:sz w:val="20"/>
          <w:szCs w:val="20"/>
          <w:color w:val="auto"/>
        </w:rPr>
      </w:pPr>
    </w:p>
    <w:p>
      <w:pPr>
        <w:ind w:right="360" w:firstLine="348"/>
        <w:spacing w:after="0" w:line="259" w:lineRule="auto"/>
        <w:rPr>
          <w:sz w:val="20"/>
          <w:szCs w:val="20"/>
          <w:color w:val="auto"/>
        </w:rPr>
      </w:pPr>
      <w:r>
        <w:rPr>
          <w:rFonts w:ascii="Arial" w:cs="Arial" w:eastAsia="Arial" w:hAnsi="Arial"/>
          <w:sz w:val="18"/>
          <w:szCs w:val="18"/>
          <w:color w:val="auto"/>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spacing w:after="0" w:line="194"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spacing w:after="0" w:line="139"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and Other Distributions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spacing w:after="0" w:line="161"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Preference</w:t>
      </w:r>
    </w:p>
    <w:p>
      <w:pPr>
        <w:spacing w:after="0" w:line="231" w:lineRule="exact"/>
        <w:rPr>
          <w:sz w:val="20"/>
          <w:szCs w:val="20"/>
          <w:color w:val="auto"/>
        </w:rPr>
      </w:pPr>
    </w:p>
    <w:p>
      <w:pPr>
        <w:ind w:right="540" w:firstLine="351"/>
        <w:spacing w:after="0" w:line="306" w:lineRule="auto"/>
        <w:rPr>
          <w:sz w:val="20"/>
          <w:szCs w:val="20"/>
          <w:color w:val="auto"/>
        </w:rPr>
      </w:pPr>
      <w:r>
        <w:rPr>
          <w:rFonts w:ascii="Arial" w:cs="Arial" w:eastAsia="Arial" w:hAnsi="Arial"/>
          <w:sz w:val="16"/>
          <w:szCs w:val="16"/>
          <w:color w:val="auto"/>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Stock</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ind w:right="40"/>
        <w:spacing w:after="0" w:line="306" w:lineRule="auto"/>
        <w:rPr>
          <w:sz w:val="20"/>
          <w:szCs w:val="20"/>
          <w:color w:val="auto"/>
        </w:rPr>
      </w:pPr>
      <w:r>
        <w:rPr>
          <w:rFonts w:ascii="Arial" w:cs="Arial" w:eastAsia="Arial" w:hAnsi="Arial"/>
          <w:sz w:val="16"/>
          <w:szCs w:val="16"/>
          <w:color w:val="auto"/>
        </w:rPr>
        <w:t>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of Depositary Shares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spacing w:after="0" w:line="174" w:lineRule="exact"/>
        <w:rPr>
          <w:sz w:val="20"/>
          <w:szCs w:val="20"/>
          <w:color w:val="auto"/>
        </w:rPr>
      </w:pPr>
    </w:p>
    <w:p>
      <w:pPr>
        <w:ind w:right="480" w:firstLine="341"/>
        <w:spacing w:after="0" w:line="306" w:lineRule="auto"/>
        <w:rPr>
          <w:sz w:val="20"/>
          <w:szCs w:val="20"/>
          <w:color w:val="auto"/>
        </w:rPr>
      </w:pPr>
      <w:r>
        <w:rPr>
          <w:rFonts w:ascii="Arial" w:cs="Arial" w:eastAsia="Arial" w:hAnsi="Arial"/>
          <w:sz w:val="16"/>
          <w:szCs w:val="16"/>
          <w:color w:val="auto"/>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the Preferred Stock</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it receives specific instructions from the holders of depositary shares representing that number of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Charges of Depositary</w:t>
      </w:r>
    </w:p>
    <w:p>
      <w:pPr>
        <w:spacing w:after="0" w:line="231" w:lineRule="exact"/>
        <w:rPr>
          <w:sz w:val="20"/>
          <w:szCs w:val="20"/>
          <w:color w:val="auto"/>
        </w:rPr>
      </w:pPr>
    </w:p>
    <w:p>
      <w:pPr>
        <w:ind w:right="160" w:firstLine="348"/>
        <w:spacing w:after="0" w:line="291" w:lineRule="auto"/>
        <w:rPr>
          <w:sz w:val="20"/>
          <w:szCs w:val="20"/>
          <w:color w:val="auto"/>
        </w:rPr>
      </w:pPr>
      <w:r>
        <w:rPr>
          <w:rFonts w:ascii="Arial" w:cs="Arial" w:eastAsia="Arial" w:hAnsi="Arial"/>
          <w:sz w:val="16"/>
          <w:szCs w:val="16"/>
          <w:color w:val="auto"/>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Amendment and Termination of the Deposit Agreement</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spacing w:after="0" w:line="211"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outstanding depositary shares have been redeemed; or</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there has been a final distribution of the preferred stock in connection with our dissolution and such distribution has been made to all the holders of depositary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and Removal of Depositary</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231"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w:t>
      </w:r>
    </w:p>
    <w:p>
      <w:pPr>
        <w:spacing w:after="0" w:line="231"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Neither we nor the depositary will be liable if either is prevented or delayed by law or any circumstance beyond its control in performing its obligations. Our obligations and those of the depositary will be limited to performance in good faith of our and their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jc w:val="center"/>
        <w:ind w:right="20"/>
        <w:spacing w:after="0"/>
        <w:rPr>
          <w:sz w:val="20"/>
          <w:szCs w:val="20"/>
          <w:color w:val="auto"/>
        </w:rPr>
      </w:pPr>
      <w:r>
        <w:rPr>
          <w:rFonts w:ascii="Arial" w:cs="Arial" w:eastAsia="Arial" w:hAnsi="Arial"/>
          <w:sz w:val="18"/>
          <w:szCs w:val="18"/>
          <w:b w:val="1"/>
          <w:bCs w:val="1"/>
          <w:color w:val="auto"/>
        </w:rPr>
        <w:t>DESCRIPTION OF PURCHASE CONTRACTS AND PURCHASE UNITS</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may issue purchase contracts, including contracts obligating holders to purchase from or sell to us, and obligating us to sell to or purchase from the holders, a specified number of shares of our common stock, preferred stock or depositary shares at a future date or dates, which we refer to in this prospectus as purchase contracts. The price per share of common stock, preferred stock or depositary shares and the number of shares of each may be fixed at the time the purchase contracts are issued or may be determined by reference to a specific formula set forth in the purchase contracts. The purchase contracts may be issued separately or as part of units, often known as purchase units, consisting of one or more purchase contracts and beneficial interests in debt securities or any other securities described in the applicable prospectus supplement or any combination of the foregoing, securing the holders' obligations to purchase the common stock, preferred stock or depositary shares under the purchase contracts.</w:t>
      </w:r>
    </w:p>
    <w:p>
      <w:pPr>
        <w:spacing w:after="0" w:line="17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purchase contracts may require us to make periodic payments to the holders of the purchase units or vice versa, and these payments may be unsecured or prefunded on some basis. The purchase contracts may require holders to secure their obligations under those contracts in a specified manner, including pledging their interest in another purchase contract.</w:t>
      </w:r>
    </w:p>
    <w:p>
      <w:pPr>
        <w:spacing w:after="0" w:line="194"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applicable prospectus supplement will describe the terms of the purchase contracts and purchase units, including, if applicable, collateral or depositary arrangements.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may issue warrants to purchase debt securities, common stock, preferred stock or depositary shares. We may offer warrants separately or together with one or more additional warrants, debt securities, common stock, preferred stock or depositary shares, or any combination of those securities in the form of units, as described in the applicable prospectus supplement. If we issue warrants as part of a unit, the accompanying prospectus supplement will specify whether those warrants may be separated from the other securities in the unit prior to the expiration date of the warrants. The applicable prospectus supplement will also describe the following terms of any warrants:</w:t>
      </w:r>
    </w:p>
    <w:p>
      <w:pPr>
        <w:spacing w:after="0" w:line="210"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offering price at which we will issue, the warrants;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whether the warrants will be issued in definitive or global form or in any combination of these forms, although, in any case, the form of a warrant included in a unit will correspond to the form of the unit and of any security included in that unit;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38"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proposed listing, if any, of the warrants or any securities purchasable upon exercise of the warrants on any securities exchange;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designation and terms of any equity securities purchasable upon exercise of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designation, aggregate principal amount, currency and terms of any debt securities that may be purchased upon exercise of the warrants;</w:t>
      </w:r>
    </w:p>
    <w:p>
      <w:pPr>
        <w:spacing w:after="0" w:line="275" w:lineRule="exact"/>
        <w:rPr>
          <w:rFonts w:ascii="Arial" w:cs="Arial" w:eastAsia="Arial" w:hAnsi="Arial"/>
          <w:sz w:val="16"/>
          <w:szCs w:val="16"/>
          <w:color w:val="auto"/>
        </w:rPr>
      </w:pPr>
    </w:p>
    <w:p>
      <w:pPr>
        <w:ind w:left="1080" w:right="3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the designation and terms of the debt securities, common stock, preferred stock or depositary shares with which the warrants are issued and, the number of warrants issued with each security;</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the date from and after which any warrants issued as part of a unit and the related debt securities, common stock, preferred stock or depositary shares will be separately transferable;</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shares of common stock, the number of shares of preferred stock or the number of depositary shares purchasable upon exercise of a warrant and the price at which those shares may be purchased;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antidilution provisions of, and other provisions for changes to or adjustment in the exercise price of, the warrants,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redemption or call provisions;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any additional terms of the warrants, including terms, procedures and limitations relating to the exchange or exercise of the warrants.</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b w:val="1"/>
          <w:bCs w:val="1"/>
          <w:color w:val="auto"/>
        </w:rPr>
        <w:t>FORMS OF SECURITIES</w:t>
      </w:r>
    </w:p>
    <w:p>
      <w:pPr>
        <w:spacing w:after="0" w:line="23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Each debt security, depositary share, purchase contract, purchase unit and warrant will be represented either by a certificate issued in definitive form to a particular investor or by one or more global securities representing the entire issuance of securities. Unless otherwise provided in the applicable prospectus supplement, certificated securities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depositary shares, purchase contracts, purchase units or warrants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Registered Global Securities</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may issue the registered debt securities, depositary shares, purchase contracts, purchase units and warrants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w:t>
      </w:r>
    </w:p>
    <w:p>
      <w:pPr>
        <w:spacing w:after="0" w:line="174"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3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w:t>
      </w:r>
    </w:p>
    <w:p>
      <w:pPr>
        <w:spacing w:after="0" w:line="172"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deposit agreement, purchase contract, warrant agreement or purchase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deposit agreement,</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2" w:name="page73"/>
    <w:bookmarkEnd w:id="72"/>
    <w:p>
      <w:pPr>
        <w:spacing w:after="0" w:line="289" w:lineRule="auto"/>
        <w:rPr>
          <w:sz w:val="20"/>
          <w:szCs w:val="20"/>
          <w:color w:val="auto"/>
        </w:rPr>
      </w:pPr>
      <w:r>
        <w:rPr>
          <w:rFonts w:ascii="Arial" w:cs="Arial" w:eastAsia="Arial" w:hAnsi="Arial"/>
          <w:sz w:val="16"/>
          <w:szCs w:val="16"/>
          <w:color w:val="auto"/>
        </w:rPr>
        <w:t>purchase contract, purchase unit agreement or warrant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deposit agreement, purchase contract, purchase unit agreement or warrant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deposit agreement, purchase contract, purchase unit agreement or warrant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17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depositary shares, warrants, purchase agreements or purchase units, represented by a registered global security registered in the name of a depositary or its nominee will be made to the depositary or its nominee, as the case may be, as the registered owner of the registered global security. None of us, the trustees, the warrant agents, the unit agents or any other agent of ours,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w:t>
      </w:r>
    </w:p>
    <w:p>
      <w:pPr>
        <w:spacing w:after="0" w:line="174"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We expect that the depositary for any of the securities represented by a registered global security, upon receipt of any payment to holders of principal, premium, interest or other distribution of underlying securities or other property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or registered in "street name," and will be the responsibility of those participants.</w:t>
      </w:r>
    </w:p>
    <w:p>
      <w:pPr>
        <w:spacing w:after="0" w:line="198"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If the depositary for any of the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sell securities:</w:t>
      </w:r>
    </w:p>
    <w:p>
      <w:pPr>
        <w:spacing w:after="0" w:line="239"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to or through underwriters, brokers or dealers;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directly to one or more other purchasers in negotiated sales or competitively bid transactions;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"at the market" offerings, within the meaning of Rule 415(a)(4) of the Securities Act of 1933, as amended, or the Securities Act, to or through a market maker or into an existing trading market, on an exchange or otherwise;</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 block trade in which the broker or dealer engaged to handle the block trade will attempt to sell the securities as agent, but may position and resell a portion of the block as principal to facilitate the transaction;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addition, we may issue the securities as a dividend or distribution or in a subscription rights offering to our existing security holders.</w:t>
      </w:r>
    </w:p>
    <w:p>
      <w:pPr>
        <w:spacing w:after="0" w:line="225"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distribution of the securities may be effected from time to time in one or more transactions:</w:t>
      </w:r>
    </w:p>
    <w:p>
      <w:pPr>
        <w:spacing w:after="0" w:line="23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a fixed price, or prices, which may be changed from time to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prospectus supplement will describe the method of distribution of the securities and any applicable restrictions.</w:t>
      </w:r>
    </w:p>
    <w:p>
      <w:pPr>
        <w:spacing w:after="0" w:line="225" w:lineRule="exact"/>
        <w:rPr>
          <w:sz w:val="20"/>
          <w:szCs w:val="20"/>
          <w:color w:val="auto"/>
        </w:rPr>
      </w:pPr>
    </w:p>
    <w:p>
      <w:pPr>
        <w:ind w:right="700" w:firstLine="348"/>
        <w:spacing w:after="0" w:line="268" w:lineRule="auto"/>
        <w:rPr>
          <w:sz w:val="20"/>
          <w:szCs w:val="20"/>
          <w:color w:val="auto"/>
        </w:rPr>
      </w:pPr>
      <w:r>
        <w:rPr>
          <w:rFonts w:ascii="Arial" w:cs="Arial" w:eastAsia="Arial" w:hAnsi="Arial"/>
          <w:sz w:val="18"/>
          <w:szCs w:val="18"/>
          <w:color w:val="auto"/>
        </w:rPr>
        <w:t>The prospectus supplement with respect to the securities of a particular series will describe the terms of the offering of the securities, including the following:</w:t>
      </w:r>
    </w:p>
    <w:p>
      <w:pPr>
        <w:spacing w:after="0" w:line="213"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name of the agent or any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public offering or purchase price;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the agent or underwriters;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other items constituting underwriting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discounts and commissions to be allowed or paid to dealers;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exchanges on which the securities will be listed.</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If any underwriters or agents are utilized in the sale of the securities in respect of which this prospectus is delivered, we will enter into an underwriting agreement or other agreement with them at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74" w:name="page75"/>
    <w:bookmarkEnd w:id="74"/>
    <w:p>
      <w:pPr>
        <w:ind w:right="140"/>
        <w:spacing w:after="0" w:line="268" w:lineRule="auto"/>
        <w:rPr>
          <w:sz w:val="20"/>
          <w:szCs w:val="20"/>
          <w:color w:val="auto"/>
        </w:rPr>
      </w:pPr>
      <w:r>
        <w:rPr>
          <w:rFonts w:ascii="Arial" w:cs="Arial" w:eastAsia="Arial" w:hAnsi="Arial"/>
          <w:sz w:val="18"/>
          <w:szCs w:val="18"/>
          <w:color w:val="auto"/>
        </w:rPr>
        <w:t>the time of sale to them, and we will set forth in the prospectus supplement relating to such offering the names of the underwriters or agents and the terms of the related agreement with them.</w:t>
      </w:r>
    </w:p>
    <w:p>
      <w:pPr>
        <w:spacing w:after="0" w:line="186" w:lineRule="exact"/>
        <w:rPr>
          <w:sz w:val="20"/>
          <w:szCs w:val="20"/>
          <w:color w:val="auto"/>
        </w:rPr>
      </w:pPr>
    </w:p>
    <w:p>
      <w:pPr>
        <w:ind w:right="260" w:firstLine="351"/>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spacing w:after="0" w:line="139"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spacing w:after="0" w:line="161" w:lineRule="exact"/>
        <w:rPr>
          <w:sz w:val="20"/>
          <w:szCs w:val="20"/>
          <w:color w:val="auto"/>
        </w:rPr>
      </w:pPr>
    </w:p>
    <w:p>
      <w:pPr>
        <w:ind w:right="40" w:firstLine="341"/>
        <w:spacing w:after="0" w:line="259" w:lineRule="auto"/>
        <w:rPr>
          <w:sz w:val="20"/>
          <w:szCs w:val="20"/>
          <w:color w:val="auto"/>
        </w:rPr>
      </w:pPr>
      <w:r>
        <w:rPr>
          <w:rFonts w:ascii="Arial" w:cs="Arial" w:eastAsia="Arial" w:hAnsi="Arial"/>
          <w:sz w:val="18"/>
          <w:szCs w:val="18"/>
          <w:color w:val="auto"/>
        </w:rPr>
        <w:t>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w:t>
      </w:r>
    </w:p>
    <w:p>
      <w:pPr>
        <w:spacing w:after="0" w:line="194"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88" w:lineRule="exact"/>
        <w:rPr>
          <w:sz w:val="20"/>
          <w:szCs w:val="20"/>
          <w:color w:val="auto"/>
        </w:rPr>
      </w:pPr>
    </w:p>
    <w:p>
      <w:pPr>
        <w:ind w:left="1080" w:right="40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21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4" w:lineRule="exact"/>
        <w:rPr>
          <w:sz w:val="20"/>
          <w:szCs w:val="20"/>
          <w:color w:val="auto"/>
        </w:rPr>
      </w:pPr>
    </w:p>
    <w:p>
      <w:pPr>
        <w:ind w:right="60" w:firstLine="351"/>
        <w:spacing w:after="0" w:line="370" w:lineRule="auto"/>
        <w:rPr>
          <w:sz w:val="20"/>
          <w:szCs w:val="20"/>
          <w:color w:val="auto"/>
        </w:rPr>
      </w:pPr>
      <w:r>
        <w:rPr>
          <w:rFonts w:ascii="Arial" w:cs="Arial" w:eastAsia="Arial" w:hAnsi="Arial"/>
          <w:sz w:val="15"/>
          <w:szCs w:val="15"/>
          <w:color w:val="auto"/>
        </w:rPr>
        <w:t>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w:t>
      </w:r>
    </w:p>
    <w:p>
      <w:pPr>
        <w:spacing w:after="0" w:line="116"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5" w:name="page76"/>
    <w:bookmarkEnd w:id="75"/>
    <w:p>
      <w:pPr>
        <w:ind w:firstLine="351"/>
        <w:spacing w:after="0" w:line="294" w:lineRule="auto"/>
        <w:rPr>
          <w:sz w:val="20"/>
          <w:szCs w:val="20"/>
          <w:color w:val="auto"/>
        </w:rPr>
      </w:pPr>
      <w:r>
        <w:rPr>
          <w:rFonts w:ascii="Arial" w:cs="Arial" w:eastAsia="Arial" w:hAnsi="Arial"/>
          <w:sz w:val="16"/>
          <w:szCs w:val="16"/>
          <w:color w:val="auto"/>
        </w:rPr>
        <w:t>Under Rule 15c6-1 of the Exchange Act, trades in the secondary market generally are required to settle in three business days, unless the parties to any such trade expressly agree otherwise. The applicable prospectus supplement may provide that the original issue date for your securities may be more than three scheduled business days after the trade date for your securities. Accordingly, in such a case, if you wish to trade securities on any date prior to the third business day before the original issue date for your securities, you will be required, by virtue of the fact that your securities initially are expected to settle in more than three scheduled business days after the trade date for your securities, to make alternative settlement arrangements to prevent a failed settlement.</w:t>
      </w:r>
    </w:p>
    <w:p>
      <w:pPr>
        <w:spacing w:after="0" w:line="170"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or agency fees or other items constituting underwriting compensation to be received by any FINRA member or independent broker-dealer will not exceed 8% of the proceeds from any offering pursuant to this prospectus and any applicable prospectus supplement.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Unless the applicable prospectus supplement indicates otherwise, the validity of the securities in respect of which this prospectus is being delivered will be passed upon by Goodwin Procter LLP.</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consolidated financial statements of Blueprint Medicines Corporation appearing in Blueprint Medicines Corporation's Annual Report on Form 10-K for the year ended December 31, 2016 have been audited by Ernst &amp; Young LLP, independent registered public accounting firm, as set forth in their report thereon, included therein and incorporated herein by reference. Such financial statements are incorporated herein by reference in reliance upon such report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$150,000,000</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144780</wp:posOffset>
            </wp:positionV>
            <wp:extent cx="3498850" cy="1183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98850" cy="118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PROSPECTUS SUPPLEMENT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320" w:type="dxa"/>
            <w:vAlign w:val="bottom"/>
          </w:tcPr>
          <w:p>
            <w:pPr>
              <w:ind w:left="1140"/>
              <w:spacing w:after="0"/>
              <w:rPr>
                <w:sz w:val="20"/>
                <w:szCs w:val="20"/>
                <w:color w:val="auto"/>
              </w:rPr>
            </w:pPr>
            <w:r>
              <w:rPr>
                <w:rFonts w:ascii="Arial" w:cs="Arial" w:eastAsia="Arial" w:hAnsi="Arial"/>
                <w:sz w:val="24"/>
                <w:szCs w:val="24"/>
                <w:b w:val="1"/>
                <w:bCs w:val="1"/>
                <w:color w:val="auto"/>
              </w:rPr>
              <w:t>Goldman, Sachs &amp; Co.</w:t>
            </w:r>
          </w:p>
        </w:tc>
        <w:tc>
          <w:tcPr>
            <w:tcW w:w="3040" w:type="dxa"/>
            <w:vAlign w:val="bottom"/>
          </w:tcPr>
          <w:p>
            <w:pPr>
              <w:jc w:val="center"/>
              <w:spacing w:after="0"/>
              <w:rPr>
                <w:sz w:val="20"/>
                <w:szCs w:val="20"/>
                <w:color w:val="auto"/>
              </w:rPr>
            </w:pPr>
            <w:r>
              <w:rPr>
                <w:rFonts w:ascii="Arial" w:cs="Arial" w:eastAsia="Arial" w:hAnsi="Arial"/>
                <w:sz w:val="24"/>
                <w:szCs w:val="24"/>
                <w:b w:val="1"/>
                <w:bCs w:val="1"/>
                <w:color w:val="auto"/>
              </w:rPr>
              <w:t>Morgan Stanley</w:t>
            </w:r>
          </w:p>
        </w:tc>
        <w:tc>
          <w:tcPr>
            <w:tcW w:w="4060" w:type="dxa"/>
            <w:vAlign w:val="bottom"/>
          </w:tcPr>
          <w:p>
            <w:pPr>
              <w:ind w:left="560"/>
              <w:spacing w:after="0"/>
              <w:rPr>
                <w:sz w:val="20"/>
                <w:szCs w:val="20"/>
                <w:color w:val="auto"/>
              </w:rPr>
            </w:pPr>
            <w:r>
              <w:rPr>
                <w:rFonts w:ascii="Arial" w:cs="Arial" w:eastAsia="Arial" w:hAnsi="Arial"/>
                <w:sz w:val="24"/>
                <w:szCs w:val="24"/>
                <w:b w:val="1"/>
                <w:bCs w:val="1"/>
                <w:color w:val="auto"/>
              </w:rPr>
              <w:t>Cowen and Company</w:t>
            </w:r>
          </w:p>
        </w:tc>
      </w:tr>
      <w:tr>
        <w:trPr>
          <w:trHeight w:val="322"/>
        </w:trPr>
        <w:tc>
          <w:tcPr>
            <w:tcW w:w="4320" w:type="dxa"/>
            <w:vAlign w:val="bottom"/>
          </w:tcPr>
          <w:p>
            <w:pPr>
              <w:spacing w:after="0"/>
              <w:rPr>
                <w:sz w:val="24"/>
                <w:szCs w:val="24"/>
                <w:color w:val="auto"/>
              </w:rPr>
            </w:pPr>
          </w:p>
        </w:tc>
        <w:tc>
          <w:tcPr>
            <w:tcW w:w="3040" w:type="dxa"/>
            <w:vAlign w:val="bottom"/>
          </w:tcPr>
          <w:p>
            <w:pPr>
              <w:jc w:val="center"/>
              <w:spacing w:after="0"/>
              <w:rPr>
                <w:sz w:val="20"/>
                <w:szCs w:val="20"/>
                <w:color w:val="auto"/>
              </w:rPr>
            </w:pPr>
            <w:r>
              <w:rPr>
                <w:rFonts w:ascii="Arial" w:cs="Arial" w:eastAsia="Arial" w:hAnsi="Arial"/>
                <w:sz w:val="24"/>
                <w:szCs w:val="24"/>
                <w:b w:val="1"/>
                <w:bCs w:val="1"/>
                <w:color w:val="auto"/>
              </w:rPr>
              <w:t>Raymond James</w:t>
            </w:r>
          </w:p>
        </w:tc>
        <w:tc>
          <w:tcPr>
            <w:tcW w:w="4060" w:type="dxa"/>
            <w:vAlign w:val="bottom"/>
          </w:tcPr>
          <w:p>
            <w:pPr>
              <w:spacing w:after="0"/>
              <w:rPr>
                <w:sz w:val="24"/>
                <w:szCs w:val="24"/>
                <w:color w:val="auto"/>
              </w:rPr>
            </w:pPr>
          </w:p>
        </w:tc>
      </w:tr>
      <w:tr>
        <w:trPr>
          <w:trHeight w:val="426"/>
        </w:trPr>
        <w:tc>
          <w:tcPr>
            <w:tcW w:w="4320" w:type="dxa"/>
            <w:vAlign w:val="bottom"/>
          </w:tcPr>
          <w:p>
            <w:pPr>
              <w:spacing w:after="0"/>
              <w:rPr>
                <w:sz w:val="24"/>
                <w:szCs w:val="24"/>
                <w:color w:val="auto"/>
              </w:rPr>
            </w:pPr>
          </w:p>
        </w:tc>
        <w:tc>
          <w:tcPr>
            <w:tcW w:w="3040" w:type="dxa"/>
            <w:vAlign w:val="bottom"/>
          </w:tcPr>
          <w:p>
            <w:pPr>
              <w:ind w:left="780"/>
              <w:spacing w:after="0"/>
              <w:rPr>
                <w:sz w:val="20"/>
                <w:szCs w:val="20"/>
                <w:color w:val="auto"/>
              </w:rPr>
            </w:pPr>
            <w:r>
              <w:rPr>
                <w:rFonts w:ascii="Arial" w:cs="Arial" w:eastAsia="Arial" w:hAnsi="Arial"/>
                <w:sz w:val="18"/>
                <w:szCs w:val="18"/>
                <w:color w:val="auto"/>
              </w:rPr>
              <w:t>March   , 2017</w:t>
            </w:r>
          </w:p>
        </w:tc>
        <w:tc>
          <w:tcPr>
            <w:tcW w:w="4060" w:type="dxa"/>
            <w:vAlign w:val="bottom"/>
          </w:tcPr>
          <w:p>
            <w:pPr>
              <w:spacing w:after="0"/>
              <w:rPr>
                <w:sz w:val="24"/>
                <w:szCs w:val="24"/>
                <w:color w:val="auto"/>
              </w:rPr>
            </w:pPr>
          </w:p>
        </w:tc>
      </w:tr>
      <w:tr>
        <w:trPr>
          <w:trHeight w:val="488"/>
        </w:trPr>
        <w:tc>
          <w:tcPr>
            <w:tcW w:w="4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r>
        <w:trPr>
          <w:trHeight w:val="41"/>
        </w:trPr>
        <w:tc>
          <w:tcPr>
            <w:tcW w:w="432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4060" w:type="dxa"/>
            <w:vAlign w:val="bottom"/>
            <w:tcBorders>
              <w:bottom w:val="single" w:sz="8" w:color="auto"/>
            </w:tcBorders>
          </w:tcPr>
          <w:p>
            <w:pPr>
              <w:spacing w:after="0"/>
              <w:rPr>
                <w:sz w:val="3"/>
                <w:szCs w:val="3"/>
                <w:color w:val="auto"/>
              </w:rPr>
            </w:pPr>
          </w:p>
        </w:tc>
      </w:tr>
      <w:tr>
        <w:trPr>
          <w:trHeight w:val="226"/>
        </w:trPr>
        <w:tc>
          <w:tcPr>
            <w:tcW w:w="4320" w:type="dxa"/>
            <w:vAlign w:val="bottom"/>
            <w:tcBorders>
              <w:bottom w:val="single" w:sz="8" w:color="808080"/>
            </w:tcBorders>
          </w:tcPr>
          <w:p>
            <w:pPr>
              <w:spacing w:after="0"/>
              <w:rPr>
                <w:sz w:val="19"/>
                <w:szCs w:val="19"/>
                <w:color w:val="auto"/>
              </w:rPr>
            </w:pPr>
          </w:p>
        </w:tc>
        <w:tc>
          <w:tcPr>
            <w:tcW w:w="3040" w:type="dxa"/>
            <w:vAlign w:val="bottom"/>
            <w:tcBorders>
              <w:bottom w:val="single" w:sz="8" w:color="808080"/>
            </w:tcBorders>
          </w:tcPr>
          <w:p>
            <w:pPr>
              <w:spacing w:after="0"/>
              <w:rPr>
                <w:sz w:val="19"/>
                <w:szCs w:val="19"/>
                <w:color w:val="auto"/>
              </w:rPr>
            </w:pPr>
          </w:p>
        </w:tc>
        <w:tc>
          <w:tcPr>
            <w:tcW w:w="40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1."/>
      <w:numFmt w:val="decimal"/>
      <w:start w:val="554"/>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
      <w:numFmt w:val="bullet"/>
      <w:start w:val="1"/>
    </w:lvl>
  </w:abstractNum>
  <w:abstractNum w:abstractNumId="16">
    <w:nsid w:val="77465F01"/>
    <w:multiLevelType w:val="hybridMultilevel"/>
    <w:lvl w:ilvl="0">
      <w:lvlJc w:val="left"/>
      <w:lvlText w:val="•"/>
      <w:numFmt w:val="bullet"/>
      <w:start w:val="1"/>
    </w:lvl>
    <w:lvl w:ilvl="1">
      <w:lvlJc w:val="left"/>
      <w:lvlText w:val="•"/>
      <w:numFmt w:val="bullet"/>
      <w:start w:val="1"/>
    </w:lvl>
  </w:abstractNum>
  <w:abstractNum w:abstractNumId="17">
    <w:nsid w:val="7724C67E"/>
    <w:multiLevelType w:val="hybridMultilevel"/>
    <w:lvl w:ilvl="0">
      <w:lvlJc w:val="left"/>
      <w:lvlText w:val="(%1)"/>
      <w:numFmt w:val="decimal"/>
      <w:start w:val="1"/>
    </w:lvl>
  </w:abstractNum>
  <w:abstractNum w:abstractNumId="18">
    <w:nsid w:val="5C482A97"/>
    <w:multiLevelType w:val="hybridMultilevel"/>
    <w:lvl w:ilvl="0">
      <w:lvlJc w:val="left"/>
      <w:lvlText w:val="•"/>
      <w:numFmt w:val="bullet"/>
      <w:start w:val="1"/>
    </w:lvl>
  </w:abstractNum>
  <w:abstractNum w:abstractNumId="19">
    <w:nsid w:val="2463B9EA"/>
    <w:multiLevelType w:val="hybridMultilevel"/>
    <w:lvl w:ilvl="0">
      <w:lvlJc w:val="left"/>
      <w:lvlText w:val="•"/>
      <w:numFmt w:val="bullet"/>
      <w:start w:val="1"/>
    </w:lvl>
  </w:abstractNum>
  <w:abstractNum w:abstractNumId="20">
    <w:nsid w:val="5E884ADC"/>
    <w:multiLevelType w:val="hybridMultilevel"/>
    <w:lvl w:ilvl="0">
      <w:lvlJc w:val="left"/>
      <w:lvlText w:val="•"/>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
      <w:numFmt w:val="bullet"/>
      <w:start w:val="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
      <w:numFmt w:val="bullet"/>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
      <w:numFmt w:val="bullet"/>
      <w:start w:val="1"/>
    </w:lvl>
  </w:abstractNum>
  <w:abstractNum w:abstractNumId="29">
    <w:nsid w:val="1D4ED43B"/>
    <w:multiLevelType w:val="hybridMultilevel"/>
    <w:lvl w:ilvl="0">
      <w:lvlJc w:val="left"/>
      <w:lvlText w:val="•"/>
      <w:numFmt w:val="bullet"/>
      <w:start w:val="1"/>
    </w:lvl>
  </w:abstractNum>
  <w:abstractNum w:abstractNumId="30">
    <w:nsid w:val="725A06FB"/>
    <w:multiLevelType w:val="hybridMultilevel"/>
    <w:lvl w:ilvl="0">
      <w:lvlJc w:val="left"/>
      <w:lvlText w:val="•"/>
      <w:numFmt w:val="bullet"/>
      <w:start w:val="1"/>
    </w:lvl>
  </w:abstractNum>
  <w:abstractNum w:abstractNumId="31">
    <w:nsid w:val="2CD89A32"/>
    <w:multiLevelType w:val="hybridMultilevel"/>
    <w:lvl w:ilvl="0">
      <w:lvlJc w:val="left"/>
      <w:lvlText w:val="•"/>
      <w:numFmt w:val="bullet"/>
      <w:start w:val="1"/>
    </w:lvl>
    <w:lvl w:ilvl="1">
      <w:lvlJc w:val="left"/>
      <w:lvlText w:val="(%2)"/>
      <w:numFmt w:val="lowerRoman"/>
      <w:start w:val="2"/>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
      <w:numFmt w:val="bullet"/>
      <w:start w:val="1"/>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
      <w:numFmt w:val="bullet"/>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2019-12-07T22:27:53Z</dcterms:created>
  <dcterms:modified xsi:type="dcterms:W3CDTF">2019-12-07T22:27:53Z</dcterms:modified>
</cp:coreProperties>
</file>