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60"/>
          <w:szCs w:val="60"/>
          <w:color w:val="CCE3A3"/>
        </w:rPr>
        <w:t>2024</w:t>
      </w:r>
    </w:p>
    <w:p>
      <w:pPr>
        <w:spacing w:after="0"/>
        <w:rPr>
          <w:sz w:val="20"/>
          <w:szCs w:val="20"/>
          <w:color w:val="auto"/>
        </w:rPr>
      </w:pPr>
      <w:r>
        <w:rPr>
          <w:rFonts w:ascii="Arial" w:cs="Arial" w:eastAsia="Arial" w:hAnsi="Arial"/>
          <w:sz w:val="111"/>
          <w:szCs w:val="111"/>
          <w:color w:val="FFFFFF"/>
          <w:highlight w:val="black"/>
        </w:rPr>
        <w:t>Annual Report</w:t>
      </w:r>
    </w:p>
    <w:p>
      <w:pPr>
        <w:spacing w:after="0" w:line="199" w:lineRule="exact"/>
        <w:rPr>
          <w:sz w:val="24"/>
          <w:szCs w:val="24"/>
          <w:color w:val="auto"/>
        </w:rPr>
      </w:pPr>
    </w:p>
    <w:p>
      <w:pPr>
        <w:spacing w:after="0"/>
        <w:rPr>
          <w:sz w:val="20"/>
          <w:szCs w:val="20"/>
          <w:color w:val="auto"/>
        </w:rPr>
      </w:pPr>
      <w:r>
        <w:rPr>
          <w:rFonts w:ascii="Arial" w:cs="Arial" w:eastAsia="Arial" w:hAnsi="Arial"/>
          <w:sz w:val="48"/>
          <w:szCs w:val="48"/>
          <w:color w:val="FFFFFF"/>
        </w:rPr>
        <w:t>Turning innovation into impact</w:t>
      </w:r>
    </w:p>
    <w:p>
      <w:pPr>
        <w:spacing w:after="0" w:line="321" w:lineRule="exact"/>
        <w:rPr>
          <w:sz w:val="24"/>
          <w:szCs w:val="24"/>
          <w:color w:val="auto"/>
        </w:rPr>
      </w:pPr>
    </w:p>
    <w:p>
      <w:pPr>
        <w:spacing w:after="0"/>
        <w:rPr>
          <w:sz w:val="20"/>
          <w:szCs w:val="20"/>
          <w:color w:val="auto"/>
        </w:rPr>
      </w:pPr>
      <w:r>
        <w:rPr>
          <w:rFonts w:ascii="Arial" w:cs="Arial" w:eastAsia="Arial" w:hAnsi="Arial"/>
          <w:sz w:val="24"/>
          <w:szCs w:val="24"/>
          <w:b w:val="1"/>
          <w:bCs w:val="1"/>
          <w:color w:val="FFFFFF"/>
        </w:rPr>
        <w:t>Nasdaq: BPMC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00263D"/>
        </w:rPr>
        <w:t>Clouds Will Pass</w:t>
      </w:r>
    </w:p>
    <w:p>
      <w:pPr>
        <w:spacing w:after="0"/>
        <w:rPr>
          <w:sz w:val="20"/>
          <w:szCs w:val="20"/>
          <w:color w:val="auto"/>
        </w:rPr>
      </w:pPr>
      <w:r>
        <w:rPr>
          <w:rFonts w:ascii="Arial" w:cs="Arial" w:eastAsia="Arial" w:hAnsi="Arial"/>
          <w:sz w:val="14"/>
          <w:szCs w:val="14"/>
          <w:i w:val="1"/>
          <w:iCs w:val="1"/>
          <w:color w:val="00263D"/>
        </w:rPr>
        <w:t>by PC Elliott</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i w:val="1"/>
          <w:iCs w:val="1"/>
          <w:color w:val="00263D"/>
        </w:rPr>
        <w:t>Acrylic on Board, Inspired</w:t>
      </w:r>
    </w:p>
    <w:p>
      <w:pPr>
        <w:spacing w:after="0"/>
        <w:rPr>
          <w:sz w:val="20"/>
          <w:szCs w:val="20"/>
          <w:color w:val="auto"/>
        </w:rPr>
      </w:pPr>
      <w:r>
        <w:rPr>
          <w:rFonts w:ascii="Arial" w:cs="Arial" w:eastAsia="Arial" w:hAnsi="Arial"/>
          <w:sz w:val="14"/>
          <w:szCs w:val="14"/>
          <w:i w:val="1"/>
          <w:iCs w:val="1"/>
          <w:color w:val="00263D"/>
        </w:rPr>
        <w:t>by Sue, living with SM</w:t>
      </w:r>
    </w:p>
    <w:p>
      <w:pPr>
        <w:spacing w:after="0" w:line="379" w:lineRule="exact"/>
        <w:rPr>
          <w:sz w:val="24"/>
          <w:szCs w:val="24"/>
          <w:color w:val="auto"/>
        </w:rPr>
      </w:pPr>
    </w:p>
    <w:p>
      <w:pPr>
        <w:ind w:firstLine="7"/>
        <w:spacing w:after="0" w:line="242" w:lineRule="auto"/>
        <w:tabs>
          <w:tab w:leader="none" w:pos="127" w:val="left"/>
        </w:tabs>
        <w:numPr>
          <w:ilvl w:val="0"/>
          <w:numId w:val="1"/>
        </w:numPr>
        <w:rPr>
          <w:rFonts w:ascii="Arial" w:cs="Arial" w:eastAsia="Arial" w:hAnsi="Arial"/>
          <w:sz w:val="14"/>
          <w:szCs w:val="14"/>
          <w:color w:val="00263D"/>
        </w:rPr>
      </w:pPr>
      <w:r>
        <w:rPr>
          <w:rFonts w:ascii="Arial" w:cs="Arial" w:eastAsia="Arial" w:hAnsi="Arial"/>
          <w:sz w:val="14"/>
          <w:szCs w:val="14"/>
          <w:color w:val="00263D"/>
        </w:rPr>
        <w:t>first-of-its-kind art and storytelling program by Blueprint Medicines and Twist Out Cancer, illuminating the diverse experiences of people living with SM through bold expressions of identity, hope, and resilience.</w:t>
      </w:r>
    </w:p>
    <w:p>
      <w:pPr>
        <w:sectPr>
          <w:pgSz w:w="12240" w:h="15840" w:orient="portrait"/>
          <w:cols w:equalWidth="0" w:num="2">
            <w:col w:w="7940" w:space="720"/>
            <w:col w:w="1720"/>
          </w:cols>
          <w:pgMar w:left="1060" w:top="1440" w:right="800" w:bottom="93"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0"/>
        </w:trPr>
        <w:tc>
          <w:tcPr>
            <w:tcW w:w="161" w:type="dxa"/>
            <w:vAlign w:val="bottom"/>
            <w:textDirection w:val="btLr"/>
          </w:tcPr>
          <w:p>
            <w:pPr>
              <w:spacing w:after="0"/>
              <w:rPr>
                <w:sz w:val="20"/>
                <w:szCs w:val="20"/>
                <w:color w:val="auto"/>
              </w:rPr>
            </w:pPr>
            <w:r>
              <w:rPr>
                <w:rFonts w:ascii="Arial" w:cs="Arial" w:eastAsia="Arial" w:hAnsi="Arial"/>
                <w:sz w:val="14"/>
                <w:szCs w:val="14"/>
                <w:color w:val="FFFFFF"/>
              </w:rPr>
              <w:t>BLUEPRINT MEDICINES 2024 ANNUAL REPORT</w:t>
            </w:r>
          </w:p>
        </w:tc>
      </w:tr>
    </w:tbl>
    <w:p>
      <w:pPr>
        <w:spacing w:after="0" w:line="140" w:lineRule="exact"/>
        <w:rPr>
          <w:sz w:val="20"/>
          <w:szCs w:val="20"/>
          <w:color w:val="auto"/>
        </w:rPr>
      </w:pPr>
    </w:p>
    <w:p>
      <w:pPr>
        <w:ind w:left="567"/>
        <w:spacing w:after="0"/>
        <w:rPr>
          <w:sz w:val="20"/>
          <w:szCs w:val="20"/>
          <w:color w:val="auto"/>
        </w:rPr>
      </w:pPr>
      <w:r>
        <w:rPr>
          <w:rFonts w:ascii="Arial" w:cs="Arial" w:eastAsia="Arial" w:hAnsi="Arial"/>
          <w:sz w:val="24"/>
          <w:szCs w:val="24"/>
          <w:color w:val="84BCC2"/>
        </w:rPr>
        <w:t>Kate Haviland</w:t>
      </w:r>
    </w:p>
    <w:p>
      <w:pPr>
        <w:spacing w:after="0" w:line="26" w:lineRule="exact"/>
        <w:rPr>
          <w:sz w:val="20"/>
          <w:szCs w:val="20"/>
          <w:color w:val="auto"/>
        </w:rPr>
      </w:pPr>
    </w:p>
    <w:p>
      <w:pPr>
        <w:ind w:left="567"/>
        <w:spacing w:after="0"/>
        <w:rPr>
          <w:sz w:val="20"/>
          <w:szCs w:val="20"/>
          <w:color w:val="auto"/>
        </w:rPr>
      </w:pPr>
      <w:r>
        <w:rPr>
          <w:rFonts w:ascii="Arial" w:cs="Arial" w:eastAsia="Arial" w:hAnsi="Arial"/>
          <w:sz w:val="20"/>
          <w:szCs w:val="20"/>
          <w:color w:val="FFFFFF"/>
        </w:rPr>
        <w:t>President, Chief Executive</w:t>
      </w:r>
    </w:p>
    <w:p>
      <w:pPr>
        <w:spacing w:after="0" w:line="30" w:lineRule="exact"/>
        <w:rPr>
          <w:sz w:val="20"/>
          <w:szCs w:val="20"/>
          <w:color w:val="auto"/>
        </w:rPr>
      </w:pPr>
    </w:p>
    <w:p>
      <w:pPr>
        <w:ind w:left="567"/>
        <w:spacing w:after="0"/>
        <w:rPr>
          <w:sz w:val="20"/>
          <w:szCs w:val="20"/>
          <w:color w:val="auto"/>
        </w:rPr>
      </w:pPr>
      <w:r>
        <w:rPr>
          <w:rFonts w:ascii="Arial" w:cs="Arial" w:eastAsia="Arial" w:hAnsi="Arial"/>
          <w:sz w:val="20"/>
          <w:szCs w:val="20"/>
          <w:color w:val="FFFFFF"/>
        </w:rPr>
        <w:t>Officer and Board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507"/>
        <w:spacing w:after="0"/>
        <w:rPr>
          <w:sz w:val="20"/>
          <w:szCs w:val="20"/>
          <w:color w:val="auto"/>
        </w:rPr>
      </w:pPr>
      <w:r>
        <w:rPr>
          <w:rFonts w:ascii="Arial" w:cs="Arial" w:eastAsia="Arial" w:hAnsi="Arial"/>
          <w:sz w:val="23"/>
          <w:szCs w:val="23"/>
          <w:color w:val="FFFFFF"/>
        </w:rPr>
        <w:t xml:space="preserve">AYVAKIT is one of the </w:t>
      </w:r>
      <w:r>
        <w:rPr>
          <w:rFonts w:ascii="Arial" w:cs="Arial" w:eastAsia="Arial" w:hAnsi="Arial"/>
          <w:sz w:val="23"/>
          <w:szCs w:val="23"/>
          <w:b w:val="1"/>
          <w:bCs w:val="1"/>
          <w:color w:val="B8D87A"/>
        </w:rPr>
        <w:t>most</w:t>
      </w:r>
    </w:p>
    <w:p>
      <w:pPr>
        <w:spacing w:after="0" w:line="96" w:lineRule="exact"/>
        <w:rPr>
          <w:sz w:val="20"/>
          <w:szCs w:val="20"/>
          <w:color w:val="auto"/>
        </w:rPr>
      </w:pPr>
    </w:p>
    <w:p>
      <w:pPr>
        <w:jc w:val="center"/>
        <w:ind w:left="507"/>
        <w:spacing w:after="0"/>
        <w:rPr>
          <w:sz w:val="20"/>
          <w:szCs w:val="20"/>
          <w:color w:val="auto"/>
        </w:rPr>
      </w:pPr>
      <w:r>
        <w:rPr>
          <w:rFonts w:ascii="Arial" w:cs="Arial" w:eastAsia="Arial" w:hAnsi="Arial"/>
          <w:sz w:val="24"/>
          <w:szCs w:val="24"/>
          <w:b w:val="1"/>
          <w:bCs w:val="1"/>
          <w:color w:val="B8D87A"/>
        </w:rPr>
        <w:t>successful rare disease</w:t>
      </w:r>
    </w:p>
    <w:p>
      <w:pPr>
        <w:spacing w:after="0" w:line="84" w:lineRule="exact"/>
        <w:rPr>
          <w:sz w:val="20"/>
          <w:szCs w:val="20"/>
          <w:color w:val="auto"/>
        </w:rPr>
      </w:pPr>
    </w:p>
    <w:p>
      <w:pPr>
        <w:jc w:val="center"/>
        <w:ind w:left="507"/>
        <w:spacing w:after="0"/>
        <w:rPr>
          <w:sz w:val="20"/>
          <w:szCs w:val="20"/>
          <w:color w:val="auto"/>
        </w:rPr>
      </w:pPr>
      <w:r>
        <w:rPr>
          <w:rFonts w:ascii="Arial" w:cs="Arial" w:eastAsia="Arial" w:hAnsi="Arial"/>
          <w:sz w:val="23"/>
          <w:szCs w:val="23"/>
          <w:b w:val="1"/>
          <w:bCs w:val="1"/>
          <w:color w:val="B8D87A"/>
        </w:rPr>
        <w:t>launches to date</w:t>
      </w:r>
      <w:r>
        <w:rPr>
          <w:rFonts w:ascii="Arial" w:cs="Arial" w:eastAsia="Arial" w:hAnsi="Arial"/>
          <w:sz w:val="23"/>
          <w:szCs w:val="23"/>
          <w:color w:val="FFFFFF"/>
        </w:rPr>
        <w:t>, supported</w:t>
      </w:r>
    </w:p>
    <w:p>
      <w:pPr>
        <w:spacing w:after="0" w:line="96" w:lineRule="exact"/>
        <w:rPr>
          <w:sz w:val="20"/>
          <w:szCs w:val="20"/>
          <w:color w:val="auto"/>
        </w:rPr>
      </w:pPr>
    </w:p>
    <w:p>
      <w:pPr>
        <w:jc w:val="center"/>
        <w:ind w:left="507" w:right="220"/>
        <w:spacing w:after="0" w:line="331" w:lineRule="auto"/>
        <w:rPr>
          <w:sz w:val="20"/>
          <w:szCs w:val="20"/>
          <w:color w:val="auto"/>
        </w:rPr>
      </w:pPr>
      <w:r>
        <w:rPr>
          <w:rFonts w:ascii="Arial" w:cs="Arial" w:eastAsia="Arial" w:hAnsi="Arial"/>
          <w:sz w:val="24"/>
          <w:szCs w:val="24"/>
          <w:color w:val="FFFFFF"/>
        </w:rPr>
        <w:t>by a compelling benefit-risk profile and our proven commercial capability.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84BCC2"/>
        </w:rPr>
        <w:t>Dear Stockholders</w:t>
      </w:r>
      <w:r>
        <w:rPr>
          <w:rFonts w:ascii="Arial" w:cs="Arial" w:eastAsia="Arial" w:hAnsi="Arial"/>
          <w:sz w:val="36"/>
          <w:szCs w:val="36"/>
          <w:color w:val="6BA2B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-861695</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95"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FFFFFF"/>
        </w:rPr>
        <w:t>2024 was a remarkable year of achievement for Blueprint Medicines in our continued effort to drive growth and innovation with operational excellence.</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FFFFFF"/>
        </w:rPr>
        <w:t>Last year, we significantly advanced the launch of AYVAKIT</w:t>
      </w:r>
      <w:r>
        <w:rPr>
          <w:rFonts w:ascii="Arial" w:cs="Arial" w:eastAsia="Arial" w:hAnsi="Arial"/>
          <w:sz w:val="11"/>
          <w:szCs w:val="11"/>
          <w:color w:val="FFFFFF"/>
        </w:rPr>
        <w:t>®</w:t>
      </w:r>
      <w:r>
        <w:rPr>
          <w:rFonts w:ascii="Arial" w:cs="Arial" w:eastAsia="Arial" w:hAnsi="Arial"/>
          <w:sz w:val="20"/>
          <w:szCs w:val="20"/>
          <w:color w:val="FFFFFF"/>
        </w:rPr>
        <w:t>/ AYVAKYT</w:t>
      </w:r>
      <w:r>
        <w:rPr>
          <w:rFonts w:ascii="Arial" w:cs="Arial" w:eastAsia="Arial" w:hAnsi="Arial"/>
          <w:sz w:val="11"/>
          <w:szCs w:val="11"/>
          <w:color w:val="FFFFFF"/>
        </w:rPr>
        <w:t>®</w:t>
      </w:r>
      <w:r>
        <w:rPr>
          <w:rFonts w:ascii="Arial" w:cs="Arial" w:eastAsia="Arial" w:hAnsi="Arial"/>
          <w:sz w:val="20"/>
          <w:szCs w:val="20"/>
          <w:color w:val="FFFFFF"/>
        </w:rPr>
        <w:t xml:space="preserve"> (avapritinib), as we brought this important medicine to many more patients with systemic mastocytosis (SM) and achieved global net product revenues of $ 479 million, representing approximately 135 percent year-over-year growth. Today, AYVAKIT is one of the most successful rare disease launches to date, supported by a compelling benefit-risk profile and our proven commercial capability. AYVAKIT is now approved and reimbursed for at least one indication in 16 countries, with plans for additional country launches in indolent SM (ISM). In 2025, we expect to drive further AYVAKIT growth, with product revenue guidance of $680 - $710 million, on path to achieve our goal of $2 billion in revenue by 2030.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0" w:type="dxa"/>
        <w:tblCellMar>
          <w:top w:w="0" w:type="dxa"/>
          <w:left w:w="0" w:type="dxa"/>
          <w:bottom w:w="0" w:type="dxa"/>
          <w:right w:w="0" w:type="dxa"/>
        </w:tblCellMar>
      </w:tblPr>
      <w:tr>
        <w:trPr>
          <w:trHeight w:val="437"/>
        </w:trPr>
        <w:tc>
          <w:tcPr>
            <w:tcW w:w="2020" w:type="dxa"/>
            <w:vAlign w:val="bottom"/>
            <w:gridSpan w:val="4"/>
          </w:tcPr>
          <w:p>
            <w:pPr>
              <w:ind w:left="280"/>
              <w:spacing w:after="0"/>
              <w:rPr>
                <w:sz w:val="20"/>
                <w:szCs w:val="20"/>
                <w:color w:val="auto"/>
              </w:rPr>
            </w:pPr>
            <w:r>
              <w:rPr>
                <w:rFonts w:ascii="Arial" w:cs="Arial" w:eastAsia="Arial" w:hAnsi="Arial"/>
                <w:sz w:val="38"/>
                <w:szCs w:val="38"/>
                <w:b w:val="1"/>
                <w:bCs w:val="1"/>
                <w:color w:val="FFFFFF"/>
                <w:w w:val="93"/>
              </w:rPr>
              <w:t>REVENUE</w:t>
            </w:r>
          </w:p>
        </w:tc>
        <w:tc>
          <w:tcPr>
            <w:tcW w:w="840" w:type="dxa"/>
            <w:vAlign w:val="bottom"/>
          </w:tcPr>
          <w:p>
            <w:pPr>
              <w:spacing w:after="0"/>
              <w:rPr>
                <w:sz w:val="24"/>
                <w:szCs w:val="24"/>
                <w:color w:val="auto"/>
              </w:rPr>
            </w:pPr>
          </w:p>
        </w:tc>
        <w:tc>
          <w:tcPr>
            <w:tcW w:w="1860" w:type="dxa"/>
            <w:vAlign w:val="bottom"/>
            <w:gridSpan w:val="4"/>
            <w:vMerge w:val="restart"/>
          </w:tcPr>
          <w:p>
            <w:pPr>
              <w:jc w:val="right"/>
              <w:ind w:right="160"/>
              <w:spacing w:after="0"/>
              <w:rPr>
                <w:sz w:val="20"/>
                <w:szCs w:val="20"/>
                <w:color w:val="auto"/>
              </w:rPr>
            </w:pPr>
            <w:r>
              <w:rPr>
                <w:rFonts w:ascii="Arial" w:cs="Arial" w:eastAsia="Arial" w:hAnsi="Arial"/>
                <w:sz w:val="17"/>
                <w:szCs w:val="17"/>
                <w:b w:val="1"/>
                <w:bCs w:val="1"/>
                <w:color w:val="B8D87A"/>
              </w:rPr>
              <w:t>135%</w:t>
            </w:r>
          </w:p>
        </w:tc>
        <w:tc>
          <w:tcPr>
            <w:tcW w:w="94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FFFFFF"/>
              </w:rPr>
              <w:t>$479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20" w:type="dxa"/>
            <w:vAlign w:val="bottom"/>
            <w:gridSpan w:val="4"/>
            <w:vMerge w:val="restart"/>
          </w:tcPr>
          <w:p>
            <w:pPr>
              <w:ind w:left="280"/>
              <w:spacing w:after="0"/>
              <w:rPr>
                <w:sz w:val="20"/>
                <w:szCs w:val="20"/>
                <w:color w:val="auto"/>
              </w:rPr>
            </w:pPr>
            <w:r>
              <w:rPr>
                <w:rFonts w:ascii="Arial" w:cs="Arial" w:eastAsia="Arial" w:hAnsi="Arial"/>
                <w:sz w:val="38"/>
                <w:szCs w:val="38"/>
                <w:b w:val="1"/>
                <w:bCs w:val="1"/>
                <w:color w:val="FFFFFF"/>
                <w:w w:val="99"/>
              </w:rPr>
              <w:t>GROWTH</w:t>
            </w:r>
          </w:p>
        </w:tc>
        <w:tc>
          <w:tcPr>
            <w:tcW w:w="84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20" w:type="dxa"/>
            <w:vAlign w:val="bottom"/>
            <w:gridSpan w:val="4"/>
            <w:vMerge w:val="continue"/>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shd w:val="clear" w:color="auto" w:fill="84BCC2"/>
          </w:tcPr>
          <w:p>
            <w:pPr>
              <w:spacing w:after="0"/>
              <w:rPr>
                <w:sz w:val="22"/>
                <w:szCs w:val="22"/>
                <w:color w:val="auto"/>
              </w:rPr>
            </w:pPr>
          </w:p>
        </w:tc>
        <w:tc>
          <w:tcPr>
            <w:tcW w:w="940" w:type="dxa"/>
            <w:vAlign w:val="bottom"/>
            <w:shd w:val="clear" w:color="auto" w:fill="84BCC2"/>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20" w:type="dxa"/>
            <w:vAlign w:val="bottom"/>
            <w:gridSpan w:val="4"/>
          </w:tcPr>
          <w:p>
            <w:pPr>
              <w:ind w:left="280"/>
              <w:spacing w:after="0"/>
              <w:rPr>
                <w:sz w:val="20"/>
                <w:szCs w:val="20"/>
                <w:color w:val="auto"/>
              </w:rPr>
            </w:pPr>
            <w:r>
              <w:rPr>
                <w:rFonts w:ascii="Arial" w:cs="Arial" w:eastAsia="Arial" w:hAnsi="Arial"/>
                <w:sz w:val="20"/>
                <w:szCs w:val="20"/>
                <w:color w:val="B8D87A"/>
              </w:rPr>
              <w:t>$, MILLIONS</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shd w:val="clear" w:color="auto" w:fill="84BCC2"/>
          </w:tcPr>
          <w:p>
            <w:pPr>
              <w:spacing w:after="0"/>
              <w:rPr>
                <w:sz w:val="22"/>
                <w:szCs w:val="22"/>
                <w:color w:val="auto"/>
              </w:rPr>
            </w:pPr>
          </w:p>
        </w:tc>
        <w:tc>
          <w:tcPr>
            <w:tcW w:w="940" w:type="dxa"/>
            <w:vAlign w:val="bottom"/>
            <w:shd w:val="clear" w:color="auto" w:fill="84BCC2"/>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FFFFFF"/>
              </w:rPr>
              <w:t>$204</w:t>
            </w:r>
          </w:p>
        </w:tc>
        <w:tc>
          <w:tcPr>
            <w:tcW w:w="260" w:type="dxa"/>
            <w:vAlign w:val="bottom"/>
          </w:tcPr>
          <w:p>
            <w:pPr>
              <w:spacing w:after="0"/>
              <w:rPr>
                <w:sz w:val="24"/>
                <w:szCs w:val="24"/>
                <w:color w:val="auto"/>
              </w:rPr>
            </w:pPr>
          </w:p>
        </w:tc>
        <w:tc>
          <w:tcPr>
            <w:tcW w:w="180" w:type="dxa"/>
            <w:vAlign w:val="bottom"/>
            <w:shd w:val="clear" w:color="auto" w:fill="84BCC2"/>
          </w:tcPr>
          <w:p>
            <w:pPr>
              <w:spacing w:after="0"/>
              <w:rPr>
                <w:sz w:val="24"/>
                <w:szCs w:val="24"/>
                <w:color w:val="auto"/>
              </w:rPr>
            </w:pPr>
          </w:p>
        </w:tc>
        <w:tc>
          <w:tcPr>
            <w:tcW w:w="940" w:type="dxa"/>
            <w:vAlign w:val="bottom"/>
            <w:shd w:val="clear" w:color="auto" w:fill="84BCC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94"/>
              <w:spacing w:after="0"/>
              <w:rPr>
                <w:sz w:val="20"/>
                <w:szCs w:val="20"/>
                <w:color w:val="auto"/>
              </w:rPr>
            </w:pPr>
            <w:r>
              <w:rPr>
                <w:rFonts w:ascii="Arial" w:cs="Arial" w:eastAsia="Arial" w:hAnsi="Arial"/>
                <w:sz w:val="17"/>
                <w:szCs w:val="17"/>
                <w:b w:val="1"/>
                <w:bCs w:val="1"/>
                <w:color w:val="FFFFFF"/>
              </w:rPr>
              <w:t>$111</w:t>
            </w:r>
          </w:p>
        </w:tc>
        <w:tc>
          <w:tcPr>
            <w:tcW w:w="300" w:type="dxa"/>
            <w:vAlign w:val="bottom"/>
          </w:tcPr>
          <w:p>
            <w:pPr>
              <w:spacing w:after="0"/>
              <w:rPr>
                <w:sz w:val="24"/>
                <w:szCs w:val="24"/>
                <w:color w:val="auto"/>
              </w:rPr>
            </w:pPr>
          </w:p>
        </w:tc>
        <w:tc>
          <w:tcPr>
            <w:tcW w:w="1120" w:type="dxa"/>
            <w:vAlign w:val="bottom"/>
            <w:shd w:val="clear" w:color="auto" w:fill="84BCC2"/>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shd w:val="clear" w:color="auto" w:fill="84BCC2"/>
          </w:tcPr>
          <w:p>
            <w:pPr>
              <w:spacing w:after="0"/>
              <w:rPr>
                <w:sz w:val="24"/>
                <w:szCs w:val="24"/>
                <w:color w:val="auto"/>
              </w:rPr>
            </w:pPr>
          </w:p>
        </w:tc>
        <w:tc>
          <w:tcPr>
            <w:tcW w:w="940" w:type="dxa"/>
            <w:vAlign w:val="bottom"/>
            <w:shd w:val="clear" w:color="auto" w:fill="84BCC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FFFFFF"/>
              </w:rPr>
              <w:t>$53</w:t>
            </w:r>
          </w:p>
        </w:tc>
        <w:tc>
          <w:tcPr>
            <w:tcW w:w="280" w:type="dxa"/>
            <w:vAlign w:val="bottom"/>
          </w:tcPr>
          <w:p>
            <w:pPr>
              <w:spacing w:after="0"/>
              <w:rPr>
                <w:sz w:val="22"/>
                <w:szCs w:val="22"/>
                <w:color w:val="auto"/>
              </w:rPr>
            </w:pPr>
          </w:p>
        </w:tc>
        <w:tc>
          <w:tcPr>
            <w:tcW w:w="280" w:type="dxa"/>
            <w:vAlign w:val="bottom"/>
            <w:shd w:val="clear" w:color="auto" w:fill="84BCC2"/>
          </w:tcPr>
          <w:p>
            <w:pPr>
              <w:spacing w:after="0"/>
              <w:rPr>
                <w:sz w:val="22"/>
                <w:szCs w:val="22"/>
                <w:color w:val="auto"/>
              </w:rPr>
            </w:pPr>
          </w:p>
        </w:tc>
        <w:tc>
          <w:tcPr>
            <w:tcW w:w="840" w:type="dxa"/>
            <w:vAlign w:val="bottom"/>
            <w:shd w:val="clear" w:color="auto" w:fill="84BCC2"/>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shd w:val="clear" w:color="auto" w:fill="84BCC2"/>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shd w:val="clear" w:color="auto" w:fill="84BCC2"/>
          </w:tcPr>
          <w:p>
            <w:pPr>
              <w:spacing w:after="0"/>
              <w:rPr>
                <w:sz w:val="22"/>
                <w:szCs w:val="22"/>
                <w:color w:val="auto"/>
              </w:rPr>
            </w:pPr>
          </w:p>
        </w:tc>
        <w:tc>
          <w:tcPr>
            <w:tcW w:w="940" w:type="dxa"/>
            <w:vAlign w:val="bottom"/>
            <w:shd w:val="clear" w:color="auto" w:fill="84BCC2"/>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40" w:type="dxa"/>
            <w:vAlign w:val="bottom"/>
            <w:tcBorders>
              <w:bottom w:val="single" w:sz="8" w:color="D1D0C3"/>
            </w:tcBorders>
          </w:tcPr>
          <w:p>
            <w:pPr>
              <w:spacing w:after="0"/>
              <w:rPr>
                <w:sz w:val="19"/>
                <w:szCs w:val="19"/>
                <w:color w:val="auto"/>
              </w:rPr>
            </w:pPr>
          </w:p>
        </w:tc>
        <w:tc>
          <w:tcPr>
            <w:tcW w:w="1120" w:type="dxa"/>
            <w:vAlign w:val="bottom"/>
            <w:tcBorders>
              <w:bottom w:val="single" w:sz="8" w:color="D1D0C3"/>
            </w:tcBorders>
            <w:shd w:val="clear" w:color="auto" w:fill="84BCC2"/>
          </w:tcPr>
          <w:p>
            <w:pPr>
              <w:spacing w:after="0"/>
              <w:rPr>
                <w:sz w:val="19"/>
                <w:szCs w:val="19"/>
                <w:color w:val="auto"/>
              </w:rPr>
            </w:pPr>
          </w:p>
        </w:tc>
        <w:tc>
          <w:tcPr>
            <w:tcW w:w="280" w:type="dxa"/>
            <w:vAlign w:val="bottom"/>
            <w:tcBorders>
              <w:bottom w:val="single" w:sz="8" w:color="D1D0C3"/>
            </w:tcBorders>
          </w:tcPr>
          <w:p>
            <w:pPr>
              <w:spacing w:after="0"/>
              <w:rPr>
                <w:sz w:val="19"/>
                <w:szCs w:val="19"/>
                <w:color w:val="auto"/>
              </w:rPr>
            </w:pPr>
          </w:p>
        </w:tc>
        <w:tc>
          <w:tcPr>
            <w:tcW w:w="280" w:type="dxa"/>
            <w:vAlign w:val="bottom"/>
            <w:tcBorders>
              <w:bottom w:val="single" w:sz="8" w:color="D1D0C3"/>
            </w:tcBorders>
            <w:shd w:val="clear" w:color="auto" w:fill="84BCC2"/>
          </w:tcPr>
          <w:p>
            <w:pPr>
              <w:spacing w:after="0"/>
              <w:rPr>
                <w:sz w:val="19"/>
                <w:szCs w:val="19"/>
                <w:color w:val="auto"/>
              </w:rPr>
            </w:pPr>
          </w:p>
        </w:tc>
        <w:tc>
          <w:tcPr>
            <w:tcW w:w="840" w:type="dxa"/>
            <w:vAlign w:val="bottom"/>
            <w:tcBorders>
              <w:bottom w:val="single" w:sz="8" w:color="D1D0C3"/>
            </w:tcBorders>
            <w:shd w:val="clear" w:color="auto" w:fill="84BCC2"/>
          </w:tcPr>
          <w:p>
            <w:pPr>
              <w:spacing w:after="0"/>
              <w:rPr>
                <w:sz w:val="19"/>
                <w:szCs w:val="19"/>
                <w:color w:val="auto"/>
              </w:rPr>
            </w:pPr>
          </w:p>
        </w:tc>
        <w:tc>
          <w:tcPr>
            <w:tcW w:w="300" w:type="dxa"/>
            <w:vAlign w:val="bottom"/>
            <w:tcBorders>
              <w:bottom w:val="single" w:sz="8" w:color="D1D0C3"/>
            </w:tcBorders>
          </w:tcPr>
          <w:p>
            <w:pPr>
              <w:spacing w:after="0"/>
              <w:rPr>
                <w:sz w:val="19"/>
                <w:szCs w:val="19"/>
                <w:color w:val="auto"/>
              </w:rPr>
            </w:pPr>
          </w:p>
        </w:tc>
        <w:tc>
          <w:tcPr>
            <w:tcW w:w="1120" w:type="dxa"/>
            <w:vAlign w:val="bottom"/>
            <w:tcBorders>
              <w:bottom w:val="single" w:sz="8" w:color="D1D0C3"/>
            </w:tcBorders>
            <w:shd w:val="clear" w:color="auto" w:fill="84BCC2"/>
          </w:tcPr>
          <w:p>
            <w:pPr>
              <w:spacing w:after="0"/>
              <w:rPr>
                <w:sz w:val="19"/>
                <w:szCs w:val="19"/>
                <w:color w:val="auto"/>
              </w:rPr>
            </w:pPr>
          </w:p>
        </w:tc>
        <w:tc>
          <w:tcPr>
            <w:tcW w:w="260" w:type="dxa"/>
            <w:vAlign w:val="bottom"/>
            <w:tcBorders>
              <w:bottom w:val="single" w:sz="8" w:color="D1D0C3"/>
            </w:tcBorders>
          </w:tcPr>
          <w:p>
            <w:pPr>
              <w:spacing w:after="0"/>
              <w:rPr>
                <w:sz w:val="19"/>
                <w:szCs w:val="19"/>
                <w:color w:val="auto"/>
              </w:rPr>
            </w:pPr>
          </w:p>
        </w:tc>
        <w:tc>
          <w:tcPr>
            <w:tcW w:w="180" w:type="dxa"/>
            <w:vAlign w:val="bottom"/>
            <w:tcBorders>
              <w:bottom w:val="single" w:sz="8" w:color="D1D0C3"/>
            </w:tcBorders>
            <w:shd w:val="clear" w:color="auto" w:fill="84BCC2"/>
          </w:tcPr>
          <w:p>
            <w:pPr>
              <w:spacing w:after="0"/>
              <w:rPr>
                <w:sz w:val="19"/>
                <w:szCs w:val="19"/>
                <w:color w:val="auto"/>
              </w:rPr>
            </w:pPr>
          </w:p>
        </w:tc>
        <w:tc>
          <w:tcPr>
            <w:tcW w:w="940" w:type="dxa"/>
            <w:vAlign w:val="bottom"/>
            <w:tcBorders>
              <w:bottom w:val="single" w:sz="8" w:color="D1D0C3"/>
            </w:tcBorders>
            <w:shd w:val="clear" w:color="auto" w:fill="84BCC2"/>
          </w:tcPr>
          <w:p>
            <w:pPr>
              <w:spacing w:after="0"/>
              <w:rPr>
                <w:sz w:val="19"/>
                <w:szCs w:val="19"/>
                <w:color w:val="auto"/>
              </w:rPr>
            </w:pPr>
          </w:p>
        </w:tc>
        <w:tc>
          <w:tcPr>
            <w:tcW w:w="400" w:type="dxa"/>
            <w:vAlign w:val="bottom"/>
            <w:tcBorders>
              <w:bottom w:val="single" w:sz="8" w:color="D1D0C3"/>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460" w:type="dxa"/>
            <w:vAlign w:val="bottom"/>
            <w:gridSpan w:val="2"/>
          </w:tcPr>
          <w:p>
            <w:pPr>
              <w:jc w:val="right"/>
              <w:ind w:right="380"/>
              <w:spacing w:after="0"/>
              <w:rPr>
                <w:sz w:val="20"/>
                <w:szCs w:val="20"/>
                <w:color w:val="auto"/>
              </w:rPr>
            </w:pPr>
            <w:r>
              <w:rPr>
                <w:rFonts w:ascii="Arial" w:cs="Arial" w:eastAsia="Arial" w:hAnsi="Arial"/>
                <w:sz w:val="17"/>
                <w:szCs w:val="17"/>
                <w:color w:val="FFFFFF"/>
              </w:rPr>
              <w:t>2021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94"/>
              <w:spacing w:after="0"/>
              <w:rPr>
                <w:sz w:val="20"/>
                <w:szCs w:val="20"/>
                <w:color w:val="auto"/>
              </w:rPr>
            </w:pPr>
            <w:r>
              <w:rPr>
                <w:rFonts w:ascii="Arial" w:cs="Arial" w:eastAsia="Arial" w:hAnsi="Arial"/>
                <w:sz w:val="17"/>
                <w:szCs w:val="17"/>
                <w:color w:val="FFFFFF"/>
              </w:rPr>
              <w:t>2022</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color w:val="FFFFFF"/>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4"/>
              <w:spacing w:after="0"/>
              <w:rPr>
                <w:sz w:val="20"/>
                <w:szCs w:val="20"/>
                <w:color w:val="auto"/>
              </w:rPr>
            </w:pPr>
            <w:r>
              <w:rPr>
                <w:rFonts w:ascii="Arial" w:cs="Arial" w:eastAsia="Arial" w:hAnsi="Arial"/>
                <w:sz w:val="17"/>
                <w:szCs w:val="17"/>
                <w:color w:val="FFFFFF"/>
              </w:rPr>
              <w:t>2024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260"/>
        <w:spacing w:after="0" w:line="262" w:lineRule="auto"/>
        <w:rPr>
          <w:sz w:val="20"/>
          <w:szCs w:val="20"/>
          <w:color w:val="auto"/>
        </w:rPr>
      </w:pPr>
      <w:r>
        <w:rPr>
          <w:rFonts w:ascii="Arial" w:cs="Arial" w:eastAsia="Arial" w:hAnsi="Arial"/>
          <w:sz w:val="24"/>
          <w:szCs w:val="24"/>
          <w:color w:val="84BCC2"/>
        </w:rPr>
        <w:t>The SM opportunity is larger than we first thought and growing faster than we expected</w:t>
      </w:r>
    </w:p>
    <w:p>
      <w:pPr>
        <w:spacing w:after="0" w:line="6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FFFFFF"/>
        </w:rPr>
        <w:t>As the first therapy approved to treat ISM, AYVAKIT is proving to be a catalyst for diagnosis, treatment and coordination of patient care in this new rare disease market. In fact, over the last five years, we have seen a compound annual growth rate of 25 percent in the number of diagnosed SM patients observable in U.S. claims data, with more than 25,000 diagnosed patients in the U.S. today. Combined with recently published independent epidemiology data showing SM prevalence may be double than prior estimates, we believe there is a $4 billion peak opportunity for our SM franchise.</w:t>
      </w:r>
    </w:p>
    <w:p>
      <w:pPr>
        <w:spacing w:after="0" w:line="81"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FFFFFF"/>
        </w:rPr>
        <w:t>And we have made important progress in advancing our franchise lifecycle strategy. In 2024, we initiated the registration-directed Phase 3 HARBOR trial of elenestinib, our next-generation KIT D816V inhibitor. Through strategic design of the HARBOR trial, we expect to drive further innovation in the treatment of ISM, with novel endpoints assessing bone health, anaphylaxis and markers of inflammation designed with input from the U.S. Food and Drug Administration (FDA). With our approach, we expect to clinically differentiate elenestinib, raising the bar from symptom control to disease modification, and deliver significant value to the growing SM market for many years into the future.</w:t>
      </w:r>
    </w:p>
    <w:p>
      <w:pPr>
        <w:spacing w:after="0" w:line="200" w:lineRule="exact"/>
        <w:rPr>
          <w:sz w:val="20"/>
          <w:szCs w:val="20"/>
          <w:color w:val="auto"/>
        </w:rPr>
      </w:pPr>
    </w:p>
    <w:p>
      <w:pPr>
        <w:sectPr>
          <w:pgSz w:w="12240" w:h="15840" w:orient="portrait"/>
          <w:cols w:equalWidth="0" w:num="2">
            <w:col w:w="3727" w:space="720"/>
            <w:col w:w="6160"/>
          </w:cols>
          <w:pgMar w:left="613" w:top="943" w:right="1020" w:bottom="0" w:gutter="0" w:footer="0" w:header="0"/>
        </w:sectPr>
      </w:pPr>
    </w:p>
    <w:p>
      <w:pPr>
        <w:spacing w:after="0" w:line="269"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FFFFFF"/>
        </w:rPr>
        <w:t>2</w:t>
      </w:r>
    </w:p>
    <w:p>
      <w:pPr>
        <w:sectPr>
          <w:pgSz w:w="12240" w:h="15840" w:orient="portrait"/>
          <w:cols w:equalWidth="0" w:num="1">
            <w:col w:w="10607"/>
          </w:cols>
          <w:pgMar w:left="613" w:top="943" w:right="102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360"/>
        </w:trPr>
        <w:tc>
          <w:tcPr>
            <w:tcW w:w="161" w:type="dxa"/>
            <w:vAlign w:val="bottom"/>
            <w:textDirection w:val="btLr"/>
          </w:tcPr>
          <w:p>
            <w:pPr>
              <w:spacing w:after="0"/>
              <w:rPr>
                <w:sz w:val="20"/>
                <w:szCs w:val="20"/>
                <w:color w:val="auto"/>
              </w:rPr>
            </w:pPr>
            <w:r>
              <w:rPr>
                <w:rFonts w:ascii="Arial" w:cs="Arial" w:eastAsia="Arial" w:hAnsi="Arial"/>
                <w:sz w:val="14"/>
                <w:szCs w:val="14"/>
                <w:color w:val="auto"/>
              </w:rPr>
              <w:t>BLUEPRINT MEDICINES 2024 ANNUAL REPORT</w:t>
            </w: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FFFFFF"/>
        </w:rPr>
        <w:t>LARGE, GROWING MARKET OPPORTUNITY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-297180</wp:posOffset>
                </wp:positionV>
                <wp:extent cx="6400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255">
                          <a:solidFill>
                            <a:srgbClr val="B8D87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3.3999pt" to="503pt,-23.3999pt" o:allowincell="f" strokecolor="#B8D87A" strokeweight="0.965pt"/>
            </w:pict>
          </mc:Fallback>
        </mc:AlternateContent>
        <mc:AlternateContent>
          <mc:Choice Requires="wps">
            <w:drawing>
              <wp:anchor simplePos="0" relativeHeight="251657728" behindDoc="1" locked="0" layoutInCell="0" allowOverlap="1">
                <wp:simplePos x="0" y="0"/>
                <wp:positionH relativeFrom="column">
                  <wp:posOffset>-12065</wp:posOffset>
                </wp:positionH>
                <wp:positionV relativeFrom="paragraph">
                  <wp:posOffset>-182880</wp:posOffset>
                </wp:positionV>
                <wp:extent cx="3079115" cy="24701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9115" cy="247015"/>
                        </a:xfrm>
                        <a:prstGeom prst="rect">
                          <a:avLst/>
                        </a:prstGeom>
                        <a:solidFill>
                          <a:srgbClr val="006E96"/>
                        </a:solidFill>
                      </wps:spPr>
                      <wps:bodyPr/>
                    </wps:wsp>
                  </a:graphicData>
                </a:graphic>
              </wp:anchor>
            </w:drawing>
          </mc:Choice>
          <mc:Fallback>
            <w:pict>
              <v:rect id="Shape 4" o:spid="_x0000_s1029" style="position:absolute;margin-left:-0.9499pt;margin-top:-14.3999pt;width:242.45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E96" stroked="f"/>
            </w:pict>
          </mc:Fallback>
        </mc:AlternateConten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000E4D"/>
        </w:rPr>
        <w:t>Increase in diagnosed SM patients</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00263D"/>
        </w:rPr>
        <w:t>~25K patients observable in U.S. claims data</w:t>
      </w:r>
      <w:r>
        <w:rPr>
          <w:rFonts w:ascii="Arial" w:cs="Arial" w:eastAsia="Arial" w:hAnsi="Arial"/>
          <w:sz w:val="9"/>
          <w:szCs w:val="9"/>
          <w:color w:val="00263D"/>
        </w:rPr>
        <w:t>1</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20"/>
          <w:szCs w:val="20"/>
          <w:color w:val="000E4D"/>
        </w:rPr>
        <w:t>Widening lens on who is an AYVAKIT patient</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00263D"/>
        </w:rPr>
        <w:t>Supported by growing body of long-term safety &amp; efficacy data</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20"/>
          <w:szCs w:val="20"/>
          <w:color w:val="000E4D"/>
        </w:rPr>
        <w:t>Higher estimated SM prevalence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00263D"/>
        </w:rPr>
        <w:t>2x prior estimate, based on recent large independent study</w:t>
      </w:r>
      <w:r>
        <w:rPr>
          <w:rFonts w:ascii="Arial" w:cs="Arial" w:eastAsia="Arial" w:hAnsi="Arial"/>
          <w:sz w:val="9"/>
          <w:szCs w:val="9"/>
          <w:color w:val="00263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38735</wp:posOffset>
            </wp:positionV>
            <wp:extent cx="1728470" cy="128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728470" cy="1283335"/>
                    </a:xfrm>
                    <a:prstGeom prst="rect">
                      <a:avLst/>
                    </a:prstGeom>
                    <a:noFill/>
                  </pic:spPr>
                </pic:pic>
              </a:graphicData>
            </a:graphic>
          </wp:anchor>
        </w:drawing>
      </w: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460" w:type="dxa"/>
            <w:vAlign w:val="bottom"/>
          </w:tcPr>
          <w:p>
            <w:pPr>
              <w:spacing w:after="0"/>
              <w:rPr>
                <w:sz w:val="20"/>
                <w:szCs w:val="20"/>
                <w:color w:val="auto"/>
              </w:rPr>
            </w:pPr>
            <w:r>
              <w:rPr>
                <w:rFonts w:ascii="Arial" w:cs="Arial" w:eastAsia="Arial" w:hAnsi="Arial"/>
                <w:sz w:val="16"/>
                <w:szCs w:val="16"/>
                <w:color w:val="00263D"/>
              </w:rPr>
              <w:t>OBSERVABLE</w:t>
            </w:r>
          </w:p>
        </w:tc>
        <w:tc>
          <w:tcPr>
            <w:tcW w:w="1700" w:type="dxa"/>
            <w:vAlign w:val="bottom"/>
          </w:tcPr>
          <w:p>
            <w:pPr>
              <w:ind w:left="1380"/>
              <w:spacing w:after="0"/>
              <w:rPr>
                <w:sz w:val="20"/>
                <w:szCs w:val="20"/>
                <w:color w:val="auto"/>
              </w:rPr>
            </w:pPr>
            <w:r>
              <w:rPr>
                <w:rFonts w:ascii="Arial" w:cs="Arial" w:eastAsia="Arial" w:hAnsi="Arial"/>
                <w:sz w:val="14"/>
                <w:szCs w:val="14"/>
                <w:color w:val="8E847A"/>
                <w:w w:val="97"/>
              </w:rPr>
              <w:t>~25k</w:t>
            </w:r>
          </w:p>
        </w:tc>
      </w:tr>
    </w:tbl>
    <w:p>
      <w:pPr>
        <w:ind w:left="100"/>
        <w:spacing w:after="0"/>
        <w:rPr>
          <w:sz w:val="20"/>
          <w:szCs w:val="20"/>
          <w:color w:val="auto"/>
        </w:rPr>
      </w:pPr>
      <w:r>
        <w:rPr>
          <w:rFonts w:ascii="Arial" w:cs="Arial" w:eastAsia="Arial" w:hAnsi="Arial"/>
          <w:sz w:val="16"/>
          <w:szCs w:val="16"/>
          <w:color w:val="00263D"/>
        </w:rPr>
        <w:t>SM PATIENTS</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6"/>
          <w:szCs w:val="16"/>
          <w:color w:val="00263D"/>
        </w:rPr>
        <w:t>IN U.S. CLAIMS</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6"/>
          <w:szCs w:val="16"/>
          <w:color w:val="00263D"/>
        </w:rPr>
        <w:t>DATA</w:t>
      </w:r>
      <w:r>
        <w:rPr>
          <w:rFonts w:ascii="Arial" w:cs="Arial" w:eastAsia="Arial" w:hAnsi="Arial"/>
          <w:sz w:val="9"/>
          <w:szCs w:val="9"/>
          <w:color w:val="00263D"/>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599"/>
        <w:spacing w:after="0"/>
        <w:tabs>
          <w:tab w:leader="none" w:pos="120" w:val="left"/>
          <w:tab w:leader="none" w:pos="120" w:val="left"/>
          <w:tab w:leader="none" w:pos="120" w:val="left"/>
          <w:tab w:leader="none" w:pos="120" w:val="left"/>
          <w:tab w:leader="none" w:pos="140" w:val="left"/>
        </w:tabs>
        <w:rPr>
          <w:sz w:val="20"/>
          <w:szCs w:val="20"/>
          <w:color w:val="auto"/>
        </w:rPr>
      </w:pPr>
      <w:r>
        <w:rPr>
          <w:rFonts w:ascii="Arial" w:cs="Arial" w:eastAsia="Arial" w:hAnsi="Arial"/>
          <w:sz w:val="14"/>
          <w:szCs w:val="14"/>
          <w:color w:val="8E847A"/>
        </w:rPr>
        <w:t>2019</w:t>
        <w:tab/>
        <w:t>2020</w:t>
        <w:tab/>
        <w:t>2021</w:t>
        <w:tab/>
        <w:t>2022</w:t>
        <w:tab/>
        <w:t>2023</w:t>
        <w:tab/>
        <w:t>2024</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Internal Blueprint Medicines analyses of U.S. claims data (as of 2024).</w:t>
      </w:r>
    </w:p>
    <w:p>
      <w:pPr>
        <w:spacing w:after="0"/>
        <w:rPr>
          <w:sz w:val="20"/>
          <w:szCs w:val="20"/>
          <w:color w:val="auto"/>
        </w:rPr>
      </w:pPr>
      <w:r>
        <w:rPr>
          <w:rFonts w:ascii="Arial" w:cs="Arial" w:eastAsia="Arial" w:hAnsi="Arial"/>
          <w:sz w:val="14"/>
          <w:szCs w:val="14"/>
          <w:i w:val="1"/>
          <w:iCs w:val="1"/>
          <w:color w:val="auto"/>
        </w:rPr>
        <w:t>2 Bergstrom et al; Acta Oncologica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191770</wp:posOffset>
                </wp:positionV>
                <wp:extent cx="6400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B8D87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1pt" to="503pt,15.1pt" o:allowincell="f" strokecolor="#B8D87A" strokeweight="1pt"/>
            </w:pict>
          </mc:Fallback>
        </mc:AlternateConten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1000"/>
        <w:spacing w:after="0"/>
        <w:rPr>
          <w:sz w:val="20"/>
          <w:szCs w:val="20"/>
          <w:color w:val="auto"/>
        </w:rPr>
      </w:pPr>
      <w:r>
        <w:rPr>
          <w:rFonts w:ascii="Arial" w:cs="Arial" w:eastAsia="Arial" w:hAnsi="Arial"/>
          <w:sz w:val="19"/>
          <w:szCs w:val="19"/>
          <w:b w:val="1"/>
          <w:bCs w:val="1"/>
          <w:color w:val="FFFFFF"/>
        </w:rPr>
        <w:t>GLOBAL SM REVENUE POTENTIAL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-502920</wp:posOffset>
                </wp:positionH>
                <wp:positionV relativeFrom="paragraph">
                  <wp:posOffset>-169545</wp:posOffset>
                </wp:positionV>
                <wp:extent cx="3079115" cy="2540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9115" cy="254000"/>
                        </a:xfrm>
                        <a:prstGeom prst="rect">
                          <a:avLst/>
                        </a:prstGeom>
                        <a:solidFill>
                          <a:srgbClr val="006E96"/>
                        </a:solidFill>
                      </wps:spPr>
                      <wps:bodyPr/>
                    </wps:wsp>
                  </a:graphicData>
                </a:graphic>
              </wp:anchor>
            </w:drawing>
          </mc:Choice>
          <mc:Fallback>
            <w:pict>
              <v:rect id="Shape 7" o:spid="_x0000_s1032" style="position:absolute;margin-left:-39.5999pt;margin-top:-13.3499pt;width:242.45pt;height:2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E96" stroked="f"/>
            </w:pict>
          </mc:Fallback>
        </mc:AlternateContent>
      </w:r>
    </w:p>
    <w:p>
      <w:pPr>
        <w:spacing w:after="0" w:line="286" w:lineRule="exact"/>
        <w:rPr>
          <w:sz w:val="20"/>
          <w:szCs w:val="20"/>
          <w:color w:val="auto"/>
        </w:rPr>
      </w:pPr>
    </w:p>
    <w:p>
      <w:pPr>
        <w:jc w:val="center"/>
        <w:ind w:right="980"/>
        <w:spacing w:after="0"/>
        <w:rPr>
          <w:sz w:val="20"/>
          <w:szCs w:val="20"/>
          <w:color w:val="auto"/>
        </w:rPr>
      </w:pPr>
      <w:r>
        <w:rPr>
          <w:rFonts w:ascii="Arial" w:cs="Arial" w:eastAsia="Arial" w:hAnsi="Arial"/>
          <w:sz w:val="60"/>
          <w:szCs w:val="60"/>
          <w:b w:val="1"/>
          <w:bCs w:val="1"/>
          <w:color w:val="006E96"/>
        </w:rPr>
        <w:t>$4B</w:t>
      </w:r>
    </w:p>
    <w:p>
      <w:pPr>
        <w:spacing w:after="0" w:line="111"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006E96"/>
        </w:rPr>
        <w:t>estimated SM franchise</w:t>
      </w:r>
    </w:p>
    <w:p>
      <w:pPr>
        <w:spacing w:after="0" w:line="7"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006E96"/>
        </w:rPr>
        <w:t>peak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80"/>
        <w:spacing w:after="0"/>
        <w:rPr>
          <w:sz w:val="20"/>
          <w:szCs w:val="20"/>
          <w:color w:val="auto"/>
        </w:rPr>
      </w:pPr>
      <w:r>
        <w:rPr>
          <w:rFonts w:ascii="Arial" w:cs="Arial" w:eastAsia="Arial" w:hAnsi="Arial"/>
          <w:sz w:val="60"/>
          <w:szCs w:val="60"/>
          <w:b w:val="1"/>
          <w:bCs w:val="1"/>
          <w:color w:val="006E96"/>
        </w:rPr>
        <w:t>$2B</w:t>
      </w:r>
    </w:p>
    <w:p>
      <w:pPr>
        <w:spacing w:after="0" w:line="91"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006E96"/>
        </w:rPr>
        <w:t>estimated annual AYVAKIT</w:t>
      </w:r>
    </w:p>
    <w:p>
      <w:pPr>
        <w:spacing w:after="0" w:line="7"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006E96"/>
        </w:rPr>
        <w:t>revenue by 2030</w:t>
      </w:r>
    </w:p>
    <w:p>
      <w:pPr>
        <w:spacing w:after="0" w:line="821" w:lineRule="exact"/>
        <w:rPr>
          <w:sz w:val="20"/>
          <w:szCs w:val="20"/>
          <w:color w:val="auto"/>
        </w:rPr>
      </w:pPr>
    </w:p>
    <w:p>
      <w:pPr>
        <w:sectPr>
          <w:pgSz w:w="12240" w:h="15840" w:orient="portrait"/>
          <w:cols w:equalWidth="0" w:num="3">
            <w:col w:w="161" w:space="326"/>
            <w:col w:w="5280" w:space="720"/>
            <w:col w:w="4260"/>
          </w:cols>
          <w:pgMar w:left="613" w:top="1080" w:right="880" w:bottom="0" w:gutter="0" w:footer="0" w:header="0"/>
        </w:sectPr>
      </w:pPr>
    </w:p>
    <w:p>
      <w:pPr>
        <w:spacing w:after="0" w:line="237" w:lineRule="exact"/>
        <w:rPr>
          <w:sz w:val="20"/>
          <w:szCs w:val="20"/>
          <w:color w:val="auto"/>
        </w:rPr>
      </w:pPr>
    </w:p>
    <w:p>
      <w:pPr>
        <w:ind w:left="427" w:right="900"/>
        <w:spacing w:after="0" w:line="262" w:lineRule="auto"/>
        <w:rPr>
          <w:sz w:val="20"/>
          <w:szCs w:val="20"/>
          <w:color w:val="auto"/>
        </w:rPr>
      </w:pPr>
      <w:r>
        <w:rPr>
          <w:rFonts w:ascii="Arial" w:cs="Arial" w:eastAsia="Arial" w:hAnsi="Arial"/>
          <w:sz w:val="24"/>
          <w:szCs w:val="24"/>
          <w:color w:val="00263D"/>
        </w:rPr>
        <w:t>BLU-808, our next potential driver of significant growth</w:t>
      </w:r>
    </w:p>
    <w:p>
      <w:pPr>
        <w:spacing w:after="0" w:line="30" w:lineRule="exact"/>
        <w:rPr>
          <w:sz w:val="20"/>
          <w:szCs w:val="20"/>
          <w:color w:val="auto"/>
        </w:rPr>
      </w:pPr>
    </w:p>
    <w:p>
      <w:pPr>
        <w:ind w:left="427"/>
        <w:spacing w:after="0" w:line="255" w:lineRule="auto"/>
        <w:rPr>
          <w:sz w:val="20"/>
          <w:szCs w:val="20"/>
          <w:color w:val="auto"/>
        </w:rPr>
      </w:pPr>
      <w:r>
        <w:rPr>
          <w:rFonts w:ascii="Arial" w:cs="Arial" w:eastAsia="Arial" w:hAnsi="Arial"/>
          <w:sz w:val="20"/>
          <w:szCs w:val="20"/>
          <w:color w:val="auto"/>
        </w:rPr>
        <w:t>In 2024, we also advanced our broader mast cell therapy portfolio, with the rapid completion of a Phase 1 healthy volunteer study of BLU-808, our oral, highly potent and selective wild- type KIT inhibitor. We designed BLU-808 to enable a differentiated clinical profile, with tunable dosing that can dial-in clinical activity and manage on-target adverse events to optimize a favorable benefit-risk profile that supports chronic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97790</wp:posOffset>
            </wp:positionV>
            <wp:extent cx="3268980" cy="3099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3268980" cy="30994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887"/>
        <w:spacing w:after="0"/>
        <w:rPr>
          <w:sz w:val="20"/>
          <w:szCs w:val="20"/>
          <w:color w:val="auto"/>
        </w:rPr>
      </w:pPr>
      <w:r>
        <w:rPr>
          <w:rFonts w:ascii="Arial" w:cs="Arial" w:eastAsia="Arial" w:hAnsi="Arial"/>
          <w:sz w:val="20"/>
          <w:szCs w:val="20"/>
          <w:b w:val="1"/>
          <w:bCs w:val="1"/>
          <w:color w:val="006E96"/>
        </w:rPr>
        <w:t>UNIVERSE OF ALLERGIC &amp;</w:t>
      </w:r>
    </w:p>
    <w:p>
      <w:pPr>
        <w:spacing w:after="0" w:line="10" w:lineRule="exact"/>
        <w:rPr>
          <w:sz w:val="20"/>
          <w:szCs w:val="20"/>
          <w:color w:val="auto"/>
        </w:rPr>
      </w:pPr>
    </w:p>
    <w:p>
      <w:pPr>
        <w:ind w:left="887"/>
        <w:spacing w:after="0"/>
        <w:rPr>
          <w:sz w:val="20"/>
          <w:szCs w:val="20"/>
          <w:color w:val="auto"/>
        </w:rPr>
      </w:pPr>
      <w:r>
        <w:rPr>
          <w:rFonts w:ascii="Arial" w:cs="Arial" w:eastAsia="Arial" w:hAnsi="Arial"/>
          <w:sz w:val="20"/>
          <w:szCs w:val="20"/>
          <w:b w:val="1"/>
          <w:bCs w:val="1"/>
          <w:color w:val="006E96"/>
        </w:rPr>
        <w:t>INFLAMMATORY DISEASES</w:t>
      </w:r>
    </w:p>
    <w:p>
      <w:pPr>
        <w:spacing w:after="0" w:line="183" w:lineRule="exact"/>
        <w:rPr>
          <w:sz w:val="20"/>
          <w:szCs w:val="20"/>
          <w:color w:val="auto"/>
        </w:rPr>
      </w:pPr>
    </w:p>
    <w:p>
      <w:pPr>
        <w:ind w:left="3467"/>
        <w:spacing w:after="0"/>
        <w:rPr>
          <w:sz w:val="20"/>
          <w:szCs w:val="20"/>
          <w:color w:val="auto"/>
        </w:rPr>
      </w:pPr>
      <w:r>
        <w:rPr>
          <w:rFonts w:ascii="Arial" w:cs="Arial" w:eastAsia="Arial" w:hAnsi="Arial"/>
          <w:sz w:val="12"/>
          <w:szCs w:val="12"/>
          <w:b w:val="1"/>
          <w:bCs w:val="1"/>
          <w:color w:val="006E96"/>
        </w:rPr>
        <w:t>Skin</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Chronic urticaria</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Psoriasis</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Atopic dermatitis</w:t>
      </w:r>
    </w:p>
    <w:p>
      <w:pPr>
        <w:spacing w:after="0" w:line="143" w:lineRule="exact"/>
        <w:rPr>
          <w:sz w:val="20"/>
          <w:szCs w:val="20"/>
          <w:color w:val="auto"/>
        </w:rPr>
      </w:pPr>
    </w:p>
    <w:p>
      <w:pPr>
        <w:ind w:left="3467"/>
        <w:spacing w:after="0"/>
        <w:rPr>
          <w:sz w:val="20"/>
          <w:szCs w:val="20"/>
          <w:color w:val="auto"/>
        </w:rPr>
      </w:pPr>
      <w:r>
        <w:rPr>
          <w:rFonts w:ascii="Arial" w:cs="Arial" w:eastAsia="Arial" w:hAnsi="Arial"/>
          <w:sz w:val="12"/>
          <w:szCs w:val="12"/>
          <w:b w:val="1"/>
          <w:bCs w:val="1"/>
          <w:color w:val="006E96"/>
        </w:rPr>
        <w:t>Respiratory</w:t>
      </w:r>
    </w:p>
    <w:p>
      <w:pPr>
        <w:spacing w:after="0" w:line="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Allergic asthma</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Allergic rhinitis</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Allergic conjunctivitis</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Nasal polyps</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COPD</w:t>
      </w:r>
    </w:p>
    <w:p>
      <w:pPr>
        <w:spacing w:after="0" w:line="145" w:lineRule="exact"/>
        <w:rPr>
          <w:sz w:val="20"/>
          <w:szCs w:val="20"/>
          <w:color w:val="auto"/>
        </w:rPr>
      </w:pPr>
    </w:p>
    <w:p>
      <w:pPr>
        <w:ind w:left="3467"/>
        <w:spacing w:after="0"/>
        <w:rPr>
          <w:sz w:val="20"/>
          <w:szCs w:val="20"/>
          <w:color w:val="auto"/>
        </w:rPr>
      </w:pPr>
      <w:r>
        <w:rPr>
          <w:rFonts w:ascii="Arial" w:cs="Arial" w:eastAsia="Arial" w:hAnsi="Arial"/>
          <w:sz w:val="12"/>
          <w:szCs w:val="12"/>
          <w:b w:val="1"/>
          <w:bCs w:val="1"/>
          <w:color w:val="006E96"/>
        </w:rPr>
        <w:t>Gastrointestinal</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Eosinophilic disorders</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Irritable bowel syndrome</w:t>
      </w:r>
    </w:p>
    <w:p>
      <w:pPr>
        <w:spacing w:after="0" w:line="28" w:lineRule="exact"/>
        <w:rPr>
          <w:sz w:val="20"/>
          <w:szCs w:val="20"/>
          <w:color w:val="auto"/>
        </w:rPr>
      </w:pPr>
    </w:p>
    <w:p>
      <w:pPr>
        <w:ind w:left="3467"/>
        <w:spacing w:after="0"/>
        <w:rPr>
          <w:sz w:val="20"/>
          <w:szCs w:val="20"/>
          <w:color w:val="auto"/>
        </w:rPr>
      </w:pPr>
      <w:r>
        <w:rPr>
          <w:rFonts w:ascii="Arial" w:cs="Arial" w:eastAsia="Arial" w:hAnsi="Arial"/>
          <w:sz w:val="12"/>
          <w:szCs w:val="12"/>
          <w:color w:val="00263D"/>
        </w:rPr>
        <w:t>• Food allergy</w:t>
      </w:r>
    </w:p>
    <w:p>
      <w:pPr>
        <w:spacing w:after="0" w:line="203" w:lineRule="exact"/>
        <w:rPr>
          <w:sz w:val="20"/>
          <w:szCs w:val="20"/>
          <w:color w:val="auto"/>
        </w:rPr>
      </w:pPr>
    </w:p>
    <w:p>
      <w:pPr>
        <w:ind w:left="3467"/>
        <w:spacing w:after="0"/>
        <w:rPr>
          <w:sz w:val="20"/>
          <w:szCs w:val="20"/>
          <w:color w:val="auto"/>
        </w:rPr>
      </w:pPr>
      <w:r>
        <w:rPr>
          <w:rFonts w:ascii="Arial" w:cs="Arial" w:eastAsia="Arial" w:hAnsi="Arial"/>
          <w:sz w:val="12"/>
          <w:szCs w:val="12"/>
          <w:b w:val="1"/>
          <w:bCs w:val="1"/>
          <w:color w:val="006E96"/>
        </w:rPr>
        <w:t>Multi-system</w:t>
      </w:r>
    </w:p>
    <w:p>
      <w:pPr>
        <w:spacing w:after="0" w:line="28" w:lineRule="exact"/>
        <w:rPr>
          <w:sz w:val="20"/>
          <w:szCs w:val="20"/>
          <w:color w:val="auto"/>
        </w:rPr>
      </w:pPr>
    </w:p>
    <w:p>
      <w:pPr>
        <w:jc w:val="center"/>
        <w:ind w:left="2887"/>
        <w:spacing w:after="0"/>
        <w:rPr>
          <w:sz w:val="20"/>
          <w:szCs w:val="20"/>
          <w:color w:val="auto"/>
        </w:rPr>
      </w:pPr>
      <w:r>
        <w:rPr>
          <w:rFonts w:ascii="Arial" w:cs="Arial" w:eastAsia="Arial" w:hAnsi="Arial"/>
          <w:sz w:val="12"/>
          <w:szCs w:val="12"/>
          <w:color w:val="00263D"/>
        </w:rPr>
        <w:t>• Mast cell activation</w:t>
      </w:r>
    </w:p>
    <w:p>
      <w:pPr>
        <w:spacing w:after="0" w:line="8" w:lineRule="exact"/>
        <w:rPr>
          <w:sz w:val="20"/>
          <w:szCs w:val="20"/>
          <w:color w:val="auto"/>
        </w:rPr>
      </w:pPr>
    </w:p>
    <w:p>
      <w:pPr>
        <w:jc w:val="center"/>
        <w:ind w:left="2887"/>
        <w:spacing w:after="0"/>
        <w:rPr>
          <w:sz w:val="20"/>
          <w:szCs w:val="20"/>
          <w:color w:val="auto"/>
        </w:rPr>
      </w:pPr>
      <w:r>
        <w:rPr>
          <w:rFonts w:ascii="Arial" w:cs="Arial" w:eastAsia="Arial" w:hAnsi="Arial"/>
          <w:sz w:val="12"/>
          <w:szCs w:val="12"/>
          <w:color w:val="00263D"/>
        </w:rPr>
        <w:t>syndrome (MCAS)</w:t>
      </w:r>
    </w:p>
    <w:p>
      <w:pPr>
        <w:spacing w:after="0" w:line="287" w:lineRule="exact"/>
        <w:rPr>
          <w:sz w:val="20"/>
          <w:szCs w:val="20"/>
          <w:color w:val="auto"/>
        </w:rPr>
      </w:pPr>
    </w:p>
    <w:p>
      <w:pPr>
        <w:jc w:val="center"/>
        <w:ind w:left="507"/>
        <w:spacing w:after="0"/>
        <w:rPr>
          <w:sz w:val="20"/>
          <w:szCs w:val="20"/>
          <w:color w:val="auto"/>
        </w:rPr>
      </w:pPr>
      <w:r>
        <w:rPr>
          <w:rFonts w:ascii="Arial" w:cs="Arial" w:eastAsia="Arial" w:hAnsi="Arial"/>
          <w:sz w:val="18"/>
          <w:szCs w:val="18"/>
          <w:b w:val="1"/>
          <w:bCs w:val="1"/>
          <w:color w:val="006E96"/>
        </w:rPr>
        <w:t>PLUS OTHERS...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Supporting this approach, BLU-808 healthy volunteer data presented early this year showed BLU-808 was well-tolerated, had dose-dependent pharmacokinetics with multiple doses providing clear target coverage, and rapid, robust and sustained reductions in serum tryptase,</w:t>
      </w:r>
    </w:p>
    <w:p>
      <w:pPr>
        <w:spacing w:after="0" w:line="3"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a pharmacodynamic marker of mast cell activity. Based on these data, we are now initiating multiple clinical proof-of-concept trials to further characterize the broad potential of BLU-808 across multiple allergic and inflammatory diseases.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385445</wp:posOffset>
            </wp:positionV>
            <wp:extent cx="3141345" cy="2954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3141345" cy="295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FFFFFF"/>
        </w:rPr>
        <w:t>BLU-808 PROOF-OF-CONCEPT STRATEGY</w:t>
      </w:r>
    </w:p>
    <w:p>
      <w:pPr>
        <w:spacing w:after="0" w:line="335" w:lineRule="exact"/>
        <w:rPr>
          <w:sz w:val="20"/>
          <w:szCs w:val="20"/>
          <w:color w:val="auto"/>
        </w:rPr>
      </w:pPr>
    </w:p>
    <w:p>
      <w:pPr>
        <w:ind w:left="120" w:right="600"/>
        <w:spacing w:after="0" w:line="287" w:lineRule="auto"/>
        <w:rPr>
          <w:sz w:val="20"/>
          <w:szCs w:val="20"/>
          <w:color w:val="auto"/>
        </w:rPr>
      </w:pPr>
      <w:r>
        <w:rPr>
          <w:rFonts w:ascii="Arial" w:cs="Arial" w:eastAsia="Arial" w:hAnsi="Arial"/>
          <w:sz w:val="20"/>
          <w:szCs w:val="20"/>
          <w:color w:val="000E4D"/>
        </w:rPr>
        <w:t>Move rapidly into areas where targeting KIT has been de-risked</w:t>
      </w:r>
    </w:p>
    <w:p>
      <w:pPr>
        <w:spacing w:after="0" w:line="313" w:lineRule="exact"/>
        <w:rPr>
          <w:sz w:val="20"/>
          <w:szCs w:val="20"/>
          <w:color w:val="auto"/>
        </w:rPr>
      </w:pPr>
    </w:p>
    <w:p>
      <w:pPr>
        <w:ind w:left="200" w:hanging="73"/>
        <w:spacing w:after="0"/>
        <w:tabs>
          <w:tab w:leader="none" w:pos="200" w:val="left"/>
        </w:tabs>
        <w:numPr>
          <w:ilvl w:val="0"/>
          <w:numId w:val="2"/>
        </w:numPr>
        <w:rPr>
          <w:rFonts w:ascii="Arial" w:cs="Arial" w:eastAsia="Arial" w:hAnsi="Arial"/>
          <w:sz w:val="16"/>
          <w:szCs w:val="16"/>
          <w:color w:val="00263D"/>
        </w:rPr>
      </w:pPr>
      <w:r>
        <w:rPr>
          <w:rFonts w:ascii="Arial" w:cs="Arial" w:eastAsia="Arial" w:hAnsi="Arial"/>
          <w:sz w:val="16"/>
          <w:szCs w:val="16"/>
          <w:color w:val="00263D"/>
        </w:rPr>
        <w:t>Chronic spontaneous urticaria</w:t>
      </w:r>
    </w:p>
    <w:p>
      <w:pPr>
        <w:spacing w:after="0" w:line="96" w:lineRule="exact"/>
        <w:rPr>
          <w:rFonts w:ascii="Arial" w:cs="Arial" w:eastAsia="Arial" w:hAnsi="Arial"/>
          <w:sz w:val="16"/>
          <w:szCs w:val="16"/>
          <w:color w:val="00263D"/>
        </w:rPr>
      </w:pPr>
    </w:p>
    <w:p>
      <w:pPr>
        <w:ind w:left="200" w:hanging="73"/>
        <w:spacing w:after="0"/>
        <w:tabs>
          <w:tab w:leader="none" w:pos="200" w:val="left"/>
        </w:tabs>
        <w:numPr>
          <w:ilvl w:val="0"/>
          <w:numId w:val="2"/>
        </w:numPr>
        <w:rPr>
          <w:rFonts w:ascii="Arial" w:cs="Arial" w:eastAsia="Arial" w:hAnsi="Arial"/>
          <w:sz w:val="16"/>
          <w:szCs w:val="16"/>
          <w:color w:val="00263D"/>
        </w:rPr>
      </w:pPr>
      <w:r>
        <w:rPr>
          <w:rFonts w:ascii="Arial" w:cs="Arial" w:eastAsia="Arial" w:hAnsi="Arial"/>
          <w:sz w:val="16"/>
          <w:szCs w:val="16"/>
          <w:color w:val="00263D"/>
        </w:rPr>
        <w:t>Chronic inducible urticaria</w:t>
      </w:r>
    </w:p>
    <w:p>
      <w:pPr>
        <w:spacing w:after="0" w:line="200" w:lineRule="exact"/>
        <w:rPr>
          <w:sz w:val="20"/>
          <w:szCs w:val="20"/>
          <w:color w:val="auto"/>
        </w:rPr>
      </w:pPr>
    </w:p>
    <w:p>
      <w:pPr>
        <w:spacing w:after="0" w:line="365" w:lineRule="exact"/>
        <w:rPr>
          <w:sz w:val="20"/>
          <w:szCs w:val="20"/>
          <w:color w:val="auto"/>
        </w:rPr>
      </w:pPr>
    </w:p>
    <w:p>
      <w:pPr>
        <w:ind w:left="120" w:right="720"/>
        <w:spacing w:after="0" w:line="287" w:lineRule="auto"/>
        <w:rPr>
          <w:sz w:val="20"/>
          <w:szCs w:val="20"/>
          <w:color w:val="auto"/>
        </w:rPr>
      </w:pPr>
      <w:r>
        <w:rPr>
          <w:rFonts w:ascii="Arial" w:cs="Arial" w:eastAsia="Arial" w:hAnsi="Arial"/>
          <w:sz w:val="20"/>
          <w:szCs w:val="20"/>
          <w:color w:val="000E4D"/>
        </w:rPr>
        <w:t>Explore other biology across organ systems to unlock broader potential</w:t>
      </w:r>
    </w:p>
    <w:p>
      <w:pPr>
        <w:spacing w:after="0" w:line="313" w:lineRule="exact"/>
        <w:rPr>
          <w:sz w:val="20"/>
          <w:szCs w:val="20"/>
          <w:color w:val="auto"/>
        </w:rPr>
      </w:pPr>
    </w:p>
    <w:p>
      <w:pPr>
        <w:ind w:left="200" w:hanging="73"/>
        <w:spacing w:after="0"/>
        <w:tabs>
          <w:tab w:leader="none" w:pos="200" w:val="left"/>
        </w:tabs>
        <w:numPr>
          <w:ilvl w:val="0"/>
          <w:numId w:val="3"/>
        </w:numPr>
        <w:rPr>
          <w:rFonts w:ascii="Arial" w:cs="Arial" w:eastAsia="Arial" w:hAnsi="Arial"/>
          <w:sz w:val="16"/>
          <w:szCs w:val="16"/>
          <w:color w:val="00263D"/>
        </w:rPr>
      </w:pPr>
      <w:r>
        <w:rPr>
          <w:rFonts w:ascii="Arial" w:cs="Arial" w:eastAsia="Arial" w:hAnsi="Arial"/>
          <w:sz w:val="16"/>
          <w:szCs w:val="16"/>
          <w:color w:val="00263D"/>
        </w:rPr>
        <w:t>Allergic asthma</w:t>
      </w:r>
    </w:p>
    <w:p>
      <w:pPr>
        <w:spacing w:after="0" w:line="96" w:lineRule="exact"/>
        <w:rPr>
          <w:rFonts w:ascii="Arial" w:cs="Arial" w:eastAsia="Arial" w:hAnsi="Arial"/>
          <w:sz w:val="16"/>
          <w:szCs w:val="16"/>
          <w:color w:val="00263D"/>
        </w:rPr>
      </w:pPr>
    </w:p>
    <w:p>
      <w:pPr>
        <w:ind w:left="200" w:hanging="73"/>
        <w:spacing w:after="0"/>
        <w:tabs>
          <w:tab w:leader="none" w:pos="200" w:val="left"/>
        </w:tabs>
        <w:numPr>
          <w:ilvl w:val="0"/>
          <w:numId w:val="3"/>
        </w:numPr>
        <w:rPr>
          <w:rFonts w:ascii="Arial" w:cs="Arial" w:eastAsia="Arial" w:hAnsi="Arial"/>
          <w:sz w:val="16"/>
          <w:szCs w:val="16"/>
          <w:color w:val="00263D"/>
        </w:rPr>
      </w:pPr>
      <w:r>
        <w:rPr>
          <w:rFonts w:ascii="Arial" w:cs="Arial" w:eastAsia="Arial" w:hAnsi="Arial"/>
          <w:sz w:val="16"/>
          <w:szCs w:val="16"/>
          <w:color w:val="00263D"/>
        </w:rPr>
        <w:t>Allergic rhinitis</w:t>
      </w:r>
    </w:p>
    <w:p>
      <w:pPr>
        <w:spacing w:after="0" w:line="96" w:lineRule="exact"/>
        <w:rPr>
          <w:rFonts w:ascii="Arial" w:cs="Arial" w:eastAsia="Arial" w:hAnsi="Arial"/>
          <w:sz w:val="16"/>
          <w:szCs w:val="16"/>
          <w:color w:val="00263D"/>
        </w:rPr>
      </w:pPr>
    </w:p>
    <w:p>
      <w:pPr>
        <w:ind w:left="200" w:hanging="73"/>
        <w:spacing w:after="0"/>
        <w:tabs>
          <w:tab w:leader="none" w:pos="200" w:val="left"/>
        </w:tabs>
        <w:numPr>
          <w:ilvl w:val="0"/>
          <w:numId w:val="3"/>
        </w:numPr>
        <w:rPr>
          <w:rFonts w:ascii="Arial" w:cs="Arial" w:eastAsia="Arial" w:hAnsi="Arial"/>
          <w:sz w:val="16"/>
          <w:szCs w:val="16"/>
          <w:color w:val="00263D"/>
        </w:rPr>
      </w:pPr>
      <w:r>
        <w:rPr>
          <w:rFonts w:ascii="Arial" w:cs="Arial" w:eastAsia="Arial" w:hAnsi="Arial"/>
          <w:sz w:val="16"/>
          <w:szCs w:val="16"/>
          <w:color w:val="00263D"/>
        </w:rPr>
        <w:t>Allergic conjunctivitis</w:t>
      </w:r>
    </w:p>
    <w:p>
      <w:pPr>
        <w:spacing w:after="0" w:line="96" w:lineRule="exact"/>
        <w:rPr>
          <w:rFonts w:ascii="Arial" w:cs="Arial" w:eastAsia="Arial" w:hAnsi="Arial"/>
          <w:sz w:val="16"/>
          <w:szCs w:val="16"/>
          <w:color w:val="00263D"/>
        </w:rPr>
      </w:pPr>
    </w:p>
    <w:p>
      <w:pPr>
        <w:ind w:left="200" w:hanging="73"/>
        <w:spacing w:after="0"/>
        <w:tabs>
          <w:tab w:leader="none" w:pos="200" w:val="left"/>
        </w:tabs>
        <w:numPr>
          <w:ilvl w:val="0"/>
          <w:numId w:val="3"/>
        </w:numPr>
        <w:rPr>
          <w:rFonts w:ascii="Arial" w:cs="Arial" w:eastAsia="Arial" w:hAnsi="Arial"/>
          <w:sz w:val="16"/>
          <w:szCs w:val="16"/>
          <w:color w:val="00263D"/>
        </w:rPr>
      </w:pPr>
      <w:r>
        <w:rPr>
          <w:rFonts w:ascii="Arial" w:cs="Arial" w:eastAsia="Arial" w:hAnsi="Arial"/>
          <w:sz w:val="16"/>
          <w:szCs w:val="16"/>
          <w:color w:val="00263D"/>
        </w:rPr>
        <w:t>Mast cell activation syndrome (ISM adjacent)</w:t>
      </w:r>
    </w:p>
    <w:p>
      <w:pPr>
        <w:spacing w:after="0" w:line="280" w:lineRule="exact"/>
        <w:rPr>
          <w:sz w:val="20"/>
          <w:szCs w:val="20"/>
          <w:color w:val="auto"/>
        </w:rPr>
      </w:pPr>
    </w:p>
    <w:p>
      <w:pPr>
        <w:sectPr>
          <w:pgSz w:w="12240" w:h="15840" w:orient="portrait"/>
          <w:cols w:equalWidth="0" w:num="2">
            <w:col w:w="5287" w:space="400"/>
            <w:col w:w="5060"/>
          </w:cols>
          <w:pgMar w:left="613" w:top="1080"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006E96"/>
        </w:rPr>
        <w:t>3</w:t>
      </w:r>
    </w:p>
    <w:p>
      <w:pPr>
        <w:sectPr>
          <w:pgSz w:w="12240" w:h="15840" w:orient="portrait"/>
          <w:cols w:equalWidth="0" w:num="1">
            <w:col w:w="10747"/>
          </w:cols>
          <w:pgMar w:left="613" w:top="1080" w:right="880" w:bottom="0" w:gutter="0" w:footer="0" w:header="0"/>
          <w:type w:val="continuous"/>
        </w:sectPr>
      </w:pPr>
    </w:p>
    <w:bookmarkStart w:id="3" w:name="page4"/>
    <w:bookmarkEnd w:id="3"/>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3360"/>
        </w:trPr>
        <w:tc>
          <w:tcPr>
            <w:tcW w:w="161" w:type="dxa"/>
            <w:vAlign w:val="bottom"/>
            <w:textDirection w:val="btLr"/>
          </w:tcPr>
          <w:p>
            <w:pPr>
              <w:spacing w:after="0"/>
              <w:rPr>
                <w:sz w:val="20"/>
                <w:szCs w:val="20"/>
                <w:color w:val="auto"/>
              </w:rPr>
            </w:pPr>
            <w:r>
              <w:rPr>
                <w:rFonts w:ascii="Arial" w:cs="Arial" w:eastAsia="Arial" w:hAnsi="Arial"/>
                <w:sz w:val="14"/>
                <w:szCs w:val="14"/>
                <w:color w:val="auto"/>
              </w:rPr>
              <w:t>BLUEPRINT MEDICINES 2024 ANNUAL REPORT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263D"/>
        </w:rPr>
        <w:t>Continued disciplined financial stewardship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-807720</wp:posOffset>
            </wp:positionV>
            <wp:extent cx="7772400" cy="10058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 2024, we continued to prioritize investment in our most compelling programs with discipline. As we drove significant AYVAKIT revenue growth and advanced our pipeline of promising mast cell therapies, we also reduced our operating cash burn by more than 50 percent, and we expect further reductions in 2025. We ended the year with approximately $863.9 million in cash, with an additional $78.7 million received in the first quarter of 2025 from proceeds of our equity stake in IDRx, which was acquired by GSK. Together, we expect our disciplined approach to capital allocation and durable cash position to enable us to continue to sustainably invest in strategic growth opportunities. </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color w:val="00263D"/>
        </w:rPr>
        <w:t>Achievement fueled by a talented team and an award-winning culture </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Blueprint Medicines was again recognized as an employer-of-choice in 2024. We were named to USA Today’s “Top Places to Work” list; to The Boston Globe’s “Top Places to Work in Massachusetts” list; as a Fortune “Future 50” honoree; and as a top employer in Switzerland by Top Employers Institute. Our achievements are a testament to the hard work and dedication of our almost 650 team members and I thank each of them for their unwavering commitment to the patients and communities we serve. </w:t>
      </w:r>
    </w:p>
    <w:p>
      <w:pPr>
        <w:spacing w:after="0" w:line="79"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auto"/>
        </w:rPr>
        <w:t>Today our future is brighter than ever before. We have the right people, portfolio, capabilities and vision to bring forward medicines that solve important medical challenges, dramatically improve patient lives and create significant value for our stockholders in 2025 and beyond. </w:t>
      </w:r>
    </w:p>
    <w:p>
      <w:pPr>
        <w:spacing w:after="0" w:line="70" w:lineRule="exact"/>
        <w:rPr>
          <w:sz w:val="20"/>
          <w:szCs w:val="20"/>
          <w:color w:val="auto"/>
        </w:rPr>
      </w:pPr>
    </w:p>
    <w:p>
      <w:pPr>
        <w:ind w:right="660"/>
        <w:spacing w:after="0" w:line="287" w:lineRule="auto"/>
        <w:rPr>
          <w:sz w:val="20"/>
          <w:szCs w:val="20"/>
          <w:color w:val="auto"/>
        </w:rPr>
      </w:pPr>
      <w:r>
        <w:rPr>
          <w:rFonts w:ascii="Arial" w:cs="Arial" w:eastAsia="Arial" w:hAnsi="Arial"/>
          <w:sz w:val="20"/>
          <w:szCs w:val="20"/>
          <w:color w:val="auto"/>
        </w:rPr>
        <w:t>On behalf of our board of directors, team members, patients and healthcare partners, we thank you for your continued support and investment in Blueprint Medicines.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ectPr>
          <w:pgSz w:w="12240" w:h="15840" w:orient="portrait"/>
          <w:cols w:equalWidth="0" w:num="2">
            <w:col w:w="161" w:space="306"/>
            <w:col w:w="9980"/>
          </w:cols>
          <w:pgMar w:left="613" w:top="997" w:right="1180"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467"/>
        <w:spacing w:after="0"/>
        <w:rPr>
          <w:sz w:val="20"/>
          <w:szCs w:val="20"/>
          <w:color w:val="auto"/>
        </w:rPr>
      </w:pPr>
      <w:r>
        <w:rPr>
          <w:rFonts w:ascii="Arial" w:cs="Arial" w:eastAsia="Arial" w:hAnsi="Arial"/>
          <w:sz w:val="24"/>
          <w:szCs w:val="24"/>
          <w:color w:val="007096"/>
        </w:rPr>
        <w:t>Kate Haviland</w:t>
      </w:r>
    </w:p>
    <w:p>
      <w:pPr>
        <w:spacing w:after="0" w:line="139" w:lineRule="exact"/>
        <w:rPr>
          <w:sz w:val="20"/>
          <w:szCs w:val="20"/>
          <w:color w:val="auto"/>
        </w:rPr>
      </w:pPr>
    </w:p>
    <w:p>
      <w:pPr>
        <w:ind w:left="467"/>
        <w:spacing w:after="0"/>
        <w:rPr>
          <w:sz w:val="20"/>
          <w:szCs w:val="20"/>
          <w:color w:val="auto"/>
        </w:rPr>
      </w:pPr>
      <w:r>
        <w:rPr>
          <w:rFonts w:ascii="Arial" w:cs="Arial" w:eastAsia="Arial" w:hAnsi="Arial"/>
          <w:sz w:val="16"/>
          <w:szCs w:val="16"/>
          <w:color w:val="auto"/>
        </w:rPr>
        <w:t>President, Chief Executive Officer and Board Director</w:t>
      </w:r>
    </w:p>
    <w:p>
      <w:pPr>
        <w:spacing w:after="0" w:line="56" w:lineRule="exact"/>
        <w:rPr>
          <w:sz w:val="20"/>
          <w:szCs w:val="20"/>
          <w:color w:val="auto"/>
        </w:rPr>
      </w:pPr>
    </w:p>
    <w:p>
      <w:pPr>
        <w:ind w:left="467"/>
        <w:spacing w:after="0"/>
        <w:rPr>
          <w:sz w:val="20"/>
          <w:szCs w:val="20"/>
          <w:color w:val="auto"/>
        </w:rPr>
      </w:pPr>
      <w:r>
        <w:rPr>
          <w:rFonts w:ascii="Arial" w:cs="Arial" w:eastAsia="Arial" w:hAnsi="Arial"/>
          <w:sz w:val="16"/>
          <w:szCs w:val="16"/>
          <w:color w:val="auto"/>
        </w:rPr>
        <w:t>On Behalf of the Board of Directors</w:t>
      </w:r>
    </w:p>
    <w:p>
      <w:pPr>
        <w:spacing w:after="0" w:line="146" w:lineRule="exact"/>
        <w:rPr>
          <w:sz w:val="20"/>
          <w:szCs w:val="20"/>
          <w:color w:val="auto"/>
        </w:rPr>
      </w:pPr>
    </w:p>
    <w:p>
      <w:pPr>
        <w:ind w:left="467"/>
        <w:spacing w:after="0"/>
        <w:rPr>
          <w:sz w:val="20"/>
          <w:szCs w:val="20"/>
          <w:color w:val="auto"/>
        </w:rPr>
      </w:pPr>
      <w:r>
        <w:rPr>
          <w:rFonts w:ascii="Arial" w:cs="Arial" w:eastAsia="Arial" w:hAnsi="Arial"/>
          <w:sz w:val="16"/>
          <w:szCs w:val="16"/>
          <w:color w:val="auto"/>
        </w:rPr>
        <w:t>Cambridge, Massachusetts</w:t>
      </w:r>
    </w:p>
    <w:p>
      <w:pPr>
        <w:spacing w:after="0" w:line="56" w:lineRule="exact"/>
        <w:rPr>
          <w:sz w:val="20"/>
          <w:szCs w:val="20"/>
          <w:color w:val="auto"/>
        </w:rPr>
      </w:pPr>
    </w:p>
    <w:p>
      <w:pPr>
        <w:ind w:left="467"/>
        <w:spacing w:after="0"/>
        <w:rPr>
          <w:sz w:val="20"/>
          <w:szCs w:val="20"/>
          <w:color w:val="auto"/>
        </w:rPr>
      </w:pPr>
      <w:r>
        <w:rPr>
          <w:rFonts w:ascii="Arial" w:cs="Arial" w:eastAsia="Arial" w:hAnsi="Arial"/>
          <w:sz w:val="16"/>
          <w:szCs w:val="16"/>
          <w:color w:val="auto"/>
        </w:rPr>
        <w:t>April 24, 2025</w:t>
      </w:r>
    </w:p>
    <w:p>
      <w:pPr>
        <w:sectPr>
          <w:pgSz w:w="12240" w:h="15840" w:orient="portrait"/>
          <w:cols w:equalWidth="0" w:num="1">
            <w:col w:w="10447"/>
          </w:cols>
          <w:pgMar w:left="613" w:top="997"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006E96"/>
        </w:rPr>
        <w:t>4</w:t>
      </w:r>
    </w:p>
    <w:p>
      <w:pPr>
        <w:sectPr>
          <w:pgSz w:w="12240" w:h="15840" w:orient="portrait"/>
          <w:cols w:equalWidth="0" w:num="1">
            <w:col w:w="10447"/>
          </w:cols>
          <w:pgMar w:left="613" w:top="997" w:right="1180" w:bottom="0" w:gutter="0" w:footer="0" w:header="0"/>
          <w:type w:val="continuous"/>
        </w:sectPr>
      </w:pPr>
    </w:p>
    <w:bookmarkStart w:id="4" w:name="page5"/>
    <w:bookmarkEnd w:id="4"/>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0"/>
        </w:trPr>
        <w:tc>
          <w:tcPr>
            <w:tcW w:w="161" w:type="dxa"/>
            <w:vAlign w:val="bottom"/>
            <w:textDirection w:val="btLr"/>
          </w:tcPr>
          <w:p>
            <w:pPr>
              <w:spacing w:after="0"/>
              <w:rPr>
                <w:sz w:val="20"/>
                <w:szCs w:val="20"/>
                <w:color w:val="auto"/>
              </w:rPr>
            </w:pPr>
            <w:r>
              <w:rPr>
                <w:rFonts w:ascii="Arial" w:cs="Arial" w:eastAsia="Arial" w:hAnsi="Arial"/>
                <w:sz w:val="14"/>
                <w:szCs w:val="14"/>
                <w:color w:val="FFFFFF"/>
              </w:rPr>
              <w:t>2024 ANNUAL REPORT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i w:val="1"/>
          <w:iCs w:val="1"/>
          <w:color w:val="C2E673"/>
        </w:rPr>
        <w:t xml:space="preserve">Colors of SM </w:t>
      </w:r>
      <w:r>
        <w:rPr>
          <w:rFonts w:ascii="Arial" w:cs="Arial" w:eastAsia="Arial" w:hAnsi="Arial"/>
          <w:sz w:val="30"/>
          <w:szCs w:val="30"/>
          <w:color w:val="FFFFFF"/>
        </w:rPr>
        <w:t>–</w:t>
      </w:r>
      <w:r>
        <w:rPr>
          <w:rFonts w:ascii="Arial" w:cs="Arial" w:eastAsia="Arial" w:hAnsi="Arial"/>
          <w:sz w:val="30"/>
          <w:szCs w:val="30"/>
          <w:i w:val="1"/>
          <w:iCs w:val="1"/>
          <w:color w:val="C2E673"/>
        </w:rPr>
        <w:t xml:space="preserve"> </w:t>
      </w:r>
      <w:r>
        <w:rPr>
          <w:rFonts w:ascii="Arial" w:cs="Arial" w:eastAsia="Arial" w:hAnsi="Arial"/>
          <w:sz w:val="30"/>
          <w:szCs w:val="30"/>
          <w:color w:val="FFFFFF"/>
        </w:rPr>
        <w:t>From Experience and Expression to Innovation and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-834390</wp:posOffset>
            </wp:positionV>
            <wp:extent cx="7772400" cy="10058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1326" w:lineRule="exact"/>
        <w:rPr>
          <w:sz w:val="20"/>
          <w:szCs w:val="20"/>
          <w:color w:val="auto"/>
        </w:rPr>
      </w:pPr>
    </w:p>
    <w:p>
      <w:pPr>
        <w:sectPr>
          <w:pgSz w:w="12240" w:h="15840" w:orient="portrait"/>
          <w:cols w:equalWidth="0" w:num="2">
            <w:col w:w="161" w:space="306"/>
            <w:col w:w="10060"/>
          </w:cols>
          <w:pgMar w:left="613" w:top="969" w:right="1100" w:bottom="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0"/>
        </w:trPr>
        <w:tc>
          <w:tcPr>
            <w:tcW w:w="161" w:type="dxa"/>
            <w:vAlign w:val="bottom"/>
            <w:textDirection w:val="btLr"/>
          </w:tcPr>
          <w:p>
            <w:pPr>
              <w:spacing w:after="0"/>
              <w:rPr>
                <w:sz w:val="20"/>
                <w:szCs w:val="20"/>
                <w:color w:val="auto"/>
              </w:rPr>
            </w:pPr>
            <w:r>
              <w:rPr>
                <w:rFonts w:ascii="Arial" w:cs="Arial" w:eastAsia="Arial" w:hAnsi="Arial"/>
                <w:sz w:val="14"/>
                <w:szCs w:val="14"/>
                <w:color w:val="FFFFFF"/>
              </w:rPr>
              <w:t>BLUEPRINT MEDICINES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FFFFFF"/>
        </w:rPr>
        <w:t>Sue and PC Elliott at</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FFFFFF"/>
        </w:rPr>
        <w:t>Colors of SM</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FFFFFF"/>
        </w:rPr>
        <w:t>inaugural event</w:t>
      </w:r>
    </w:p>
    <w:p>
      <w:pPr>
        <w:spacing w:after="0" w:line="200" w:lineRule="exact"/>
        <w:rPr>
          <w:sz w:val="20"/>
          <w:szCs w:val="20"/>
          <w:color w:val="auto"/>
        </w:rPr>
      </w:pPr>
    </w:p>
    <w:p>
      <w:pPr>
        <w:spacing w:after="0" w:line="287" w:lineRule="exact"/>
        <w:rPr>
          <w:sz w:val="20"/>
          <w:szCs w:val="20"/>
          <w:color w:val="auto"/>
        </w:rPr>
      </w:pPr>
    </w:p>
    <w:p>
      <w:pPr>
        <w:spacing w:after="0" w:line="254" w:lineRule="auto"/>
        <w:rPr>
          <w:sz w:val="20"/>
          <w:szCs w:val="20"/>
          <w:color w:val="auto"/>
        </w:rPr>
      </w:pPr>
      <w:r>
        <w:rPr>
          <w:rFonts w:ascii="Arial" w:cs="Arial" w:eastAsia="Arial" w:hAnsi="Arial"/>
          <w:sz w:val="20"/>
          <w:szCs w:val="20"/>
          <w:color w:val="FFFFFF"/>
        </w:rPr>
        <w:t>It’s often said a blank canvas holds unlimited possibilities and a picture is worth a thousand words. But for people living with SM, words often fall short. The life-altering symptoms – rashes, bone pain, diarrhea, brain fog and more – aren’t just chronic; they are unpredictable and unrelenting disruptions that profoundly impact people’s quality of life. And yet, because these experiences can be so difficult to describe, too often they remain unheard and misunderstood.</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20"/>
          <w:szCs w:val="20"/>
          <w:color w:val="FFFFFF"/>
        </w:rPr>
        <w:t xml:space="preserve">At Blueprint Medicines, we believe to truly advance care, every patient’s story must be seen, shared and understood. Throughout 2024, we partnered with Twist Out Cancer – a non-profit organization dedicated to supporting individuals touched by diseases through creative arts, fostering healing, connection and resilience. Together, we launched a first -of-its-kind program </w:t>
      </w:r>
      <w:r>
        <w:rPr>
          <w:rFonts w:ascii="Arial" w:cs="Arial" w:eastAsia="Arial" w:hAnsi="Arial"/>
          <w:sz w:val="20"/>
          <w:szCs w:val="20"/>
          <w:i w:val="1"/>
          <w:iCs w:val="1"/>
          <w:color w:val="FFFFFF"/>
        </w:rPr>
        <w:t>Colors of SM: Expressions of</w:t>
      </w:r>
      <w:r>
        <w:rPr>
          <w:rFonts w:ascii="Arial" w:cs="Arial" w:eastAsia="Arial" w:hAnsi="Arial"/>
          <w:sz w:val="20"/>
          <w:szCs w:val="20"/>
          <w:color w:val="FFFFFF"/>
        </w:rPr>
        <w:t xml:space="preserve"> </w:t>
      </w:r>
      <w:r>
        <w:rPr>
          <w:rFonts w:ascii="Arial" w:cs="Arial" w:eastAsia="Arial" w:hAnsi="Arial"/>
          <w:sz w:val="20"/>
          <w:szCs w:val="20"/>
          <w:i w:val="1"/>
          <w:iCs w:val="1"/>
          <w:color w:val="FFFFFF"/>
        </w:rPr>
        <w:t xml:space="preserve">Life with Systemic Mastocytosis </w:t>
      </w:r>
      <w:r>
        <w:rPr>
          <w:rFonts w:ascii="Arial" w:cs="Arial" w:eastAsia="Arial" w:hAnsi="Arial"/>
          <w:sz w:val="20"/>
          <w:szCs w:val="20"/>
          <w:color w:val="FFFFFF"/>
        </w:rPr>
        <w:t>, designed to bring</w:t>
      </w:r>
      <w:r>
        <w:rPr>
          <w:rFonts w:ascii="Arial" w:cs="Arial" w:eastAsia="Arial" w:hAnsi="Arial"/>
          <w:sz w:val="20"/>
          <w:szCs w:val="20"/>
          <w:i w:val="1"/>
          <w:iCs w:val="1"/>
          <w:color w:val="FFFFFF"/>
        </w:rPr>
        <w:t xml:space="preserve"> </w:t>
      </w:r>
      <w:r>
        <w:rPr>
          <w:rFonts w:ascii="Arial" w:cs="Arial" w:eastAsia="Arial" w:hAnsi="Arial"/>
          <w:sz w:val="20"/>
          <w:szCs w:val="20"/>
          <w:color w:val="FFFFFF"/>
        </w:rPr>
        <w:t>visibility, validation and voice to people living with ISM through art and storytelling, creating connection and driving education and awareness to shorten the diagnostic odyssey and improve quality of care.</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FFFFFF"/>
        </w:rPr>
        <w:t>Each participant – the Inspiration – was paired with a volunteer artist. Over six months, the Inspiration shared their journey: the symptoms they endure, the road to diagnosis and what it truly means to live with SM. In turn, the artist interpreted their story into a one-of-a-kind work of art reflecting the Inspiration's experience, resilience and hope.</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20"/>
          <w:szCs w:val="20"/>
          <w:i w:val="1"/>
          <w:iCs w:val="1"/>
          <w:color w:val="FFFFFF"/>
        </w:rPr>
        <w:t>“The road to my diagnosis with SM has been</w:t>
      </w:r>
    </w:p>
    <w:p>
      <w:pPr>
        <w:spacing w:after="0" w:line="30" w:lineRule="exact"/>
        <w:rPr>
          <w:sz w:val="20"/>
          <w:szCs w:val="20"/>
          <w:color w:val="auto"/>
        </w:rPr>
      </w:pPr>
    </w:p>
    <w:p>
      <w:pPr>
        <w:jc w:val="center"/>
        <w:ind w:left="-19" w:right="80"/>
        <w:spacing w:after="0" w:line="285" w:lineRule="auto"/>
        <w:rPr>
          <w:sz w:val="20"/>
          <w:szCs w:val="20"/>
          <w:color w:val="auto"/>
        </w:rPr>
      </w:pPr>
      <w:r>
        <w:rPr>
          <w:rFonts w:ascii="Arial" w:cs="Arial" w:eastAsia="Arial" w:hAnsi="Arial"/>
          <w:sz w:val="19"/>
          <w:szCs w:val="19"/>
          <w:i w:val="1"/>
          <w:iCs w:val="1"/>
          <w:color w:val="FFFFFF"/>
        </w:rPr>
        <w:t>lifelong. After a lifetime of on-again, off-again health problems, personal battles and my stubborn refusal to stop looking for answers, I was formally diagnosed in 2020. My ‘twist’ on SM is to be the voice of encouragement for the person who is still struggling</w:t>
      </w:r>
    </w:p>
    <w:p>
      <w:pPr>
        <w:spacing w:after="0" w:line="3" w:lineRule="exact"/>
        <w:rPr>
          <w:sz w:val="20"/>
          <w:szCs w:val="20"/>
          <w:color w:val="auto"/>
        </w:rPr>
      </w:pPr>
    </w:p>
    <w:p>
      <w:pPr>
        <w:jc w:val="center"/>
        <w:ind w:left="-19" w:right="60"/>
        <w:spacing w:after="0" w:line="335" w:lineRule="auto"/>
        <w:rPr>
          <w:sz w:val="20"/>
          <w:szCs w:val="20"/>
          <w:color w:val="auto"/>
        </w:rPr>
      </w:pPr>
      <w:r>
        <w:rPr>
          <w:rFonts w:ascii="Arial" w:cs="Arial" w:eastAsia="Arial" w:hAnsi="Arial"/>
          <w:sz w:val="19"/>
          <w:szCs w:val="19"/>
          <w:i w:val="1"/>
          <w:iCs w:val="1"/>
          <w:color w:val="FFFFFF"/>
        </w:rPr>
        <w:t>to find a diagnosis! If I had stopped pushing for an answer at every closed door, I wouldn’t be here today.”</w:t>
      </w:r>
    </w:p>
    <w:p>
      <w:pPr>
        <w:ind w:left="1020"/>
        <w:spacing w:after="0"/>
        <w:rPr>
          <w:sz w:val="20"/>
          <w:szCs w:val="20"/>
          <w:color w:val="auto"/>
        </w:rPr>
      </w:pPr>
      <w:r>
        <w:rPr>
          <w:rFonts w:ascii="Arial" w:cs="Arial" w:eastAsia="Arial" w:hAnsi="Arial"/>
          <w:sz w:val="20"/>
          <w:szCs w:val="20"/>
          <w:i w:val="1"/>
          <w:iCs w:val="1"/>
          <w:color w:val="FFFFFF"/>
        </w:rPr>
        <w:t>– Sue, Inspiration living with 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FFFFFF"/>
        </w:rPr>
        <w:t>For more than 14 years, our teams have listened to and learned from the mast cell disease community</w:t>
      </w:r>
    </w:p>
    <w:p>
      <w:pPr>
        <w:spacing w:after="0" w:line="1"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FFFFFF"/>
        </w:rPr>
        <w:t>— gaining a deeper understanding of the often invisible burden that conditions like SM place on patients and families. These insights have fundamentally shaped our scientific priorities and fueled our determination to develop therapies that address the real-world needs of those living with mast cell diseases like SM.</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FFFFFF"/>
        </w:rPr>
        <w:t>At Blueprint Medicines, our mission is to alleviate human suffering by solving serious medical challenges through the development of life-changing medicines. Our work in SM is a clear example</w:t>
      </w:r>
    </w:p>
    <w:p>
      <w:pPr>
        <w:spacing w:after="0" w:line="2"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color w:val="FFFFFF"/>
        </w:rPr>
        <w:t xml:space="preserve">of this mission in action. Programs like </w:t>
      </w:r>
      <w:r>
        <w:rPr>
          <w:rFonts w:ascii="Arial" w:cs="Arial" w:eastAsia="Arial" w:hAnsi="Arial"/>
          <w:sz w:val="20"/>
          <w:szCs w:val="20"/>
          <w:i w:val="1"/>
          <w:iCs w:val="1"/>
          <w:color w:val="FFFFFF"/>
        </w:rPr>
        <w:t>Colors</w:t>
      </w:r>
      <w:r>
        <w:rPr>
          <w:rFonts w:ascii="Arial" w:cs="Arial" w:eastAsia="Arial" w:hAnsi="Arial"/>
          <w:sz w:val="20"/>
          <w:szCs w:val="20"/>
          <w:color w:val="FFFFFF"/>
        </w:rPr>
        <w:t xml:space="preserve"> </w:t>
      </w:r>
      <w:r>
        <w:rPr>
          <w:rFonts w:ascii="Arial" w:cs="Arial" w:eastAsia="Arial" w:hAnsi="Arial"/>
          <w:sz w:val="20"/>
          <w:szCs w:val="20"/>
          <w:i w:val="1"/>
          <w:iCs w:val="1"/>
          <w:color w:val="FFFFFF"/>
        </w:rPr>
        <w:t xml:space="preserve">of SM </w:t>
      </w:r>
      <w:r>
        <w:rPr>
          <w:rFonts w:ascii="Arial" w:cs="Arial" w:eastAsia="Arial" w:hAnsi="Arial"/>
          <w:sz w:val="20"/>
          <w:szCs w:val="20"/>
          <w:color w:val="FFFFFF"/>
        </w:rPr>
        <w:t>demonstrate our ongoing commitment to</w:t>
      </w:r>
      <w:r>
        <w:rPr>
          <w:rFonts w:ascii="Arial" w:cs="Arial" w:eastAsia="Arial" w:hAnsi="Arial"/>
          <w:sz w:val="20"/>
          <w:szCs w:val="20"/>
          <w:i w:val="1"/>
          <w:iCs w:val="1"/>
          <w:color w:val="FFFFFF"/>
        </w:rPr>
        <w:t xml:space="preserve"> </w:t>
      </w:r>
      <w:r>
        <w:rPr>
          <w:rFonts w:ascii="Arial" w:cs="Arial" w:eastAsia="Arial" w:hAnsi="Arial"/>
          <w:sz w:val="20"/>
          <w:szCs w:val="20"/>
          <w:color w:val="FFFFFF"/>
        </w:rPr>
        <w:t>elevating patient voices and building a community of belonging, where those impacted by mast cell disease feel seen, heard and empowered.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20"/>
          <w:szCs w:val="20"/>
          <w:color w:val="FFFFFF"/>
        </w:rPr>
        <w:t>As we look ahead, we remain steadfast in translating insights into innovation. What we’ve learned from SM is guiding our efforts across a broader spectrum of allergic and inflammatory diseases — expanding the impact of our science while staying rooted in the experiences of the patients we serve. Every step forward is driven by a shared goal: to bring forward life- changing therapies that improve lives and reflect the needs of those at the heart of it all.</w:t>
      </w:r>
    </w:p>
    <w:p>
      <w:pPr>
        <w:spacing w:after="0" w:line="1247" w:lineRule="exact"/>
        <w:rPr>
          <w:sz w:val="20"/>
          <w:szCs w:val="20"/>
          <w:color w:val="auto"/>
        </w:rPr>
      </w:pPr>
    </w:p>
    <w:p>
      <w:pPr>
        <w:sectPr>
          <w:pgSz w:w="12240" w:h="15840" w:orient="portrait"/>
          <w:cols w:equalWidth="0" w:num="3">
            <w:col w:w="161" w:space="306"/>
            <w:col w:w="4840" w:space="380"/>
            <w:col w:w="4840"/>
          </w:cols>
          <w:pgMar w:left="613" w:top="969" w:right="1100" w:bottom="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2127" w:right="1640"/>
        <w:spacing w:after="0" w:line="305" w:lineRule="auto"/>
        <w:rPr>
          <w:sz w:val="20"/>
          <w:szCs w:val="20"/>
          <w:color w:val="auto"/>
        </w:rPr>
      </w:pPr>
      <w:r>
        <w:rPr>
          <w:rFonts w:ascii="Arial" w:cs="Arial" w:eastAsia="Arial" w:hAnsi="Arial"/>
          <w:sz w:val="20"/>
          <w:szCs w:val="20"/>
          <w:color w:val="FFFFFF"/>
        </w:rPr>
        <w:t xml:space="preserve">To learn more about the lives of people affected by SM, visit </w:t>
      </w:r>
      <w:r>
        <w:rPr>
          <w:rFonts w:ascii="Arial" w:cs="Arial" w:eastAsia="Arial" w:hAnsi="Arial"/>
          <w:sz w:val="20"/>
          <w:szCs w:val="20"/>
          <w:b w:val="1"/>
          <w:bCs w:val="1"/>
          <w:color w:val="FFFFFF"/>
        </w:rPr>
        <w:t>ColorsofSM.com</w:t>
      </w:r>
      <w:r>
        <w:rPr>
          <w:rFonts w:ascii="Arial" w:cs="Arial" w:eastAsia="Arial" w:hAnsi="Arial"/>
          <w:sz w:val="20"/>
          <w:szCs w:val="20"/>
          <w:color w:val="FFFFFF"/>
        </w:rPr>
        <w:t xml:space="preserve"> More artwork and stories to be revealed in 2025.</w:t>
      </w:r>
    </w:p>
    <w:p>
      <w:pPr>
        <w:sectPr>
          <w:pgSz w:w="12240" w:h="15840" w:orient="portrait"/>
          <w:cols w:equalWidth="0" w:num="1">
            <w:col w:w="10527"/>
          </w:cols>
          <w:pgMar w:left="613" w:top="969" w:right="1100" w:bottom="0" w:gutter="0" w:footer="0" w:header="0"/>
          <w:type w:val="continuous"/>
        </w:sectPr>
      </w:pPr>
    </w:p>
    <w:p>
      <w:pPr>
        <w:spacing w:after="0" w:line="1"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FFFFFF"/>
        </w:rPr>
        <w:t>5</w:t>
      </w:r>
    </w:p>
    <w:p>
      <w:pPr>
        <w:sectPr>
          <w:pgSz w:w="12240" w:h="15840" w:orient="portrait"/>
          <w:cols w:equalWidth="0" w:num="1">
            <w:col w:w="10527"/>
          </w:cols>
          <w:pgMar w:left="613" w:top="969" w:right="1100" w:bottom="0" w:gutter="0" w:footer="0" w:header="0"/>
          <w:type w:val="continuous"/>
        </w:sectPr>
      </w:pPr>
    </w:p>
    <w:bookmarkStart w:id="5" w:name="page6"/>
    <w:bookmarkEnd w:id="5"/>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3360"/>
        </w:trPr>
        <w:tc>
          <w:tcPr>
            <w:tcW w:w="161" w:type="dxa"/>
            <w:vAlign w:val="bottom"/>
            <w:textDirection w:val="btLr"/>
          </w:tcPr>
          <w:p>
            <w:pPr>
              <w:spacing w:after="0"/>
              <w:rPr>
                <w:sz w:val="20"/>
                <w:szCs w:val="20"/>
                <w:color w:val="auto"/>
              </w:rPr>
            </w:pPr>
            <w:r>
              <w:rPr>
                <w:rFonts w:ascii="Arial" w:cs="Arial" w:eastAsia="Arial" w:hAnsi="Arial"/>
                <w:sz w:val="14"/>
                <w:szCs w:val="14"/>
                <w:color w:val="auto"/>
              </w:rPr>
              <w:t>BLUEPRINT MEDICINES 2024 ANNUAL REPORT</w:t>
            </w:r>
          </w:p>
        </w:tc>
      </w:tr>
    </w:tbl>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36"/>
          <w:szCs w:val="36"/>
          <w:color w:val="006E96"/>
        </w:rPr>
        <w:t>Blueprint Medicines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-869315</wp:posOffset>
            </wp:positionV>
            <wp:extent cx="7772400" cy="10058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301"/>
        </w:trPr>
        <w:tc>
          <w:tcPr>
            <w:tcW w:w="2720" w:type="dxa"/>
            <w:vAlign w:val="bottom"/>
          </w:tcPr>
          <w:p>
            <w:pPr>
              <w:spacing w:after="0"/>
              <w:rPr>
                <w:sz w:val="20"/>
                <w:szCs w:val="20"/>
                <w:color w:val="auto"/>
              </w:rPr>
            </w:pPr>
            <w:r>
              <w:rPr>
                <w:rFonts w:ascii="Arial" w:cs="Arial" w:eastAsia="Arial" w:hAnsi="Arial"/>
                <w:sz w:val="24"/>
                <w:szCs w:val="24"/>
                <w:color w:val="007096"/>
              </w:rPr>
              <w:t>Mast cell disorders</w:t>
            </w:r>
          </w:p>
        </w:tc>
        <w:tc>
          <w:tcPr>
            <w:tcW w:w="1820" w:type="dxa"/>
            <w:vAlign w:val="bottom"/>
            <w:vMerge w:val="restart"/>
          </w:tcPr>
          <w:p>
            <w:pPr>
              <w:ind w:left="620"/>
              <w:spacing w:after="0"/>
              <w:rPr>
                <w:sz w:val="20"/>
                <w:szCs w:val="20"/>
                <w:color w:val="auto"/>
              </w:rPr>
            </w:pPr>
            <w:r>
              <w:rPr>
                <w:rFonts w:ascii="Arial" w:cs="Arial" w:eastAsia="Arial" w:hAnsi="Arial"/>
                <w:sz w:val="14"/>
                <w:szCs w:val="14"/>
                <w:color w:val="8E847A"/>
              </w:rPr>
              <w:t>DISCOVERY</w:t>
            </w:r>
          </w:p>
        </w:tc>
        <w:tc>
          <w:tcPr>
            <w:tcW w:w="1740" w:type="dxa"/>
            <w:vAlign w:val="bottom"/>
          </w:tcPr>
          <w:p>
            <w:pPr>
              <w:jc w:val="center"/>
              <w:spacing w:after="0"/>
              <w:rPr>
                <w:sz w:val="20"/>
                <w:szCs w:val="20"/>
                <w:color w:val="auto"/>
              </w:rPr>
            </w:pPr>
            <w:r>
              <w:rPr>
                <w:rFonts w:ascii="Arial" w:cs="Arial" w:eastAsia="Arial" w:hAnsi="Arial"/>
                <w:sz w:val="14"/>
                <w:szCs w:val="14"/>
                <w:color w:val="8E847A"/>
                <w:w w:val="96"/>
              </w:rPr>
              <w:t>EARLY STAGE</w:t>
            </w:r>
          </w:p>
        </w:tc>
        <w:tc>
          <w:tcPr>
            <w:tcW w:w="1700" w:type="dxa"/>
            <w:vAlign w:val="bottom"/>
          </w:tcPr>
          <w:p>
            <w:pPr>
              <w:jc w:val="center"/>
              <w:spacing w:after="0"/>
              <w:rPr>
                <w:sz w:val="20"/>
                <w:szCs w:val="20"/>
                <w:color w:val="auto"/>
              </w:rPr>
            </w:pPr>
            <w:r>
              <w:rPr>
                <w:rFonts w:ascii="Arial" w:cs="Arial" w:eastAsia="Arial" w:hAnsi="Arial"/>
                <w:sz w:val="14"/>
                <w:szCs w:val="14"/>
                <w:color w:val="8E847A"/>
                <w:w w:val="99"/>
              </w:rPr>
              <w:t>LATE STAGE</w:t>
            </w:r>
          </w:p>
        </w:tc>
        <w:tc>
          <w:tcPr>
            <w:tcW w:w="1300" w:type="dxa"/>
            <w:vAlign w:val="bottom"/>
            <w:vMerge w:val="restart"/>
          </w:tcPr>
          <w:p>
            <w:pPr>
              <w:ind w:left="320"/>
              <w:spacing w:after="0"/>
              <w:rPr>
                <w:sz w:val="20"/>
                <w:szCs w:val="20"/>
                <w:color w:val="auto"/>
              </w:rPr>
            </w:pPr>
            <w:r>
              <w:rPr>
                <w:rFonts w:ascii="Arial" w:cs="Arial" w:eastAsia="Arial" w:hAnsi="Arial"/>
                <w:sz w:val="14"/>
                <w:szCs w:val="14"/>
                <w:color w:val="8E847A"/>
              </w:rPr>
              <w:t>COMMERCIAL</w:t>
            </w: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color w:val="8E847A"/>
              </w:rPr>
              <w:t>DEVELOPMENT</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8E847A"/>
              </w:rPr>
              <w:t>DEVELOPMENT</w:t>
            </w: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7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AYVAKIT</w:t>
      </w:r>
      <w:r>
        <w:rPr>
          <w:rFonts w:ascii="Arial" w:cs="Arial" w:eastAsia="Arial" w:hAnsi="Arial"/>
          <w:sz w:val="9"/>
          <w:szCs w:val="9"/>
          <w:color w:val="00263D"/>
        </w:rPr>
        <w:t>®</w:t>
      </w:r>
      <w:r>
        <w:rPr>
          <w:rFonts w:ascii="Arial" w:cs="Arial" w:eastAsia="Arial" w:hAnsi="Arial"/>
          <w:sz w:val="16"/>
          <w:szCs w:val="16"/>
          <w:color w:val="00263D"/>
        </w:rPr>
        <w:t xml:space="preserve"> (avapritinib): KIT D816V</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Indolent SM</w:t>
      </w:r>
      <w:r>
        <w:rPr>
          <w:rFonts w:ascii="Arial" w:cs="Arial" w:eastAsia="Arial" w:hAnsi="Arial"/>
          <w:sz w:val="9"/>
          <w:szCs w:val="9"/>
          <w:color w:val="00263D"/>
        </w:rPr>
        <w:t>1,2</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Advanced SM</w:t>
      </w:r>
      <w:r>
        <w:rPr>
          <w:rFonts w:ascii="Arial" w:cs="Arial" w:eastAsia="Arial" w:hAnsi="Arial"/>
          <w:sz w:val="9"/>
          <w:szCs w:val="9"/>
          <w:color w:val="00263D"/>
        </w:rPr>
        <w:t>1,3</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Elenestinib (next gen): KIT D816V</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Indolent SM</w:t>
      </w: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BLU-808: Wild-type KIT</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Mast cell disorders</w:t>
      </w:r>
    </w:p>
    <w:p>
      <w:pPr>
        <w:spacing w:after="0" w:line="392"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Undisclosed mast cell targets/</w:t>
      </w:r>
    </w:p>
    <w:p>
      <w:pPr>
        <w:ind w:left="300"/>
        <w:spacing w:after="0"/>
        <w:rPr>
          <w:sz w:val="20"/>
          <w:szCs w:val="20"/>
          <w:color w:val="auto"/>
        </w:rPr>
      </w:pPr>
      <w:r>
        <w:rPr>
          <w:rFonts w:ascii="Arial" w:cs="Arial" w:eastAsia="Arial" w:hAnsi="Arial"/>
          <w:sz w:val="16"/>
          <w:szCs w:val="16"/>
          <w:color w:val="00263D"/>
        </w:rPr>
        <w:t>modalities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007096"/>
        </w:rPr>
        <w:t>Solid tumors</w:t>
      </w: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AYVAKIT (avapritinib): PDGFRA</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PDGFRA GIST</w:t>
      </w:r>
      <w:r>
        <w:rPr>
          <w:rFonts w:ascii="Arial" w:cs="Arial" w:eastAsia="Arial" w:hAnsi="Arial"/>
          <w:sz w:val="9"/>
          <w:szCs w:val="9"/>
          <w:color w:val="00263D"/>
        </w:rPr>
        <w:t>1,4</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BLU-956 (next gen): CDK2</w:t>
      </w:r>
    </w:p>
    <w:p>
      <w:pPr>
        <w:spacing w:after="0" w:line="12" w:lineRule="exact"/>
        <w:rPr>
          <w:sz w:val="20"/>
          <w:szCs w:val="20"/>
          <w:color w:val="auto"/>
        </w:rPr>
      </w:pPr>
    </w:p>
    <w:p>
      <w:pPr>
        <w:ind w:left="420" w:hanging="120"/>
        <w:spacing w:after="0"/>
        <w:tabs>
          <w:tab w:leader="none" w:pos="420" w:val="left"/>
        </w:tabs>
        <w:numPr>
          <w:ilvl w:val="0"/>
          <w:numId w:val="5"/>
        </w:numPr>
        <w:rPr>
          <w:rFonts w:ascii="Arial" w:cs="Arial" w:eastAsia="Arial" w:hAnsi="Arial"/>
          <w:sz w:val="16"/>
          <w:szCs w:val="16"/>
          <w:color w:val="B8D87A"/>
        </w:rPr>
      </w:pPr>
      <w:r>
        <w:rPr>
          <w:rFonts w:ascii="Arial" w:cs="Arial" w:eastAsia="Arial" w:hAnsi="Arial"/>
          <w:sz w:val="16"/>
          <w:szCs w:val="16"/>
          <w:color w:val="00263D"/>
        </w:rPr>
        <w:t>HR+, HER2- breast cancer</w:t>
      </w:r>
    </w:p>
    <w:p>
      <w:pPr>
        <w:ind w:left="420"/>
        <w:spacing w:after="0"/>
        <w:rPr>
          <w:rFonts w:ascii="Arial" w:cs="Arial" w:eastAsia="Arial" w:hAnsi="Arial"/>
          <w:sz w:val="16"/>
          <w:szCs w:val="16"/>
          <w:color w:val="B8D87A"/>
        </w:rPr>
      </w:pPr>
      <w:r>
        <w:rPr>
          <w:rFonts w:ascii="Arial" w:cs="Arial" w:eastAsia="Arial" w:hAnsi="Arial"/>
          <w:sz w:val="16"/>
          <w:szCs w:val="16"/>
          <w:color w:val="00263D"/>
        </w:rPr>
        <w:t>and other CCNE1+ solid tumors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Targeted protein degrader: CDK2</w:t>
      </w:r>
    </w:p>
    <w:p>
      <w:pPr>
        <w:spacing w:after="0" w:line="12" w:lineRule="exact"/>
        <w:rPr>
          <w:sz w:val="20"/>
          <w:szCs w:val="20"/>
          <w:color w:val="auto"/>
        </w:rPr>
      </w:pPr>
    </w:p>
    <w:p>
      <w:pPr>
        <w:ind w:left="420" w:hanging="120"/>
        <w:spacing w:after="0"/>
        <w:tabs>
          <w:tab w:leader="none" w:pos="420" w:val="left"/>
        </w:tabs>
        <w:numPr>
          <w:ilvl w:val="0"/>
          <w:numId w:val="6"/>
        </w:numPr>
        <w:rPr>
          <w:rFonts w:ascii="Arial" w:cs="Arial" w:eastAsia="Arial" w:hAnsi="Arial"/>
          <w:sz w:val="16"/>
          <w:szCs w:val="16"/>
          <w:color w:val="B8D87A"/>
        </w:rPr>
      </w:pPr>
      <w:r>
        <w:rPr>
          <w:rFonts w:ascii="Arial" w:cs="Arial" w:eastAsia="Arial" w:hAnsi="Arial"/>
          <w:sz w:val="16"/>
          <w:szCs w:val="16"/>
          <w:color w:val="00263D"/>
        </w:rPr>
        <w:t>HR+, HER2- breast cancer</w:t>
      </w:r>
    </w:p>
    <w:p>
      <w:pPr>
        <w:ind w:left="420"/>
        <w:spacing w:after="0"/>
        <w:rPr>
          <w:rFonts w:ascii="Arial" w:cs="Arial" w:eastAsia="Arial" w:hAnsi="Arial"/>
          <w:sz w:val="16"/>
          <w:szCs w:val="16"/>
          <w:color w:val="B8D87A"/>
        </w:rPr>
      </w:pPr>
      <w:r>
        <w:rPr>
          <w:rFonts w:ascii="Arial" w:cs="Arial" w:eastAsia="Arial" w:hAnsi="Arial"/>
          <w:sz w:val="16"/>
          <w:szCs w:val="16"/>
          <w:color w:val="00263D"/>
        </w:rPr>
        <w:t>and other CCNE1+ solid tumors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Targeted protein degrader: CDK4</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B8D87A"/>
        </w:rPr>
        <w:t xml:space="preserve">» </w:t>
      </w:r>
      <w:r>
        <w:rPr>
          <w:rFonts w:ascii="Arial" w:cs="Arial" w:eastAsia="Arial" w:hAnsi="Arial"/>
          <w:sz w:val="16"/>
          <w:szCs w:val="16"/>
          <w:color w:val="00263D"/>
        </w:rPr>
        <w:t>HR+, HER2- breast cancer</w:t>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24"/>
          <w:szCs w:val="24"/>
          <w:color w:val="007096"/>
        </w:rPr>
        <w:t>Additional research</w:t>
      </w: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Arial" w:cs="Arial" w:eastAsia="Arial" w:hAnsi="Arial"/>
          <w:sz w:val="16"/>
          <w:szCs w:val="16"/>
          <w:color w:val="00263D"/>
        </w:rPr>
        <w:t>Programs undisclosed</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55565A"/>
        </w:rPr>
        <w:t>Updated as of February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8"/>
          <w:szCs w:val="8"/>
          <w:color w:val="55565A"/>
        </w:rPr>
        <w:t>1</w:t>
      </w:r>
      <w:r>
        <w:rPr>
          <w:rFonts w:ascii="Arial" w:cs="Arial" w:eastAsia="Arial" w:hAnsi="Arial"/>
          <w:sz w:val="14"/>
          <w:szCs w:val="14"/>
          <w:color w:val="55565A"/>
        </w:rPr>
        <w:t>CStone Pharmaceuticals has exclusive rights to develop and commercialize avapritinib in Greater China.</w:t>
      </w:r>
    </w:p>
    <w:p>
      <w:pPr>
        <w:spacing w:after="0" w:line="85" w:lineRule="exact"/>
        <w:rPr>
          <w:sz w:val="20"/>
          <w:szCs w:val="20"/>
          <w:color w:val="auto"/>
        </w:rPr>
      </w:pPr>
    </w:p>
    <w:p>
      <w:pPr>
        <w:ind w:left="40" w:right="780" w:hanging="49"/>
        <w:spacing w:after="0" w:line="226" w:lineRule="auto"/>
        <w:rPr>
          <w:sz w:val="20"/>
          <w:szCs w:val="20"/>
          <w:color w:val="auto"/>
        </w:rPr>
      </w:pPr>
      <w:r>
        <w:rPr>
          <w:rFonts w:ascii="Arial" w:cs="Arial" w:eastAsia="Arial" w:hAnsi="Arial"/>
          <w:sz w:val="8"/>
          <w:szCs w:val="8"/>
          <w:color w:val="55565A"/>
        </w:rPr>
        <w:t>2</w:t>
      </w:r>
      <w:r>
        <w:rPr>
          <w:rFonts w:ascii="Arial" w:cs="Arial" w:eastAsia="Arial" w:hAnsi="Arial"/>
          <w:sz w:val="14"/>
          <w:szCs w:val="14"/>
          <w:color w:val="55565A"/>
        </w:rPr>
        <w:t>Approved in the U.S. for adults with indolent SM. Approved in Europe (AYVAKYT</w:t>
      </w:r>
      <w:r>
        <w:rPr>
          <w:rFonts w:ascii="Arial" w:cs="Arial" w:eastAsia="Arial" w:hAnsi="Arial"/>
          <w:sz w:val="18"/>
          <w:szCs w:val="18"/>
          <w:color w:val="55565A"/>
          <w:vertAlign w:val="superscript"/>
        </w:rPr>
        <w:t>®</w:t>
      </w:r>
      <w:r>
        <w:rPr>
          <w:rFonts w:ascii="Arial" w:cs="Arial" w:eastAsia="Arial" w:hAnsi="Arial"/>
          <w:sz w:val="14"/>
          <w:szCs w:val="14"/>
          <w:color w:val="55565A"/>
        </w:rPr>
        <w:t>) for adults with indolent SM with moderate to severe symptoms</w:t>
      </w:r>
      <w:r>
        <w:rPr>
          <w:rFonts w:ascii="Arial" w:cs="Arial" w:eastAsia="Arial" w:hAnsi="Arial"/>
          <w:sz w:val="8"/>
          <w:szCs w:val="8"/>
          <w:color w:val="55565A"/>
        </w:rPr>
        <w:t xml:space="preserve"> </w:t>
      </w:r>
      <w:r>
        <w:rPr>
          <w:rFonts w:ascii="Arial" w:cs="Arial" w:eastAsia="Arial" w:hAnsi="Arial"/>
          <w:sz w:val="14"/>
          <w:szCs w:val="14"/>
          <w:color w:val="55565A"/>
        </w:rPr>
        <w:t>inadequately controlled on symptomatic treatment.</w:t>
      </w:r>
    </w:p>
    <w:p>
      <w:pPr>
        <w:spacing w:after="0" w:line="37" w:lineRule="exact"/>
        <w:rPr>
          <w:sz w:val="20"/>
          <w:szCs w:val="20"/>
          <w:color w:val="auto"/>
        </w:rPr>
      </w:pPr>
    </w:p>
    <w:p>
      <w:pPr>
        <w:ind w:left="40" w:right="720" w:hanging="49"/>
        <w:spacing w:after="0" w:line="272" w:lineRule="auto"/>
        <w:rPr>
          <w:sz w:val="20"/>
          <w:szCs w:val="20"/>
          <w:color w:val="auto"/>
        </w:rPr>
      </w:pPr>
      <w:r>
        <w:rPr>
          <w:rFonts w:ascii="Arial" w:cs="Arial" w:eastAsia="Arial" w:hAnsi="Arial"/>
          <w:sz w:val="8"/>
          <w:szCs w:val="8"/>
          <w:color w:val="55565A"/>
        </w:rPr>
        <w:t>3</w:t>
      </w:r>
      <w:r>
        <w:rPr>
          <w:rFonts w:ascii="Arial" w:cs="Arial" w:eastAsia="Arial" w:hAnsi="Arial"/>
          <w:sz w:val="14"/>
          <w:szCs w:val="14"/>
          <w:color w:val="55565A"/>
        </w:rPr>
        <w:t>Approved in the U.S. for adults with advanced SM, including aggressive SM (ASM), SM with an associated hematological neoplasm (SM-AHN) and</w:t>
      </w:r>
      <w:r>
        <w:rPr>
          <w:rFonts w:ascii="Arial" w:cs="Arial" w:eastAsia="Arial" w:hAnsi="Arial"/>
          <w:sz w:val="8"/>
          <w:szCs w:val="8"/>
          <w:color w:val="55565A"/>
        </w:rPr>
        <w:t xml:space="preserve"> </w:t>
      </w:r>
      <w:r>
        <w:rPr>
          <w:rFonts w:ascii="Arial" w:cs="Arial" w:eastAsia="Arial" w:hAnsi="Arial"/>
          <w:sz w:val="14"/>
          <w:szCs w:val="14"/>
          <w:color w:val="55565A"/>
        </w:rPr>
        <w:t>mast cell leukemia (MCL). Approved in Europe (AYVAKYT) for adults with ASM, SM-AHN or MCL, after at least one systemic therapy.</w:t>
      </w:r>
    </w:p>
    <w:p>
      <w:pPr>
        <w:spacing w:after="0" w:line="14" w:lineRule="exact"/>
        <w:rPr>
          <w:sz w:val="20"/>
          <w:szCs w:val="20"/>
          <w:color w:val="auto"/>
        </w:rPr>
      </w:pPr>
    </w:p>
    <w:p>
      <w:pPr>
        <w:spacing w:after="0"/>
        <w:rPr>
          <w:sz w:val="20"/>
          <w:szCs w:val="20"/>
          <w:color w:val="auto"/>
        </w:rPr>
      </w:pPr>
      <w:r>
        <w:rPr>
          <w:rFonts w:ascii="Arial" w:cs="Arial" w:eastAsia="Arial" w:hAnsi="Arial"/>
          <w:sz w:val="8"/>
          <w:szCs w:val="8"/>
          <w:color w:val="55565A"/>
        </w:rPr>
        <w:t>4</w:t>
      </w:r>
      <w:r>
        <w:rPr>
          <w:rFonts w:ascii="Arial" w:cs="Arial" w:eastAsia="Arial" w:hAnsi="Arial"/>
          <w:sz w:val="14"/>
          <w:szCs w:val="14"/>
          <w:color w:val="55565A"/>
        </w:rPr>
        <w:t>Approved in the U.S. for adults with unresectable or metastatic GIST harboring a PDGFRA exon 18 mutation, including PDGFRA D842V mutations.</w:t>
      </w:r>
    </w:p>
    <w:p>
      <w:pPr>
        <w:ind w:left="40"/>
        <w:spacing w:after="0"/>
        <w:rPr>
          <w:sz w:val="20"/>
          <w:szCs w:val="20"/>
          <w:color w:val="auto"/>
        </w:rPr>
      </w:pPr>
      <w:r>
        <w:rPr>
          <w:rFonts w:ascii="Arial" w:cs="Arial" w:eastAsia="Arial" w:hAnsi="Arial"/>
          <w:sz w:val="14"/>
          <w:szCs w:val="14"/>
          <w:color w:val="55565A"/>
        </w:rPr>
        <w:t>Approved in Europe (AYVAKYT) for adults with unresectable or metastatic GIST harboring the PDGFRA D842V mutation.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55565A"/>
        </w:rPr>
        <w:t>GIST = gastrointestinal stromal tumors. SM = systemic mastocytosis.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55565A"/>
        </w:rPr>
        <w:t>Blueprint Medicines, AYVAKIT, AYVAKYT and associated logos are trademarks of Blueprint Medicines Corporation.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55565A"/>
        </w:rPr>
        <w:t>Not for promotional use.</w:t>
      </w:r>
    </w:p>
    <w:p>
      <w:pPr>
        <w:spacing w:after="0" w:line="200" w:lineRule="exact"/>
        <w:rPr>
          <w:sz w:val="20"/>
          <w:szCs w:val="20"/>
          <w:color w:val="auto"/>
        </w:rPr>
      </w:pPr>
    </w:p>
    <w:p>
      <w:pPr>
        <w:sectPr>
          <w:pgSz w:w="12240" w:h="15840" w:orient="portrait"/>
          <w:cols w:equalWidth="0" w:num="2">
            <w:col w:w="161" w:space="266"/>
            <w:col w:w="10120"/>
          </w:cols>
          <w:pgMar w:left="613" w:top="955" w:right="1080" w:bottom="0" w:gutter="0" w:footer="0" w:header="0"/>
        </w:sectPr>
      </w:pPr>
    </w:p>
    <w:p>
      <w:pPr>
        <w:spacing w:after="0" w:line="193"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006E96"/>
        </w:rPr>
        <w:t>6</w:t>
      </w:r>
    </w:p>
    <w:p>
      <w:pPr>
        <w:sectPr>
          <w:pgSz w:w="12240" w:h="15840" w:orient="portrait"/>
          <w:cols w:equalWidth="0" w:num="1">
            <w:col w:w="10547"/>
          </w:cols>
          <w:pgMar w:left="613" w:top="955" w:right="1080"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328295</wp:posOffset>
                </wp:positionH>
                <wp:positionV relativeFrom="page">
                  <wp:posOffset>367030</wp:posOffset>
                </wp:positionV>
                <wp:extent cx="71151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28.9pt" to="586.1pt,28.9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328295</wp:posOffset>
                </wp:positionH>
                <wp:positionV relativeFrom="page">
                  <wp:posOffset>400050</wp:posOffset>
                </wp:positionV>
                <wp:extent cx="71151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31.5pt" to="586.1pt,31.5pt" o:allowincell="f" strokecolor="#000000" strokeweight="0.7199pt">
                <w10:wrap anchorx="page" anchory="page"/>
              </v:line>
            </w:pict>
          </mc:Fallback>
        </mc:AlternateContent>
        <w:t>UNITED STATES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122555</wp:posOffset>
                </wp:positionV>
                <wp:extent cx="17703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9.65pt" to="348.6pt,9.65pt" o:allowincell="f" strokecolor="#000000" strokeweight="1.02pt"/>
            </w:pict>
          </mc:Fallback>
        </mc:AlternateConten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137795</wp:posOffset>
                </wp:positionV>
                <wp:extent cx="17703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10.85pt" to="348.6pt,10.85pt" o:allowincell="f" strokecolor="#000000" strokeweight="1.02pt"/>
            </w:pict>
          </mc:Fallback>
        </mc:AlternateConten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1" w:lineRule="exact"/>
        <w:rPr>
          <w:sz w:val="20"/>
          <w:szCs w:val="20"/>
          <w:color w:val="auto"/>
        </w:rPr>
      </w:pPr>
    </w:p>
    <w:p>
      <w:pPr>
        <w:ind w:left="4060" w:right="1900" w:hanging="3348"/>
        <w:spacing w:after="0" w:line="399" w:lineRule="auto"/>
        <w:tabs>
          <w:tab w:leader="none" w:pos="1407" w:val="left"/>
        </w:tabs>
        <w:numPr>
          <w:ilvl w:val="0"/>
          <w:numId w:val="7"/>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78" w:lineRule="exact"/>
        <w:rPr>
          <w:sz w:val="20"/>
          <w:szCs w:val="20"/>
          <w:color w:val="auto"/>
        </w:rPr>
      </w:pPr>
    </w:p>
    <w:p>
      <w:pPr>
        <w:ind w:left="1420" w:hanging="708"/>
        <w:spacing w:after="0"/>
        <w:tabs>
          <w:tab w:leader="none" w:pos="1420" w:val="left"/>
        </w:tabs>
        <w:numPr>
          <w:ilvl w:val="0"/>
          <w:numId w:val="8"/>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4580" w:type="dxa"/>
            <w:vAlign w:val="bottom"/>
            <w:gridSpan w:val="3"/>
          </w:tcPr>
          <w:p>
            <w:pPr>
              <w:ind w:left="262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106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w:t>
            </w:r>
          </w:p>
        </w:tc>
        <w:tc>
          <w:tcPr>
            <w:tcW w:w="12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700" w:type="dxa"/>
            <w:vAlign w:val="bottom"/>
            <w:gridSpan w:val="4"/>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Commission File Number: 001-37359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gridSpan w:val="4"/>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880" w:type="dxa"/>
            <w:vAlign w:val="bottom"/>
          </w:tcPr>
          <w:p>
            <w:pPr>
              <w:spacing w:after="0"/>
              <w:rPr>
                <w:sz w:val="24"/>
                <w:szCs w:val="24"/>
                <w:color w:val="auto"/>
              </w:rPr>
            </w:pPr>
          </w:p>
        </w:tc>
        <w:tc>
          <w:tcPr>
            <w:tcW w:w="7440" w:type="dxa"/>
            <w:vAlign w:val="bottom"/>
            <w:gridSpan w:val="11"/>
          </w:tcPr>
          <w:p>
            <w:pPr>
              <w:jc w:val="center"/>
              <w:ind w:left="1157"/>
              <w:spacing w:after="0"/>
              <w:rPr>
                <w:sz w:val="20"/>
                <w:szCs w:val="20"/>
                <w:color w:val="auto"/>
              </w:rPr>
            </w:pPr>
            <w:r>
              <w:rPr>
                <w:rFonts w:ascii="Times New Roman" w:cs="Times New Roman" w:eastAsia="Times New Roman" w:hAnsi="Times New Roman"/>
                <w:sz w:val="24"/>
                <w:szCs w:val="24"/>
                <w:b w:val="1"/>
                <w:bCs w:val="1"/>
                <w:color w:val="auto"/>
                <w:w w:val="99"/>
              </w:rPr>
              <w:t>BLUEPRINT MEDICINES CORPORATION</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p>
        </w:tc>
        <w:tc>
          <w:tcPr>
            <w:tcW w:w="7440" w:type="dxa"/>
            <w:vAlign w:val="bottom"/>
            <w:gridSpan w:val="11"/>
          </w:tcPr>
          <w:p>
            <w:pPr>
              <w:jc w:val="center"/>
              <w:ind w:left="1157"/>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3"/>
                <w:szCs w:val="23"/>
                <w:color w:val="auto"/>
              </w:rPr>
            </w:pPr>
          </w:p>
        </w:tc>
        <w:tc>
          <w:tcPr>
            <w:tcW w:w="37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60" w:type="dxa"/>
            <w:vAlign w:val="bottom"/>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26-3632015</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37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700" w:type="dxa"/>
            <w:vAlign w:val="bottom"/>
            <w:gridSpan w:val="2"/>
          </w:tcPr>
          <w:p>
            <w:pPr>
              <w:ind w:left="72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37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45 Sidney Street</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37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Cambridge, MA</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02139</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i w:val="1"/>
                <w:iCs w:val="1"/>
                <w:color w:val="auto"/>
              </w:rPr>
              <w:t>(Zip Code)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80" w:type="dxa"/>
            <w:vAlign w:val="bottom"/>
          </w:tcPr>
          <w:p>
            <w:pPr>
              <w:spacing w:after="0"/>
              <w:rPr>
                <w:sz w:val="22"/>
                <w:szCs w:val="22"/>
                <w:color w:val="auto"/>
              </w:rPr>
            </w:pPr>
          </w:p>
        </w:tc>
        <w:tc>
          <w:tcPr>
            <w:tcW w:w="7440" w:type="dxa"/>
            <w:vAlign w:val="bottom"/>
            <w:gridSpan w:val="11"/>
          </w:tcPr>
          <w:p>
            <w:pPr>
              <w:jc w:val="center"/>
              <w:ind w:left="1157"/>
              <w:spacing w:after="0"/>
              <w:rPr>
                <w:sz w:val="20"/>
                <w:szCs w:val="20"/>
                <w:color w:val="auto"/>
              </w:rPr>
            </w:pPr>
            <w:r>
              <w:rPr>
                <w:rFonts w:ascii="Times New Roman" w:cs="Times New Roman" w:eastAsia="Times New Roman" w:hAnsi="Times New Roman"/>
                <w:sz w:val="16"/>
                <w:szCs w:val="16"/>
                <w:i w:val="1"/>
                <w:iCs w:val="1"/>
                <w:color w:val="auto"/>
              </w:rPr>
              <w:t xml:space="preserve">Registrant’s telephone number, including area code: </w:t>
            </w:r>
            <w:r>
              <w:rPr>
                <w:rFonts w:ascii="Times New Roman" w:cs="Times New Roman" w:eastAsia="Times New Roman" w:hAnsi="Times New Roman"/>
                <w:sz w:val="16"/>
                <w:szCs w:val="16"/>
                <w:b w:val="1"/>
                <w:bCs w:val="1"/>
                <w:color w:val="auto"/>
              </w:rPr>
              <w:t>(617) 374-7580</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2"/>
                <w:szCs w:val="22"/>
                <w:color w:val="auto"/>
              </w:rPr>
            </w:pPr>
          </w:p>
        </w:tc>
        <w:tc>
          <w:tcPr>
            <w:tcW w:w="7440" w:type="dxa"/>
            <w:vAlign w:val="bottom"/>
            <w:gridSpan w:val="11"/>
          </w:tcPr>
          <w:p>
            <w:pPr>
              <w:jc w:val="center"/>
              <w:ind w:left="1157"/>
              <w:spacing w:after="0"/>
              <w:rPr>
                <w:sz w:val="20"/>
                <w:szCs w:val="20"/>
                <w:color w:val="auto"/>
              </w:rPr>
            </w:pPr>
            <w:r>
              <w:rPr>
                <w:rFonts w:ascii="Times New Roman" w:cs="Times New Roman" w:eastAsia="Times New Roman" w:hAnsi="Times New Roman"/>
                <w:sz w:val="16"/>
                <w:szCs w:val="16"/>
                <w:i w:val="1"/>
                <w:iCs w:val="1"/>
                <w:color w:val="auto"/>
                <w:w w:val="99"/>
              </w:rPr>
              <w:t>Securities registered pursuant to Section 12(b) of the Act:</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880" w:type="dxa"/>
            <w:vAlign w:val="bottom"/>
          </w:tcPr>
          <w:p>
            <w:pPr>
              <w:spacing w:after="0"/>
              <w:rPr>
                <w:sz w:val="9"/>
                <w:szCs w:val="9"/>
                <w:color w:val="auto"/>
              </w:rPr>
            </w:pPr>
          </w:p>
        </w:tc>
        <w:tc>
          <w:tcPr>
            <w:tcW w:w="3700" w:type="dxa"/>
            <w:vAlign w:val="bottom"/>
            <w:tcBorders>
              <w:bottom w:val="single" w:sz="8" w:color="auto"/>
            </w:tcBorders>
            <w:gridSpan w:val="2"/>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gridSpan w:val="7"/>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88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i w:val="1"/>
                <w:iCs w:val="1"/>
                <w:color w:val="auto"/>
                <w:w w:val="98"/>
              </w:rPr>
              <w:t>Title of Class</w:t>
            </w:r>
          </w:p>
        </w:tc>
        <w:tc>
          <w:tcPr>
            <w:tcW w:w="1540" w:type="dxa"/>
            <w:vAlign w:val="bottom"/>
            <w:tcBorders>
              <w:bottom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6"/>
                <w:szCs w:val="16"/>
                <w:i w:val="1"/>
                <w:iCs w:val="1"/>
                <w:color w:val="auto"/>
                <w:w w:val="99"/>
              </w:rPr>
              <w:t>Trading Symbols</w:t>
            </w:r>
          </w:p>
        </w:tc>
        <w:tc>
          <w:tcPr>
            <w:tcW w:w="40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gridSpan w:val="8"/>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Name of Exchange on Which Registered</w:t>
            </w:r>
          </w:p>
        </w:tc>
        <w:tc>
          <w:tcPr>
            <w:tcW w:w="0" w:type="dxa"/>
            <w:vAlign w:val="bottom"/>
          </w:tcPr>
          <w:p>
            <w:pPr>
              <w:spacing w:after="0"/>
              <w:rPr>
                <w:sz w:val="1"/>
                <w:szCs w:val="1"/>
                <w:color w:val="auto"/>
              </w:rPr>
            </w:pPr>
          </w:p>
        </w:tc>
      </w:tr>
      <w:tr>
        <w:trPr>
          <w:trHeight w:val="174"/>
        </w:trPr>
        <w:tc>
          <w:tcPr>
            <w:tcW w:w="88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Common Stock, par value $0.001 per share</w:t>
            </w:r>
          </w:p>
        </w:tc>
        <w:tc>
          <w:tcPr>
            <w:tcW w:w="1540" w:type="dxa"/>
            <w:vAlign w:val="bottom"/>
            <w:tcBorders>
              <w:bottom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BPMC</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right w:val="single" w:sz="8" w:color="auto"/>
            </w:tcBorders>
            <w:gridSpan w:val="5"/>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4"/>
                <w:szCs w:val="24"/>
                <w:color w:val="auto"/>
              </w:rPr>
            </w:pPr>
          </w:p>
        </w:tc>
        <w:tc>
          <w:tcPr>
            <w:tcW w:w="7440" w:type="dxa"/>
            <w:vAlign w:val="bottom"/>
            <w:gridSpan w:val="11"/>
          </w:tcPr>
          <w:p>
            <w:pPr>
              <w:jc w:val="center"/>
              <w:ind w:left="1157"/>
              <w:spacing w:after="0"/>
              <w:rPr>
                <w:sz w:val="20"/>
                <w:szCs w:val="20"/>
                <w:color w:val="auto"/>
              </w:rPr>
            </w:pPr>
            <w:r>
              <w:rPr>
                <w:rFonts w:ascii="Times New Roman" w:cs="Times New Roman" w:eastAsia="Times New Roman" w:hAnsi="Times New Roman"/>
                <w:sz w:val="16"/>
                <w:szCs w:val="16"/>
                <w:i w:val="1"/>
                <w:iCs w:val="1"/>
                <w:color w:val="auto"/>
                <w:w w:val="99"/>
              </w:rPr>
              <w:t xml:space="preserve">Securities registered pursuant to Section 12(g) of the Act: </w:t>
            </w:r>
            <w:r>
              <w:rPr>
                <w:rFonts w:ascii="Times New Roman" w:cs="Times New Roman" w:eastAsia="Times New Roman" w:hAnsi="Times New Roman"/>
                <w:sz w:val="16"/>
                <w:szCs w:val="16"/>
                <w:b w:val="1"/>
                <w:bCs w:val="1"/>
                <w:color w:val="auto"/>
                <w:w w:val="99"/>
              </w:rPr>
              <w:t>None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20" w:type="dxa"/>
            <w:vAlign w:val="bottom"/>
            <w:gridSpan w:val="2"/>
          </w:tcPr>
          <w:p>
            <w:pPr>
              <w:spacing w:after="0"/>
              <w:rPr>
                <w:sz w:val="10"/>
                <w:szCs w:val="10"/>
                <w:color w:val="auto"/>
              </w:rPr>
            </w:pPr>
          </w:p>
        </w:tc>
        <w:tc>
          <w:tcPr>
            <w:tcW w:w="2780" w:type="dxa"/>
            <w:vAlign w:val="bottom"/>
            <w:tcBorders>
              <w:bottom w:val="single" w:sz="8" w:color="auto"/>
            </w:tcBorders>
            <w:gridSpan w:val="5"/>
          </w:tcPr>
          <w:p>
            <w:pPr>
              <w:spacing w:after="0"/>
              <w:rPr>
                <w:sz w:val="10"/>
                <w:szCs w:val="10"/>
                <w:color w:val="auto"/>
              </w:rPr>
            </w:pPr>
          </w:p>
        </w:tc>
        <w:tc>
          <w:tcPr>
            <w:tcW w:w="1720" w:type="dxa"/>
            <w:vAlign w:val="bottom"/>
            <w:gridSpan w:val="5"/>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91"/>
        </w:trPr>
        <w:tc>
          <w:tcPr>
            <w:tcW w:w="83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w:t>
            </w: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3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Segoe UI Symbol" w:cs="Segoe UI Symbol" w:eastAsia="Segoe UI Symbol" w:hAnsi="Segoe UI Symbol"/>
                <w:sz w:val="16"/>
                <w:szCs w:val="16"/>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w:t>
            </w:r>
          </w:p>
        </w:tc>
        <w:tc>
          <w:tcPr>
            <w:tcW w:w="920" w:type="dxa"/>
            <w:vAlign w:val="bottom"/>
          </w:tcPr>
          <w:p>
            <w:pPr>
              <w:ind w:left="10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ind w:right="40" w:firstLine="36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Yes</w:t>
      </w:r>
      <w:r>
        <w:rPr>
          <w:sz w:val="20"/>
          <w:szCs w:val="20"/>
          <w:color w:val="auto"/>
        </w:rPr>
        <w:tab/>
      </w:r>
      <w:r>
        <w:rPr>
          <w:rFonts w:ascii="Segoe UI Symbol" w:cs="Segoe UI Symbol" w:eastAsia="Segoe UI Symbol" w:hAnsi="Segoe UI Symbol"/>
          <w:sz w:val="16"/>
          <w:szCs w:val="16"/>
          <w:color w:val="auto"/>
        </w:rPr>
        <w:t xml:space="preserve">☑  </w:t>
      </w:r>
      <w:r>
        <w:rPr>
          <w:rFonts w:ascii="Times New Roman" w:cs="Times New Roman" w:eastAsia="Times New Roman" w:hAnsi="Times New Roman"/>
          <w:sz w:val="16"/>
          <w:szCs w:val="16"/>
          <w:color w:val="auto"/>
        </w:rPr>
        <w:t>No</w:t>
      </w:r>
      <w:r>
        <w:rPr>
          <w:rFonts w:ascii="Segoe UI Symbol" w:cs="Segoe UI Symbol" w:eastAsia="Segoe UI Symbol" w:hAnsi="Segoe UI Symbol"/>
          <w:sz w:val="16"/>
          <w:szCs w:val="16"/>
          <w:color w:val="auto"/>
        </w:rPr>
        <w:t xml:space="preserve">  ☐</w:t>
      </w:r>
    </w:p>
    <w:p>
      <w:pPr>
        <w:spacing w:after="0" w:line="51" w:lineRule="exact"/>
        <w:rPr>
          <w:sz w:val="20"/>
          <w:szCs w:val="20"/>
          <w:color w:val="auto"/>
        </w:rPr>
      </w:pPr>
    </w:p>
    <w:p>
      <w:pPr>
        <w:ind w:right="80" w:firstLine="36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380" w:firstLine="36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2240" w:h="15840" w:orient="portrait"/>
          <w:cols w:equalWidth="0" w:num="1">
            <w:col w:w="11140"/>
          </w:cols>
          <w:pgMar w:left="540" w:top="650" w:right="560" w:bottom="446" w:gutter="0" w:footer="0" w:header="0"/>
        </w:sectPr>
      </w:pPr>
    </w:p>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Segoe UI Symbol" w:cs="Segoe UI Symbol" w:eastAsia="Segoe UI Symbol" w:hAnsi="Segoe UI Symbol"/>
          <w:sz w:val="16"/>
          <w:szCs w:val="16"/>
          <w:color w:val="auto"/>
        </w:rPr>
        <w:t>☑</w:t>
      </w:r>
    </w:p>
    <w:p>
      <w:pPr>
        <w:spacing w:after="0" w:line="43"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ind w:left="300"/>
        <w:spacing w:after="0"/>
        <w:tabs>
          <w:tab w:leader="none" w:pos="1480" w:val="left"/>
        </w:tabs>
        <w:rPr>
          <w:sz w:val="20"/>
          <w:szCs w:val="20"/>
          <w:color w:val="auto"/>
        </w:rPr>
      </w:pPr>
      <w:r>
        <w:rPr>
          <w:rFonts w:ascii="Times New Roman" w:cs="Times New Roman" w:eastAsia="Times New Roman" w:hAnsi="Times New Roman"/>
          <w:sz w:val="16"/>
          <w:szCs w:val="16"/>
          <w:color w:val="auto"/>
        </w:rPr>
        <w:t>Accelerated filer</w:t>
      </w:r>
      <w:r>
        <w:rPr>
          <w:sz w:val="20"/>
          <w:szCs w:val="20"/>
          <w:color w:val="auto"/>
        </w:rPr>
        <w:tab/>
      </w:r>
      <w:r>
        <w:rPr>
          <w:rFonts w:ascii="Segoe UI Symbol" w:cs="Segoe UI Symbol" w:eastAsia="Segoe UI Symbol" w:hAnsi="Segoe UI Symbol"/>
          <w:sz w:val="16"/>
          <w:szCs w:val="16"/>
          <w:color w:val="auto"/>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66"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83" w:lineRule="exact"/>
        <w:rPr>
          <w:sz w:val="20"/>
          <w:szCs w:val="20"/>
          <w:color w:val="auto"/>
        </w:rPr>
      </w:pPr>
    </w:p>
    <w:p>
      <w:pPr>
        <w:sectPr>
          <w:pgSz w:w="12240" w:h="15840" w:orient="portrait"/>
          <w:cols w:equalWidth="0" w:num="4">
            <w:col w:w="3420" w:space="60"/>
            <w:col w:w="3160" w:space="720"/>
            <w:col w:w="1740" w:space="80"/>
            <w:col w:w="1960"/>
          </w:cols>
          <w:pgMar w:left="540" w:top="650" w:right="560" w:bottom="446" w:gutter="0" w:footer="0" w:header="0"/>
          <w:type w:val="continuous"/>
        </w:sectPr>
      </w:pPr>
    </w:p>
    <w:p>
      <w:pPr>
        <w:ind w:right="240" w:firstLine="360"/>
        <w:spacing w:after="0" w:line="249"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ind w:right="380" w:firstLine="36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tabs>
          <w:tab w:leader="none" w:pos="580" w:val="left"/>
          <w:tab w:leader="none" w:pos="90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No</w:t>
      </w:r>
      <w:r>
        <w:rPr>
          <w:sz w:val="20"/>
          <w:szCs w:val="20"/>
          <w:color w:val="auto"/>
        </w:rPr>
        <w:tab/>
      </w:r>
      <w:r>
        <w:rPr>
          <w:rFonts w:ascii="Segoe UI Symbol" w:cs="Segoe UI Symbol" w:eastAsia="Segoe UI Symbol" w:hAnsi="Segoe UI Symbol"/>
          <w:sz w:val="16"/>
          <w:szCs w:val="16"/>
          <w:color w:val="auto"/>
        </w:rPr>
        <w:t>☐</w:t>
      </w:r>
    </w:p>
    <w:p>
      <w:pPr>
        <w:spacing w:after="0" w:line="52" w:lineRule="exact"/>
        <w:rPr>
          <w:sz w:val="20"/>
          <w:szCs w:val="20"/>
          <w:color w:val="auto"/>
        </w:rPr>
      </w:pPr>
    </w:p>
    <w:p>
      <w:pPr>
        <w:ind w:right="220" w:firstLine="360"/>
        <w:spacing w:after="0" w:line="267"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ind w:firstLine="360"/>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ind w:left="360"/>
        <w:spacing w:after="0"/>
        <w:tabs>
          <w:tab w:leader="none" w:pos="7080" w:val="left"/>
          <w:tab w:leader="none" w:pos="7740" w:val="left"/>
          <w:tab w:leader="none" w:pos="80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No</w:t>
      </w:r>
      <w:r>
        <w:rPr>
          <w:sz w:val="20"/>
          <w:szCs w:val="20"/>
          <w:color w:val="auto"/>
        </w:rPr>
        <w:tab/>
      </w:r>
      <w:r>
        <w:rPr>
          <w:rFonts w:ascii="Segoe UI Symbol" w:cs="Segoe UI Symbol" w:eastAsia="Segoe UI Symbol" w:hAnsi="Segoe UI Symbol"/>
          <w:sz w:val="16"/>
          <w:szCs w:val="16"/>
          <w:color w:val="auto"/>
        </w:rPr>
        <w:t>☑</w:t>
      </w:r>
    </w:p>
    <w:p>
      <w:pPr>
        <w:spacing w:after="0" w:line="52" w:lineRule="exact"/>
        <w:rPr>
          <w:sz w:val="20"/>
          <w:szCs w:val="20"/>
          <w:color w:val="auto"/>
        </w:rPr>
      </w:pPr>
    </w:p>
    <w:p>
      <w:pPr>
        <w:ind w:right="240" w:firstLine="360"/>
        <w:spacing w:after="0" w:line="247" w:lineRule="auto"/>
        <w:rPr>
          <w:sz w:val="20"/>
          <w:szCs w:val="20"/>
          <w:color w:val="auto"/>
        </w:rPr>
      </w:pPr>
      <w:r>
        <w:rPr>
          <w:rFonts w:ascii="Times New Roman" w:cs="Times New Roman" w:eastAsia="Times New Roman" w:hAnsi="Times New Roman"/>
          <w:sz w:val="16"/>
          <w:szCs w:val="16"/>
          <w:color w:val="auto"/>
        </w:rPr>
        <w:t>As of June 30, 2024, the aggregate market value of the voting and non-voting common equity held by non-affiliates of the registrant, based on the last reported sales price for the registrant’s common stock, par value $0.001 per share, on the Nasdaq Global Select Market on such date, was approximately $6,747,459,120.</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Number of shares of the registrant’s common stock, par value $0.001 per share, outstanding on February 11, 2025: 63,906,011</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which the registrant intends to file with the Securities and Exchange Commission pursuant to Regulation 14A within 120 days after the end of the registrant’s fiscal year ended December 31, 2024, are incorporated by reference into Part III of this Annual Report on Form 10-K.</w:t>
      </w:r>
    </w:p>
    <w:p>
      <w:pPr>
        <w:spacing w:after="0" w:line="40" w:lineRule="exact"/>
        <w:rPr>
          <w:sz w:val="20"/>
          <w:szCs w:val="20"/>
          <w:color w:val="auto"/>
        </w:rPr>
      </w:pPr>
    </w:p>
    <w:p>
      <w:pPr>
        <w:spacing w:after="0"/>
        <w:tabs>
          <w:tab w:leader="none" w:pos="1360" w:val="left"/>
          <w:tab w:leader="none" w:pos="3180" w:val="left"/>
          <w:tab w:leader="none" w:pos="4600" w:val="left"/>
          <w:tab w:leader="none" w:pos="6820" w:val="left"/>
          <w:tab w:leader="none" w:pos="828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Boston, Massachusetts, 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139700</wp:posOffset>
                </wp:positionV>
                <wp:extent cx="711454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1pt" to="559.1pt,11pt" o:allowincell="f" strokecolor="#000000" strokeweight="3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106680</wp:posOffset>
                </wp:positionV>
                <wp:extent cx="711454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8.4pt" to="559.1pt,8.4pt" o:allowincell="f" strokecolor="#000000" strokeweight="0.7199pt"/>
            </w:pict>
          </mc:Fallback>
        </mc:AlternateContent>
      </w:r>
    </w:p>
    <w:p>
      <w:pPr>
        <w:sectPr>
          <w:pgSz w:w="12240" w:h="15840" w:orient="portrait"/>
          <w:cols w:equalWidth="0" w:num="1">
            <w:col w:w="11140"/>
          </w:cols>
          <w:pgMar w:left="540" w:top="650" w:right="560" w:bottom="446" w:gutter="0" w:footer="0" w:header="0"/>
          <w:type w:val="continuous"/>
        </w:sectPr>
      </w:pPr>
    </w:p>
    <w:bookmarkStart w:id="7" w:name="page8"/>
    <w:bookmarkEnd w:id="7"/>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62" w:lineRule="exact"/>
        <w:rPr>
          <w:sz w:val="20"/>
          <w:szCs w:val="20"/>
          <w:color w:val="auto"/>
        </w:rPr>
      </w:pPr>
    </w:p>
    <w:p>
      <w:pPr>
        <w:jc w:val="right"/>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PART I</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5831840</wp:posOffset>
                </wp:positionH>
                <wp:positionV relativeFrom="paragraph">
                  <wp:posOffset>17780</wp:posOffset>
                </wp:positionV>
                <wp:extent cx="4038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38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pt,1.4pt" to="491pt,1.4pt" o:allowincell="f" strokecolor="#000000" strokeweight="0.48pt"/>
            </w:pict>
          </mc:Fallback>
        </mc:AlternateContent>
      </w:r>
    </w:p>
    <w:p>
      <w:pPr>
        <w:spacing w:after="0" w:line="224" w:lineRule="exact"/>
        <w:rPr>
          <w:sz w:val="20"/>
          <w:szCs w:val="20"/>
          <w:color w:val="auto"/>
        </w:rPr>
      </w:pPr>
    </w:p>
    <w:p>
      <w:pPr>
        <w:spacing w:after="0"/>
        <w:tabs>
          <w:tab w:leader="none" w:pos="1060" w:val="left"/>
          <w:tab w:leader="none" w:pos="97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1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w:t>
      </w:r>
    </w:p>
    <w:p>
      <w:pPr>
        <w:spacing w:after="0" w:line="28" w:lineRule="exact"/>
        <w:rPr>
          <w:sz w:val="20"/>
          <w:szCs w:val="20"/>
          <w:color w:val="auto"/>
        </w:rPr>
      </w:pPr>
    </w:p>
    <w:p>
      <w:pPr>
        <w:ind w:left="1080"/>
        <w:spacing w:after="0"/>
        <w:tabs>
          <w:tab w:leader="none" w:pos="9600" w:val="left"/>
        </w:tabs>
        <w:rPr>
          <w:sz w:val="20"/>
          <w:szCs w:val="20"/>
          <w:color w:val="auto"/>
        </w:rPr>
      </w:pPr>
      <w:r>
        <w:rPr>
          <w:rFonts w:ascii="Times New Roman" w:cs="Times New Roman" w:eastAsia="Times New Roman" w:hAnsi="Times New Roman"/>
          <w:sz w:val="20"/>
          <w:szCs w:val="20"/>
          <w:color w:val="auto"/>
        </w:rPr>
        <w:t>Equity Securities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91</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1060" w:val="left"/>
          <w:tab w:leader="none" w:pos="96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 . . . . . . . . .</w:t>
      </w:r>
      <w:r>
        <w:rPr>
          <w:sz w:val="20"/>
          <w:szCs w:val="20"/>
          <w:color w:val="auto"/>
        </w:rPr>
        <w:tab/>
      </w:r>
      <w:r>
        <w:rPr>
          <w:rFonts w:ascii="Times New Roman" w:cs="Times New Roman" w:eastAsia="Times New Roman" w:hAnsi="Times New Roman"/>
          <w:sz w:val="20"/>
          <w:szCs w:val="20"/>
          <w:color w:val="auto"/>
        </w:rPr>
        <w:t>108</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 . . . . . . .</w:t>
      </w:r>
      <w:r>
        <w:rPr>
          <w:sz w:val="20"/>
          <w:szCs w:val="20"/>
          <w:color w:val="auto"/>
        </w:rPr>
        <w:tab/>
      </w:r>
      <w:r>
        <w:rPr>
          <w:rFonts w:ascii="Times New Roman" w:cs="Times New Roman" w:eastAsia="Times New Roman" w:hAnsi="Times New Roman"/>
          <w:sz w:val="20"/>
          <w:szCs w:val="20"/>
          <w:color w:val="auto"/>
        </w:rPr>
        <w:t>109</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 in and Disagreements with Accountants on Accounting and Financial Disclosure. . . . . . . . .</w:t>
      </w:r>
      <w:r>
        <w:rPr>
          <w:sz w:val="20"/>
          <w:szCs w:val="20"/>
          <w:color w:val="auto"/>
        </w:rPr>
        <w:tab/>
      </w:r>
      <w:r>
        <w:rPr>
          <w:rFonts w:ascii="Times New Roman" w:cs="Times New Roman" w:eastAsia="Times New Roman" w:hAnsi="Times New Roman"/>
          <w:sz w:val="20"/>
          <w:szCs w:val="20"/>
          <w:color w:val="auto"/>
        </w:rPr>
        <w:t>109</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109</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111</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line="1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line="28" w:lineRule="exact"/>
        <w:rPr>
          <w:sz w:val="20"/>
          <w:szCs w:val="20"/>
          <w:color w:val="auto"/>
        </w:rPr>
      </w:pP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w:t>
      </w:r>
    </w:p>
    <w:p>
      <w:pPr>
        <w:ind w:left="1080"/>
        <w:spacing w:after="0"/>
        <w:tabs>
          <w:tab w:leader="none" w:pos="950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 . . . . . . . .</w:t>
      </w:r>
      <w:r>
        <w:rPr>
          <w:sz w:val="20"/>
          <w:szCs w:val="20"/>
          <w:color w:val="auto"/>
        </w:rPr>
        <w:tab/>
      </w:r>
      <w:r>
        <w:rPr>
          <w:rFonts w:ascii="Times New Roman" w:cs="Times New Roman" w:eastAsia="Times New Roman" w:hAnsi="Times New Roman"/>
          <w:sz w:val="20"/>
          <w:szCs w:val="20"/>
          <w:color w:val="auto"/>
        </w:rPr>
        <w:t>112</w:t>
      </w: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line="1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5" w:lineRule="exact"/>
        <w:rPr>
          <w:sz w:val="20"/>
          <w:szCs w:val="20"/>
          <w:color w:val="auto"/>
        </w:rPr>
      </w:pP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 . . . . . . . . . . .</w:t>
      </w:r>
      <w:r>
        <w:rPr>
          <w:sz w:val="20"/>
          <w:szCs w:val="20"/>
          <w:color w:val="auto"/>
        </w:rPr>
        <w:tab/>
      </w:r>
      <w:r>
        <w:rPr>
          <w:rFonts w:ascii="Times New Roman" w:cs="Times New Roman" w:eastAsia="Times New Roman" w:hAnsi="Times New Roman"/>
          <w:sz w:val="20"/>
          <w:szCs w:val="20"/>
          <w:color w:val="auto"/>
        </w:rPr>
        <w:t>113</w:t>
      </w:r>
    </w:p>
    <w:p>
      <w:pPr>
        <w:spacing w:after="0" w:line="27" w:lineRule="exact"/>
        <w:rPr>
          <w:sz w:val="20"/>
          <w:szCs w:val="20"/>
          <w:color w:val="auto"/>
        </w:rPr>
      </w:pPr>
    </w:p>
    <w:p>
      <w:pPr>
        <w:spacing w:after="0"/>
        <w:tabs>
          <w:tab w:leader="none" w:pos="1060" w:val="left"/>
          <w:tab w:leader="none" w:pos="950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122</w:t>
      </w:r>
    </w:p>
    <w:p>
      <w:pPr>
        <w:sectPr>
          <w:pgSz w:w="12240" w:h="15840" w:orient="portrait"/>
          <w:cols w:equalWidth="0" w:num="1">
            <w:col w:w="9820"/>
          </w:cols>
          <w:pgMar w:left="1260" w:top="1243" w:right="1160" w:bottom="1440" w:gutter="0" w:footer="0" w:header="0"/>
        </w:sectPr>
      </w:pPr>
    </w:p>
    <w:bookmarkStart w:id="8" w:name="page9"/>
    <w:bookmarkEnd w:id="8"/>
    <w:p>
      <w:pPr>
        <w:ind w:right="2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and associated logos are trademarks of Blueprint Medicines Corporation. Other brands, names and trademarks contained in this Annual Report on Form 10-K are the property of their respective owners.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214" w:lineRule="exact"/>
        <w:rPr>
          <w:sz w:val="20"/>
          <w:szCs w:val="20"/>
          <w:color w:val="auto"/>
        </w:rPr>
      </w:pPr>
    </w:p>
    <w:p>
      <w:pPr>
        <w:ind w:left="1440" w:right="34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in the process of growing as a commercial company and the marketing and sale of AYVAKIT® (avapritinib) (marketed in Europe under the brand name AYVAKYT®) or any future approved drugs may be unsuccessful or less successful than anticipated.</w:t>
      </w:r>
    </w:p>
    <w:p>
      <w:pPr>
        <w:spacing w:after="0" w:line="207" w:lineRule="exact"/>
        <w:rPr>
          <w:rFonts w:ascii="Symbol" w:cs="Symbol" w:eastAsia="Symbol" w:hAnsi="Symbol"/>
          <w:sz w:val="20"/>
          <w:szCs w:val="20"/>
          <w:color w:val="auto"/>
        </w:rPr>
      </w:pPr>
    </w:p>
    <w:p>
      <w:pPr>
        <w:ind w:left="1440" w:right="680" w:hanging="353"/>
        <w:spacing w:after="0" w:line="290" w:lineRule="auto"/>
        <w:tabs>
          <w:tab w:leader="none" w:pos="1440" w:val="left"/>
        </w:tabs>
        <w:numPr>
          <w:ilvl w:val="0"/>
          <w:numId w:val="9"/>
        </w:numPr>
        <w:rPr>
          <w:rFonts w:ascii="Symbol" w:cs="Symbol" w:eastAsia="Symbol" w:hAnsi="Symbol"/>
          <w:sz w:val="19"/>
          <w:szCs w:val="19"/>
          <w:color w:val="auto"/>
        </w:rPr>
      </w:pPr>
      <w:r>
        <w:rPr>
          <w:rFonts w:ascii="Times New Roman" w:cs="Times New Roman" w:eastAsia="Times New Roman" w:hAnsi="Times New Roman"/>
          <w:sz w:val="19"/>
          <w:szCs w:val="19"/>
          <w:color w:val="auto"/>
        </w:rPr>
        <w:t>The commercial success of our current and future drugs will depend upon the degree of market acceptance by physicians, patients, third-party payors and others in the medical community.</w:t>
      </w:r>
    </w:p>
    <w:p>
      <w:pPr>
        <w:spacing w:after="0" w:line="168" w:lineRule="exact"/>
        <w:rPr>
          <w:rFonts w:ascii="Symbol" w:cs="Symbol" w:eastAsia="Symbol" w:hAnsi="Symbol"/>
          <w:sz w:val="19"/>
          <w:szCs w:val="19"/>
          <w:color w:val="auto"/>
        </w:rPr>
      </w:pPr>
    </w:p>
    <w:p>
      <w:pPr>
        <w:jc w:val="both"/>
        <w:ind w:left="1440" w:right="14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p>
      <w:pPr>
        <w:spacing w:after="0" w:line="207" w:lineRule="exact"/>
        <w:rPr>
          <w:rFonts w:ascii="Symbol" w:cs="Symbol" w:eastAsia="Symbol" w:hAnsi="Symbol"/>
          <w:sz w:val="20"/>
          <w:szCs w:val="20"/>
          <w:color w:val="auto"/>
        </w:rPr>
      </w:pPr>
    </w:p>
    <w:p>
      <w:pPr>
        <w:ind w:left="1440" w:right="18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We face substantial competition, which may result in our commercial opportunity being reduced or limited by others commercializing, developing or discovering drugs before or more successfully than we do.</w:t>
      </w:r>
    </w:p>
    <w:p>
      <w:pPr>
        <w:spacing w:after="0" w:line="207" w:lineRule="exact"/>
        <w:rPr>
          <w:rFonts w:ascii="Symbol" w:cs="Symbol" w:eastAsia="Symbol" w:hAnsi="Symbol"/>
          <w:sz w:val="20"/>
          <w:szCs w:val="20"/>
          <w:color w:val="auto"/>
        </w:rPr>
      </w:pPr>
    </w:p>
    <w:p>
      <w:pPr>
        <w:ind w:left="1440" w:right="580" w:hanging="353"/>
        <w:spacing w:after="0" w:line="262"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liability lawsuits against us could cause us to incur substantial liabilities and could limit commercialization of any of our approved drugs or drug candidates that we may develop.</w:t>
      </w:r>
    </w:p>
    <w:p>
      <w:pPr>
        <w:spacing w:after="0" w:line="195" w:lineRule="exact"/>
        <w:rPr>
          <w:rFonts w:ascii="Symbol" w:cs="Symbol" w:eastAsia="Symbol" w:hAnsi="Symbol"/>
          <w:sz w:val="20"/>
          <w:szCs w:val="20"/>
          <w:color w:val="auto"/>
        </w:rPr>
      </w:pPr>
    </w:p>
    <w:p>
      <w:pPr>
        <w:ind w:left="1440" w:right="16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obtain regulatory approval for our drug candidates (including for avapritinib in additional geographies) and ultimately commercialize them, or experience significant delays in doing so, our business may be materially harmed.</w:t>
      </w:r>
    </w:p>
    <w:p>
      <w:pPr>
        <w:spacing w:after="0" w:line="207" w:lineRule="exact"/>
        <w:rPr>
          <w:rFonts w:ascii="Symbol" w:cs="Symbol" w:eastAsia="Symbol" w:hAnsi="Symbol"/>
          <w:sz w:val="20"/>
          <w:szCs w:val="20"/>
          <w:color w:val="auto"/>
        </w:rPr>
      </w:pPr>
    </w:p>
    <w:p>
      <w:pPr>
        <w:ind w:left="1440" w:right="460" w:hanging="353"/>
        <w:spacing w:after="0" w:line="262"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experience delays or difficulties in the enrollment of patients in clinical trials, our receipt of necessary regulatory approvals could be delayed or prevented.</w:t>
      </w:r>
    </w:p>
    <w:p>
      <w:pPr>
        <w:spacing w:after="0" w:line="195" w:lineRule="exact"/>
        <w:rPr>
          <w:rFonts w:ascii="Symbol" w:cs="Symbol" w:eastAsia="Symbol" w:hAnsi="Symbol"/>
          <w:sz w:val="20"/>
          <w:szCs w:val="20"/>
          <w:color w:val="auto"/>
        </w:rPr>
      </w:pPr>
    </w:p>
    <w:p>
      <w:pPr>
        <w:jc w:val="both"/>
        <w:ind w:left="1440" w:right="30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207" w:lineRule="exact"/>
        <w:rPr>
          <w:rFonts w:ascii="Symbol" w:cs="Symbol" w:eastAsia="Symbol" w:hAnsi="Symbol"/>
          <w:sz w:val="20"/>
          <w:szCs w:val="20"/>
          <w:color w:val="auto"/>
        </w:rPr>
      </w:pPr>
    </w:p>
    <w:p>
      <w:pPr>
        <w:ind w:left="1440" w:right="10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p>
      <w:pPr>
        <w:spacing w:after="0" w:line="207" w:lineRule="exact"/>
        <w:rPr>
          <w:rFonts w:ascii="Symbol" w:cs="Symbol" w:eastAsia="Symbol" w:hAnsi="Symbol"/>
          <w:sz w:val="20"/>
          <w:szCs w:val="20"/>
          <w:color w:val="auto"/>
        </w:rPr>
      </w:pPr>
    </w:p>
    <w:p>
      <w:pPr>
        <w:ind w:left="1440" w:right="20" w:hanging="353"/>
        <w:spacing w:after="0" w:line="25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p>
      <w:pPr>
        <w:spacing w:after="0" w:line="207" w:lineRule="exact"/>
        <w:rPr>
          <w:rFonts w:ascii="Symbol" w:cs="Symbol" w:eastAsia="Symbol" w:hAnsi="Symbol"/>
          <w:sz w:val="20"/>
          <w:szCs w:val="20"/>
          <w:color w:val="auto"/>
        </w:rPr>
      </w:pPr>
    </w:p>
    <w:p>
      <w:pPr>
        <w:ind w:left="1440" w:hanging="353"/>
        <w:spacing w:after="0"/>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not be successful in our efforts to expand our pipeline of drug candidates.</w:t>
      </w:r>
    </w:p>
    <w:p>
      <w:pPr>
        <w:spacing w:after="0" w:line="239" w:lineRule="exact"/>
        <w:rPr>
          <w:rFonts w:ascii="Symbol" w:cs="Symbol" w:eastAsia="Symbol" w:hAnsi="Symbol"/>
          <w:sz w:val="20"/>
          <w:szCs w:val="20"/>
          <w:color w:val="auto"/>
        </w:rPr>
      </w:pPr>
    </w:p>
    <w:p>
      <w:pPr>
        <w:jc w:val="both"/>
        <w:ind w:left="1440" w:right="300" w:hanging="353"/>
        <w:spacing w:after="0" w:line="261" w:lineRule="auto"/>
        <w:tabs>
          <w:tab w:leader="none" w:pos="144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required to comply with comprehensive and ongoing regulatory requirements for any of our current or future approved drugs, including conducting confirmatory clinical trials for any drug that</w:t>
      </w:r>
    </w:p>
    <w:p>
      <w:pPr>
        <w:sectPr>
          <w:pgSz w:w="12240" w:h="15840" w:orient="portrait"/>
          <w:cols w:equalWidth="0" w:num="1">
            <w:col w:w="9720"/>
          </w:cols>
          <w:pgMar w:left="1260" w:top="1248" w:right="1260" w:bottom="175"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720"/>
          </w:cols>
          <w:pgMar w:left="1260" w:top="1248" w:right="1260" w:bottom="175" w:gutter="0" w:footer="0" w:header="0"/>
          <w:type w:val="continuous"/>
        </w:sectPr>
      </w:pPr>
    </w:p>
    <w:bookmarkStart w:id="9" w:name="page10"/>
    <w:bookmarkEnd w:id="9"/>
    <w:p>
      <w:pPr>
        <w:ind w:left="1260" w:right="160"/>
        <w:spacing w:after="0" w:line="259" w:lineRule="auto"/>
        <w:rPr>
          <w:sz w:val="20"/>
          <w:szCs w:val="20"/>
          <w:color w:val="auto"/>
        </w:rPr>
      </w:pPr>
      <w:r>
        <w:rPr>
          <w:rFonts w:ascii="Times New Roman" w:cs="Times New Roman" w:eastAsia="Times New Roman" w:hAnsi="Times New Roman"/>
          <w:sz w:val="20"/>
          <w:szCs w:val="20"/>
          <w:color w:val="auto"/>
        </w:rPr>
        <w:t>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201" w:lineRule="exact"/>
        <w:rPr>
          <w:sz w:val="20"/>
          <w:szCs w:val="20"/>
          <w:color w:val="auto"/>
        </w:rPr>
      </w:pPr>
    </w:p>
    <w:p>
      <w:pPr>
        <w:ind w:left="1260" w:hanging="353"/>
        <w:spacing w:after="0"/>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a history of operating losses and may never become and remain profitable.</w:t>
      </w:r>
    </w:p>
    <w:p>
      <w:pPr>
        <w:spacing w:after="0" w:line="238" w:lineRule="exact"/>
        <w:rPr>
          <w:rFonts w:ascii="Symbol" w:cs="Symbol" w:eastAsia="Symbol" w:hAnsi="Symbol"/>
          <w:sz w:val="20"/>
          <w:szCs w:val="20"/>
          <w:color w:val="auto"/>
        </w:rPr>
      </w:pPr>
    </w:p>
    <w:p>
      <w:pPr>
        <w:ind w:left="1260" w:hanging="353"/>
        <w:spacing w:after="0" w:line="251"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207" w:lineRule="exact"/>
        <w:rPr>
          <w:rFonts w:ascii="Symbol" w:cs="Symbol" w:eastAsia="Symbol" w:hAnsi="Symbol"/>
          <w:sz w:val="20"/>
          <w:szCs w:val="20"/>
          <w:color w:val="auto"/>
        </w:rPr>
      </w:pPr>
    </w:p>
    <w:p>
      <w:pPr>
        <w:ind w:left="1260" w:hanging="353"/>
        <w:spacing w:after="0" w:line="247"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211" w:lineRule="exact"/>
        <w:rPr>
          <w:rFonts w:ascii="Symbol" w:cs="Symbol" w:eastAsia="Symbol" w:hAnsi="Symbol"/>
          <w:sz w:val="20"/>
          <w:szCs w:val="20"/>
          <w:color w:val="auto"/>
        </w:rPr>
      </w:pPr>
    </w:p>
    <w:p>
      <w:pPr>
        <w:ind w:left="1260" w:right="240" w:hanging="353"/>
        <w:spacing w:after="0" w:line="245"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216" w:lineRule="exact"/>
        <w:rPr>
          <w:rFonts w:ascii="Symbol" w:cs="Symbol" w:eastAsia="Symbol" w:hAnsi="Symbol"/>
          <w:sz w:val="20"/>
          <w:szCs w:val="20"/>
          <w:color w:val="auto"/>
        </w:rPr>
      </w:pPr>
    </w:p>
    <w:p>
      <w:pPr>
        <w:ind w:left="1260" w:right="140" w:hanging="353"/>
        <w:spacing w:after="0" w:line="245"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214" w:lineRule="exact"/>
        <w:rPr>
          <w:rFonts w:ascii="Symbol" w:cs="Symbol" w:eastAsia="Symbol" w:hAnsi="Symbol"/>
          <w:sz w:val="20"/>
          <w:szCs w:val="20"/>
          <w:color w:val="auto"/>
        </w:rPr>
      </w:pPr>
    </w:p>
    <w:p>
      <w:pPr>
        <w:ind w:left="1260" w:right="220" w:hanging="353"/>
        <w:spacing w:after="0" w:line="251"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07" w:lineRule="exact"/>
        <w:rPr>
          <w:rFonts w:ascii="Symbol" w:cs="Symbol" w:eastAsia="Symbol" w:hAnsi="Symbol"/>
          <w:sz w:val="20"/>
          <w:szCs w:val="20"/>
          <w:color w:val="auto"/>
        </w:rPr>
      </w:pPr>
    </w:p>
    <w:p>
      <w:pPr>
        <w:ind w:left="1260" w:right="160" w:hanging="353"/>
        <w:spacing w:after="0" w:line="247"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211" w:lineRule="exact"/>
        <w:rPr>
          <w:rFonts w:ascii="Symbol" w:cs="Symbol" w:eastAsia="Symbol" w:hAnsi="Symbol"/>
          <w:sz w:val="20"/>
          <w:szCs w:val="20"/>
          <w:color w:val="auto"/>
        </w:rPr>
      </w:pPr>
    </w:p>
    <w:p>
      <w:pPr>
        <w:ind w:left="1260" w:right="80" w:hanging="353"/>
        <w:spacing w:after="0" w:line="262" w:lineRule="auto"/>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The use of new and evolving technologies, such as artificial intelligence, in our business may result in spending material resources and presents risks and uncertainties that can impact our business.</w:t>
      </w:r>
    </w:p>
    <w:p>
      <w:pPr>
        <w:spacing w:after="0" w:line="196" w:lineRule="exact"/>
        <w:rPr>
          <w:rFonts w:ascii="Symbol" w:cs="Symbol" w:eastAsia="Symbol" w:hAnsi="Symbol"/>
          <w:sz w:val="20"/>
          <w:szCs w:val="20"/>
          <w:color w:val="auto"/>
        </w:rPr>
      </w:pPr>
    </w:p>
    <w:p>
      <w:pPr>
        <w:ind w:left="1260" w:hanging="353"/>
        <w:spacing w:after="0"/>
        <w:tabs>
          <w:tab w:leader="none" w:pos="126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price of our common stock has been and may in the future be volatile and fluctuate substantially.</w:t>
      </w:r>
    </w:p>
    <w:p>
      <w:pPr>
        <w:sectPr>
          <w:pgSz w:w="12240" w:h="15840" w:orient="portrait"/>
          <w:cols w:equalWidth="0" w:num="1">
            <w:col w:w="9520"/>
          </w:cols>
          <w:pgMar w:left="144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520"/>
          </w:cols>
          <w:pgMar w:left="1440" w:top="1246" w:right="1280" w:bottom="175"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8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“opportunity”, “predict,” “project,” “seek,” “should,” “target,” “will,” “would” or the variation or the negative of these words or other comparable terminology, although not all forward-looking statements contain these identifying words.</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forward-looking statements in this Annual Report on Form 10-K include, but are not limited to,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about:</w:t>
      </w:r>
    </w:p>
    <w:p>
      <w:pPr>
        <w:spacing w:after="0" w:line="226" w:lineRule="exact"/>
        <w:rPr>
          <w:sz w:val="20"/>
          <w:szCs w:val="20"/>
          <w:color w:val="auto"/>
        </w:rPr>
      </w:pPr>
    </w:p>
    <w:p>
      <w:pPr>
        <w:ind w:left="1440" w:right="380" w:hanging="353"/>
        <w:spacing w:after="0" w:line="251"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or likelihood of regulatory actions, filings and approvals for our current and future drug candidates, including our ability to obtain marketing approval for avapritinib in additional geographies;</w:t>
      </w:r>
    </w:p>
    <w:p>
      <w:pPr>
        <w:spacing w:after="0" w:line="207" w:lineRule="exact"/>
        <w:rPr>
          <w:rFonts w:ascii="Symbol" w:cs="Symbol" w:eastAsia="Symbol" w:hAnsi="Symbol"/>
          <w:sz w:val="20"/>
          <w:szCs w:val="20"/>
          <w:color w:val="auto"/>
        </w:rPr>
      </w:pPr>
    </w:p>
    <w:p>
      <w:pPr>
        <w:ind w:left="1440" w:right="140" w:hanging="353"/>
        <w:spacing w:after="0" w:line="251"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and plans in continuing to build out our commercial infrastructure and successfully launching, marketing and selling AYVAKIT (avapritinib) (marketed in Europe under the brand name AYVAKYT) and any current and future drug candidates for which we receive marketing approval;</w:t>
      </w:r>
    </w:p>
    <w:p>
      <w:pPr>
        <w:spacing w:after="0" w:line="207" w:lineRule="exact"/>
        <w:rPr>
          <w:rFonts w:ascii="Symbol" w:cs="Symbol" w:eastAsia="Symbol" w:hAnsi="Symbol"/>
          <w:sz w:val="20"/>
          <w:szCs w:val="20"/>
          <w:color w:val="auto"/>
        </w:rPr>
      </w:pPr>
    </w:p>
    <w:p>
      <w:pPr>
        <w:ind w:left="1440" w:hanging="353"/>
        <w:spacing w:after="0" w:line="262"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potential benefits of AYVAKIT/AYVAKYT and any current and future drug candidates in treating patients with indolent systemic mastocytosis (SM) and advanced SM;</w:t>
      </w:r>
    </w:p>
    <w:p>
      <w:pPr>
        <w:spacing w:after="0" w:line="195" w:lineRule="exact"/>
        <w:rPr>
          <w:rFonts w:ascii="Symbol" w:cs="Symbol" w:eastAsia="Symbol" w:hAnsi="Symbol"/>
          <w:sz w:val="20"/>
          <w:szCs w:val="20"/>
          <w:color w:val="auto"/>
        </w:rPr>
      </w:pPr>
    </w:p>
    <w:p>
      <w:pPr>
        <w:ind w:left="1440" w:right="200" w:hanging="353"/>
        <w:spacing w:after="0" w:line="262"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rate and degree of market acceptance of AYVAKIT/AYVAKYT and any current and future drug candidates for which we receive marketing approval;</w:t>
      </w:r>
    </w:p>
    <w:p>
      <w:pPr>
        <w:spacing w:after="0" w:line="195" w:lineRule="exact"/>
        <w:rPr>
          <w:rFonts w:ascii="Symbol" w:cs="Symbol" w:eastAsia="Symbol" w:hAnsi="Symbol"/>
          <w:sz w:val="20"/>
          <w:szCs w:val="20"/>
          <w:color w:val="auto"/>
        </w:rPr>
      </w:pPr>
    </w:p>
    <w:p>
      <w:pPr>
        <w:ind w:left="1440" w:right="100" w:hanging="353"/>
        <w:spacing w:after="0" w:line="262"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pricing and reimbursement of AYVAKIT/AYVAKYT and any current and future drug candidates for which we receive marketing approval;</w:t>
      </w:r>
    </w:p>
    <w:p>
      <w:pPr>
        <w:spacing w:after="0" w:line="196" w:lineRule="exact"/>
        <w:rPr>
          <w:rFonts w:ascii="Symbol" w:cs="Symbol" w:eastAsia="Symbol" w:hAnsi="Symbol"/>
          <w:sz w:val="20"/>
          <w:szCs w:val="20"/>
          <w:color w:val="auto"/>
        </w:rPr>
      </w:pPr>
    </w:p>
    <w:p>
      <w:pPr>
        <w:jc w:val="both"/>
        <w:ind w:left="1440" w:right="300" w:hanging="353"/>
        <w:spacing w:after="0" w:line="250"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210" w:lineRule="exact"/>
        <w:rPr>
          <w:rFonts w:ascii="Symbol" w:cs="Symbol" w:eastAsia="Symbol" w:hAnsi="Symbol"/>
          <w:sz w:val="20"/>
          <w:szCs w:val="20"/>
          <w:color w:val="auto"/>
        </w:rPr>
      </w:pPr>
    </w:p>
    <w:p>
      <w:pPr>
        <w:ind w:left="1440" w:hanging="353"/>
        <w:spacing w:after="0"/>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advance drug candidates into, and successfully complete, clinical trials;</w:t>
      </w:r>
    </w:p>
    <w:p>
      <w:pPr>
        <w:spacing w:after="0" w:line="238" w:lineRule="exact"/>
        <w:rPr>
          <w:rFonts w:ascii="Symbol" w:cs="Symbol" w:eastAsia="Symbol" w:hAnsi="Symbol"/>
          <w:sz w:val="20"/>
          <w:szCs w:val="20"/>
          <w:color w:val="auto"/>
        </w:rPr>
      </w:pPr>
    </w:p>
    <w:p>
      <w:pPr>
        <w:ind w:left="1440" w:right="120" w:hanging="353"/>
        <w:spacing w:after="0" w:line="251"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207" w:lineRule="exact"/>
        <w:rPr>
          <w:rFonts w:ascii="Symbol" w:cs="Symbol" w:eastAsia="Symbol" w:hAnsi="Symbol"/>
          <w:sz w:val="20"/>
          <w:szCs w:val="20"/>
          <w:color w:val="auto"/>
        </w:rPr>
      </w:pPr>
    </w:p>
    <w:p>
      <w:pPr>
        <w:ind w:left="1440" w:right="80" w:hanging="353"/>
        <w:spacing w:after="0" w:line="262"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implementation of our business model and strategic plans for our business, drugs, drug candidates, platform and technology;</w:t>
      </w:r>
    </w:p>
    <w:p>
      <w:pPr>
        <w:spacing w:after="0" w:line="195" w:lineRule="exact"/>
        <w:rPr>
          <w:rFonts w:ascii="Symbol" w:cs="Symbol" w:eastAsia="Symbol" w:hAnsi="Symbol"/>
          <w:sz w:val="20"/>
          <w:szCs w:val="20"/>
          <w:color w:val="auto"/>
        </w:rPr>
      </w:pPr>
    </w:p>
    <w:p>
      <w:pPr>
        <w:ind w:left="1440" w:right="80" w:hanging="353"/>
        <w:spacing w:after="0" w:line="262"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and length of protection we are able to establish and maintain for intellectual property rights covering our current and future drugs, drug candidates and technology;</w:t>
      </w:r>
    </w:p>
    <w:p>
      <w:pPr>
        <w:spacing w:after="0" w:line="196" w:lineRule="exact"/>
        <w:rPr>
          <w:rFonts w:ascii="Symbol" w:cs="Symbol" w:eastAsia="Symbol" w:hAnsi="Symbol"/>
          <w:sz w:val="20"/>
          <w:szCs w:val="20"/>
          <w:color w:val="auto"/>
        </w:rPr>
      </w:pPr>
    </w:p>
    <w:p>
      <w:pPr>
        <w:ind w:left="1440" w:right="100" w:hanging="353"/>
        <w:spacing w:after="0" w:line="245"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benefits of our collaboration with CStone Pharmaceuticals (CStone) to develop and commercialize avapritinib and pralsetinib in Greater China, our collaboration with Zai Lab to develop and commercialize BLU-525, BLU-945, and any back-up and other forms thereof, as inhibitors of epidermal growth factor receptor (EGFR) in Greater China, as well as our ability to maintain these collaborations and establish additional strategic collaborations;</w:t>
      </w:r>
    </w:p>
    <w:p>
      <w:pPr>
        <w:spacing w:after="0" w:line="214" w:lineRule="exact"/>
        <w:rPr>
          <w:rFonts w:ascii="Symbol" w:cs="Symbol" w:eastAsia="Symbol" w:hAnsi="Symbol"/>
          <w:sz w:val="20"/>
          <w:szCs w:val="20"/>
          <w:color w:val="auto"/>
        </w:rPr>
      </w:pPr>
    </w:p>
    <w:p>
      <w:pPr>
        <w:jc w:val="both"/>
        <w:ind w:left="1440" w:right="500" w:hanging="353"/>
        <w:spacing w:after="0" w:line="250" w:lineRule="auto"/>
        <w:tabs>
          <w:tab w:leader="none" w:pos="144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benefits of our exclusive license agreement with Clementia Pharmaceuticals, Inc., a wholly-owned subsidiary of Ipsen S.A. (Clementia), to develop and commercialize BLU-782 for fibrodysplasia ossificans progressiva;</w:t>
      </w:r>
    </w:p>
    <w:p>
      <w:pPr>
        <w:sectPr>
          <w:pgSz w:w="12240" w:h="15840" w:orient="portrait"/>
          <w:cols w:equalWidth="0" w:num="1">
            <w:col w:w="9700"/>
          </w:cols>
          <w:pgMar w:left="1260" w:top="1243"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00"/>
          </w:cols>
          <w:pgMar w:left="1260" w:top="1243" w:right="1280" w:bottom="175" w:gutter="0" w:footer="0" w:header="0"/>
          <w:type w:val="continuous"/>
        </w:sectPr>
      </w:pPr>
    </w:p>
    <w:bookmarkStart w:id="11" w:name="page12"/>
    <w:bookmarkEnd w:id="11"/>
    <w:p>
      <w:pPr>
        <w:ind w:left="1440" w:right="180" w:hanging="353"/>
        <w:spacing w:after="0" w:line="251" w:lineRule="auto"/>
        <w:tabs>
          <w:tab w:leader="none" w:pos="144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benefit of our strategic financing transaction with Garnich Adjacent Investments S.a.r.l. and Tao Talents, LLC, both affiliates of Sixth Street Partners and the potential acceleration of our commercial products and pipeline resulting from the non-dilutive growth capital;</w:t>
      </w:r>
    </w:p>
    <w:p>
      <w:pPr>
        <w:spacing w:after="0" w:line="207" w:lineRule="exact"/>
        <w:rPr>
          <w:rFonts w:ascii="Symbol" w:cs="Symbol" w:eastAsia="Symbol" w:hAnsi="Symbol"/>
          <w:sz w:val="20"/>
          <w:szCs w:val="20"/>
          <w:color w:val="auto"/>
        </w:rPr>
      </w:pPr>
    </w:p>
    <w:p>
      <w:pPr>
        <w:ind w:left="1440" w:right="60" w:hanging="353"/>
        <w:spacing w:after="0" w:line="247" w:lineRule="auto"/>
        <w:tabs>
          <w:tab w:leader="none" w:pos="144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benefits of our license agreement with IDRx, Inc. (IDRx) to develop our development candidate-stage KIT exon 13 inhibitor, IDRX-73, for the treatment of drug-resistant mutations of non-PDGFR-driven gastrointestinal stromal tumor (GIST), and our expectations regarding an investment gain from the agreement under which GSK plc will acquire IDRx;</w:t>
      </w:r>
    </w:p>
    <w:p>
      <w:pPr>
        <w:spacing w:after="0" w:line="212" w:lineRule="exact"/>
        <w:rPr>
          <w:rFonts w:ascii="Symbol" w:cs="Symbol" w:eastAsia="Symbol" w:hAnsi="Symbol"/>
          <w:sz w:val="20"/>
          <w:szCs w:val="20"/>
          <w:color w:val="auto"/>
        </w:rPr>
      </w:pPr>
    </w:p>
    <w:p>
      <w:pPr>
        <w:ind w:left="1440" w:right="20" w:hanging="353"/>
        <w:spacing w:after="0" w:line="262" w:lineRule="auto"/>
        <w:tabs>
          <w:tab w:leader="none" w:pos="144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our financial performance, estimates of our revenues, expenses and capital requirements and our needs for future financing, including our ability to achieve a self-sustainable financial profile;</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relating to our competitors and our industry; and</w:t>
      </w:r>
    </w:p>
    <w:p>
      <w:pPr>
        <w:spacing w:after="0" w:line="238" w:lineRule="exact"/>
        <w:rPr>
          <w:rFonts w:ascii="Symbol" w:cs="Symbol" w:eastAsia="Symbol" w:hAnsi="Symbol"/>
          <w:sz w:val="20"/>
          <w:szCs w:val="20"/>
          <w:color w:val="auto"/>
        </w:rPr>
      </w:pPr>
    </w:p>
    <w:p>
      <w:pPr>
        <w:ind w:left="1440" w:right="80" w:hanging="353"/>
        <w:spacing w:after="0" w:line="262" w:lineRule="auto"/>
        <w:tabs>
          <w:tab w:leader="none" w:pos="144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actual or potential benefits of designations granted by U.S. Food and Drug Administration (FDA), such as orphan drug, fast track and breakthrough therapy designation or priority review.</w:t>
      </w:r>
    </w:p>
    <w:p>
      <w:pPr>
        <w:spacing w:after="0" w:line="181"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Any forward- looking statements in this Annual Report on Form 10 -K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 looking statements do not reflect the potential impact of any future acquisitions, mergers, dispositions, joint ventures or investments we may make or enter into.</w:t>
      </w:r>
    </w:p>
    <w:p>
      <w:pPr>
        <w:spacing w:after="0" w:line="206"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97"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This Annual Report on Form 10- 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1"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For purposes of this Annual Report on Form 10-K, including the footnotes to our consolidated financial statements, (i) with respect to our now terminated collaboration for pralsetinib, Roche means F. Hoffmann- La Roche Ltd and Genentech, Inc., (ii) with respect to our terminated cancer immunotherapy collaboration, Roche means F. Hoffmann-La Roche Ltd and Hoffmann-La Roche Inc., and (iii) with respect to our financing transactions with Sixth Street Partners, Sixth Street Partners means Garnich Adjacent Investments S.a.r.l. and/or Tao Talents, LLC.</w:t>
      </w:r>
    </w:p>
    <w:p>
      <w:pPr>
        <w:sectPr>
          <w:pgSz w:w="12240" w:h="15840" w:orient="portrait"/>
          <w:cols w:equalWidth="0" w:num="1">
            <w:col w:w="9680"/>
          </w:cols>
          <w:pgMar w:left="1260" w:top="1261" w:right="13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680"/>
          </w:cols>
          <w:pgMar w:left="1260" w:top="1261" w:right="1300" w:bottom="175"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spacing w:after="0" w:line="20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Since 2011, we have advanced a drug discovery approach that combines evolving biological insights with our proprietary research platform and drug design capabilities, which currently focuses on small molecule inhibitors and targeted protein degraders. We aim to rapidly and reproducibly translate science into durable clinical benefit for broad populations of patients with significant medical needs, including patients with mast cell diseases, breast cancer and other solid tumors. Our focused business model integrates our research engine with robust clinical development and commercial capabilities in allergy/inflammation and solid tumors to create a sustainable cycle of innovation.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Mast Cell Diseases — AYVAKIT®/AYVAKYT® (avapritinib), Elenestinib (BLU-263), and BLU-808</w:t>
      </w:r>
    </w:p>
    <w:p>
      <w:pPr>
        <w:spacing w:after="0" w:line="231"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Mast cells are core drivers of biology in a range of inflammatory diseases. KIT-mediated signaling plays a central role in survival, proliferation, and activation of mast cells and KIT is a clinically validated mast cell target. The KIT receptor regulates growth, proliferation, and activation of mast cells – characterized by the release of inflammatory molecules like cytokines, histamine, tryptase, and heparin in a process called degranulation. Under normal conditions, these molecules mediate the normal physiological response to an inflammatory stimulus – leading to symptoms like sneezing, swelling, itching, and gastrointestinal effects.</w:t>
      </w:r>
    </w:p>
    <w:p>
      <w:pPr>
        <w:spacing w:after="0" w:line="189"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There are many disease states caused by increased activation of mast cells. In addition to diseases caused by a KIT receptor mutation, there are also diseases that may be treated by dialing down mast cell activation. SM is a disorder of mast cells driven by the KIT D816V mutation in nearly all cases. Other mast cell disorders, including chronic urticaria, asthma and other skin, respiratory, and gastrointestinal disorders are characterized by generalized mast cell dysregulation, which has been shown to be modifiable with inhibition of wild-type KIT.</w:t>
      </w:r>
    </w:p>
    <w:p>
      <w:pPr>
        <w:spacing w:after="0" w:line="18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continue to build a mast cell disease franchise, based on our deep understanding of mast cell biology and the KIT pathway. We are commercializing our first KIT D816V inhibitor, AYVAKIT/AYVAKYT globally for the treatment of advanced SM and indolent SM. We are developing elenestinib, or BLU-263, an investigational, orally available, potent and highly selective KIT D816V inhibitor, for the treatment of indolent SM. Additionally, we are advancing BLU-808, a potent and selective wild-type KIT inhibitor, for mast cell diseases, including chronic urticaria allergic rhinitis/allergic conjunctivitis, allergic asthma, and mast cell activation syndrome (MCAS). With AYVAKIT, we were able to demonstrate that successful inhibition of mutated KIT with a highly potent and specific molecule can result in the first and only approved disease modifying therapy for SM. Through AYVAKIT development, we have amassed considerable data on mast cell biology and a strong clinical understanding of disease areas connected to mast cell activation, which is helping to drive our efforts to extend our position in SM and expand into other mast cell disorders. We are doing this by leveraging our deep understanding of mast cell biology to drive scientific innovation; bringing that innovation to patients with our clinical and regulatory know-how; and driving compelling top-line revenue growth through commercial execution.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5993130</wp:posOffset>
                </wp:positionH>
                <wp:positionV relativeFrom="paragraph">
                  <wp:posOffset>-1189355</wp:posOffset>
                </wp:positionV>
                <wp:extent cx="6286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4763"/>
                        </a:xfrm>
                        <a:prstGeom prst="line">
                          <a:avLst/>
                        </a:prstGeom>
                        <a:solidFill>
                          <a:srgbClr val="FFFFFF"/>
                        </a:solidFill>
                        <a:ln w="6095">
                          <a:solidFill>
                            <a:srgbClr val="6F6F6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9pt,-93.6499pt" to="476.85pt,-93.6499pt" o:allowincell="f" strokecolor="#6F6F6F" strokeweight="0.4799pt"/>
            </w:pict>
          </mc:Fallback>
        </mc:AlternateConten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43" w:right="1260" w:bottom="17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Systemic Mastocytosis (SM)</w:t>
      </w:r>
    </w:p>
    <w:p>
      <w:pPr>
        <w:spacing w:after="0" w:line="231"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including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43"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SM comprises a spectrum of disease, including indolent and advanced subtypes, with nearly all patients (approximately 95 percent) having a KIT D816V mutation as the underlying driver of the disease. Indolent SM, which is the most common form of SM, is characterized by often severe, unpredictable and debilitating symptoms due to mast cell activation. Symptoms may include unpredictable hypersensitivity reactions, including anaphylaxis, gastrointestinal distress including severe nausea, vomiting and diarrhea, and extensive skin rashes that cause pain, discomfort and social isolation. Advanced SM is a rarer form of SM associated with mast cell infiltration of organ systems resulting in an increasingly severe impact on life expectancy, and includes three subsets: aggressive SM (ASM), SM with an associated hematological neoplasm (SM-AHN) and mast cell leukemia (MCL). These advanced forms of SM have historically had a median overall survival (OS) of less than six months to 3.5 years and are characterized by prominent organopathy and dysfunction, as well as the debilitating symptoms of mast cell activation.</w:t>
      </w:r>
    </w:p>
    <w:p>
      <w:pPr>
        <w:spacing w:after="0" w:line="191"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Advanced SM accounts for approximately 10 percent of SM patients, whereas non-advanced SM accounts for about 90 percent of patients. Population studies suggest that SM prevalence could range from 1 in 10,000 up to 1 in 5,000 adults. This prevalence translates to about 30,000 -60,000 patients in the US. Adding the United Kingdom, Germany, France, Spain, and Italy to the estimate for the US, the prevalence is about 60,000-120,000 patients.</w:t>
      </w:r>
    </w:p>
    <w:p>
      <w:pPr>
        <w:spacing w:after="0" w:line="184" w:lineRule="exact"/>
        <w:rPr>
          <w:sz w:val="20"/>
          <w:szCs w:val="20"/>
          <w:color w:val="auto"/>
        </w:rPr>
      </w:pPr>
    </w:p>
    <w:p>
      <w:pPr>
        <w:ind w:right="200" w:firstLine="720"/>
        <w:spacing w:after="0" w:line="263" w:lineRule="auto"/>
        <w:rPr>
          <w:sz w:val="20"/>
          <w:szCs w:val="20"/>
          <w:color w:val="auto"/>
        </w:rPr>
      </w:pPr>
      <w:r>
        <w:rPr>
          <w:rFonts w:ascii="Times New Roman" w:cs="Times New Roman" w:eastAsia="Times New Roman" w:hAnsi="Times New Roman"/>
          <w:sz w:val="19"/>
          <w:szCs w:val="19"/>
          <w:color w:val="auto"/>
        </w:rPr>
        <w:t>The current treatment paradigm for SM varies by disease subtype. Currently, there are no approved therapies other than AYVAKIT designed to potently and selectively inhibit the KIT D816V mutation. There are two approved therapies for advanced SM: midostaurin and imatinib. Midostaurin is a multi-kinase inhibitor with limited KIT D816V inhibitory activity. Imatinib is approved only for patients with the ASM subtype who do not harbor the KIT D816V mutation, or who have an unknown mutation status. Other treatments used in advanced SM include interferon alpha or cytoreductive agents to reduce mast cell burden, or treatments aimed at addressing the associated blood disorder.</w:t>
      </w:r>
    </w:p>
    <w:p>
      <w:pPr>
        <w:spacing w:after="0" w:line="224"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For patients with indolent SM, AYVAKIT/AYVAKYT is the only approved therapy in the U.S. and EU. Beyond AYVAKIT, management is symptom-directed and includes avoidance of triggers of mast cell activation (such as insect stings). Common off-label treatments for indolent SM include histamine blockers, cromolyn, epinephrine, corticosteroids, and, in cases of refractory patients, cytoreductive agents. Patients often take multiple symptom-directed treatments to manage their disease, and a reduction in polypharmacy burden is an important treatment goal.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AYVAKIT®/AYVAKYT® (avapritinib)</w:t>
      </w:r>
    </w:p>
    <w:p>
      <w:pPr>
        <w:spacing w:after="0" w:line="27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are commercializing avapritinib for the treatment of advanced SM and indolent SM. 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Phase 1 clinical trial in advanced SM, which we refer to as our EXPLORER trial, and our ongoing registrational clinical trial in advanced SM, which we refer to as our PATHFINDER trial. The approvals of AYVAKIT for the treatment of patients with indolent SM, were supported by data from our ongoing Phase 2/3 clinical trial in indolent SM, which we refer to as the PIONEER trial. At the European Academy of Allergy and Clinical Immunology (EAACI) Congress May/June 2024, we presented long- term data from PIONEER, demonstrating that with a median follow-up of more than two years, AYVAKIT showed durable efficacy and a favorable safety profile in patients with indolent SM, and that safety data were consistent for the small number of patients who doses escalated to 50 mg once daily.</w:t>
      </w:r>
    </w:p>
    <w:p>
      <w:pPr>
        <w:spacing w:after="0" w:line="254" w:lineRule="exact"/>
        <w:rPr>
          <w:sz w:val="20"/>
          <w:szCs w:val="20"/>
          <w:color w:val="auto"/>
        </w:rPr>
      </w:pPr>
    </w:p>
    <w:p>
      <w:pPr>
        <w:ind w:right="360" w:firstLine="720"/>
        <w:spacing w:after="0" w:line="304" w:lineRule="auto"/>
        <w:rPr>
          <w:sz w:val="20"/>
          <w:szCs w:val="20"/>
          <w:color w:val="auto"/>
        </w:rPr>
      </w:pPr>
      <w:r>
        <w:rPr>
          <w:rFonts w:ascii="Times New Roman" w:cs="Times New Roman" w:eastAsia="Times New Roman" w:hAnsi="Times New Roman"/>
          <w:sz w:val="19"/>
          <w:szCs w:val="19"/>
          <w:color w:val="auto"/>
        </w:rPr>
        <w:t>The FDA has granted breakthrough therapy designation to avapritinib for (i) the treatment of advanced SM, including the subtypes of ASM, SM-AHN and MCL, and (ii) the treatment of moderate to severe indolent SM. In</w:t>
      </w:r>
    </w:p>
    <w:p>
      <w:pPr>
        <w:sectPr>
          <w:pgSz w:w="12240" w:h="15840" w:orient="portrait"/>
          <w:cols w:equalWidth="0" w:num="1">
            <w:col w:w="9700"/>
          </w:cols>
          <w:pgMar w:left="1260" w:top="1246" w:right="1280" w:bottom="175"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00"/>
          </w:cols>
          <w:pgMar w:left="1260" w:top="1246" w:right="1280" w:bottom="175" w:gutter="0" w:footer="0" w:header="0"/>
          <w:type w:val="continuous"/>
        </w:sectPr>
      </w:pPr>
    </w:p>
    <w:bookmarkStart w:id="14" w:name="page15"/>
    <w:bookmarkEnd w:id="14"/>
    <w:p>
      <w:pPr>
        <w:ind w:right="800"/>
        <w:spacing w:after="0" w:line="259" w:lineRule="auto"/>
        <w:rPr>
          <w:sz w:val="20"/>
          <w:szCs w:val="20"/>
          <w:color w:val="auto"/>
        </w:rPr>
      </w:pPr>
      <w:r>
        <w:rPr>
          <w:rFonts w:ascii="Times New Roman" w:cs="Times New Roman" w:eastAsia="Times New Roman" w:hAnsi="Times New Roman"/>
          <w:sz w:val="20"/>
          <w:szCs w:val="20"/>
          <w:color w:val="auto"/>
        </w:rPr>
        <w:t>addition, the FDA has granted orphan drug designation to avapritinib for the treatment of mastocytosis, and the European Commission has granted orphan medicinal product designation to avapritinib for the treatment of mastocytosis.</w:t>
      </w:r>
    </w:p>
    <w:p>
      <w:pPr>
        <w:spacing w:after="0" w:line="226"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19"/>
          <w:szCs w:val="19"/>
          <w:color w:val="auto"/>
        </w:rPr>
        <w:t>Avapritinib is also approved in the U.S. under the brand name AYVAKIT for the treatment of adults with unresectable or metastatic GIST harboring a PDGFRA exon 18 mutation, including PDGFRA D842V mutations, and is approved in the EU, the UK and Switzerland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approved AYVAKIT for the treatment of adults with unresectable or metastatic GIST harboring a PDGFRA exon</w:t>
      </w:r>
    </w:p>
    <w:p>
      <w:pPr>
        <w:spacing w:after="0" w:line="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18 mutation, including PDGFRA D842V mutations. AYVAKIT also received accelerated approval from the Taiwan Food and Drug Administration and approval in Hong Kong, both for adults with unresectable or metastatic GIST harboring PDGFRA D842V mutations. We also have distributor arrangements to commercialize AYVAKIT in global jurisdictions, including Israel and Canada, where approvals have been received. To date, AYVAKIT/AYVAKYT is approved and reimbursed for one or more indications in 15 countries, where we or our distribution partners are commercializing it.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Avapritinib Clinical Data in SM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Registrational PIONEER Trial in Indolent SM</w:t>
      </w:r>
    </w:p>
    <w:p>
      <w:pPr>
        <w:spacing w:after="0" w:line="27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PIONEER is a randomized, double-blind, placebo -controlled, registration-enabling trial evaluating avapritinib in patients with indolent SM. The trial includes three parts: dose-finding Part 1, registration- enabling Part 2 and long-term treatment Part 3. All patients who completed Parts 1 or 2 had an opportunity to receive treatment with avapritinib in Part 3. Key trial endpoints include the change in patient-reported disease symptoms as measured by the Indolent SM Symptom Assessment Form Total Symptom Score, or ISM-SAF TSS, quantitative measures of mast cell burden and safety.</w:t>
      </w:r>
    </w:p>
    <w:p>
      <w:pPr>
        <w:spacing w:after="0" w:line="241"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In June 2024, we presented data at EAACI and in February 2024, we presented data at American Academy of Allergy, Asthma, and Immunology (AAAAI) Annual Meeting. In February 2023 we presented fulsome results from PIONEER Part 2 at the AAAAI Annual Meeting and in August 2022 we presented top line data from PIONEER Part 2.</w:t>
      </w:r>
    </w:p>
    <w:p>
      <w:pPr>
        <w:spacing w:after="0" w:line="230" w:lineRule="exact"/>
        <w:rPr>
          <w:sz w:val="20"/>
          <w:szCs w:val="20"/>
          <w:color w:val="auto"/>
        </w:rPr>
      </w:pPr>
    </w:p>
    <w:p>
      <w:pPr>
        <w:ind w:left="720" w:right="380"/>
        <w:spacing w:after="0" w:line="276" w:lineRule="auto"/>
        <w:rPr>
          <w:sz w:val="20"/>
          <w:szCs w:val="20"/>
          <w:color w:val="auto"/>
        </w:rPr>
      </w:pPr>
      <w:r>
        <w:rPr>
          <w:rFonts w:ascii="Times New Roman" w:cs="Times New Roman" w:eastAsia="Times New Roman" w:hAnsi="Times New Roman"/>
          <w:sz w:val="20"/>
          <w:szCs w:val="20"/>
          <w:i w:val="1"/>
          <w:iCs w:val="1"/>
          <w:u w:val="single" w:color="auto"/>
          <w:color w:val="auto"/>
        </w:rPr>
        <w:t>Data Presented at the European Academy of Allergy and Clinical Immunology (EAACI) Annual Meeting in June 2024</w:t>
      </w:r>
    </w:p>
    <w:p>
      <w:pPr>
        <w:spacing w:after="0" w:line="209" w:lineRule="exact"/>
        <w:rPr>
          <w:sz w:val="20"/>
          <w:szCs w:val="20"/>
          <w:color w:val="auto"/>
        </w:rPr>
      </w:pPr>
    </w:p>
    <w:p>
      <w:pPr>
        <w:jc w:val="both"/>
        <w:ind w:right="260" w:firstLine="720"/>
        <w:spacing w:after="0" w:line="258" w:lineRule="auto"/>
        <w:rPr>
          <w:sz w:val="20"/>
          <w:szCs w:val="20"/>
          <w:color w:val="auto"/>
        </w:rPr>
      </w:pPr>
      <w:r>
        <w:rPr>
          <w:rFonts w:ascii="Times New Roman" w:cs="Times New Roman" w:eastAsia="Times New Roman" w:hAnsi="Times New Roman"/>
          <w:sz w:val="20"/>
          <w:szCs w:val="20"/>
          <w:color w:val="auto"/>
        </w:rPr>
        <w:t>We presented long-term data from PIONEER, demonstrating that with a median follow-up of more than two years, AYVAKIT showed durable efficacy and a favorable safety profile in patients with indolent SM, and that safety data were consistent for the small number of patients who dose escalated to 50 mg once daily.</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AAAAI Annual Meeting in February 2024</w:t>
      </w:r>
    </w:p>
    <w:p>
      <w:pPr>
        <w:spacing w:after="0" w:line="27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We presented long-term data from PIONEER, demonstrating that AYVAKIT had a durable symptom impact and a well-tolerated safety profile, supporting long-term treatment and consistent with real-world experience observed in the commercial setting.</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AAAAI Annual Meeting in February 2023</w:t>
      </w:r>
    </w:p>
    <w:p>
      <w:pPr>
        <w:spacing w:after="0" w:line="278"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In the randomized, double-blind, placebo-controlled part of the PIONEER trial, 141 patients received AYVAKIT 25 mg once daily plus best supportive care and 71 patients received placebo plus best supportive care (placebo) at 49 sites in 13 countries. The study included adults with an indolent SM diagnosis confirmed by central pathology review, and moderate-to-severe symptom burden despite an optimized regimen of best supportive care. All</w:t>
      </w:r>
    </w:p>
    <w:p>
      <w:pPr>
        <w:sectPr>
          <w:pgSz w:w="12240" w:h="15840" w:orient="portrait"/>
          <w:cols w:equalWidth="0" w:num="1">
            <w:col w:w="9700"/>
          </w:cols>
          <w:pgMar w:left="1260" w:top="1246" w:right="1280" w:bottom="175"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00"/>
          </w:cols>
          <w:pgMar w:left="1260" w:top="1246" w:right="1280" w:bottom="175" w:gutter="0" w:footer="0" w:header="0"/>
          <w:type w:val="continuous"/>
        </w:sectPr>
      </w:pPr>
    </w:p>
    <w:bookmarkStart w:id="15" w:name="page16"/>
    <w:bookmarkEnd w:id="15"/>
    <w:p>
      <w:pPr>
        <w:ind w:right="120"/>
        <w:spacing w:after="0" w:line="249" w:lineRule="auto"/>
        <w:rPr>
          <w:sz w:val="20"/>
          <w:szCs w:val="20"/>
          <w:color w:val="auto"/>
        </w:rPr>
      </w:pPr>
      <w:r>
        <w:rPr>
          <w:rFonts w:ascii="Times New Roman" w:cs="Times New Roman" w:eastAsia="Times New Roman" w:hAnsi="Times New Roman"/>
          <w:sz w:val="20"/>
          <w:szCs w:val="20"/>
          <w:color w:val="auto"/>
        </w:rPr>
        <w:t>patients were able to continue symptom-directed therapy throughout the trial and, following completion of the 24-week treatment period, had the option to receive AYVAKIT in an open-label extension study. Baseline patient demographics were balanced between treatment arms and reflected significant disease burden. Disease symptoms were assessed using the Indolent SM Symptom Assessment Form (ISM-SAF). Results were reported as of a data cutoff date of June 23, 2022.</w:t>
      </w:r>
    </w:p>
    <w:p>
      <w:pPr>
        <w:spacing w:after="0" w:line="23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Clinical Activity Data. </w:t>
      </w:r>
      <w:r>
        <w:rPr>
          <w:rFonts w:ascii="Times New Roman" w:cs="Times New Roman" w:eastAsia="Times New Roman" w:hAnsi="Times New Roman"/>
          <w:sz w:val="20"/>
          <w:szCs w:val="20"/>
          <w:color w:val="auto"/>
        </w:rPr>
        <w:t>Part 2 of the PIONEER study showed clinically meaningful and highly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improvements across the primary and all key secondary endpoints, including patient-reported symptoms and objective measures of disease burden. For the avapritinib arm relative to the control arm, the trial achieved the primary endpoint with a highly significant difference in the mean change in TSS at 24 weeks (p=0.003). The avapritinib arm had a reduction of 15.6 points in mean TSS at 24 weeks, which continued to deepen to 20.2 points at 48 weeks in patients who rolled over to the Part 3 open-label extension study. At 24 weeks, the control arm had a reduction of 9.2 points in mean TSS. In addition, the trial met all key secondary endpoints, including significant improvements across measures of mast cell burden. More than half of AYVAKIT-treated patients had a greater than or equal to 50 percent reduction of serum tryptase, compared to no patients in the control arm (53.9% vs. 0%; p&lt;0.0001).</w:t>
      </w:r>
    </w:p>
    <w:p>
      <w:pPr>
        <w:spacing w:after="0" w:line="24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Safety Data</w:t>
      </w:r>
      <w:r>
        <w:rPr>
          <w:rFonts w:ascii="Times New Roman" w:cs="Times New Roman" w:eastAsia="Times New Roman" w:hAnsi="Times New Roman"/>
          <w:sz w:val="20"/>
          <w:szCs w:val="20"/>
          <w:color w:val="auto"/>
        </w:rPr>
        <w:t>. Avapritinib had a favorable safety profile compared to the control arm. The rate of adverse events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(AEs) was 90.8 percent in the avapritinib arm and 93.0 percent in the control arm. Serious AEs occurred in 5.0 percent of avapritinib-treated patients, compared to 11.3 percent of patients in the control arm. Discontinuations due to treatment-related AEs occurred in 0.7 percent of avapritinib-treated patients and 0 percent of patients in the placebo arm. The avapritinib arm had a lower rate of cognitive AEs than the control arm - 2.8% avapritinib vs. 4.2% control – and there were no intracranial bleeding events. Treatment-related AEs reported in at least three patients in either arm and at least 5 percent of avapritinib-treated patients included headache, nausea, peripheral edema and periorbital edema.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Elenestinib (BLU-263)</w:t>
      </w:r>
    </w:p>
    <w:p>
      <w:pPr>
        <w:spacing w:after="0" w:line="28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are developing elenestinib an investigational, orally available, potent and highly selective KIT inhibitor, for the treatment of indolent SM and other mast cell disorders. Elenestinib is designed to have equivalent potency as avapritinib, with low off-target activity and minimal penetration of the central nervous system relative to avapritinib based on preclinical data.</w:t>
      </w:r>
    </w:p>
    <w:p>
      <w:pPr>
        <w:spacing w:after="0" w:line="23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are evaluating elenestinib in an ongoing Phase 2/3 clinical trial in indolent SM, which we refer to as our HARBOR trial. In December 2022, we announced top -line, 12-week data from the dose-finding Part 1 of the HARBOR trial. In December 2023, we presented HARBOR Part 1 trial data for elenestinib in indolent SM at the 65th American Society of Hematology (ASH) Annual Meeting and Exposition. We initiated the registration-enabling Phase 3 HARBOR trial of elenestinib in indolent SM in the fourth quarter of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Elenestinib Clinical Data in Indolent SM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2/3 HARBOR Trial in Indolent SM</w:t>
      </w:r>
    </w:p>
    <w:p>
      <w:pPr>
        <w:spacing w:after="0" w:line="27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HARBOR is a randomized, double-blind, placebo-controlled trial evaluating elenestinib in patients with indolent SM. The trial includes multiple parts including dose-finding Part 1, registration-enabling Part 2 and long-term treatment Part 3. All patients who complete Parts 1 or 2 will have an opportunity to receive treatment with elenestinib in Part 3. Key trial endpoints include the change in patient-reported disease symptoms as measured by the ISM-SAF TSS, quantitative measures of mast cell burden and safety.</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ASH Annual Meeting in December 2023</w:t>
      </w:r>
    </w:p>
    <w:p>
      <w:pPr>
        <w:spacing w:after="0" w:line="27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Part 1 of the HARBOR trial enrolled 29 patients who received elenestinib plus best available care, including 10 patients at 25 mg once daily, 10 patients at 50 mg once daily and nine patients at 100 mg once daily, and 10 patients who received placebo plus best available care. Baseline patient and disease characteristics were similar to those reported for the general ISM population. Results were reported as of a data cutoff date of October 17, 2022.</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00"/>
          </w:cols>
          <w:pgMar w:left="1260" w:top="1246" w:right="1280" w:bottom="175" w:gutter="0" w:footer="0" w:header="0"/>
          <w:type w:val="continuous"/>
        </w:sectPr>
      </w:pPr>
    </w:p>
    <w:bookmarkStart w:id="16" w:name="page17"/>
    <w:bookmarkEnd w:id="16"/>
    <w:p>
      <w:pPr>
        <w:ind w:right="10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Clinical Activity Data. </w:t>
      </w:r>
      <w:r>
        <w:rPr>
          <w:rFonts w:ascii="Times New Roman" w:cs="Times New Roman" w:eastAsia="Times New Roman" w:hAnsi="Times New Roman"/>
          <w:sz w:val="20"/>
          <w:szCs w:val="20"/>
          <w:color w:val="auto"/>
        </w:rPr>
        <w:t>12-week results from Part 1 of the HARBOR study showed elenestinib treatment led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rapid improvements in patient-reported symptoms, or TSS as measured by the ISM-SAF, as well as objective measures of mast cell burden. The elenestinib arms saw a mean percent reduction from baseline TSS of 28.5% at 25 mg, 31.8% at 50 mg, and 33.6% at 100 mg at 12 weeks, compared to a mean percent reduction from baseline TSS of 22.2% in the control arm. In addition, patients receiving elenestinib at doses of 25 mg, 50 mg, and 100 mg demonstrated dose-dependent mean percent reductions from baseline in serum tryptase levels, KIT D816V variant allele fraction (VAF), and bone marrow mast cells versus placebo.</w:t>
      </w:r>
    </w:p>
    <w:p>
      <w:pPr>
        <w:spacing w:after="0" w:line="24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Safety Data</w:t>
      </w:r>
      <w:r>
        <w:rPr>
          <w:rFonts w:ascii="Times New Roman" w:cs="Times New Roman" w:eastAsia="Times New Roman" w:hAnsi="Times New Roman"/>
          <w:sz w:val="20"/>
          <w:szCs w:val="20"/>
          <w:color w:val="auto"/>
        </w:rPr>
        <w:t>. Elenestinib safety results were consistent with its preclinical profile and a completed Phase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healthy volunteer trial. Elenestinib was generally well-tolerated at all dose levels with most AEs reported as Grade 1–2, and there were no discontinuations due to AEs. At the time of data cut-off, median treatment duration was 22 weeks and there were no grade 4 or 5 AEs, no treatment-related SAEs, no AEs that led to drug discontinuation, and all patients were still on treatment.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BLU-808</w:t>
      </w:r>
    </w:p>
    <w:p>
      <w:pPr>
        <w:spacing w:after="0" w:line="28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In the first half of 2023, we nominated the development candidate BLU-808 from our discovery programs, an oral, highly potent and selective wild-type KIT inhibitor. We are developing BLU-808 as a potential first- and best-in-class treatment for mast cell disorders, including chronic urticaria, a debilitating inflammatory skin disorder characterized by wheals (hives), and sleep disruption, stress and anxiety due to severe itching are major contributors to disease burden. Wild-type KIT inhibition has an established proof-of-concept in chronic urticaria, and BLU -808 represents a small molecule approach with the opportunity to drive market expansion with an oral regimen. Beyond chronic urticaria, we plan to initiate proof of concept studies in other related allergic-inflammatory indications, including but not limited to allergic rhinitis/allergic conjunctivitis, allergic asthma, and MCAS.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3496310</wp:posOffset>
                </wp:positionH>
                <wp:positionV relativeFrom="paragraph">
                  <wp:posOffset>-214630</wp:posOffset>
                </wp:positionV>
                <wp:extent cx="323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3pt,-16.8999pt" to="277.85pt,-16.8999pt" o:allowincell="f" strokecolor="#000000" strokeweight="0.4799pt"/>
            </w:pict>
          </mc:Fallback>
        </mc:AlternateContent>
      </w:r>
    </w:p>
    <w:p>
      <w:pPr>
        <w:spacing w:after="0" w:line="172"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In June 2024, we submitted an Investigational New Drug (IND) application to FDA for BLU-808. We received FDA clearance to proceed with a Phase 1 study in healthy volunteers and initiated that study in the third quarter of 2024.</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J.P. Morgan Conference in January 2025</w:t>
      </w:r>
    </w:p>
    <w:p>
      <w:pPr>
        <w:spacing w:after="0" w:line="229" w:lineRule="exact"/>
        <w:rPr>
          <w:sz w:val="20"/>
          <w:szCs w:val="20"/>
          <w:color w:val="auto"/>
        </w:rPr>
      </w:pPr>
    </w:p>
    <w:p>
      <w:pPr>
        <w:jc w:val="both"/>
        <w:ind w:right="560" w:firstLine="720"/>
        <w:spacing w:after="0" w:line="258" w:lineRule="auto"/>
        <w:rPr>
          <w:sz w:val="20"/>
          <w:szCs w:val="20"/>
          <w:color w:val="auto"/>
        </w:rPr>
      </w:pPr>
      <w:r>
        <w:rPr>
          <w:rFonts w:ascii="Times New Roman" w:cs="Times New Roman" w:eastAsia="Times New Roman" w:hAnsi="Times New Roman"/>
          <w:sz w:val="20"/>
          <w:szCs w:val="20"/>
          <w:color w:val="auto"/>
        </w:rPr>
        <w:t>In January 2025, we presented results from the Phase 1 single-ascending dose (SAD; n=56) and multiple-ascending dose (MAD; n=31, 14-day dosing) trial of BLU-808, a highly potent and selective oral KIT inhibitor, in healthy volunteers at the J.P. Morgan Healthcare Conference.</w:t>
      </w:r>
    </w:p>
    <w:p>
      <w:pPr>
        <w:spacing w:after="0" w:line="179" w:lineRule="exact"/>
        <w:rPr>
          <w:sz w:val="20"/>
          <w:szCs w:val="20"/>
          <w:color w:val="auto"/>
        </w:rPr>
      </w:pPr>
    </w:p>
    <w:p>
      <w:pPr>
        <w:ind w:right="220" w:firstLine="720"/>
        <w:spacing w:after="0" w:line="274" w:lineRule="auto"/>
        <w:rPr>
          <w:sz w:val="20"/>
          <w:szCs w:val="20"/>
          <w:color w:val="auto"/>
        </w:rPr>
      </w:pPr>
      <w:r>
        <w:rPr>
          <w:rFonts w:ascii="Times New Roman" w:cs="Times New Roman" w:eastAsia="Times New Roman" w:hAnsi="Times New Roman"/>
          <w:sz w:val="20"/>
          <w:szCs w:val="20"/>
          <w:i w:val="1"/>
          <w:iCs w:val="1"/>
          <w:color w:val="auto"/>
        </w:rPr>
        <w:t xml:space="preserve">Safety: </w:t>
      </w:r>
      <w:r>
        <w:rPr>
          <w:rFonts w:ascii="Times New Roman" w:cs="Times New Roman" w:eastAsia="Times New Roman" w:hAnsi="Times New Roman"/>
          <w:sz w:val="20"/>
          <w:szCs w:val="20"/>
          <w:color w:val="auto"/>
        </w:rPr>
        <w:t>BLU-808 was well-tolerated at all doses tested. All treatment-emergent adverse events (AEs)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 cohorts 1-12 mg once daily (QD) in those who received BLU-808 were Grade 1. There were no serious AEs, no discontinuations or dose modifications due to AEs, and no clinically significant changes in laboratory measures.</w:t>
      </w:r>
    </w:p>
    <w:p>
      <w:pPr>
        <w:spacing w:after="0" w:line="177"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Pharmacokinetics: </w:t>
      </w:r>
      <w:r>
        <w:rPr>
          <w:rFonts w:ascii="Times New Roman" w:cs="Times New Roman" w:eastAsia="Times New Roman" w:hAnsi="Times New Roman"/>
          <w:sz w:val="20"/>
          <w:szCs w:val="20"/>
          <w:color w:val="auto"/>
        </w:rPr>
        <w:t>BLU-808 showed a half-life of approximately 40 hours, enabling once-daily dosing,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consistent, dose-proportional increases in drug exposure. In the MAD cohorts, all BLU-808 doses led to sustained target coverage, with mean plasma concentrations exceeding predicted KIT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20"/>
          <w:szCs w:val="20"/>
          <w:color w:val="auto"/>
        </w:rPr>
        <w:t xml:space="preserve"> levels at ≥1 mg QD and IC</w:t>
      </w:r>
      <w:r>
        <w:rPr>
          <w:rFonts w:ascii="Times New Roman" w:cs="Times New Roman" w:eastAsia="Times New Roman" w:hAnsi="Times New Roman"/>
          <w:sz w:val="12"/>
          <w:szCs w:val="12"/>
          <w:color w:val="auto"/>
        </w:rPr>
        <w:t>88</w:t>
      </w:r>
      <w:r>
        <w:rPr>
          <w:rFonts w:ascii="Times New Roman" w:cs="Times New Roman" w:eastAsia="Times New Roman" w:hAnsi="Times New Roman"/>
          <w:sz w:val="20"/>
          <w:szCs w:val="20"/>
          <w:color w:val="auto"/>
        </w:rPr>
        <w:t xml:space="preserve"> levels at ≥3 mg QD.</w:t>
      </w:r>
    </w:p>
    <w:p>
      <w:pPr>
        <w:spacing w:after="0" w:line="184"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Pharmacodynamics: </w:t>
      </w:r>
      <w:r>
        <w:rPr>
          <w:rFonts w:ascii="Times New Roman" w:cs="Times New Roman" w:eastAsia="Times New Roman" w:hAnsi="Times New Roman"/>
          <w:sz w:val="20"/>
          <w:szCs w:val="20"/>
          <w:color w:val="auto"/>
        </w:rPr>
        <w:t>BLU-808 showed dose-dependent serum tryptase responses, reflecting evidence of mast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cell target engagement across multiple dose levels. In the SAD cohorts, reductions in tryptase were observed after a single dose of BLU-808, exceeding 60 percent at 42 mg. In the MAD cohorts, rapid, robust and sustained reductions in tryptase were observed, with reductions exceeding 80 percent at 12mg and below the lower limit of quantification (LLOQ) at multiple dose levels.</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20"/>
          </w:cols>
          <w:pgMar w:left="1260" w:top="1246" w:right="1260" w:bottom="175"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auto"/>
        </w:rPr>
        <w:t>Oncology/Hematology</w:t>
      </w:r>
    </w:p>
    <w:p>
      <w:pPr>
        <w:spacing w:after="0" w:line="283" w:lineRule="exact"/>
        <w:rPr>
          <w:sz w:val="20"/>
          <w:szCs w:val="20"/>
          <w:color w:val="auto"/>
        </w:rPr>
      </w:pPr>
    </w:p>
    <w:p>
      <w:pPr>
        <w:jc w:val="both"/>
        <w:ind w:right="280" w:firstLine="720"/>
        <w:spacing w:after="0" w:line="278" w:lineRule="auto"/>
        <w:rPr>
          <w:sz w:val="20"/>
          <w:szCs w:val="20"/>
          <w:color w:val="auto"/>
        </w:rPr>
      </w:pPr>
      <w:r>
        <w:rPr>
          <w:rFonts w:ascii="Times New Roman" w:cs="Times New Roman" w:eastAsia="Times New Roman" w:hAnsi="Times New Roman"/>
          <w:sz w:val="20"/>
          <w:szCs w:val="20"/>
          <w:color w:val="auto"/>
        </w:rPr>
        <w:t>Our oncology research program has delivered a number of innovative therapies and continues to be an active area of discovery. Based on early clinical success, we plan to further advance discovery research in oncology in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Cell Cycle Inhibition Programs</w:t>
      </w:r>
    </w:p>
    <w:p>
      <w:pPr>
        <w:spacing w:after="0" w:line="28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 xml:space="preserve">We are advancing multiple therapeutic candidates and research programs targeting the cell cycle as potential treatments for patients with hormone-receptor-positive/human epidermal growth receptor 2 negative (HR+/HER2-) breast cancer and other solid tumors. These include </w:t>
      </w:r>
      <w:r>
        <w:rPr>
          <w:rFonts w:ascii="Times New Roman" w:cs="Times New Roman" w:eastAsia="Times New Roman" w:hAnsi="Times New Roman"/>
          <w:sz w:val="20"/>
          <w:szCs w:val="20"/>
          <w:color w:val="auto"/>
          <w:highlight w:val="white"/>
        </w:rPr>
        <w:t>CDK2 and CDK4 targeted protein degraders, which have progressed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rapidly in preclinical development toward potentially best-in-class development candidate profiles supporting our prioritization of these programs. We are completing the Phase 1 dose escalation study of our CDK2 inhibitor BLU- 222 and are de-prioritizing any further investment in this program. We continue to engage strategic partners on potential opportunities to broadly advance our franchise of CDK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Discovery Platform</w:t>
      </w:r>
    </w:p>
    <w:p>
      <w:pPr>
        <w:spacing w:after="0" w:line="23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continue to drive organic growth with our innovative and highly productive research platform, which has nominated 17 development candidates to date. With drug design capabilities spanning small molecule inhibitors and targeted protein degraders, our approach begins by choosing the best modality for the targets we are pursuing and designing highly potent and selective therapeutic candidates. Within our focus areas of allergy/inflammation and oncology/hematology, we pursue targets where the biology is clear and there is opportunity to impact large patient populations. We consistently aim to achieve first- or best-in-class profiles with the potential to disrupt the current standard of care and dramatically improve patient outcomes. In addition, we prioritize opportunities where early data can de-risk future investment and we deeply integrate the insights and capabilities of our R&amp;D and commercial functions to create significant and sustainable growth opportunities.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Collaborations, Licenses and Other Agreements Summary</w:t>
      </w:r>
    </w:p>
    <w:p>
      <w:pPr>
        <w:spacing w:after="0" w:line="24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Roche—Pralsetinib Collaboration. </w:t>
      </w:r>
      <w:r>
        <w:rPr>
          <w:rFonts w:ascii="Times New Roman" w:cs="Times New Roman" w:eastAsia="Times New Roman" w:hAnsi="Times New Roman"/>
          <w:sz w:val="20"/>
          <w:szCs w:val="20"/>
          <w:color w:val="auto"/>
        </w:rPr>
        <w:t>In July 2020, we entered into a collaboration agreement with Roche,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we 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a transition agreement with Roche (the Roche transition agreement) and sold the U.S. rights to research, develop, manufacture and commercialize pralsetinib to Rigel Pharmaceuticals (Rigel).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 For additional information, see Note 11, </w:t>
      </w:r>
      <w:r>
        <w:rPr>
          <w:rFonts w:ascii="Times New Roman" w:cs="Times New Roman" w:eastAsia="Times New Roman" w:hAnsi="Times New Roman"/>
          <w:sz w:val="20"/>
          <w:szCs w:val="20"/>
          <w:i w:val="1"/>
          <w:iCs w:val="1"/>
          <w:color w:val="auto"/>
        </w:rPr>
        <w:t>Collaborations, License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Agreements</w:t>
      </w:r>
      <w:r>
        <w:rPr>
          <w:rFonts w:ascii="Times New Roman" w:cs="Times New Roman" w:eastAsia="Times New Roman" w:hAnsi="Times New Roman"/>
          <w:sz w:val="20"/>
          <w:szCs w:val="20"/>
          <w:color w:val="auto"/>
        </w:rPr>
        <w:t>, to our consolidated financial statements included in this Form 10-K.</w:t>
      </w:r>
    </w:p>
    <w:p>
      <w:pPr>
        <w:spacing w:after="0" w:line="202"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CStone. </w:t>
      </w:r>
      <w:r>
        <w:rPr>
          <w:rFonts w:ascii="Times New Roman" w:cs="Times New Roman" w:eastAsia="Times New Roman" w:hAnsi="Times New Roman"/>
          <w:sz w:val="20"/>
          <w:szCs w:val="20"/>
          <w:color w:val="auto"/>
        </w:rPr>
        <w:t>In June 2018, we entered into a collaboration with CStone to develop and commercialize avapritinib,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pralsetinib and fisogatinib, as well as any back-up and other forms thereof, in the CStone Territory either as a monotherapy or as part of a combination therapy.</w:t>
      </w:r>
    </w:p>
    <w:p>
      <w:pPr>
        <w:spacing w:after="0" w:line="176" w:lineRule="exact"/>
        <w:rPr>
          <w:sz w:val="20"/>
          <w:szCs w:val="20"/>
          <w:color w:val="auto"/>
        </w:rPr>
      </w:pPr>
    </w:p>
    <w:p>
      <w:pPr>
        <w:ind w:right="280"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Clementia. </w:t>
      </w:r>
      <w:r>
        <w:rPr>
          <w:rFonts w:ascii="Times New Roman" w:cs="Times New Roman" w:eastAsia="Times New Roman" w:hAnsi="Times New Roman"/>
          <w:sz w:val="20"/>
          <w:szCs w:val="20"/>
          <w:color w:val="auto"/>
        </w:rPr>
        <w:t>In October 2019, we entered into a license agreement with Clementia, which we refer to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Clementia license agreement. Pursuant to the Clementia license agreement, we granted Clementia an exclusive, worldwide, royalty-bearing license to develop and commercialize BLU-782, as well as specified other compounds related to the BLU -782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43" w:right="1260" w:bottom="175" w:gutter="0" w:footer="0" w:header="0"/>
          <w:type w:val="continuous"/>
        </w:sectPr>
      </w:pPr>
    </w:p>
    <w:bookmarkStart w:id="18" w:name="page19"/>
    <w:bookmarkEnd w:id="18"/>
    <w:p>
      <w:pPr>
        <w:ind w:right="16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Zai Lab. </w:t>
      </w:r>
      <w:r>
        <w:rPr>
          <w:rFonts w:ascii="Times New Roman" w:cs="Times New Roman" w:eastAsia="Times New Roman" w:hAnsi="Times New Roman"/>
          <w:sz w:val="20"/>
          <w:szCs w:val="20"/>
          <w:color w:val="auto"/>
        </w:rPr>
        <w:t>In November 2021, we entered into a license and collaboration agreement with Zai Lab, which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 to as the Zai Lab agreement, to develop and commercialize certain licensed products for the treatment of EGFR-driven NSCLC in Greater China, including Mainland China, Hong Kong, Macau and Taiwan, which currently includes BLU-945 and BLU-525. In January 2024 at the J.P. Morgan Healthcare Conference, we announced that we are discontinuing further investment in early clinical-stage therapies for EGFR-mutant NSCLC globally; however, Zai Lab retains its rights to BLU-945 and BLU-525 under the Zai Lab agreement.</w:t>
      </w:r>
    </w:p>
    <w:p>
      <w:pPr>
        <w:spacing w:after="0" w:line="121"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IDRx. </w:t>
      </w:r>
      <w:r>
        <w:rPr>
          <w:rFonts w:ascii="Times New Roman" w:cs="Times New Roman" w:eastAsia="Times New Roman" w:hAnsi="Times New Roman"/>
          <w:sz w:val="20"/>
          <w:szCs w:val="20"/>
          <w:color w:val="auto"/>
        </w:rPr>
        <w:t>In August 2022, we entered into a license agreement with IDRx, Inc., or IDRx, which we refer to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IDRx License Agreement. Pursuant to the IDRx License Agreement, we granted IDRx an exclusive, worldwide, royalty-bearing license to exploit our internally discovered development candidate-stage KIT exon 13 inhibitor, IDRX-73.</w:t>
      </w:r>
    </w:p>
    <w:p>
      <w:pPr>
        <w:spacing w:after="0" w:line="10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 -based milestone payments and tiered royalty payments. In July 2023, we received an additional 192,282 shares of Series A preferred stock pursuant to the anti-dilution provision in the IDRx Stock Purchase Agreement.</w:t>
      </w:r>
    </w:p>
    <w:p>
      <w:pPr>
        <w:spacing w:after="0" w:line="120"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In January 2025, IDRx announced that they had entered into an agreement under which GSK plc will acquire IDRx for $ 1.0 billion upfront with an additional $150.0 million regulatory approval-based milestone payment. The transaction is expected to close in the first quarter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Arrangements Summary</w:t>
      </w:r>
    </w:p>
    <w:p>
      <w:pPr>
        <w:spacing w:after="0" w:line="15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Royalty Purchase Agreement. </w:t>
      </w:r>
      <w:r>
        <w:rPr>
          <w:rFonts w:ascii="Times New Roman" w:cs="Times New Roman" w:eastAsia="Times New Roman" w:hAnsi="Times New Roman"/>
          <w:sz w:val="20"/>
          <w:szCs w:val="20"/>
          <w:color w:val="auto"/>
        </w:rPr>
        <w:t>In June 2022, we entered into a purchase and sale agreement with Royalty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Pharma, which we refer to as the Royalty Purchase Agreement. Pursuant to the Royalty Purchase Agreement, we received an upfront cash payment of $175.0 million in exchange for all of our existing rights to receive royalty payments 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as of the termination effective date, which has since been paid. As of December 31, 2024, we have no plans to enter into a new arrangement to commercialize GAVRETO outside of the U.S. and the CStone Territory.</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Synthetic Royalty Facility. </w:t>
      </w:r>
      <w:r>
        <w:rPr>
          <w:rFonts w:ascii="Times New Roman" w:cs="Times New Roman" w:eastAsia="Times New Roman" w:hAnsi="Times New Roman"/>
          <w:sz w:val="20"/>
          <w:szCs w:val="20"/>
          <w:color w:val="auto"/>
        </w:rPr>
        <w:t>In June 2022, we entered into a purchase and sale agreement with Sixth Street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 which we refer to as the Future Revenue Purchase Agreement.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Debt Facility. </w:t>
      </w:r>
      <w:r>
        <w:rPr>
          <w:rFonts w:ascii="Times New Roman" w:cs="Times New Roman" w:eastAsia="Times New Roman" w:hAnsi="Times New Roman"/>
          <w:sz w:val="20"/>
          <w:szCs w:val="20"/>
          <w:color w:val="auto"/>
        </w:rPr>
        <w:t>In June 2022, we entered into a financing agreement for up to $660.0 million with Sixth Street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Partners, which we refer to as the Financing Agreement. The Financing Agreement, as amended, provides for (i) a senior</w:t>
      </w:r>
    </w:p>
    <w:p>
      <w:pPr>
        <w:spacing w:after="0"/>
        <w:rPr>
          <w:sz w:val="20"/>
          <w:szCs w:val="20"/>
          <w:color w:val="auto"/>
        </w:rPr>
      </w:pPr>
      <w:r>
        <w:rPr>
          <w:rFonts w:ascii="Times New Roman" w:cs="Times New Roman" w:eastAsia="Times New Roman" w:hAnsi="Times New Roman"/>
          <w:sz w:val="20"/>
          <w:szCs w:val="20"/>
          <w:color w:val="auto"/>
        </w:rPr>
        <w:t>secured term loan facility of up to $150.0 million and (ii) a senior secured delayed draw term loan facility of up to</w:t>
      </w:r>
    </w:p>
    <w:p>
      <w:pPr>
        <w:spacing w:after="0"/>
        <w:rPr>
          <w:sz w:val="20"/>
          <w:szCs w:val="20"/>
          <w:color w:val="auto"/>
        </w:rPr>
      </w:pPr>
      <w:r>
        <w:rPr>
          <w:rFonts w:ascii="Times New Roman" w:cs="Times New Roman" w:eastAsia="Times New Roman" w:hAnsi="Times New Roman"/>
          <w:sz w:val="20"/>
          <w:szCs w:val="20"/>
          <w:color w:val="auto"/>
        </w:rPr>
        <w:t>$250.0 million to be funded in two tranches at our choice, subject to certain terms and conditions. The loans will mature</w:t>
      </w:r>
    </w:p>
    <w:p>
      <w:pPr>
        <w:ind w:right="40"/>
        <w:spacing w:after="0" w:line="241" w:lineRule="auto"/>
        <w:rPr>
          <w:sz w:val="20"/>
          <w:szCs w:val="20"/>
          <w:color w:val="auto"/>
        </w:rPr>
      </w:pPr>
      <w:r>
        <w:rPr>
          <w:rFonts w:ascii="Times New Roman" w:cs="Times New Roman" w:eastAsia="Times New Roman" w:hAnsi="Times New Roman"/>
          <w:sz w:val="20"/>
          <w:szCs w:val="20"/>
          <w:color w:val="auto"/>
        </w:rPr>
        <w:t>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w:t>
      </w:r>
    </w:p>
    <w:p>
      <w:pPr>
        <w:sectPr>
          <w:pgSz w:w="12240" w:h="15840" w:orient="portrait"/>
          <w:cols w:equalWidth="0" w:num="1">
            <w:col w:w="9700"/>
          </w:cols>
          <w:pgMar w:left="1260" w:top="1246" w:right="1280" w:bottom="175"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00"/>
          </w:cols>
          <w:pgMar w:left="1260" w:top="1246" w:right="128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6190615" cy="763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extLst>
                    </a:blip>
                    <a:srcRect/>
                    <a:stretch>
                      <a:fillRect/>
                    </a:stretch>
                  </pic:blipFill>
                  <pic:spPr bwMode="auto">
                    <a:xfrm>
                      <a:off x="0" y="0"/>
                      <a:ext cx="6190615" cy="7634605"/>
                    </a:xfrm>
                    <a:prstGeom prst="rect">
                      <a:avLst/>
                    </a:prstGeom>
                    <a:noFill/>
                  </pic:spPr>
                </pic:pic>
              </a:graphicData>
            </a:graphic>
          </wp:anchor>
        </w:drawing>
      </w:r>
    </w:p>
    <w:p>
      <w:pPr>
        <w:sectPr>
          <w:pgSz w:w="12240" w:h="15840" w:orient="portrait"/>
          <w:cols w:equalWidth="0" w:num="1">
            <w:col w:w="9540"/>
          </w:cols>
          <w:pgMar w:left="1260" w:top="1243"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540"/>
          </w:cols>
          <w:pgMar w:left="1260" w:top="1243" w:right="1440" w:bottom="17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83"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As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Our goal is to pursue discovery, development, and commercialization of therapies that potently and selectively target known drivers of disease, with focused investment in therapeutic areas where we can leverage our core expertise and business infrastructure to bring scale to our science, to bring the benefit of Blueprint therapies to as many patients as possible. To achieve this goal, key elements of our strategy are as follows:</w:t>
      </w:r>
    </w:p>
    <w:p>
      <w:pPr>
        <w:spacing w:after="0" w:line="257" w:lineRule="exact"/>
        <w:rPr>
          <w:sz w:val="20"/>
          <w:szCs w:val="20"/>
          <w:color w:val="auto"/>
        </w:rPr>
      </w:pPr>
    </w:p>
    <w:p>
      <w:pPr>
        <w:ind w:left="1440" w:right="60" w:hanging="353"/>
        <w:spacing w:after="0" w:line="251"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Accelerate the adoption of our approved medicines, including AYVAKIT/AYVAKYT in the U.S. and Europe, continue to strengthen and expand our global commercial capabilities and prepare for future potential commercial launches of new investigational medicines.</w:t>
      </w:r>
    </w:p>
    <w:p>
      <w:pPr>
        <w:spacing w:after="0" w:line="207" w:lineRule="exact"/>
        <w:rPr>
          <w:rFonts w:ascii="Symbol" w:cs="Symbol" w:eastAsia="Symbol" w:hAnsi="Symbol"/>
          <w:sz w:val="20"/>
          <w:szCs w:val="20"/>
          <w:color w:val="auto"/>
        </w:rPr>
      </w:pPr>
    </w:p>
    <w:p>
      <w:pPr>
        <w:ind w:left="1440" w:right="240" w:hanging="353"/>
        <w:spacing w:after="0" w:line="251"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Deepen our strategic focus on mast cell diseases, including systemic mastocytosis, chronic urticaria, and other diseases implicated by KIT-mediated signaling, by continuing the development of elenestinib and BLU-808.</w:t>
      </w:r>
    </w:p>
    <w:p>
      <w:pPr>
        <w:spacing w:after="0" w:line="207" w:lineRule="exact"/>
        <w:rPr>
          <w:rFonts w:ascii="Symbol" w:cs="Symbol" w:eastAsia="Symbol" w:hAnsi="Symbol"/>
          <w:sz w:val="20"/>
          <w:szCs w:val="20"/>
          <w:color w:val="auto"/>
        </w:rPr>
      </w:pPr>
    </w:p>
    <w:p>
      <w:pPr>
        <w:ind w:left="1440" w:right="240" w:hanging="353"/>
        <w:spacing w:after="0" w:line="250"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 xml:space="preserve">Advance our innovative research programs, including our </w:t>
      </w:r>
      <w:r>
        <w:rPr>
          <w:rFonts w:ascii="Times New Roman" w:cs="Times New Roman" w:eastAsia="Times New Roman" w:hAnsi="Times New Roman"/>
          <w:sz w:val="20"/>
          <w:szCs w:val="20"/>
          <w:color w:val="auto"/>
          <w:highlight w:val="white"/>
        </w:rPr>
        <w:t>CDK2 and CDK4 targeted protein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 xml:space="preserve">degraders, </w:t>
      </w:r>
      <w:r>
        <w:rPr>
          <w:rFonts w:ascii="Times New Roman" w:cs="Times New Roman" w:eastAsia="Times New Roman" w:hAnsi="Times New Roman"/>
          <w:sz w:val="20"/>
          <w:szCs w:val="20"/>
          <w:color w:val="auto"/>
        </w:rPr>
        <w:t>and our other preclinical programs, rapidly through development as we continue ongoing</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discussions for potential strategic partnership.</w:t>
      </w:r>
    </w:p>
    <w:p>
      <w:pPr>
        <w:spacing w:after="0" w:line="210" w:lineRule="exact"/>
        <w:rPr>
          <w:rFonts w:ascii="Symbol" w:cs="Symbol" w:eastAsia="Symbol" w:hAnsi="Symbol"/>
          <w:sz w:val="20"/>
          <w:szCs w:val="20"/>
          <w:color w:val="auto"/>
        </w:rPr>
      </w:pPr>
    </w:p>
    <w:p>
      <w:pPr>
        <w:ind w:left="1440" w:right="100" w:hanging="353"/>
        <w:spacing w:after="0" w:line="247"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Expand our focused, differentiated pipeline, with prioritization towards mast cell diseases within allergy/inflammation and solid tumors within oncology/hematology, and continued internal discovery research and innovation, inclusive of targeted protein degradation, as well as opportunities to acquire or in-license complementary technologies or therapies.</w:t>
      </w:r>
    </w:p>
    <w:p>
      <w:pPr>
        <w:spacing w:after="0" w:line="211" w:lineRule="exact"/>
        <w:rPr>
          <w:rFonts w:ascii="Symbol" w:cs="Symbol" w:eastAsia="Symbol" w:hAnsi="Symbol"/>
          <w:sz w:val="20"/>
          <w:szCs w:val="20"/>
          <w:color w:val="auto"/>
        </w:rPr>
      </w:pPr>
    </w:p>
    <w:p>
      <w:pPr>
        <w:ind w:left="1440" w:hanging="353"/>
        <w:spacing w:after="0" w:line="251"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207" w:lineRule="exact"/>
        <w:rPr>
          <w:rFonts w:ascii="Symbol" w:cs="Symbol" w:eastAsia="Symbol" w:hAnsi="Symbol"/>
          <w:sz w:val="20"/>
          <w:szCs w:val="20"/>
          <w:color w:val="auto"/>
        </w:rPr>
      </w:pPr>
    </w:p>
    <w:p>
      <w:pPr>
        <w:ind w:left="1440" w:right="380" w:hanging="353"/>
        <w:spacing w:after="0" w:line="251" w:lineRule="auto"/>
        <w:tabs>
          <w:tab w:leader="none" w:pos="144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a commitment to building a corporate culture centered by our focus on patient needs, science-driven approach to drug development, and organizational strength through the diversity of experience and perspective across our workforce.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Collaborations, Licenses and Other Agreements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w:t>
      </w:r>
    </w:p>
    <w:p>
      <w:pPr>
        <w:spacing w:after="0" w:line="239"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Pralsetinib Collaboration. </w:t>
      </w:r>
      <w:r>
        <w:rPr>
          <w:rFonts w:ascii="Times New Roman" w:cs="Times New Roman" w:eastAsia="Times New Roman" w:hAnsi="Times New Roman"/>
          <w:sz w:val="20"/>
          <w:szCs w:val="20"/>
          <w:color w:val="auto"/>
        </w:rPr>
        <w:t>In July 2020, we entered into a collaboration agreement with Roche, which we refer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the Roche transition agreement and sold the U.S. rights to research, develop, manufacture and commercialize pralsetinib to Rigel pursuant to an Asset Purchase Agreement and certain supporting agreements, including a customary transition agreement (such agreements collectively referred to as the Rigel Agreement).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w:t>
      </w:r>
    </w:p>
    <w:p>
      <w:pPr>
        <w:sectPr>
          <w:pgSz w:w="12240" w:h="15840" w:orient="portrait"/>
          <w:cols w:equalWidth="0" w:num="1">
            <w:col w:w="9700"/>
          </w:cols>
          <w:pgMar w:left="1260" w:top="1243"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00"/>
          </w:cols>
          <w:pgMar w:left="1260" w:top="1243" w:right="128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CStone</w:t>
      </w:r>
    </w:p>
    <w:p>
      <w:pPr>
        <w:spacing w:after="0" w:line="27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On June 1, 2018, we entered into a collaboration and license agreement, or the CStone agreement, with CStone pursuant to which we granted CStone exclusive rights to develop and commercialize avapritinib, pralsetinib and fisogatinib, as well as any back-up and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received an upfront cash payment of $40.0 million, and through December 31, 2024, we have received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$38.5 million in milestone payments under this collaboration. Subject to the terms of the CStone agreement, in addition</w:t>
      </w:r>
    </w:p>
    <w:p>
      <w:pPr>
        <w:spacing w:after="0"/>
        <w:rPr>
          <w:sz w:val="20"/>
          <w:szCs w:val="20"/>
          <w:color w:val="auto"/>
        </w:rPr>
      </w:pPr>
      <w:r>
        <w:rPr>
          <w:rFonts w:ascii="Times New Roman" w:cs="Times New Roman" w:eastAsia="Times New Roman" w:hAnsi="Times New Roman"/>
          <w:sz w:val="20"/>
          <w:szCs w:val="20"/>
          <w:color w:val="auto"/>
        </w:rPr>
        <w:t>to upfront and milestone payments received through December 31, 2024, we will be eligible to receive up to</w:t>
      </w:r>
    </w:p>
    <w:p>
      <w:pPr>
        <w:ind w:right="220"/>
        <w:spacing w:after="0" w:line="241" w:lineRule="auto"/>
        <w:rPr>
          <w:sz w:val="20"/>
          <w:szCs w:val="20"/>
          <w:color w:val="auto"/>
        </w:rPr>
      </w:pPr>
      <w:r>
        <w:rPr>
          <w:rFonts w:ascii="Times New Roman" w:cs="Times New Roman" w:eastAsia="Times New Roman" w:hAnsi="Times New Roman"/>
          <w:sz w:val="20"/>
          <w:szCs w:val="20"/>
          <w:color w:val="auto"/>
        </w:rPr>
        <w:t>$307.5 million in contingent payments, including specified development, regulatory and sales-based milestones for licensed products.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is shared by us and CStone.</w:t>
      </w:r>
    </w:p>
    <w:p>
      <w:pPr>
        <w:spacing w:after="0" w:line="24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42"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CStone agreement will continue on a licensed product-by-licensed product and region-by-region basis until the later of (i) 12 years after the first commercial sale of a licensed product in a region in the CStone Territory and</w:t>
      </w:r>
    </w:p>
    <w:p>
      <w:pPr>
        <w:spacing w:after="0" w:line="1" w:lineRule="exact"/>
        <w:rPr>
          <w:sz w:val="20"/>
          <w:szCs w:val="20"/>
          <w:color w:val="auto"/>
        </w:rPr>
      </w:pPr>
    </w:p>
    <w:p>
      <w:pPr>
        <w:ind w:right="20" w:firstLine="7"/>
        <w:spacing w:after="0"/>
        <w:tabs>
          <w:tab w:leader="none" w:pos="29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Clementia</w:t>
      </w:r>
    </w:p>
    <w:p>
      <w:pPr>
        <w:spacing w:after="0" w:line="28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On October 15, 2019, we entered into a license agreement, or the Clementia agreement, with Clementia. Under the Clementia agreement, we granted an exclusive, worldwide, royalty-bearing license to Clementia to develop and commercialize BLU-782, an oral, highly selective investigational ALK2 inhibitor in clinical development for the treatment of FOP, as well as specified other compounds related to the BLU-782 program, which we refer to as the Clementia licensed products.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received an upfront cash payment of $25.0 million in the fourth quarter of 2019, and through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we have received $50.0 million in milestone payments under this license agreement. Subject to the</w:t>
      </w:r>
    </w:p>
    <w:p>
      <w:pPr>
        <w:spacing w:after="0"/>
        <w:rPr>
          <w:sz w:val="20"/>
          <w:szCs w:val="20"/>
          <w:color w:val="auto"/>
        </w:rPr>
      </w:pPr>
      <w:r>
        <w:rPr>
          <w:rFonts w:ascii="Times New Roman" w:cs="Times New Roman" w:eastAsia="Times New Roman" w:hAnsi="Times New Roman"/>
          <w:sz w:val="20"/>
          <w:szCs w:val="20"/>
          <w:color w:val="auto"/>
        </w:rPr>
        <w:t>terms of the Clementia agreement, in addition to the upfront and milestone payments received, we will be eligible to</w:t>
      </w:r>
    </w:p>
    <w:p>
      <w:pPr>
        <w:spacing w:after="0"/>
        <w:rPr>
          <w:sz w:val="20"/>
          <w:szCs w:val="20"/>
          <w:color w:val="auto"/>
        </w:rPr>
      </w:pPr>
      <w:r>
        <w:rPr>
          <w:rFonts w:ascii="Times New Roman" w:cs="Times New Roman" w:eastAsia="Times New Roman" w:hAnsi="Times New Roman"/>
          <w:sz w:val="20"/>
          <w:szCs w:val="20"/>
          <w:color w:val="auto"/>
        </w:rPr>
        <w:t>receive up to $460.0 million in development, regulatory and sales-based milestone payments for the Clementia licensed</w:t>
      </w:r>
    </w:p>
    <w:p>
      <w:pPr>
        <w:sectPr>
          <w:pgSz w:w="12240" w:h="15840" w:orient="portrait"/>
          <w:cols w:equalWidth="0" w:num="1">
            <w:col w:w="9700"/>
          </w:cols>
          <w:pgMar w:left="1260" w:top="1247" w:right="1280" w:bottom="175"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00"/>
          </w:cols>
          <w:pgMar w:left="1260" w:top="1247" w:right="1280" w:bottom="175" w:gutter="0" w:footer="0" w:header="0"/>
          <w:type w:val="continuous"/>
        </w:sectPr>
      </w:pPr>
    </w:p>
    <w:bookmarkStart w:id="22" w:name="page23"/>
    <w:bookmarkEnd w:id="22"/>
    <w:p>
      <w:pPr>
        <w:ind w:right="20"/>
        <w:spacing w:after="0" w:line="259" w:lineRule="auto"/>
        <w:rPr>
          <w:sz w:val="20"/>
          <w:szCs w:val="20"/>
          <w:color w:val="auto"/>
        </w:rPr>
      </w:pPr>
      <w:r>
        <w:rPr>
          <w:rFonts w:ascii="Times New Roman" w:cs="Times New Roman" w:eastAsia="Times New Roman" w:hAnsi="Times New Roman"/>
          <w:sz w:val="20"/>
          <w:szCs w:val="20"/>
          <w:color w:val="auto"/>
        </w:rPr>
        <w:t>products. In addition, Clementia is obligated to pay to us royalties on aggregate annual worldwide net sales of Clementia licensed products at tiered percentage rates ranging from the low- to mid-teens, subject to adjustment in specified circumstances under the Clementia agreement, and to purchase specified manufacturing inventory from our company.</w:t>
      </w:r>
    </w:p>
    <w:p>
      <w:pPr>
        <w:spacing w:after="0" w:line="226"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3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39" w:lineRule="exact"/>
        <w:rPr>
          <w:sz w:val="20"/>
          <w:szCs w:val="20"/>
          <w:color w:val="auto"/>
        </w:rPr>
      </w:pPr>
    </w:p>
    <w:p>
      <w:pPr>
        <w:jc w:val="both"/>
        <w:ind w:right="200" w:firstLine="720"/>
        <w:spacing w:after="0" w:line="249" w:lineRule="auto"/>
        <w:rPr>
          <w:sz w:val="20"/>
          <w:szCs w:val="20"/>
          <w:color w:val="auto"/>
        </w:rPr>
      </w:pPr>
      <w:r>
        <w:rPr>
          <w:rFonts w:ascii="Times New Roman" w:cs="Times New Roman" w:eastAsia="Times New Roman" w:hAnsi="Times New Roman"/>
          <w:sz w:val="20"/>
          <w:szCs w:val="20"/>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us.</w:t>
      </w:r>
    </w:p>
    <w:p>
      <w:pPr>
        <w:spacing w:after="0" w:line="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Zai Lab</w:t>
      </w:r>
    </w:p>
    <w:p>
      <w:pPr>
        <w:spacing w:after="0" w:line="279"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On November 8, 2021, we entered into a license and collaboration agreement, or the Zai Lab agreement, with Zai Lab. Under the Zai Lab agreement, we granted an exclusive license for the development and commercialization of BLU-945 and BLU-525, including any back-up and other forms thereof, for the treatment of EGFR-driven NSCLC in Greater China, including Mainland China, Hong Kong, Macau and Taiwan, either as a monotherapy or as part of a combination therapy. We retain exclusive rights to the licensed products outside the Zai Lab territory.</w:t>
      </w:r>
    </w:p>
    <w:p>
      <w:pPr>
        <w:spacing w:after="0" w:line="19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We received an upfront cash payment of $25.0 million in the fourth quarter of 2021. Subject to the terms of the Zai Lab agreement, in addition to the upfront payment received, we will be eligible to receive up to $590.0 million in potential development, regulatory and sales-based milestone payments, and tiered royalties on a product-by-product basis ranging from the low-teens to mid-teens on annual net sales of the licensed products in Greater China, subject to adjustment in specified circumstances under the Zai Lab agreement.</w:t>
      </w:r>
    </w:p>
    <w:p>
      <w:pPr>
        <w:spacing w:after="0" w:line="237" w:lineRule="exact"/>
        <w:rPr>
          <w:sz w:val="20"/>
          <w:szCs w:val="20"/>
          <w:color w:val="auto"/>
        </w:rPr>
      </w:pPr>
    </w:p>
    <w:p>
      <w:pPr>
        <w:ind w:right="780" w:firstLine="720"/>
        <w:spacing w:after="0" w:line="254" w:lineRule="auto"/>
        <w:rPr>
          <w:sz w:val="20"/>
          <w:szCs w:val="20"/>
          <w:color w:val="auto"/>
        </w:rPr>
      </w:pPr>
      <w:r>
        <w:rPr>
          <w:rFonts w:ascii="Times New Roman" w:cs="Times New Roman" w:eastAsia="Times New Roman" w:hAnsi="Times New Roman"/>
          <w:sz w:val="20"/>
          <w:szCs w:val="20"/>
          <w:color w:val="auto"/>
        </w:rPr>
        <w:t>Under the terms of the agreement, Zai Lab is responsible for all the development costs for the licensed products, which currently include BLU-945 and BLU-525, occurring in Greater China. In January 2024 at the</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J.P. Morgan Healthcare Conference, we announced that we will discontinue further investment in these early clinical-stage therapies for EGFR-mutant NSCLC globally (other than with respect to Greater China for BLU-525 and BLU-945, which remain licensed to Zai Lab for that territory) BLU-945 and BLU-525; however, Zai Lab retains its rights to BLU-945 and BLU-525 under the agreement.</w:t>
      </w:r>
    </w:p>
    <w:p>
      <w:pPr>
        <w:spacing w:after="0" w:line="2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IDRx</w:t>
      </w:r>
    </w:p>
    <w:p>
      <w:pPr>
        <w:spacing w:after="0" w:line="239" w:lineRule="exact"/>
        <w:rPr>
          <w:sz w:val="20"/>
          <w:szCs w:val="20"/>
          <w:color w:val="auto"/>
        </w:rPr>
      </w:pPr>
    </w:p>
    <w:p>
      <w:pPr>
        <w:ind w:right="300" w:firstLine="720"/>
        <w:spacing w:after="0" w:line="265" w:lineRule="auto"/>
        <w:rPr>
          <w:sz w:val="20"/>
          <w:szCs w:val="20"/>
          <w:color w:val="auto"/>
        </w:rPr>
      </w:pPr>
      <w:r>
        <w:rPr>
          <w:rFonts w:ascii="Times New Roman" w:cs="Times New Roman" w:eastAsia="Times New Roman" w:hAnsi="Times New Roman"/>
          <w:sz w:val="19"/>
          <w:szCs w:val="19"/>
          <w:color w:val="auto"/>
        </w:rPr>
        <w:t>In August 2022, we entered into the IDRx License Agreement, pursuant to which we granted IDRx an exclusive, worldwide, royalty-bearing license to exploit our internally discovered KIT exon 13 inhibitor, IDRX-73. IDRx is a clinical- stage biopharmaceutical company and among IDRx’s founders are Alexis Borisy, Nicholas Lydon, Ph.D. and George Demetri, M.D., each of whom were then-current members of our board of directors. Due to these relationships, the transaction was approved by only the non-interested members of the Company’s board of directors.</w:t>
      </w:r>
    </w:p>
    <w:p>
      <w:pPr>
        <w:spacing w:after="0" w:line="183" w:lineRule="exact"/>
        <w:rPr>
          <w:sz w:val="20"/>
          <w:szCs w:val="20"/>
          <w:color w:val="auto"/>
        </w:rPr>
      </w:pPr>
    </w:p>
    <w:p>
      <w:pPr>
        <w:jc w:val="both"/>
        <w:ind w:right="320" w:firstLine="720"/>
        <w:spacing w:after="0" w:line="258" w:lineRule="auto"/>
        <w:rPr>
          <w:sz w:val="20"/>
          <w:szCs w:val="20"/>
          <w:color w:val="auto"/>
        </w:rPr>
      </w:pPr>
      <w:r>
        <w:rPr>
          <w:rFonts w:ascii="Times New Roman" w:cs="Times New Roman" w:eastAsia="Times New Roman" w:hAnsi="Times New Roman"/>
          <w:sz w:val="20"/>
          <w:szCs w:val="20"/>
          <w:color w:val="auto"/>
        </w:rPr>
        <w:t>In connection with the IDRx License Agreement, we also entered in the IDRx Stock Purchase Agreement, pursuant to which we received 4,509,105 shares of IDRx’s Series A preferred stock and we have the right to receive additional shares of IDRx’s Series A preferred stock through an anti-dilution provision subject to a defined financing</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00"/>
          </w:cols>
          <w:pgMar w:left="1260" w:top="1246" w:right="1280" w:bottom="175" w:gutter="0" w:footer="0" w:header="0"/>
          <w:type w:val="continuous"/>
        </w:sectPr>
      </w:pPr>
    </w:p>
    <w:bookmarkStart w:id="23" w:name="page24"/>
    <w:bookmarkEnd w:id="23"/>
    <w:p>
      <w:pPr>
        <w:ind w:right="300"/>
        <w:spacing w:after="0" w:line="278" w:lineRule="auto"/>
        <w:rPr>
          <w:sz w:val="20"/>
          <w:szCs w:val="20"/>
          <w:color w:val="auto"/>
        </w:rPr>
      </w:pPr>
      <w:r>
        <w:rPr>
          <w:rFonts w:ascii="Times New Roman" w:cs="Times New Roman" w:eastAsia="Times New Roman" w:hAnsi="Times New Roman"/>
          <w:sz w:val="20"/>
          <w:szCs w:val="20"/>
          <w:color w:val="auto"/>
        </w:rPr>
        <w:t>cap. In July 2023, the Company received 192,282 additional shares of Series A preferred stock under the anti-dilution provision.</w:t>
      </w:r>
    </w:p>
    <w:p>
      <w:pPr>
        <w:spacing w:after="0" w:line="168" w:lineRule="exact"/>
        <w:rPr>
          <w:sz w:val="20"/>
          <w:szCs w:val="20"/>
          <w:color w:val="auto"/>
        </w:rPr>
      </w:pPr>
    </w:p>
    <w:p>
      <w:pPr>
        <w:ind w:right="780" w:firstLine="720"/>
        <w:spacing w:after="0" w:line="252" w:lineRule="auto"/>
        <w:rPr>
          <w:sz w:val="20"/>
          <w:szCs w:val="20"/>
          <w:color w:val="auto"/>
        </w:rPr>
      </w:pPr>
      <w:r>
        <w:rPr>
          <w:rFonts w:ascii="Times New Roman" w:cs="Times New Roman" w:eastAsia="Times New Roman" w:hAnsi="Times New Roman"/>
          <w:sz w:val="20"/>
          <w:szCs w:val="20"/>
          <w:color w:val="auto"/>
        </w:rPr>
        <w:t>We are also eligible to receive up to $217.5 million in contingent cash payments, including specified development, regulatory and sales-based milestone payments. In addition, IDRx is obligated to pay royalties on aggregate annual worldwide net sales of licensed products at tiered percentage rates up to low-teens, subject to adjustments in specified circumstances under the IDRx License Agreement.</w:t>
      </w:r>
    </w:p>
    <w:p>
      <w:pPr>
        <w:spacing w:after="0" w:line="193" w:lineRule="exact"/>
        <w:rPr>
          <w:sz w:val="20"/>
          <w:szCs w:val="20"/>
          <w:color w:val="auto"/>
        </w:rPr>
      </w:pPr>
    </w:p>
    <w:p>
      <w:pPr>
        <w:jc w:val="both"/>
        <w:ind w:right="60" w:firstLine="720"/>
        <w:spacing w:after="0" w:line="244" w:lineRule="auto"/>
        <w:rPr>
          <w:sz w:val="20"/>
          <w:szCs w:val="20"/>
          <w:color w:val="auto"/>
        </w:rPr>
      </w:pPr>
      <w:r>
        <w:rPr>
          <w:rFonts w:ascii="Times New Roman" w:cs="Times New Roman" w:eastAsia="Times New Roman" w:hAnsi="Times New Roman"/>
          <w:sz w:val="19"/>
          <w:szCs w:val="19"/>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the first commercial sale of such licensed product in such country.</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Following the end of the term for any such licensed product and in such region by expiration, the license granted to IDRx will become exclusive, perpetual, irrevocable, fully paid-up and royalty -free. IDRx may terminate the IDRx License Agreement for convenience at any time upon at least twelve months’ prior written notice to us. We both can terminate the IDRx License Agreement for a material breach by the other party or for insolvency, and we may terminate the IDRx License Agreement for IDRx’s breach of the anti-dilution provision in the IDRx Stock Purchase Agreement. Upon termination of the IDRx License Agreement in its entirety, all rights and obligations under the agreement will terminate and revert back to us, and we have a license under certain intellectual property of IDRx to continue to exploit the compound and terminated product, subject to a royalty that will be negotiated at the time of termination.</w:t>
      </w:r>
    </w:p>
    <w:p>
      <w:pPr>
        <w:spacing w:after="0" w:line="195"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auto"/>
        </w:rPr>
        <w:t>In January 2025, IDRx announced that they had entered into an agreement under which GSK plc will acquire IDRx for $ 1.0 billion upfront with an additional $150.0 million regulatory approval-based milestone payment. The transaction is expected to close in the first quarter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Arrangements</w:t>
      </w:r>
    </w:p>
    <w:p>
      <w:pPr>
        <w:spacing w:after="0" w:line="284"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Royalty Purchase Agreement. </w:t>
      </w:r>
      <w:r>
        <w:rPr>
          <w:rFonts w:ascii="Times New Roman" w:cs="Times New Roman" w:eastAsia="Times New Roman" w:hAnsi="Times New Roman"/>
          <w:sz w:val="20"/>
          <w:szCs w:val="20"/>
          <w:color w:val="auto"/>
        </w:rPr>
        <w:t>In June 2022, we entered into a Royalty Purchase Agreement with Royalty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Pharma. Pursuant to this Royalty Purchase Agreement, we received an upfront cash payment of $175.0 million. However, in </w:t>
      </w:r>
      <w:r>
        <w:rPr>
          <w:rFonts w:ascii="Times New Roman" w:cs="Times New Roman" w:eastAsia="Times New Roman" w:hAnsi="Times New Roman"/>
          <w:sz w:val="18"/>
          <w:szCs w:val="18"/>
          <w:color w:val="auto"/>
        </w:rPr>
        <w:t>February 2023, Roche provided written notice of their election to terminate the Roche pralsetinib collaboration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agreement for convenience. </w:t>
      </w:r>
      <w:r>
        <w:rPr>
          <w:rFonts w:ascii="Times New Roman" w:cs="Times New Roman" w:eastAsia="Times New Roman" w:hAnsi="Times New Roman"/>
          <w:sz w:val="20"/>
          <w:szCs w:val="20"/>
          <w:color w:val="auto"/>
        </w:rPr>
        <w:t>In connection with and effective upon the termination of the Roche pralsetinib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agreement, on February 22, 2024, we and Royalty Pharma agreed to terminate the Royalty Pharma Agreement pursuant to the Royalty Pharma Termination Agreement. Following the termination of the Royalty Purchase Agreement, we have no outstanding obligations under the Royalty Purchase Agreement, other than the remaining royalty payment obligation related to GAVRETO net sales as of the termination effective date, which has since been paid. As of</w:t>
      </w:r>
    </w:p>
    <w:p>
      <w:pPr>
        <w:spacing w:after="0" w:line="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 xml:space="preserve">December 31, 2024, we have no plans to enter into a new arrangement to commercialize GAVRETO outside of the U.S. and the CStone territory. </w:t>
      </w:r>
      <w:r>
        <w:rPr>
          <w:rFonts w:ascii="Times New Roman" w:cs="Times New Roman" w:eastAsia="Times New Roman" w:hAnsi="Times New Roman"/>
          <w:sz w:val="18"/>
          <w:szCs w:val="18"/>
          <w:color w:val="auto"/>
        </w:rPr>
        <w:t>The termination of the Roche pralsetinib collaboration agreement did not affect the upfront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payment we received from Royalty Pharma.</w:t>
      </w:r>
    </w:p>
    <w:p>
      <w:pPr>
        <w:spacing w:after="0" w:line="233"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Synthetic Royalty Facility. </w:t>
      </w:r>
      <w:r>
        <w:rPr>
          <w:rFonts w:ascii="Times New Roman" w:cs="Times New Roman" w:eastAsia="Times New Roman" w:hAnsi="Times New Roman"/>
          <w:sz w:val="20"/>
          <w:szCs w:val="20"/>
          <w:color w:val="auto"/>
        </w:rPr>
        <w:t>In June 2022, we entered a Future Revenue Purchase Agreement with Sixth Street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 In July 2022, upon the closing of the transaction pursuant to the Future Revenue Purchase Agreement, we received gross proceeds of $250.0 million in exchange for future royalty payments at a rate of 9.75% on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$900 million each year of (i) aggregate worldwide annual net product sales of AYVAKIT/AYVAKYT (avapritinib) and</w:t>
      </w:r>
    </w:p>
    <w:p>
      <w:pPr>
        <w:ind w:firstLine="7"/>
        <w:spacing w:after="0" w:line="243" w:lineRule="auto"/>
        <w:tabs>
          <w:tab w:leader="none" w:pos="29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Debt Facility. </w:t>
      </w:r>
      <w:r>
        <w:rPr>
          <w:rFonts w:ascii="Times New Roman" w:cs="Times New Roman" w:eastAsia="Times New Roman" w:hAnsi="Times New Roman"/>
          <w:sz w:val="20"/>
          <w:szCs w:val="20"/>
          <w:color w:val="auto"/>
        </w:rPr>
        <w:t>In June 2022, we entered into a financing agreement, the Financing Agreement, for up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$660.0 million with Sixth Street Partners. The Financing Agreement provides for (i) a senior secured term loan facility</w:t>
      </w:r>
    </w:p>
    <w:p>
      <w:pPr>
        <w:spacing w:after="0"/>
        <w:rPr>
          <w:sz w:val="20"/>
          <w:szCs w:val="20"/>
          <w:color w:val="auto"/>
        </w:rPr>
      </w:pPr>
      <w:r>
        <w:rPr>
          <w:rFonts w:ascii="Times New Roman" w:cs="Times New Roman" w:eastAsia="Times New Roman" w:hAnsi="Times New Roman"/>
          <w:sz w:val="20"/>
          <w:szCs w:val="20"/>
          <w:color w:val="auto"/>
        </w:rPr>
        <w:t>of up to $150.0 million and (ii) a senior secured delayed draw term loan facility of up to $250.0 million to be funded in</w:t>
      </w:r>
    </w:p>
    <w:p>
      <w:pPr>
        <w:spacing w:after="0"/>
        <w:rPr>
          <w:sz w:val="20"/>
          <w:szCs w:val="20"/>
          <w:color w:val="auto"/>
        </w:rPr>
      </w:pPr>
      <w:r>
        <w:rPr>
          <w:rFonts w:ascii="Times New Roman" w:cs="Times New Roman" w:eastAsia="Times New Roman" w:hAnsi="Times New Roman"/>
          <w:sz w:val="20"/>
          <w:szCs w:val="20"/>
          <w:color w:val="auto"/>
        </w:rPr>
        <w:t>two tranches at our choice. The loans will mature on June 30, 2028 and bear interest at a variable rate equal to either the</w:t>
      </w:r>
    </w:p>
    <w:p>
      <w:pPr>
        <w:spacing w:after="0"/>
        <w:rPr>
          <w:sz w:val="20"/>
          <w:szCs w:val="20"/>
          <w:color w:val="auto"/>
        </w:rPr>
      </w:pPr>
      <w:r>
        <w:rPr>
          <w:rFonts w:ascii="Times New Roman" w:cs="Times New Roman" w:eastAsia="Times New Roman" w:hAnsi="Times New Roman"/>
          <w:sz w:val="20"/>
          <w:szCs w:val="20"/>
          <w:color w:val="auto"/>
        </w:rPr>
        <w:t>SOFR plus 6.50% or the base rate plus 5.50%, subject to a floor of 1% and 2% with respect to the SOFR and base rate,</w:t>
      </w:r>
    </w:p>
    <w:p>
      <w:pPr>
        <w:spacing w:after="0"/>
        <w:rPr>
          <w:sz w:val="20"/>
          <w:szCs w:val="20"/>
          <w:color w:val="auto"/>
        </w:rPr>
      </w:pPr>
      <w:r>
        <w:rPr>
          <w:rFonts w:ascii="Times New Roman" w:cs="Times New Roman" w:eastAsia="Times New Roman" w:hAnsi="Times New Roman"/>
          <w:sz w:val="20"/>
          <w:szCs w:val="20"/>
          <w:color w:val="auto"/>
        </w:rPr>
        <w:t xml:space="preserve">respectively. The initial gross proceeds of $150.0 million was funded in July 2022. </w:t>
      </w:r>
      <w:r>
        <w:rPr>
          <w:rFonts w:ascii="Times New Roman" w:cs="Times New Roman" w:eastAsia="Times New Roman" w:hAnsi="Times New Roman"/>
          <w:sz w:val="18"/>
          <w:szCs w:val="18"/>
          <w:color w:val="auto"/>
        </w:rPr>
        <w:t>In August 2023, we received the first</w:t>
      </w:r>
    </w:p>
    <w:p>
      <w:pPr>
        <w:spacing w:after="0"/>
        <w:rPr>
          <w:sz w:val="20"/>
          <w:szCs w:val="20"/>
          <w:color w:val="auto"/>
        </w:rPr>
      </w:pPr>
      <w:r>
        <w:rPr>
          <w:rFonts w:ascii="Times New Roman" w:cs="Times New Roman" w:eastAsia="Times New Roman" w:hAnsi="Times New Roman"/>
          <w:sz w:val="19"/>
          <w:szCs w:val="19"/>
          <w:color w:val="auto"/>
        </w:rPr>
        <w:t>tranche of the senior secured delayed draw term loan facility in the amount of $100.0 million in gross proceeds and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May 2024, we received the second tranche in the amount of $150.0 million in gross proceeds. </w:t>
      </w:r>
      <w:r>
        <w:rPr>
          <w:rFonts w:ascii="Times New Roman" w:cs="Times New Roman" w:eastAsia="Times New Roman" w:hAnsi="Times New Roman"/>
          <w:sz w:val="20"/>
          <w:szCs w:val="20"/>
          <w:color w:val="auto"/>
        </w:rPr>
        <w:t>In addition, we may at any time</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46" w:right="1260" w:bottom="175" w:gutter="0" w:footer="0" w:header="0"/>
          <w:type w:val="continuous"/>
        </w:sectPr>
      </w:pPr>
    </w:p>
    <w:bookmarkStart w:id="24" w:name="page25"/>
    <w:bookmarkEnd w:id="24"/>
    <w:p>
      <w:pPr>
        <w:ind w:right="420"/>
        <w:spacing w:after="0" w:line="278" w:lineRule="auto"/>
        <w:rPr>
          <w:sz w:val="20"/>
          <w:szCs w:val="20"/>
          <w:color w:val="auto"/>
        </w:rPr>
      </w:pPr>
      <w:r>
        <w:rPr>
          <w:rFonts w:ascii="Times New Roman" w:cs="Times New Roman" w:eastAsia="Times New Roman" w:hAnsi="Times New Roman"/>
          <w:sz w:val="20"/>
          <w:szCs w:val="20"/>
          <w:color w:val="auto"/>
        </w:rPr>
        <w:t>request an incremental term loan in an amount not to exceed $260.0 million on terms to be agreed and subject to the consent of the lenders providing such incremental term loan.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8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or intellectual property protection for our drugs and drug candidates, as well as our core technologies, including our novel target discovery engine, our proprietary compound library, targeted protein degrader platform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compounds,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45"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We devote considerable effort and resources to protecting inventions, trade-secrets, and know-how related to our approved medicines AYVAKIT®/AYVAKYT® and our drug candidates in an effort to establish strong intellectual property positions regarding these new chemical entities and their uses and other technologies, including formulations, solid forms, manufacturing processes, and patient selection markers that may be useful with our drugs and drug candidates. We have patent rights that are the subject of U.S. and foreign patents and patent applications in the U.S. and a number of other jurisdictions, including Australia, Canada, certain Central and South American countries, certain Asian countries (including Greater China), the EU, certain Eurasian countries, certain Middle Eastern countries, New Zealand, and certain African countries. Our issued patents and patent applications of our most advanced programs pertain to our approved medicine AYVAKIT and clinical candidates.</w:t>
      </w:r>
    </w:p>
    <w:p>
      <w:pPr>
        <w:spacing w:after="0" w:line="245"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We file trademarks to protect our products. Typically, we file trademark applications in the U.S., Europe, and elsewhere in the world as appropriate. In addition to multiple pending trademark applications in the U.S. and other major countries, we have registered trademarks, including but not limited to AYVAKIT in the U.S. and to AYVAKYT in the EU. In addition to patents and trademarks for our drug products, we seek to obtain all available regulatory exclusivities for our marketed products, including data and orphan exclusivities in the relevant jurisdictions.</w:t>
      </w:r>
    </w:p>
    <w:p>
      <w:pPr>
        <w:spacing w:after="0" w:line="237"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The patent portfolios relating to our approved medicines and most advanced programs as of December 31, 2024 are summarized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Mast Cell Diseases - AYVAKIT/AYVAKYT (avapritinib), </w:t>
      </w:r>
      <w:r>
        <w:rPr>
          <w:rFonts w:ascii="Times New Roman" w:cs="Times New Roman" w:eastAsia="Times New Roman" w:hAnsi="Times New Roman"/>
          <w:sz w:val="21"/>
          <w:szCs w:val="21"/>
          <w:b w:val="1"/>
          <w:bCs w:val="1"/>
          <w:i w:val="1"/>
          <w:iCs w:val="1"/>
          <w:color w:val="auto"/>
        </w:rPr>
        <w:t>Elenestinib (BLU-263), and BLU-808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2968625</wp:posOffset>
                </wp:positionH>
                <wp:positionV relativeFrom="paragraph">
                  <wp:posOffset>5080</wp:posOffset>
                </wp:positionV>
                <wp:extent cx="34290" cy="12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700"/>
                        </a:xfrm>
                        <a:prstGeom prst="rect">
                          <a:avLst/>
                        </a:prstGeom>
                        <a:solidFill>
                          <a:srgbClr val="636363"/>
                        </a:solidFill>
                      </wps:spPr>
                      <wps:bodyPr/>
                    </wps:wsp>
                  </a:graphicData>
                </a:graphic>
              </wp:anchor>
            </w:drawing>
          </mc:Choice>
          <mc:Fallback>
            <w:pict>
              <v:rect id="Shape 23" o:spid="_x0000_s1048" style="position:absolute;margin-left:233.75pt;margin-top:0.4pt;width:2.7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36363" stroked="f"/>
            </w:pict>
          </mc:Fallback>
        </mc:AlternateContent>
      </w:r>
    </w:p>
    <w:p>
      <w:pPr>
        <w:spacing w:after="0" w:line="272"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The patent portfolios relating to our approved medicines and most advanced programs as of December 31, 2024 are summarized below.</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KIT D816V Mutant Program - AYVAKIT/AYVAKYT (avapritinib) and elenestinib</w:t>
      </w:r>
    </w:p>
    <w:p>
      <w:pPr>
        <w:spacing w:after="0" w:line="28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patent portfolio for our mutant KIT programs contain patents and patent applications directed to compositions of matter for AYVAKIT/AYVAKYT, elenestinib, and other compound families, including solid forms and methods of use and manufacture. As of December 31, 2024, we own 16 U.S. patents, 4 European patents, validated in multiple states and 34 other foreign patents and multiple pending patent applications in the U.S., Europe and in various foreign jurisdictions. The patents that have issued or will issue covering AYVAKIT/AYVAKYT and elenestinib will have a statutory expiration date between 2034 and 2043. Patent term adjustments, patent term extensions, and supplementary protection certificates could result in later expiration dates.</w:t>
      </w:r>
    </w:p>
    <w:p>
      <w:pPr>
        <w:spacing w:after="0" w:line="240" w:lineRule="exact"/>
        <w:rPr>
          <w:sz w:val="20"/>
          <w:szCs w:val="20"/>
          <w:color w:val="auto"/>
        </w:rPr>
      </w:pPr>
    </w:p>
    <w:p>
      <w:pPr>
        <w:ind w:right="660" w:firstLine="720"/>
        <w:spacing w:after="0" w:line="255" w:lineRule="auto"/>
        <w:rPr>
          <w:sz w:val="20"/>
          <w:szCs w:val="20"/>
          <w:color w:val="auto"/>
        </w:rPr>
      </w:pPr>
      <w:r>
        <w:rPr>
          <w:rFonts w:ascii="Times New Roman" w:cs="Times New Roman" w:eastAsia="Times New Roman" w:hAnsi="Times New Roman"/>
          <w:sz w:val="20"/>
          <w:szCs w:val="20"/>
          <w:color w:val="auto"/>
        </w:rPr>
        <w:t>In addition, in connection with our FDA approval on January 9, 2020, the FDA granted AYVAKIT new chemical entity, or NCE, exclusivity until January 9, 2025 and Orphan Drug Exclusivity, or ODE, until</w:t>
      </w:r>
    </w:p>
    <w:p>
      <w:pPr>
        <w:spacing w:after="0" w:line="243" w:lineRule="auto"/>
        <w:rPr>
          <w:sz w:val="20"/>
          <w:szCs w:val="20"/>
          <w:color w:val="auto"/>
        </w:rPr>
      </w:pPr>
      <w:r>
        <w:rPr>
          <w:rFonts w:ascii="Times New Roman" w:cs="Times New Roman" w:eastAsia="Times New Roman" w:hAnsi="Times New Roman"/>
          <w:sz w:val="20"/>
          <w:szCs w:val="20"/>
          <w:color w:val="auto"/>
        </w:rPr>
        <w:t>January 9, 2027. In connection with our FDA approval on June 16, 2021, the FDA granted AYVAKIT new clinical indication exclusivity for two indications until June 16, 2024 and ODE until June 16, 2028. In connection with our FDA approval on May 22, 2023, the FDA granted AYVAKIT new clinical indication exclusivity until May 22, 2026 and ODE until May 22, 2030.</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46" w:right="1260" w:bottom="175" w:gutter="0" w:footer="0" w:header="0"/>
          <w:type w:val="continuous"/>
        </w:sectPr>
      </w:pPr>
    </w:p>
    <w:bookmarkStart w:id="25" w:name="page26"/>
    <w:bookmarkEnd w:id="25"/>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In connection with notification of our EMA approval on September 25, 2020, the EMA granted AYVAKYT Orphan marketing exclusivity until September 25, 2030. Additionally, 1 year of market protection was granted after authorization of new therapeutic indication representing a significant clinical benefit in comparison with existing therapies until September 25, 2031. In connection with notification of our EMA approval on March 25, 2022, the EMA granted AYVAKYT Orphan marketing exclusivity until March 25, 2032. In connection with notification of our EMA approval on December 12, 2023, the EMA granted AYVAKYT Orphan marketing exclusivity December 12, 2033.</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Wild-type KIT Program — BLU-808</w:t>
      </w:r>
    </w:p>
    <w:p>
      <w:pPr>
        <w:spacing w:after="0" w:line="28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patent portfolio for our wild -type KIT program contains patents and patent applications directed to compositions of matter for BLU-808 and other compound families, as well as solid forms and methods of use and manufacture. As of December 31, 2024, we own 8 pending patent applications in the U.S., Argentina and Taiwan. The patents that will issue covering our wild-type KIT program will have a statutory expiration date between 2043 and 2045. Patent term adjustments, patent term extensions, and supplementary protection certificates could result in later expiration 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Cell Cycle Inhibition Program - CDK2 Inhibitors (BLU-222, BLU-956) and CDK Protein Degraders</w:t>
      </w:r>
    </w:p>
    <w:p>
      <w:pPr>
        <w:spacing w:after="0" w:line="28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patent portfolio for our Cell Cycle Inhibition program contains patent applications directed to CDK2 inhibitors and CDK protein degraders, including compositions of matter for BLU-222, BLU-956 and other compound families, as well as solid forms and methods of use and manufacture. As of December 31, 2024, we own 2 issued U.S. patents, 1 issued foreign patent and 88 patent applications pending in the U.S., PCT and in various foreign jurisdictions. The patents that will issue covering our Cell Cycle Inhibition program will have a statutory expiration date between 2042 and 2045. Patent term adjustments, patent term extensions, and supplementary protection certificates could result in later expiration dates.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Considerations</w:t>
      </w:r>
    </w:p>
    <w:p>
      <w:pPr>
        <w:spacing w:after="0" w:line="28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Times New Roman" w:cs="Times New Roman" w:eastAsia="Times New Roman" w:hAnsi="Times New Roman"/>
          <w:sz w:val="20"/>
          <w:szCs w:val="20"/>
          <w:i w:val="1"/>
          <w:iCs w:val="1"/>
          <w:color w:val="auto"/>
        </w:rPr>
        <w:t>— Government Regulation — U.S. Patent Term Restoration and Marketing Exclusivity</w:t>
      </w:r>
      <w:r>
        <w:rPr>
          <w:rFonts w:ascii="Times New Roman" w:cs="Times New Roman" w:eastAsia="Times New Roman" w:hAnsi="Times New Roman"/>
          <w:sz w:val="20"/>
          <w:szCs w:val="20"/>
          <w:color w:val="auto"/>
        </w:rPr>
        <w:t>” below for additional information on 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45"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 Patent and Trademark Office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00"/>
          </w:cols>
          <w:pgMar w:left="1260" w:top="1246" w:right="1280" w:bottom="175" w:gutter="0" w:footer="0" w:header="0"/>
          <w:type w:val="continuous"/>
        </w:sectPr>
      </w:pPr>
    </w:p>
    <w:bookmarkStart w:id="26" w:name="page27"/>
    <w:bookmarkEnd w:id="26"/>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drugs, drug candidates and technologies that are developed through our relationship with the respective counterparty. We cannot guarantee, however, that these agreements will afford us adequate protection of our intellectual property and proprietary information rights.</w:t>
      </w:r>
    </w:p>
    <w:p>
      <w:pPr>
        <w:spacing w:after="0" w:line="242"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With respect to the building of our discovery platform, including our proprietary compound library and targeted protein degrader platform,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84"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40"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We compete in two core focus areas: allergy/inflammation and oncology/hematology, developing kinase inhibitors and targeted protein degraders. There are other companies working to develop therapies in these areas. These companies include divisions of large pharmaceutical companies and biotechnology companies of various sizes.</w:t>
      </w:r>
    </w:p>
    <w:p>
      <w:pPr>
        <w:spacing w:after="0" w:line="228" w:lineRule="exact"/>
        <w:rPr>
          <w:sz w:val="20"/>
          <w:szCs w:val="20"/>
          <w:color w:val="auto"/>
        </w:rPr>
      </w:pPr>
    </w:p>
    <w:p>
      <w:pPr>
        <w:ind w:right="240" w:firstLine="720"/>
        <w:spacing w:after="0" w:line="244"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4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level of generic competition and the availability of reimbursement from government and other third party payors.</w:t>
      </w:r>
    </w:p>
    <w:p>
      <w:pPr>
        <w:spacing w:after="0" w:line="242" w:lineRule="exact"/>
        <w:rPr>
          <w:sz w:val="20"/>
          <w:szCs w:val="20"/>
          <w:color w:val="auto"/>
        </w:rPr>
      </w:pPr>
    </w:p>
    <w:p>
      <w:pPr>
        <w:ind w:right="460" w:firstLine="720"/>
        <w:spacing w:after="0" w:line="258" w:lineRule="auto"/>
        <w:rPr>
          <w:sz w:val="20"/>
          <w:szCs w:val="20"/>
          <w:color w:val="auto"/>
        </w:rPr>
      </w:pPr>
      <w:r>
        <w:rPr>
          <w:rFonts w:ascii="Times New Roman" w:cs="Times New Roman" w:eastAsia="Times New Roman" w:hAnsi="Times New Roman"/>
          <w:sz w:val="20"/>
          <w:szCs w:val="20"/>
          <w:color w:val="auto"/>
        </w:rPr>
        <w:t>Our approved drugs and drug candidates, to the extent they receive marketing approval in the future for indications for which we are currently conducting or planning clinical trials, compete with or will compete with the drugs discussed below and will likely compete with other drugs that are currently in development.</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00"/>
          </w:cols>
          <w:pgMar w:left="1260" w:top="1246" w:right="1280" w:bottom="17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SM</w:t>
      </w:r>
    </w:p>
    <w:p>
      <w:pPr>
        <w:spacing w:after="0" w:line="28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19"/>
          <w:szCs w:val="19"/>
          <w:color w:val="auto"/>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Allakos Inc., Alys Pharmaceuticals Inc., Celldex Therapeutics, Inc., Cogent Biosciences, Inc., Hoth Therapeutics, Inc., Invea Therapeutics Inc., and Telios Pharma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GIST</w:t>
      </w:r>
    </w:p>
    <w:p>
      <w:pPr>
        <w:spacing w:after="0" w:line="279" w:lineRule="exact"/>
        <w:rPr>
          <w:sz w:val="20"/>
          <w:szCs w:val="20"/>
          <w:color w:val="auto"/>
        </w:rPr>
      </w:pPr>
    </w:p>
    <w:p>
      <w:pPr>
        <w:ind w:right="140" w:firstLine="720"/>
        <w:spacing w:after="0" w:line="270" w:lineRule="auto"/>
        <w:rPr>
          <w:sz w:val="20"/>
          <w:szCs w:val="20"/>
          <w:color w:val="auto"/>
        </w:rPr>
      </w:pPr>
      <w:r>
        <w:rPr>
          <w:rFonts w:ascii="Times New Roman" w:cs="Times New Roman" w:eastAsia="Times New Roman" w:hAnsi="Times New Roman"/>
          <w:sz w:val="19"/>
          <w:szCs w:val="19"/>
          <w:color w:val="auto"/>
        </w:rPr>
        <w:t>AYVAKIT/AYVAKYT may face competition from drug candidates in development for PDGFRA-driven GIST, including those being developed by AB Science S.A., ARIAD Pharmaceuticals, Inc., a wholly- owned subsidiary of Takeda Pharmaceutical Company Limited, AROG Pharmaceuticals, Inc., AstraZeneca plc, Cogent Biosciences, Inc., Deciphera Pharmaceuticals, LLC, Exelixis, Inc., Ningbo Tai Kang Medical Technology Co. Ltd. and Xencor,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Chronic Urticaria, Asthma, Allergic Rhinitis, and Mast Cell Activation Syndrome</w:t>
      </w:r>
    </w:p>
    <w:p>
      <w:pPr>
        <w:spacing w:after="0" w:line="2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are developing BLU -808 for chronic urticaria, asthma, allergic rhinitis, MCAS and other allergy/inflammation indications, which if approved, will face competition from omalizumab developed by Genentech and Novartis. In addition, BLU-808 may face competition from drug candidates in development, including those developed by Alivexis, Inc., Amgen Inc., AstraZeneca plc, Celldex Therapeutics, Inc., Eli Lilly, Enanta Pharmaceuticals, Inc, Escient Pharmaceuticals, Inc., Evommune, Inc, Hangshou Highlightll Pharma, Incyte Corp., Jasper Therapeutics, Inc., Leo Pharma A/S, LongBio Pharma, Novartis AG, Regeneron Pharmaceuticals, Inc., Sanofi S.A., Third Harmonic Bio, Inc, Taiho Pharmaceutical Co., LTD, and United BioPharma.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445770</wp:posOffset>
                </wp:positionH>
                <wp:positionV relativeFrom="paragraph">
                  <wp:posOffset>-69850</wp:posOffset>
                </wp:positionV>
                <wp:extent cx="317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4999pt" to="37.6pt,-5.4999pt" o:allowincell="f" strokecolor="#000000" strokeweight="0.4799pt"/>
            </w:pict>
          </mc:Fallback>
        </mc:AlternateConten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Commercialization</w:t>
      </w:r>
    </w:p>
    <w:p>
      <w:pPr>
        <w:spacing w:after="0" w:line="28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established our own commercial organization in the U.S. and Europe in connection with our commercial launch of AYVAKIT in the U.S. and AYVAKYT in Europe. We have also entered into collaborations with our partners, including CStone, for global commercialization activities for AYVAKIT/AYVAKYT. We are continuing to expand our commercialization capabilities and to build our distribution capabilities to accelerate global adoption of AYVAKIT and to prepare for additional planned commercial launches.</w:t>
      </w:r>
    </w:p>
    <w:p>
      <w:pPr>
        <w:spacing w:after="0" w:line="245"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We may also evaluate opportunities to establish collaborations with pharmaceutical companies to leverage their capabilities to maximize the potential of our pipeline from time to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Supply</w:t>
      </w:r>
    </w:p>
    <w:p>
      <w:pPr>
        <w:spacing w:after="0" w:line="2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elenestinib and BLU-808 for our ongoing and planned clinical testing from third-party manufacturers. We obtain our supplies from these manufacturers on a purchase order basis and do not have a long-term supply arrangement in place other than for the commercial supply of AYVAKIT/AYVAKYT. Although we have negotiated manufacturing agreements with certain venders for the commercial supply of AYVAKIT/AYVAKYT,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ectPr>
          <w:pgSz w:w="12240" w:h="15840" w:orient="portrait"/>
          <w:cols w:equalWidth="0" w:num="1">
            <w:col w:w="9720"/>
          </w:cols>
          <w:pgMar w:left="1260" w:top="1247"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247" w:right="1260" w:bottom="175" w:gutter="0" w:footer="0" w:header="0"/>
          <w:type w:val="continuous"/>
        </w:sectPr>
      </w:pPr>
    </w:p>
    <w:bookmarkStart w:id="28" w:name="page29"/>
    <w:bookmarkEnd w:id="28"/>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8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3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w:t>
      </w:r>
    </w:p>
    <w:p>
      <w:pPr>
        <w:spacing w:after="0" w:line="27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45" w:lineRule="exact"/>
        <w:rPr>
          <w:sz w:val="20"/>
          <w:szCs w:val="20"/>
          <w:color w:val="auto"/>
        </w:rPr>
      </w:pPr>
    </w:p>
    <w:p>
      <w:pPr>
        <w:ind w:left="1440" w:right="100" w:hanging="353"/>
        <w:spacing w:after="0" w:line="251" w:lineRule="auto"/>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207" w:lineRule="exact"/>
        <w:rPr>
          <w:rFonts w:ascii="Symbol" w:cs="Symbol" w:eastAsia="Symbol" w:hAnsi="Symbol"/>
          <w:sz w:val="20"/>
          <w:szCs w:val="20"/>
          <w:color w:val="auto"/>
        </w:rPr>
      </w:pPr>
    </w:p>
    <w:p>
      <w:pPr>
        <w:ind w:left="1440" w:right="60" w:hanging="353"/>
        <w:spacing w:after="0" w:line="251" w:lineRule="auto"/>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 and must be actively maintained, including by submitting 15- or 7-day safety reports and annual safety reports;</w:t>
      </w:r>
    </w:p>
    <w:p>
      <w:pPr>
        <w:spacing w:after="0" w:line="207" w:lineRule="exact"/>
        <w:rPr>
          <w:rFonts w:ascii="Symbol" w:cs="Symbol" w:eastAsia="Symbol" w:hAnsi="Symbol"/>
          <w:sz w:val="20"/>
          <w:szCs w:val="20"/>
          <w:color w:val="auto"/>
        </w:rPr>
      </w:pPr>
    </w:p>
    <w:p>
      <w:pPr>
        <w:ind w:left="1440" w:hanging="353"/>
        <w:spacing w:after="0" w:line="251" w:lineRule="auto"/>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207" w:lineRule="exact"/>
        <w:rPr>
          <w:rFonts w:ascii="Symbol" w:cs="Symbol" w:eastAsia="Symbol" w:hAnsi="Symbol"/>
          <w:sz w:val="20"/>
          <w:szCs w:val="20"/>
          <w:color w:val="auto"/>
        </w:rPr>
      </w:pPr>
    </w:p>
    <w:p>
      <w:pPr>
        <w:ind w:left="1440" w:hanging="353"/>
        <w:spacing w:after="0"/>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FDA of an NDA for a new drug;</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a determination by the FDA within 60 days of its receipt of an NDA to file the NDA for review;</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 of the drug candidate by an FDA advisory committee, where appropriate or if applicable;</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payment of user fees for FDA review of the NDA (unless a fee waiver applies);</w:t>
      </w:r>
    </w:p>
    <w:p>
      <w:pPr>
        <w:spacing w:after="0" w:line="239" w:lineRule="exact"/>
        <w:rPr>
          <w:rFonts w:ascii="Symbol" w:cs="Symbol" w:eastAsia="Symbol" w:hAnsi="Symbol"/>
          <w:sz w:val="20"/>
          <w:szCs w:val="20"/>
          <w:color w:val="auto"/>
        </w:rPr>
      </w:pPr>
    </w:p>
    <w:p>
      <w:pPr>
        <w:ind w:left="1440" w:right="40" w:hanging="353"/>
        <w:spacing w:after="0" w:line="250" w:lineRule="auto"/>
        <w:tabs>
          <w:tab w:leader="none" w:pos="144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00"/>
          </w:cols>
          <w:pgMar w:left="1260" w:top="1246" w:right="1280" w:bottom="175" w:gutter="0" w:footer="0" w:header="0"/>
          <w:type w:val="continuous"/>
        </w:sectPr>
      </w:pPr>
    </w:p>
    <w:bookmarkStart w:id="29" w:name="page30"/>
    <w:bookmarkEnd w:id="29"/>
    <w:p>
      <w:pPr>
        <w:ind w:left="1440" w:right="320" w:hanging="353"/>
        <w:spacing w:after="0" w:line="262" w:lineRule="auto"/>
        <w:tabs>
          <w:tab w:leader="none" w:pos="144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FDA audit of the preclinical study sites and/or clinical trial sites that generated the data in support of the NDA; and</w:t>
      </w:r>
    </w:p>
    <w:p>
      <w:pPr>
        <w:spacing w:after="0" w:line="196" w:lineRule="exact"/>
        <w:rPr>
          <w:rFonts w:ascii="Symbol" w:cs="Symbol" w:eastAsia="Symbol" w:hAnsi="Symbol"/>
          <w:sz w:val="20"/>
          <w:szCs w:val="20"/>
          <w:color w:val="auto"/>
        </w:rPr>
      </w:pPr>
    </w:p>
    <w:p>
      <w:pPr>
        <w:ind w:left="1440" w:right="320" w:hanging="353"/>
        <w:spacing w:after="0" w:line="262" w:lineRule="auto"/>
        <w:tabs>
          <w:tab w:leader="none" w:pos="144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FDA review and approval of the NDA prior to any commercial marketing or sale of the drug in the U.S.</w:t>
      </w:r>
    </w:p>
    <w:p>
      <w:pPr>
        <w:spacing w:after="0" w:line="22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as well as supporting starting dose determinations,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5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Failure to timely register a clinical trial or to submit study results to such public registries can give rise to civil monetary penalties and also prevent a non-compliant party from receiving future grant funds from the federal government.</w:t>
      </w:r>
    </w:p>
    <w:p>
      <w:pPr>
        <w:spacing w:after="0" w:line="25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Clinical trials are generally conducted in three sequential phases that may overlap or be combined, known as Phase 1, Phase 2 and Phase 3 clinical trials. Phase 1 clinical trials generally involve a small number of healthy volunteers and/or disease-affected patients who are treated with the drug candidate in escalating dose cohorts. The primary purpose of these clinical trials is to assess the pharmacokinetic, or PK, profile, pharmacologic action, side effect tolerability and safety of the drug and further support dose-finding and selection. Phase 1 clinical trials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AEs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and patient population, its safety in use, and to establish the overall benefit/risk relationship of the drug and provide an adequate basis for physician and patient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ectPr>
          <w:pgSz w:w="12240" w:h="15840" w:orient="portrait"/>
          <w:cols w:equalWidth="0" w:num="1">
            <w:col w:w="9700"/>
          </w:cols>
          <w:pgMar w:left="1260" w:top="1261"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00"/>
          </w:cols>
          <w:pgMar w:left="1260" w:top="1261" w:right="1280" w:bottom="175" w:gutter="0" w:footer="0" w:header="0"/>
          <w:type w:val="continuous"/>
        </w:sectPr>
      </w:pPr>
    </w:p>
    <w:bookmarkStart w:id="30" w:name="page31"/>
    <w:bookmarkEnd w:id="30"/>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post-marketing commitments or requirements.</w:t>
      </w:r>
    </w:p>
    <w:p>
      <w:pPr>
        <w:spacing w:after="0" w:line="23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A sponsor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NDA and FDA Review Process</w:t>
      </w:r>
    </w:p>
    <w:p>
      <w:pPr>
        <w:spacing w:after="0" w:line="27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24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34"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Under the Prescription Drug User Fee Act, or PDUFA, as amended, each NDA must be accompanied by a user fee, if applicable. The FDA adjusts the PDUFA user fees on an annual basis. According to the FDA’s fiscal year 2025 fee schedule, effective October 1, 2024 through September 31, 2025, the user fee for an application requiring clinical data, such as an NDA, is $4,310,002. PDUFA also imposes an annual prescription drug product program fee for human drugs ($403,889 for the current fiscal year per approved product strength).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non-orphan indication.</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00"/>
          </w:cols>
          <w:pgMar w:left="1260" w:top="1246" w:right="1280" w:bottom="175" w:gutter="0" w:footer="0" w:header="0"/>
          <w:type w:val="continuous"/>
        </w:sectPr>
      </w:pPr>
    </w:p>
    <w:bookmarkStart w:id="31" w:name="page32"/>
    <w:bookmarkEnd w:id="31"/>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24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After the NDA submission is accepted for filing, the FDA reviews the NDA to determine, among other things, whether the proposed drug is safe and effective for its intended use and patient population,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patient advocates,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w:t>
      </w:r>
    </w:p>
    <w:p>
      <w:pPr>
        <w:spacing w:after="0" w:line="245"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Before approving an NDA, the FDA may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w:t>
      </w:r>
    </w:p>
    <w:p>
      <w:pPr>
        <w:spacing w:after="0" w:line="25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00"/>
          </w:cols>
          <w:pgMar w:left="1260" w:top="1246" w:right="1280" w:bottom="175" w:gutter="0" w:footer="0" w:header="0"/>
          <w:type w:val="continuous"/>
        </w:sectPr>
      </w:pPr>
    </w:p>
    <w:bookmarkStart w:id="32" w:name="page33"/>
    <w:bookmarkEnd w:id="32"/>
    <w:p>
      <w:pPr>
        <w:ind w:left="720"/>
        <w:spacing w:after="0"/>
        <w:rPr>
          <w:sz w:val="20"/>
          <w:szCs w:val="20"/>
          <w:color w:val="auto"/>
        </w:rPr>
      </w:pPr>
      <w:r>
        <w:rPr>
          <w:rFonts w:ascii="Times New Roman" w:cs="Times New Roman" w:eastAsia="Times New Roman" w:hAnsi="Times New Roman"/>
          <w:sz w:val="20"/>
          <w:szCs w:val="20"/>
          <w:i w:val="1"/>
          <w:iCs w:val="1"/>
          <w:color w:val="auto"/>
        </w:rPr>
        <w:t>Special FDA Expedited Review and Approval Programs</w:t>
      </w:r>
    </w:p>
    <w:p>
      <w:pPr>
        <w:spacing w:after="0" w:line="277"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4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4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under the Food and Drug Omnibus Reform Act of 2022 (FDORA), the FDA is now permitted to require, as appropriate, that such trials be underway and fully enrolled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the post-marketing studies are not conducted with due diligence or the company disseminates false or misleading promotional materials with respect to the product. In addition, the FDA generally requires, unless otherwise informed by the agency, pre-approval of promotional materials, which could adversely impact the timing of the commercial launch of the product.</w:t>
      </w:r>
    </w:p>
    <w:p>
      <w:pPr>
        <w:spacing w:after="0" w:line="24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ectPr>
          <w:pgSz w:w="12240" w:h="15840" w:orient="portrait"/>
          <w:cols w:equalWidth="0" w:num="1">
            <w:col w:w="9700"/>
          </w:cols>
          <w:pgMar w:left="1260" w:top="1249"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00"/>
          </w:cols>
          <w:pgMar w:left="1260" w:top="1249" w:right="1280" w:bottom="175" w:gutter="0" w:footer="0" w:header="0"/>
          <w:type w:val="continuous"/>
        </w:sectPr>
      </w:pPr>
    </w:p>
    <w:bookmarkStart w:id="33" w:name="page34"/>
    <w:bookmarkEnd w:id="33"/>
    <w:p>
      <w:pPr>
        <w:ind w:left="720"/>
        <w:spacing w:after="0"/>
        <w:rPr>
          <w:sz w:val="20"/>
          <w:szCs w:val="20"/>
          <w:color w:val="auto"/>
        </w:rPr>
      </w:pPr>
      <w:r>
        <w:rPr>
          <w:rFonts w:ascii="Times New Roman" w:cs="Times New Roman" w:eastAsia="Times New Roman" w:hAnsi="Times New Roman"/>
          <w:sz w:val="20"/>
          <w:szCs w:val="20"/>
          <w:i w:val="1"/>
          <w:iCs w:val="1"/>
          <w:color w:val="auto"/>
        </w:rPr>
        <w:t>Clinical Trial Diversity Plans</w:t>
      </w:r>
    </w:p>
    <w:p>
      <w:pPr>
        <w:spacing w:after="0" w:line="27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Diversity Action Plans must specify the sponsor’s rationale and goals for clinical study enrollment (separated by the age group, ethnicity, sex and race of clinically relevant study populations) and describe how the sponsor intends to meet those goals. The guidance also urges sponsors and investigators to consider the many dimensions of clinical trial diversity, even those that extend beyond age, ethnicity, sex, and race to enroll populations that represent the patients who will be treated is the product is approved. The requirement for sponsors to submit Diversity Action Plans comes from new provisions of the FDORA. This guidance applies to Phase 3 clinical studies or, as appropriate, other pivotal clinical studies of a drug or biological product, as well as for certain clinical studies of devices, including those intended to serve as the primary basis for the FDA’s evaluation of the safety and effectiveness and benefit-risk determination of the device. The requirement to submit a Diversity Action Plan applies to clinical studies for which enrollment begins</w:t>
      </w:r>
    </w:p>
    <w:p>
      <w:pPr>
        <w:spacing w:after="0" w:line="2"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180 days after publication of the final guidance. The Trump administration’s plans regarding the finalization of this guidance remain unknown at this time.</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Pediatric Trials</w:t>
      </w:r>
    </w:p>
    <w:p>
      <w:pPr>
        <w:spacing w:after="0" w:line="278"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 upon initial PSP at any time if changes to the pediatric plan need to be considered based on data collected from preclinical studies, early phase clinical trials, and/or other clinical development programs.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Post-Marketing Requirements</w:t>
      </w:r>
    </w:p>
    <w:p>
      <w:pPr>
        <w:spacing w:after="0" w:line="27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 to 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 -label uses. Prescription drug promotional materials must be submitted to the FDA in conjunction with their first use. There are also limitations on industry 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Additionally,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w:t>
      </w:r>
    </w:p>
    <w:p>
      <w:pPr>
        <w:sectPr>
          <w:pgSz w:w="12240" w:h="15840" w:orient="portrait"/>
          <w:cols w:equalWidth="0" w:num="1">
            <w:col w:w="9720"/>
          </w:cols>
          <w:pgMar w:left="1260" w:top="1249" w:right="1260" w:bottom="17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20"/>
          </w:cols>
          <w:pgMar w:left="1260" w:top="1249" w:right="1260" w:bottom="175" w:gutter="0" w:footer="0" w:header="0"/>
          <w:type w:val="continuous"/>
        </w:sectPr>
      </w:pPr>
    </w:p>
    <w:bookmarkStart w:id="34" w:name="page35"/>
    <w:bookmarkEnd w:id="34"/>
    <w:p>
      <w:pPr>
        <w:ind w:right="140"/>
        <w:spacing w:after="0" w:line="244" w:lineRule="auto"/>
        <w:rPr>
          <w:sz w:val="20"/>
          <w:szCs w:val="20"/>
          <w:color w:val="auto"/>
        </w:rPr>
      </w:pPr>
      <w:r>
        <w:rPr>
          <w:rFonts w:ascii="Times New Roman" w:cs="Times New Roman" w:eastAsia="Times New Roman" w:hAnsi="Times New Roman"/>
          <w:sz w:val="20"/>
          <w:szCs w:val="20"/>
          <w:color w:val="auto"/>
        </w:rPr>
        <w:t>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4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require new post-marketing studies,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 In addition, under FDORA, sponsors of approved drugs must notify the FDA of any changes in marketing status, such as withdrawal of a drug, within 180 days. If the sponsor fails to meet this marketing status reporting requirement, the FDA could add the applicable products to a list of discontinued products, which would revoke the product’s ability to be marketed.</w:t>
      </w:r>
    </w:p>
    <w:p>
      <w:pPr>
        <w:spacing w:after="0" w:line="253"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Also, new government requirements, including those resulting from new legislation, may be established, or the FDA’s policies may change, which could delay or prevent regulatory approval of our drugs under development.</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Other Regulatory Matters</w:t>
      </w:r>
    </w:p>
    <w:p>
      <w:pPr>
        <w:spacing w:after="0" w:line="27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as well as the 340B drug pricing program administered by the Health Resources Services Administration within the U.S. Department of Health and Human Services as amended by the Health Care and Education Reconciliation Act of 2010, or collectively, the Affordable Care Act, as well as the 340B drug pricing program administered by the Health Resources Services Administration within the U.S. Department of Health and Human Services.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42"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U.S. Patent Term Restoration and Marketing Exclusivity</w:t>
      </w:r>
    </w:p>
    <w:p>
      <w:pPr>
        <w:spacing w:after="0" w:line="278" w:lineRule="exact"/>
        <w:rPr>
          <w:sz w:val="20"/>
          <w:szCs w:val="20"/>
          <w:color w:val="auto"/>
        </w:rPr>
      </w:pPr>
    </w:p>
    <w:p>
      <w:pPr>
        <w:ind w:right="320" w:firstLine="720"/>
        <w:spacing w:after="0" w:line="304" w:lineRule="auto"/>
        <w:rPr>
          <w:sz w:val="20"/>
          <w:szCs w:val="20"/>
          <w:color w:val="auto"/>
        </w:rPr>
      </w:pPr>
      <w:r>
        <w:rPr>
          <w:rFonts w:ascii="Times New Roman" w:cs="Times New Roman" w:eastAsia="Times New Roman" w:hAnsi="Times New Roman"/>
          <w:sz w:val="19"/>
          <w:szCs w:val="19"/>
          <w:color w:val="auto"/>
        </w:rPr>
        <w:t>Depending upon the timing, duration and specifics of the FDA approval of our drug candidates, some of our U.S. patents may be eligible for limited patent term extension under the Drug Price Competition and Patent Term</w:t>
      </w:r>
    </w:p>
    <w:p>
      <w:pPr>
        <w:sectPr>
          <w:pgSz w:w="12240" w:h="15840" w:orient="portrait"/>
          <w:cols w:equalWidth="0" w:num="1">
            <w:col w:w="9700"/>
          </w:cols>
          <w:pgMar w:left="1260" w:top="1246" w:right="1280" w:bottom="175"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00"/>
          </w:cols>
          <w:pgMar w:left="1260" w:top="1246" w:right="1280" w:bottom="175" w:gutter="0" w:footer="0" w:header="0"/>
          <w:type w:val="continuous"/>
        </w:sectPr>
      </w:pPr>
    </w:p>
    <w:bookmarkStart w:id="35" w:name="page36"/>
    <w:bookmarkEnd w:id="35"/>
    <w:p>
      <w:pPr>
        <w:ind w:right="20"/>
        <w:spacing w:after="0" w:line="243" w:lineRule="auto"/>
        <w:rPr>
          <w:sz w:val="20"/>
          <w:szCs w:val="20"/>
          <w:color w:val="auto"/>
        </w:rPr>
      </w:pPr>
      <w:r>
        <w:rPr>
          <w:rFonts w:ascii="Times New Roman" w:cs="Times New Roman" w:eastAsia="Times New Roman" w:hAnsi="Times New Roman"/>
          <w:sz w:val="20"/>
          <w:szCs w:val="20"/>
          <w:color w:val="auto"/>
        </w:rPr>
        <w:t>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49"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 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for all formulations, dosage forms, and indications of the active moiety and patent terms. This six month exclusivity, which runs from the end of other exclusivity protection or patent term, may be granted based on the voluntary completion of a pediatric trial in accordance with an FDA issued “Written Request” for such a trial, provided that at the time pediatric exclusivity is granted there is not less than nine months of term remaining.</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Orphan Drug Designation</w:t>
      </w:r>
    </w:p>
    <w:p>
      <w:pPr>
        <w:spacing w:after="0" w:line="27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must be requested before submitting an application for marketing approval. Orphan drug designation does not convey any advantage in, or shorten the duration of, the regulatory review and approval process.</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46" w:right="1260" w:bottom="175" w:gutter="0" w:footer="0" w:header="0"/>
          <w:type w:val="continuous"/>
        </w:sectPr>
      </w:pPr>
    </w:p>
    <w:bookmarkStart w:id="36" w:name="page37"/>
    <w:bookmarkEnd w:id="36"/>
    <w:p>
      <w:pPr>
        <w:ind w:left="720"/>
        <w:spacing w:after="0"/>
        <w:rPr>
          <w:sz w:val="20"/>
          <w:szCs w:val="20"/>
          <w:color w:val="auto"/>
        </w:rPr>
      </w:pPr>
      <w:r>
        <w:rPr>
          <w:rFonts w:ascii="Times New Roman" w:cs="Times New Roman" w:eastAsia="Times New Roman" w:hAnsi="Times New Roman"/>
          <w:sz w:val="20"/>
          <w:szCs w:val="20"/>
          <w:i w:val="1"/>
          <w:iCs w:val="1"/>
          <w:color w:val="auto"/>
        </w:rPr>
        <w:t>Rare Pediatric Disease Designation and Priority Review Vouchers</w:t>
      </w:r>
    </w:p>
    <w:p>
      <w:pPr>
        <w:spacing w:after="0" w:line="277"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The FDA’s rare pediatric disease priority voucher program began to sunset on December 20, 2024, on failure of Congress to pass a continuing resolution package that included its reauthorization.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Congress may vote to reauthorize this program, but its future remains unknown at this time.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Development</w:t>
      </w:r>
    </w:p>
    <w:p>
      <w:pPr>
        <w:spacing w:after="0" w:line="279"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In the EU, our existing and future drugs will also be subject to extensive regulatory requirements. As in the U.S., medicinal products can only be marketed if a marketing authorization from the competent regulatory agencies has been obtained.</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Clinical Trial Approval</w:t>
      </w:r>
    </w:p>
    <w:p>
      <w:pPr>
        <w:spacing w:after="0" w:line="27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April 2014, the EU adopted a new Clinical Trials Regulation (EU) No 536/2014, or the Clinical Trials Regulation, which replaced the previous Clinical Trials Directive 2001/20/EC on January 31, 2022. The Clinical Trials Regulation is directly applicable in all EU Member States meaning no national implementing legislation in each EU Member State is required. The legislation aims at simplifying and streamlining the approval of clinical trials in the EU. For instance, the new Clinical Trials Regulation provides for a streamlined application procedure via a single entry point, rules on the protection of subjects and informed consent, and transparency requirements, and strictly defined deadlines for the assessment of clinical trial applications.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Drug Review and Approval</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the EU, medicinal products can only be commercialized after obtaining a marketing authorization, or 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two types of MA:</w:t>
      </w:r>
    </w:p>
    <w:p>
      <w:pPr>
        <w:spacing w:after="0" w:line="252"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The centralized MA, which is issued by the European Commission through the centralized procedure, based on the opinion of the CHMP of the EMA and which is valid throughout the entire territory of the EU, and in the additional Member States of the EEA.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45"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National MAs, which are issued by the competent authorities of the Member States of the EU and only cover their respective territory, are available for products not falling within the mandatory scope of the centralized procedure.</w:t>
      </w:r>
    </w:p>
    <w:p>
      <w:pPr>
        <w:sectPr>
          <w:pgSz w:w="12240" w:h="15840" w:orient="portrait"/>
          <w:cols w:equalWidth="0" w:num="1">
            <w:col w:w="9700"/>
          </w:cols>
          <w:pgMar w:left="1260" w:top="1249" w:right="128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00"/>
          </w:cols>
          <w:pgMar w:left="1260" w:top="1249" w:right="1280" w:bottom="175" w:gutter="0" w:footer="0" w:header="0"/>
          <w:type w:val="continuous"/>
        </w:sectPr>
      </w:pPr>
    </w:p>
    <w:bookmarkStart w:id="37" w:name="page38"/>
    <w:bookmarkEnd w:id="37"/>
    <w:p>
      <w:pPr>
        <w:spacing w:after="0" w:line="247" w:lineRule="auto"/>
        <w:rPr>
          <w:sz w:val="20"/>
          <w:szCs w:val="20"/>
          <w:color w:val="auto"/>
        </w:rPr>
      </w:pPr>
      <w:r>
        <w:rPr>
          <w:rFonts w:ascii="Times New Roman" w:cs="Times New Roman" w:eastAsia="Times New Roman" w:hAnsi="Times New Roman"/>
          <w:sz w:val="20"/>
          <w:szCs w:val="20"/>
          <w:color w:val="auto"/>
        </w:rPr>
        <w:t>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241"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Under the above described procedures, before granting the MA, the EMA or the competent authorities of the Member States of the EU make an assessment of the risk-benefit balance of the product on the basis of scientific criteria concerning its quality, safety and efficacy.</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Orphan Drug Designation</w:t>
      </w:r>
    </w:p>
    <w:p>
      <w:pPr>
        <w:spacing w:after="0" w:line="27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the EU, the European Commission, after receiving the opinion of the EMA’s Committee for Orphan Medicinal Products, or COMP, grants orphan medicinal product designation in respect of products that are intended for the diagnosis, prevention or treatment of a life threatening or chronically debilitating condition affecting not more than five in 10,000 persons in the EU. In addition, designation may be granted for products intended for the diagnosis, prevention or treatment of a life threatening, seriously debilitating or serious and chronic condition when, without incentives, it is unlikely that sales of the drug in the EU would be sufficient to justify the necessary investment in developing the drug or biological product. In each case, there must be no satisfactory method of diagnosis, prevention or treatment of the applicable condition authorized for marketing in the EU, or, if such a method exists, the sponsor must establish that its product would be of significant benefit to those affected by the condition. In the EU, orphan medicinal product designation also entitles a party to financial incentives such as reduction of fees or fee waivers and ten years of market exclusivity is granted following the grant of an MA. This period may be reduced to six years if, at the end of the fifth year, it is established that the orphan designation criteria are no longer met, including where it is shown that the product is sufficiently profitable not to justify maintenance of market exclusivity</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Pediatric Investigation Plan</w:t>
      </w:r>
    </w:p>
    <w:p>
      <w:pPr>
        <w:spacing w:after="0" w:line="27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the EU, marketing authorization applications for new medicinal products have to include the results of studies conducted in the pediatric population, in compliance with a pediatric investigation plan, or PIP, agreed with the EMA’s Pediatric Committee, or PDCO,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an MA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Data and Market Exclusivity</w:t>
      </w:r>
    </w:p>
    <w:p>
      <w:pPr>
        <w:spacing w:after="0" w:line="277" w:lineRule="exact"/>
        <w:rPr>
          <w:sz w:val="20"/>
          <w:szCs w:val="20"/>
          <w:color w:val="auto"/>
        </w:rPr>
      </w:pPr>
    </w:p>
    <w:p>
      <w:pPr>
        <w:ind w:right="200" w:firstLine="720"/>
        <w:spacing w:after="0" w:line="245" w:lineRule="auto"/>
        <w:rPr>
          <w:sz w:val="20"/>
          <w:szCs w:val="20"/>
          <w:color w:val="auto"/>
        </w:rPr>
      </w:pPr>
      <w:r>
        <w:rPr>
          <w:rFonts w:ascii="Times New Roman" w:cs="Times New Roman" w:eastAsia="Times New Roman" w:hAnsi="Times New Roman"/>
          <w:sz w:val="20"/>
          <w:szCs w:val="20"/>
          <w:color w:val="auto"/>
        </w:rPr>
        <w:t>In the EU, innovative medicinal products approved on the basis of a complete and independent data package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(abbreviated) marketing authorization for eight years from the date on which the reference product was first authorized in the EU. During an additional two-year period of market exclusivity, a generic or biosimilar marketing authorization application can be submitted, and the innovator’s data may be referenced, but no generic or biosimilar medicinal product can be placed on the EU market until the expiration of the market exclusivity. The overall ten-year</w:t>
      </w:r>
    </w:p>
    <w:p>
      <w:pPr>
        <w:sectPr>
          <w:pgSz w:w="12240" w:h="15840" w:orient="portrait"/>
          <w:cols w:equalWidth="0" w:num="1">
            <w:col w:w="9700"/>
          </w:cols>
          <w:pgMar w:left="1260" w:top="1246" w:right="1280" w:bottom="175"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00"/>
          </w:cols>
          <w:pgMar w:left="1260" w:top="1246" w:right="1280" w:bottom="175" w:gutter="0" w:footer="0" w:header="0"/>
          <w:type w:val="continuous"/>
        </w:sectPr>
      </w:pPr>
    </w:p>
    <w:bookmarkStart w:id="38" w:name="page39"/>
    <w:bookmarkEnd w:id="38"/>
    <w:p>
      <w:pPr>
        <w:ind w:right="100"/>
        <w:spacing w:after="0" w:line="245" w:lineRule="auto"/>
        <w:rPr>
          <w:sz w:val="20"/>
          <w:szCs w:val="20"/>
          <w:color w:val="auto"/>
        </w:rPr>
      </w:pPr>
      <w:r>
        <w:rPr>
          <w:rFonts w:ascii="Times New Roman" w:cs="Times New Roman" w:eastAsia="Times New Roman" w:hAnsi="Times New Roman"/>
          <w:sz w:val="20"/>
          <w:szCs w:val="20"/>
          <w:color w:val="auto"/>
        </w:rPr>
        <w:t>period may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Orphan Drug Designation and Exclusivity</w:t>
      </w:r>
    </w:p>
    <w:p>
      <w:pPr>
        <w:spacing w:after="0" w:line="266" w:lineRule="exact"/>
        <w:rPr>
          <w:sz w:val="20"/>
          <w:szCs w:val="20"/>
          <w:color w:val="auto"/>
        </w:rPr>
      </w:pPr>
    </w:p>
    <w:p>
      <w:pPr>
        <w:ind w:right="160" w:firstLine="720"/>
        <w:spacing w:after="0" w:line="234" w:lineRule="auto"/>
        <w:rPr>
          <w:sz w:val="20"/>
          <w:szCs w:val="20"/>
          <w:color w:val="auto"/>
        </w:rPr>
      </w:pPr>
      <w:r>
        <w:rPr>
          <w:rFonts w:ascii="Times New Roman" w:cs="Times New Roman" w:eastAsia="Times New Roman" w:hAnsi="Times New Roman"/>
          <w:sz w:val="20"/>
          <w:szCs w:val="20"/>
          <w:color w:val="auto"/>
        </w:rPr>
        <w:t>Regulation (EC) No. 141/2000, as implemented by Regulation (EC) No. 847/2000 provides that a product can be designated as an orphan medicinal product by the European Commission if its sponsor can establish: that (1) the product is intended for the diagnosis, prevention or treatment of a life-threatening or chronically debilitating condition;</w:t>
      </w:r>
    </w:p>
    <w:p>
      <w:pPr>
        <w:spacing w:after="0" w:line="2" w:lineRule="exact"/>
        <w:rPr>
          <w:sz w:val="20"/>
          <w:szCs w:val="20"/>
          <w:color w:val="auto"/>
        </w:rPr>
      </w:pPr>
    </w:p>
    <w:p>
      <w:pPr>
        <w:ind w:firstLine="7"/>
        <w:spacing w:after="0" w:line="227" w:lineRule="auto"/>
        <w:tabs>
          <w:tab w:leader="none" w:pos="28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3" w:lineRule="exact"/>
        <w:rPr>
          <w:sz w:val="20"/>
          <w:szCs w:val="20"/>
          <w:color w:val="auto"/>
        </w:rPr>
      </w:pPr>
    </w:p>
    <w:p>
      <w:pPr>
        <w:ind w:right="40" w:firstLine="720"/>
        <w:spacing w:after="0" w:line="238" w:lineRule="auto"/>
        <w:rPr>
          <w:sz w:val="20"/>
          <w:szCs w:val="20"/>
          <w:color w:val="auto"/>
        </w:rPr>
      </w:pPr>
      <w:r>
        <w:rPr>
          <w:rFonts w:ascii="Times New Roman" w:cs="Times New Roman" w:eastAsia="Times New Roman" w:hAnsi="Times New Roman"/>
          <w:sz w:val="20"/>
          <w:szCs w:val="20"/>
          <w:color w:val="auto"/>
        </w:rPr>
        <w:t>Products receiving orphan designation in the EU can receive ten years of market exclusivity, during which time no “similar medicinal product” may be placed on the market in the EU. A “similar medicinal product” is defined as a medicinal product containing a similar active substance or substances as contained in an authorized orphan medicinal product, and which is intended for the same therapeutic indication.</w:t>
      </w:r>
    </w:p>
    <w:p>
      <w:pPr>
        <w:spacing w:after="0" w:line="189" w:lineRule="exact"/>
        <w:rPr>
          <w:sz w:val="20"/>
          <w:szCs w:val="20"/>
          <w:color w:val="auto"/>
        </w:rPr>
      </w:pPr>
    </w:p>
    <w:p>
      <w:pPr>
        <w:ind w:right="80" w:firstLine="720"/>
        <w:spacing w:after="0" w:line="231" w:lineRule="auto"/>
        <w:rPr>
          <w:sz w:val="20"/>
          <w:szCs w:val="20"/>
          <w:color w:val="auto"/>
        </w:rPr>
      </w:pPr>
      <w:r>
        <w:rPr>
          <w:rFonts w:ascii="Times New Roman" w:cs="Times New Roman" w:eastAsia="Times New Roman" w:hAnsi="Times New Roman"/>
          <w:sz w:val="20"/>
          <w:szCs w:val="20"/>
          <w:color w:val="auto"/>
        </w:rPr>
        <w:t>However, a marketing authorization may be granted to a similar medicinal product with the same indication an authorized orphan product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indication if the applicant can establish that its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Regulatory Requirements After a Marketing Authorization has been Obtained</w:t>
      </w:r>
    </w:p>
    <w:p>
      <w:pPr>
        <w:spacing w:after="0" w:line="266" w:lineRule="exact"/>
        <w:rPr>
          <w:sz w:val="20"/>
          <w:szCs w:val="20"/>
          <w:color w:val="auto"/>
        </w:rPr>
      </w:pPr>
    </w:p>
    <w:p>
      <w:pPr>
        <w:ind w:right="260" w:firstLine="720"/>
        <w:spacing w:after="0" w:line="243" w:lineRule="auto"/>
        <w:rPr>
          <w:sz w:val="20"/>
          <w:szCs w:val="20"/>
          <w:color w:val="auto"/>
        </w:rPr>
      </w:pPr>
      <w:r>
        <w:rPr>
          <w:rFonts w:ascii="Times New Roman" w:cs="Times New Roman" w:eastAsia="Times New Roman" w:hAnsi="Times New Roman"/>
          <w:sz w:val="20"/>
          <w:szCs w:val="20"/>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83" w:lineRule="exact"/>
        <w:rPr>
          <w:sz w:val="20"/>
          <w:szCs w:val="20"/>
          <w:color w:val="auto"/>
        </w:rPr>
      </w:pPr>
    </w:p>
    <w:p>
      <w:pPr>
        <w:ind w:left="1440" w:right="440" w:hanging="360"/>
        <w:spacing w:after="0" w:line="247" w:lineRule="auto"/>
        <w:tabs>
          <w:tab w:leader="none" w:pos="144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Compliance with the EU’s stringent pharmacovigilance or safety reporting rules must be ensured. These rules can impose post-authorization studies and additional monitoring obligations.</w:t>
      </w:r>
    </w:p>
    <w:p>
      <w:pPr>
        <w:spacing w:after="0" w:line="76" w:lineRule="exact"/>
        <w:rPr>
          <w:rFonts w:ascii="Symbol" w:cs="Symbol" w:eastAsia="Symbol" w:hAnsi="Symbol"/>
          <w:sz w:val="20"/>
          <w:szCs w:val="20"/>
          <w:color w:val="auto"/>
        </w:rPr>
      </w:pPr>
    </w:p>
    <w:p>
      <w:pPr>
        <w:ind w:left="1440" w:right="100" w:hanging="360"/>
        <w:spacing w:after="0" w:line="230" w:lineRule="auto"/>
        <w:tabs>
          <w:tab w:leader="none" w:pos="144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The manufacturing of authorized medicinal products, for which a separate manufacturer’s license is mandatory, must also be conducted in strict compliance with the applicable EU laws, regulations and guidance, including Directive 2001/83/EC, Directive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86" w:lineRule="exact"/>
        <w:rPr>
          <w:rFonts w:ascii="Symbol" w:cs="Symbol" w:eastAsia="Symbol" w:hAnsi="Symbol"/>
          <w:sz w:val="20"/>
          <w:szCs w:val="20"/>
          <w:color w:val="auto"/>
        </w:rPr>
      </w:pPr>
    </w:p>
    <w:p>
      <w:pPr>
        <w:ind w:left="1440" w:right="300" w:hanging="360"/>
        <w:spacing w:after="0" w:line="234" w:lineRule="auto"/>
        <w:tabs>
          <w:tab w:leader="none" w:pos="144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The marketing and promotion of authorized medicinal products, including industry-sponsored continuing medical education and advertising directed toward the prescribers of medicinal products and/or the general public, are strictly regulated in the EU. Direct-to-consumer advertising of prescription medicines is prohibited across the EU.</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00"/>
          </w:cols>
          <w:pgMar w:left="1260" w:top="1246" w:right="1280" w:bottom="175" w:gutter="0" w:footer="0" w:header="0"/>
          <w:type w:val="continuous"/>
        </w:sectPr>
      </w:pPr>
    </w:p>
    <w:bookmarkStart w:id="39" w:name="page40"/>
    <w:bookmarkEnd w:id="39"/>
    <w:p>
      <w:pPr>
        <w:ind w:right="300" w:firstLine="720"/>
        <w:spacing w:after="0" w:line="263" w:lineRule="auto"/>
        <w:rPr>
          <w:sz w:val="20"/>
          <w:szCs w:val="20"/>
          <w:color w:val="auto"/>
        </w:rPr>
      </w:pPr>
      <w:r>
        <w:rPr>
          <w:rFonts w:ascii="Times New Roman" w:cs="Times New Roman" w:eastAsia="Times New Roman" w:hAnsi="Times New Roman"/>
          <w:sz w:val="20"/>
          <w:szCs w:val="20"/>
          <w:color w:val="auto"/>
        </w:rPr>
        <w:t>The aforementioned EU rules are generally applicable in the EEA, which consists of the EU Member States, plus Iceland, Liechtenstein and Norway.</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Reform of the Regulatory Framework in the European Union</w:t>
      </w:r>
    </w:p>
    <w:p>
      <w:pPr>
        <w:spacing w:after="0" w:line="222" w:lineRule="exact"/>
        <w:rPr>
          <w:sz w:val="20"/>
          <w:szCs w:val="20"/>
          <w:color w:val="auto"/>
        </w:rPr>
      </w:pPr>
    </w:p>
    <w:p>
      <w:pPr>
        <w:ind w:right="60" w:firstLine="720"/>
        <w:spacing w:after="0" w:line="232" w:lineRule="auto"/>
        <w:rPr>
          <w:sz w:val="20"/>
          <w:szCs w:val="20"/>
          <w:color w:val="auto"/>
        </w:rPr>
      </w:pPr>
      <w:r>
        <w:rPr>
          <w:rFonts w:ascii="Times New Roman" w:cs="Times New Roman" w:eastAsia="Times New Roman" w:hAnsi="Times New Roman"/>
          <w:sz w:val="20"/>
          <w:szCs w:val="20"/>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Brexit and the Regulatory Framework in the United Kingdom</w:t>
      </w:r>
    </w:p>
    <w:p>
      <w:pPr>
        <w:spacing w:after="0" w:line="222"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20"/>
          <w:szCs w:val="20"/>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A new framework named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an MA from the EMA (and certain other regulators) when considering an application for a UK MA.</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 of the World Regulation</w:t>
      </w:r>
    </w:p>
    <w:p>
      <w:pPr>
        <w:spacing w:after="0" w:line="28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For other countries outside of the EU and the U.S., such as countries in Eastern Europe, Latin America or Asia, the requirements governing the conduct of preclinical trials, clinical trials, manufacturing,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236"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w:t>
      </w:r>
    </w:p>
    <w:p>
      <w:pPr>
        <w:spacing w:after="0" w:line="28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42"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In addition to federal regulation, many states have begun to focus on efforts to regulate privacy and data security. For example, in California the California Consumer Protection Act, or CCPA, which went into effect on January 1, 2020 and was expanded by the California Consumer Privacy Rights Act, or CPRA, which went into effect on January 1, 2023, collectively establishes a privacy framework for covered businesses by creating an expanded definition</w:t>
      </w:r>
    </w:p>
    <w:p>
      <w:pPr>
        <w:sectPr>
          <w:pgSz w:w="12240" w:h="15840" w:orient="portrait"/>
          <w:cols w:equalWidth="0" w:num="1">
            <w:col w:w="9700"/>
          </w:cols>
          <w:pgMar w:left="1260" w:top="1235" w:right="1280" w:bottom="175"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00"/>
          </w:cols>
          <w:pgMar w:left="1260" w:top="1235" w:right="1280" w:bottom="175" w:gutter="0" w:footer="0" w:header="0"/>
          <w:type w:val="continuous"/>
        </w:sectPr>
      </w:pPr>
    </w:p>
    <w:bookmarkStart w:id="40" w:name="page41"/>
    <w:bookmarkEnd w:id="40"/>
    <w:p>
      <w:pPr>
        <w:ind w:right="140"/>
        <w:spacing w:after="0" w:line="244" w:lineRule="auto"/>
        <w:rPr>
          <w:sz w:val="20"/>
          <w:szCs w:val="20"/>
          <w:color w:val="auto"/>
        </w:rPr>
      </w:pPr>
      <w:r>
        <w:rPr>
          <w:rFonts w:ascii="Times New Roman" w:cs="Times New Roman" w:eastAsia="Times New Roman" w:hAnsi="Times New Roman"/>
          <w:sz w:val="20"/>
          <w:szCs w:val="20"/>
          <w:color w:val="auto"/>
        </w:rPr>
        <w:t>of personal information, establishing new data privacy rights for consumers in the State of California, imposing special rules on the collection of consumer data from minors, and creating a new and potentially severe statutory damages framework for violations and for businesses that fail to implement reasonable security procedures and practices to prevent data breaches. Numerous other states have enacted or proposed comprehensive privacy laws that are similar to the CCPA. The California Confidentiality of Medical Information Act also applies to pharmaceutical companies, including requirements for written authorization to use and disclose medical information and restrictions on the circumstances under which medical information can be used for marketing purposes. Furthermore, all fifty states, the District of Columbia, Puerto Rico, and U.S. territories have enacted data breach notification laws. These various state laws differ from one another and impose significant compliance efforts.</w:t>
      </w:r>
    </w:p>
    <w:p>
      <w:pPr>
        <w:spacing w:after="0" w:line="24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EEA Member States, the UK, Switzerland and other jurisdictions have also adopted data protection laws and regulations, which impose significant compliance obligations. In the EEA and the UK, the collection and use of personal data, including clinical trial data, is governed by the provisions of the General Data Protection Regulation, or GDPR. The GDPR, together with national legislation, regulations and guidelines of the EEA Member States,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data breach notifications, security and confidentiality, responding and handling data subject rights, ensuring appropriate assessments are carried out on processing operations and documented. Under these laws data protection authorities can impose substantial potential fines for breaches of the data protection obligations. European data protection authorities may interpret the GDPR and national laws differently and impose additional requirements, which add to the complexity of processing personal data in or from the EEA, UK or Switzerland. Guidance on implementation and compliance practices are often updated or otherwise revised. Additionally, multiple jurisdictions outside the EEA, UK, and Switzerland have adopted data protection regulations with similar requirements for companies.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8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Sales of our drugs will depend, in part, on the extent to which our drugs will be covered by third-party payors, such as government health programs, commercial insurance and managed healthcare organizations. In the U.S. and markets in other countries, patients and health care providers generally rely on third-party payors to reimburse all or part of prescription medications and associated healthcare costs. Thus, even if a drug has marketing approval in a country, sales of the drug will depend, in part, on the extent to which third-party payors, including government health programs, including Medicare and Medicaid in the U.S., commercial health insurers and managed care organizations, provide coverage for the cost of the patient’s use of the drug,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and drug candidates, if approved, could limit our ability to market those products and decrease our ability to generate revenue. Factors payors, including government health programs globally, consider in determining reimbursement are based on whether the product is:</w:t>
      </w:r>
    </w:p>
    <w:p>
      <w:pPr>
        <w:spacing w:after="0" w:line="261" w:lineRule="exact"/>
        <w:rPr>
          <w:sz w:val="20"/>
          <w:szCs w:val="20"/>
          <w:color w:val="auto"/>
        </w:rPr>
      </w:pPr>
    </w:p>
    <w:p>
      <w:pPr>
        <w:ind w:left="1440" w:hanging="353"/>
        <w:spacing w:after="0"/>
        <w:tabs>
          <w:tab w:leader="none" w:pos="144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279" w:lineRule="exact"/>
        <w:rPr>
          <w:rFonts w:ascii="Symbol" w:cs="Symbol" w:eastAsia="Symbol" w:hAnsi="Symbol"/>
          <w:sz w:val="20"/>
          <w:szCs w:val="20"/>
          <w:color w:val="auto"/>
        </w:rPr>
      </w:pPr>
    </w:p>
    <w:p>
      <w:pPr>
        <w:ind w:left="1440" w:hanging="353"/>
        <w:spacing w:after="0"/>
        <w:tabs>
          <w:tab w:leader="none" w:pos="144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279" w:lineRule="exact"/>
        <w:rPr>
          <w:rFonts w:ascii="Symbol" w:cs="Symbol" w:eastAsia="Symbol" w:hAnsi="Symbol"/>
          <w:sz w:val="20"/>
          <w:szCs w:val="20"/>
          <w:color w:val="auto"/>
        </w:rPr>
      </w:pPr>
    </w:p>
    <w:p>
      <w:pPr>
        <w:ind w:left="1440" w:hanging="353"/>
        <w:spacing w:after="0"/>
        <w:tabs>
          <w:tab w:leader="none" w:pos="144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appropriate for the specific patient;</w:t>
      </w:r>
    </w:p>
    <w:p>
      <w:pPr>
        <w:spacing w:after="0" w:line="279" w:lineRule="exact"/>
        <w:rPr>
          <w:rFonts w:ascii="Symbol" w:cs="Symbol" w:eastAsia="Symbol" w:hAnsi="Symbol"/>
          <w:sz w:val="20"/>
          <w:szCs w:val="20"/>
          <w:color w:val="auto"/>
        </w:rPr>
      </w:pPr>
    </w:p>
    <w:p>
      <w:pPr>
        <w:ind w:left="1440" w:hanging="353"/>
        <w:spacing w:after="0"/>
        <w:tabs>
          <w:tab w:leader="none" w:pos="144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cost-effective; and</w:t>
      </w:r>
    </w:p>
    <w:p>
      <w:pPr>
        <w:spacing w:after="0" w:line="279" w:lineRule="exact"/>
        <w:rPr>
          <w:rFonts w:ascii="Symbol" w:cs="Symbol" w:eastAsia="Symbol" w:hAnsi="Symbol"/>
          <w:sz w:val="20"/>
          <w:szCs w:val="20"/>
          <w:color w:val="auto"/>
        </w:rPr>
      </w:pPr>
    </w:p>
    <w:p>
      <w:pPr>
        <w:ind w:left="1440" w:hanging="353"/>
        <w:spacing w:after="0"/>
        <w:tabs>
          <w:tab w:leader="none" w:pos="144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neither experimental nor investigational.</w:t>
      </w:r>
    </w:p>
    <w:p>
      <w:pPr>
        <w:sectPr>
          <w:pgSz w:w="12240" w:h="15840" w:orient="portrait"/>
          <w:cols w:equalWidth="0" w:num="1">
            <w:col w:w="9680"/>
          </w:cols>
          <w:pgMar w:left="1260" w:top="1246" w:right="1300" w:bottom="175"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680"/>
          </w:cols>
          <w:pgMar w:left="1260" w:top="1246" w:right="1300" w:bottom="175" w:gutter="0" w:footer="0" w:header="0"/>
          <w:type w:val="continuous"/>
        </w:sectPr>
      </w:pPr>
    </w:p>
    <w:bookmarkStart w:id="41" w:name="page42"/>
    <w:bookmarkEnd w:id="41"/>
    <w:p>
      <w:pPr>
        <w:ind w:firstLine="720"/>
        <w:spacing w:after="0" w:line="244" w:lineRule="auto"/>
        <w:rPr>
          <w:sz w:val="20"/>
          <w:szCs w:val="20"/>
          <w:color w:val="auto"/>
        </w:rPr>
      </w:pPr>
      <w:r>
        <w:rPr>
          <w:rFonts w:ascii="Times New Roman" w:cs="Times New Roman" w:eastAsia="Times New Roman" w:hAnsi="Times New Roman"/>
          <w:sz w:val="20"/>
          <w:szCs w:val="20"/>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usage of such drugs and have a material adverse effect on our sales, results of operations and financial condition.</w:t>
      </w:r>
    </w:p>
    <w:p>
      <w:pPr>
        <w:spacing w:after="0" w:line="246"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242"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4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241"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19"/>
          <w:szCs w:val="19"/>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 -consuming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46" w:right="1260" w:bottom="175" w:gutter="0" w:footer="0" w:header="0"/>
          <w:type w:val="continuous"/>
        </w:sectPr>
      </w:pPr>
    </w:p>
    <w:bookmarkStart w:id="42" w:name="page43"/>
    <w:bookmarkEnd w:id="42"/>
    <w:p>
      <w:pPr>
        <w:ind w:right="380"/>
        <w:spacing w:after="0" w:line="259" w:lineRule="auto"/>
        <w:rPr>
          <w:sz w:val="20"/>
          <w:szCs w:val="20"/>
          <w:color w:val="auto"/>
        </w:rPr>
      </w:pPr>
      <w:r>
        <w:rPr>
          <w:rFonts w:ascii="Times New Roman" w:cs="Times New Roman" w:eastAsia="Times New Roman" w:hAnsi="Times New Roman"/>
          <w:sz w:val="20"/>
          <w:szCs w:val="20"/>
          <w:color w:val="auto"/>
        </w:rPr>
        <w:t>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22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 do not follow price structures of the U.S. and generally tend to be significantly lower.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8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The Affordable Care Act, for example, enacted in 2010, has had a significant impact on the health care industry. The Affordable Care Act expanded coverage for the uninsured while at the same time containing overall healthcare costs. With regard to pharmaceutical products, the Affordable Care Act, among other things,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24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 -cost drugs and biologics without generic or biosimilar competition, requiring companies to pay rebates to Medicare for drug prices that increase faster than inflation, and delay until January 1,</w:t>
      </w:r>
    </w:p>
    <w:p>
      <w:pPr>
        <w:spacing w:after="0" w:line="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auto"/>
        </w:rPr>
        <w:t>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245"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In addition, other legislative and regulatory changes have been proposed and adopted in the United States since the ACA was enacted:</w:t>
      </w:r>
    </w:p>
    <w:p>
      <w:pPr>
        <w:spacing w:after="0" w:line="159" w:lineRule="exact"/>
        <w:rPr>
          <w:sz w:val="20"/>
          <w:szCs w:val="20"/>
          <w:color w:val="auto"/>
        </w:rPr>
      </w:pPr>
    </w:p>
    <w:p>
      <w:pPr>
        <w:ind w:left="1440" w:right="200" w:hanging="353"/>
        <w:spacing w:after="0" w:line="252" w:lineRule="auto"/>
        <w:tabs>
          <w:tab w:leader="none" w:pos="1440" w:val="left"/>
        </w:tabs>
        <w:numPr>
          <w:ilvl w:val="0"/>
          <w:numId w:val="21"/>
        </w:numPr>
        <w:rPr>
          <w:rFonts w:ascii="Symbol" w:cs="Symbol" w:eastAsia="Symbol" w:hAnsi="Symbol"/>
          <w:sz w:val="16"/>
          <w:szCs w:val="16"/>
          <w:color w:val="auto"/>
        </w:rPr>
      </w:pPr>
      <w:r>
        <w:rPr>
          <w:rFonts w:ascii="Times New Roman" w:cs="Times New Roman" w:eastAsia="Times New Roman" w:hAnsi="Times New Roman"/>
          <w:sz w:val="20"/>
          <w:szCs w:val="20"/>
          <w:color w:val="auto"/>
        </w:rPr>
        <w:t>On August 2, 2011, the Budget Control Act of 2011, and subsequent legislation, among other things, included aggregate reductions of Medicare payments to providers of 2% per fiscal year. These reductions went into effect on April 1, 2013 and, due to subsequent legislative amendments to the statute, will remain in effect through 2031.</w:t>
      </w:r>
    </w:p>
    <w:p>
      <w:pPr>
        <w:spacing w:after="0" w:line="183" w:lineRule="exact"/>
        <w:rPr>
          <w:rFonts w:ascii="Symbol" w:cs="Symbol" w:eastAsia="Symbol" w:hAnsi="Symbol"/>
          <w:sz w:val="16"/>
          <w:szCs w:val="16"/>
          <w:color w:val="auto"/>
        </w:rPr>
      </w:pPr>
    </w:p>
    <w:p>
      <w:pPr>
        <w:ind w:left="1440" w:right="140" w:hanging="353"/>
        <w:spacing w:after="0" w:line="277" w:lineRule="auto"/>
        <w:tabs>
          <w:tab w:leader="none" w:pos="1440" w:val="left"/>
        </w:tabs>
        <w:numPr>
          <w:ilvl w:val="0"/>
          <w:numId w:val="21"/>
        </w:numPr>
        <w:rPr>
          <w:rFonts w:ascii="Symbol" w:cs="Symbol" w:eastAsia="Symbol" w:hAnsi="Symbol"/>
          <w:sz w:val="16"/>
          <w:szCs w:val="16"/>
          <w:color w:val="auto"/>
        </w:rPr>
      </w:pPr>
      <w:r>
        <w:rPr>
          <w:rFonts w:ascii="Times New Roman" w:cs="Times New Roman" w:eastAsia="Times New Roman" w:hAnsi="Times New Roman"/>
          <w:sz w:val="20"/>
          <w:szCs w:val="20"/>
          <w:color w:val="auto"/>
        </w:rPr>
        <w:t>On May 23, 2019, CMS published a final rule to allow Medicare Advantage Plans the option of using step therapy for Part B drugs beginning January 1, 2020.</w:t>
      </w:r>
    </w:p>
    <w:p>
      <w:pPr>
        <w:spacing w:after="0" w:line="159" w:lineRule="exact"/>
        <w:rPr>
          <w:rFonts w:ascii="Symbol" w:cs="Symbol" w:eastAsia="Symbol" w:hAnsi="Symbol"/>
          <w:sz w:val="16"/>
          <w:szCs w:val="16"/>
          <w:color w:val="auto"/>
        </w:rPr>
      </w:pPr>
    </w:p>
    <w:p>
      <w:pPr>
        <w:ind w:left="1440" w:right="200" w:hanging="353"/>
        <w:spacing w:after="0" w:line="247" w:lineRule="auto"/>
        <w:tabs>
          <w:tab w:leader="none" w:pos="1440" w:val="left"/>
        </w:tabs>
        <w:numPr>
          <w:ilvl w:val="0"/>
          <w:numId w:val="21"/>
        </w:numPr>
        <w:rPr>
          <w:rFonts w:ascii="Symbol" w:cs="Symbol" w:eastAsia="Symbol" w:hAnsi="Symbol"/>
          <w:sz w:val="16"/>
          <w:szCs w:val="16"/>
          <w:color w:val="auto"/>
        </w:rPr>
      </w:pPr>
      <w:r>
        <w:rPr>
          <w:rFonts w:ascii="Times New Roman" w:cs="Times New Roman" w:eastAsia="Times New Roman" w:hAnsi="Times New Roman"/>
          <w:sz w:val="20"/>
          <w:szCs w:val="20"/>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20"/>
          </w:cols>
          <w:pgMar w:left="1260" w:top="1246" w:right="1260" w:bottom="175" w:gutter="0" w:footer="0" w:header="0"/>
          <w:type w:val="continuous"/>
        </w:sectPr>
      </w:pPr>
    </w:p>
    <w:bookmarkStart w:id="43" w:name="page44"/>
    <w:bookmarkEnd w:id="43"/>
    <w:p>
      <w:pPr>
        <w:ind w:left="1440" w:right="120"/>
        <w:spacing w:after="0" w:line="278" w:lineRule="auto"/>
        <w:rPr>
          <w:sz w:val="20"/>
          <w:szCs w:val="20"/>
          <w:color w:val="auto"/>
        </w:rPr>
      </w:pPr>
      <w:r>
        <w:rPr>
          <w:rFonts w:ascii="Times New Roman" w:cs="Times New Roman" w:eastAsia="Times New Roman" w:hAnsi="Times New Roman"/>
          <w:sz w:val="20"/>
          <w:szCs w:val="20"/>
          <w:color w:val="auto"/>
        </w:rPr>
        <w:t>samples or allocate additional resources to respond to such requests or any legal challenges under this law, our business could be adversely impacted.</w:t>
      </w:r>
    </w:p>
    <w:p>
      <w:pPr>
        <w:spacing w:after="0" w:line="15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In addition, there have been several changes to the 340B drug pricing program, which imposes ceilings on prices that drug manufacturers can charge for medications sold to certain health care facilities.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w:t>
      </w:r>
    </w:p>
    <w:p>
      <w:pPr>
        <w:spacing w:after="0" w:line="19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Trump reversed some of President Biden’s executive orders including rescinding Executive Order 14087 entitled “Lowering Prescription Drug Costs for Americans.” President Trump may issue new executive orders designed to impact drug pricing. </w:t>
      </w:r>
      <w:r>
        <w:rPr>
          <w:rFonts w:ascii="Arial" w:cs="Arial" w:eastAsia="Arial" w:hAnsi="Arial"/>
          <w:sz w:val="20"/>
          <w:szCs w:val="20"/>
          <w:color w:val="auto"/>
        </w:rPr>
        <w:t> </w:t>
      </w:r>
      <w:r>
        <w:rPr>
          <w:rFonts w:ascii="Times New Roman" w:cs="Times New Roman" w:eastAsia="Times New Roman" w:hAnsi="Times New Roman"/>
          <w:sz w:val="20"/>
          <w:szCs w:val="20"/>
          <w:color w:val="auto"/>
        </w:rPr>
        <w:t>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201"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225"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Individual states in the U.S. have also become increasingly active in passing legislation and implementing regulations designed to control pharmaceutical and biological product pricing, including price or reimbursement constraints, discounts, restrictions on certain drug access, marketing cost disclosure, comprehensive price transparency disclosure requirements,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42"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In addition, in some foreign countries, the proposed pricing for a drug must be approved before it may be lawfully marketed. The requirements governing drug pricing vary widely from country to country. Many foreign countries’ health authorities are authorized to restrict the range of medicinal drugs for which their national health insurance systems provide reimbursement to control the prices of medicinal drugs for human use. In addition, countries may approve a specific price for the medicinal drug or it may instead adopt a system of direct or indirect controls on the profitability of the company placing the drug on the market. There can be no assurance that any country that has price controls or reimbursement limitations for pharmaceutical drugs will allow favorable reimbursement and pricing arrangements for any of our drugs. Historically, drugs launched in Europe and elsewhere globally do not follow price structures of the U.S. and generally tend to be significantly lower. More recently, developments in Europe include reforms to national reimbursement and pricing in Germany, France, Italy and the UK, that are expected to increase pressure on prices. For example, the German Federal Ministry of Health announced the SHI Financial Stabilisation Act which includes an extension of price moratorium for another 4 years, increases manufacturer mandatory discounts, and other measures intended to generate savings. Additionally, there is increased interest in cross-border collaboration on technology assessments, data/knowledge sharing, and group price negotiations as a means of controlling costs, such as the Beneluxa Initiative which includes Belgium, Luxembourg, the Netherlands, Austria and Ireland, and also the Nordic Pharmaceutical Forum.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80"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auto"/>
        </w:rPr>
        <w:t>We may also be subject to healthcare regulation and enforcement by the federal government and the states and foreign governments where we may market our drug candidates, if approved. These laws include, without limitation,</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00"/>
          </w:cols>
          <w:pgMar w:left="1260" w:top="1246" w:right="1280" w:bottom="175" w:gutter="0" w:footer="0" w:header="0"/>
          <w:type w:val="continuous"/>
        </w:sectPr>
      </w:pPr>
    </w:p>
    <w:bookmarkStart w:id="44" w:name="page45"/>
    <w:bookmarkEnd w:id="44"/>
    <w:p>
      <w:pPr>
        <w:ind w:right="200"/>
        <w:spacing w:after="0" w:line="278" w:lineRule="auto"/>
        <w:rPr>
          <w:sz w:val="20"/>
          <w:szCs w:val="20"/>
          <w:color w:val="auto"/>
        </w:rPr>
      </w:pPr>
      <w:r>
        <w:rPr>
          <w:rFonts w:ascii="Times New Roman" w:cs="Times New Roman" w:eastAsia="Times New Roman" w:hAnsi="Times New Roman"/>
          <w:sz w:val="20"/>
          <w:szCs w:val="20"/>
          <w:color w:val="auto"/>
        </w:rPr>
        <w:t>fraud and abuse, false claims, privacy and data security, and sunshine laws and regulations. Many of which differ from each other in significant ways, thus complicating compliance efforts.</w:t>
      </w:r>
    </w:p>
    <w:p>
      <w:pPr>
        <w:spacing w:after="0" w:line="20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For example, in the United States, 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civil monetary penalties. The majority of states also have anti-kickback laws, which establish similar prohibitions and, in some cases, may apply to items or services reimbursed by any third-party payor, including commercial insurers.</w:t>
      </w:r>
    </w:p>
    <w:p>
      <w:pPr>
        <w:spacing w:after="0" w:line="24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In addition, the federal civil and criminal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an action on behalf of the federal government alleging violations of the federal False Claims Act and to share in any monetary recovery. In September 2024, a federal district court in Florida ruled that the qui tam provision of the False Claims Act is unconstitutional, for violating the Constitution’s Appointments Clause. The U.S. government has appealed that decision. But if the decision is upheld and/or other federal courts adopt its reasoning, those decisions could reduce the number of False Claims Act investigations and lawsuits.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45"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9"/>
          <w:szCs w:val="19"/>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27"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numerous states have enacted comprehensive data privacy laws that impact our business in different and inconsistent ways, and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1246" w:right="1260" w:bottom="175" w:gutter="0" w:footer="0" w:header="0"/>
          <w:type w:val="continuous"/>
        </w:sectPr>
      </w:pPr>
    </w:p>
    <w:bookmarkStart w:id="45" w:name="page46"/>
    <w:bookmarkEnd w:id="45"/>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We may be subject to consumer protection and unfair competition laws enacted at the country and state level, which broadly regulate marketplace activities and activities that potentially harm consumers.</w:t>
      </w:r>
    </w:p>
    <w:p>
      <w:pPr>
        <w:spacing w:after="0" w:line="20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There has also been a recent global trend of increased regulation of payments made to physicians and other healthcare providers. For example, in the United States, the Affordable Care Act, among other things, imposes reporting requirements on drug manufacturers for payments made by them to physicians, certain other licensed healthcare practitioners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Certain countries as well as U.S. states also mandate implementation of compliance programs, impose restrictions on drug manufacturer marketing practices and/or require the tracking and reporting of gifts, compensation and other remuneration to physicians.</w:t>
      </w:r>
    </w:p>
    <w:p>
      <w:pPr>
        <w:spacing w:after="0" w:line="24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are also subject to federal price reporting laws, which require manufacturers to calculate and report complex pricing metrics to government programs, where such reported prices may be used in the calculation of reimbursement and/or discounts on approved products. Likewise, we must comply with federal consumer protection and unfair competition laws. These laws broadly regulate marketplace activities and activities that potentially harm consumers.</w:t>
      </w:r>
    </w:p>
    <w:p>
      <w:pPr>
        <w:spacing w:after="0" w:line="237"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Additionally, we may be subject to analogous state and foreign laws and regulations, such as fraud and abuse,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governmental agencies and through private actions. Some laws require pharmaceutical companies to comply with the pharmaceutical industry’s voluntary compliance guidelines and the relevant country-level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8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provide an inclusive, collaborative and safe work environment for our employees, who enjoy innovative work and development opportunities. As of January 31, 2025, we had 649 full- and part-time employees globally, approximately 569 of whom are employed in the U.S. and approximately 80 are employed in foreign countries. Of those employees, 350 are engaged in research and development activities and 212 hold Doctorate or Master’s degrees. To allow us flexibility in meeting varying workflow demands, we also engage consultants and temporary workers when needed.</w:t>
      </w:r>
    </w:p>
    <w:p>
      <w:pPr>
        <w:spacing w:after="0" w:line="239"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19"/>
          <w:szCs w:val="19"/>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28"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None of our U.S. employees are represented by a labor union or covered by a collective bargaining agreement. Outside the U.S., our employees in France, Germany and Italy, respectively, are covered by a collective bargaining agreement applicable to our industry as required by applicable local law. We consider our relationship with our employees to be good.</w:t>
      </w:r>
    </w:p>
    <w:p>
      <w:pPr>
        <w:sectPr>
          <w:pgSz w:w="12240" w:h="15840" w:orient="portrait"/>
          <w:cols w:equalWidth="0" w:num="1">
            <w:col w:w="9660"/>
          </w:cols>
          <w:pgMar w:left="1260" w:top="1246" w:right="1320" w:bottom="175"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660"/>
          </w:cols>
          <w:pgMar w:left="1260" w:top="1246" w:right="132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83"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Available on the Internet</w:t>
      </w:r>
    </w:p>
    <w:p>
      <w:pPr>
        <w:spacing w:after="0" w:line="283"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4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“X” (formerly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24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continue to grow as a commercial company and the marketing and sale of AYVAKIT/AYVAKYT or any future approved drugs may be unsuccessful or less successful than anticipated.</w:t>
      </w:r>
    </w:p>
    <w:p>
      <w:pPr>
        <w:spacing w:after="0" w:line="16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We have had two approved precision therapies, AYVAKIT/AYVAKYT and GAVRETO. While we have been commercializing AYVAKIT in the U.S. and AYVAKYT in Europe and prior to the sale of the related assets to Rigel pursuant to the Rigel Agreement,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1243" w:right="1260" w:bottom="175" w:gutter="0" w:footer="0" w:header="0"/>
          <w:type w:val="continuous"/>
        </w:sectPr>
      </w:pPr>
    </w:p>
    <w:bookmarkStart w:id="47" w:name="page48"/>
    <w:bookmarkEnd w:id="47"/>
    <w:p>
      <w:pPr>
        <w:spacing w:after="0" w:line="278" w:lineRule="auto"/>
        <w:rPr>
          <w:sz w:val="20"/>
          <w:szCs w:val="20"/>
          <w:color w:val="auto"/>
        </w:rPr>
      </w:pPr>
      <w:r>
        <w:rPr>
          <w:rFonts w:ascii="Times New Roman" w:cs="Times New Roman" w:eastAsia="Times New Roman" w:hAnsi="Times New Roman"/>
          <w:sz w:val="20"/>
          <w:szCs w:val="20"/>
          <w:color w:val="auto"/>
        </w:rPr>
        <w:t>limited. To execute our business plan, in addition to successfully marketing and selling our approved drugs, we will need to successfully:</w:t>
      </w:r>
    </w:p>
    <w:p>
      <w:pPr>
        <w:spacing w:after="0" w:line="182" w:lineRule="exact"/>
        <w:rPr>
          <w:sz w:val="20"/>
          <w:szCs w:val="20"/>
          <w:color w:val="auto"/>
        </w:rPr>
      </w:pPr>
    </w:p>
    <w:p>
      <w:pPr>
        <w:ind w:left="1440" w:right="280" w:hanging="353"/>
        <w:spacing w:after="0" w:line="262" w:lineRule="auto"/>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and maintain our relationships with healthcare providers who will be treating patients who may receive our drugs and any future drugs;</w:t>
      </w:r>
    </w:p>
    <w:p>
      <w:pPr>
        <w:spacing w:after="0" w:line="195" w:lineRule="exact"/>
        <w:rPr>
          <w:rFonts w:ascii="Symbol" w:cs="Symbol" w:eastAsia="Symbol" w:hAnsi="Symbol"/>
          <w:sz w:val="20"/>
          <w:szCs w:val="20"/>
          <w:color w:val="auto"/>
        </w:rPr>
      </w:pPr>
    </w:p>
    <w:p>
      <w:pPr>
        <w:ind w:left="1440" w:right="200" w:hanging="353"/>
        <w:spacing w:after="0" w:line="262" w:lineRule="auto"/>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and maintain adequate pricing and reimbursement for AYVAKIT/AYVAKYT and any future drugs;</w:t>
      </w:r>
    </w:p>
    <w:p>
      <w:pPr>
        <w:spacing w:after="0" w:line="195" w:lineRule="exact"/>
        <w:rPr>
          <w:rFonts w:ascii="Symbol" w:cs="Symbol" w:eastAsia="Symbol" w:hAnsi="Symbol"/>
          <w:sz w:val="20"/>
          <w:szCs w:val="20"/>
          <w:color w:val="auto"/>
        </w:rPr>
      </w:pPr>
    </w:p>
    <w:p>
      <w:pPr>
        <w:ind w:left="1440" w:right="580" w:hanging="353"/>
        <w:spacing w:after="0" w:line="251" w:lineRule="auto"/>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208" w:lineRule="exact"/>
        <w:rPr>
          <w:rFonts w:ascii="Symbol" w:cs="Symbol" w:eastAsia="Symbol" w:hAnsi="Symbol"/>
          <w:sz w:val="20"/>
          <w:szCs w:val="20"/>
          <w:color w:val="auto"/>
        </w:rPr>
      </w:pPr>
    </w:p>
    <w:p>
      <w:pPr>
        <w:ind w:left="1440" w:hanging="353"/>
        <w:spacing w:after="0"/>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key collaborations;</w:t>
      </w:r>
    </w:p>
    <w:p>
      <w:pPr>
        <w:spacing w:after="0" w:line="238" w:lineRule="exact"/>
        <w:rPr>
          <w:rFonts w:ascii="Symbol" w:cs="Symbol" w:eastAsia="Symbol" w:hAnsi="Symbol"/>
          <w:sz w:val="20"/>
          <w:szCs w:val="20"/>
          <w:color w:val="auto"/>
        </w:rPr>
      </w:pPr>
    </w:p>
    <w:p>
      <w:pPr>
        <w:ind w:left="1440" w:right="200" w:hanging="353"/>
        <w:spacing w:after="0" w:line="262" w:lineRule="auto"/>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expand our global operations or enter into collaboration, partnerships or distribution arrangements in geographies where we may not have current operations or expertise; and</w:t>
      </w:r>
    </w:p>
    <w:p>
      <w:pPr>
        <w:spacing w:after="0" w:line="195" w:lineRule="exact"/>
        <w:rPr>
          <w:rFonts w:ascii="Symbol" w:cs="Symbol" w:eastAsia="Symbol" w:hAnsi="Symbol"/>
          <w:sz w:val="20"/>
          <w:szCs w:val="20"/>
          <w:color w:val="auto"/>
        </w:rPr>
      </w:pPr>
    </w:p>
    <w:p>
      <w:pPr>
        <w:ind w:left="1440" w:right="300" w:hanging="353"/>
        <w:spacing w:after="0" w:line="262" w:lineRule="auto"/>
        <w:tabs>
          <w:tab w:leader="none" w:pos="144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manage our spending as costs and expenses increase due to clinical trials, marketing approvals, and commercialization.</w:t>
      </w:r>
    </w:p>
    <w:p>
      <w:pPr>
        <w:spacing w:after="0" w:line="181"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5"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AYVAKIT/AYVAKYT, as well as any other drugs that we may bring to the market, will depend upon the degree of market acceptance by physicians, patients, third-party payors and others in the medical community.</w:t>
      </w:r>
    </w:p>
    <w:p>
      <w:pPr>
        <w:spacing w:after="0" w:line="18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AYVAKIT/AYVAKYT, as well any other drugs that we may bring to the market, may not gain market acceptance by physicians, patients, third- 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p>
      <w:pPr>
        <w:spacing w:after="0" w:line="212" w:lineRule="exact"/>
        <w:rPr>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efficacy and potential advantages over alternative treatments;</w:t>
      </w:r>
    </w:p>
    <w:p>
      <w:pPr>
        <w:spacing w:after="0" w:line="238" w:lineRule="exact"/>
        <w:rPr>
          <w:rFonts w:ascii="Symbol" w:cs="Symbol" w:eastAsia="Symbol" w:hAnsi="Symbol"/>
          <w:sz w:val="20"/>
          <w:szCs w:val="20"/>
          <w:color w:val="auto"/>
        </w:rPr>
      </w:pPr>
    </w:p>
    <w:p>
      <w:pPr>
        <w:ind w:left="1440" w:right="140" w:hanging="353"/>
        <w:spacing w:after="0" w:line="262" w:lineRule="auto"/>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prevalence and severity of any side effects, including any limitations or warnings contained in the drug’s approved labeling;</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relative convenience and ease of administration;</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willingness of eligible patients to try new therapies and of physicians to prescribe these therapies;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length of time that patients who are prescribed our drugs remain on treatment;</w:t>
      </w:r>
    </w:p>
    <w:p>
      <w:pPr>
        <w:spacing w:after="0" w:line="238" w:lineRule="exact"/>
        <w:rPr>
          <w:rFonts w:ascii="Symbol" w:cs="Symbol" w:eastAsia="Symbol" w:hAnsi="Symbol"/>
          <w:sz w:val="20"/>
          <w:szCs w:val="20"/>
          <w:color w:val="auto"/>
        </w:rPr>
      </w:pPr>
    </w:p>
    <w:p>
      <w:pPr>
        <w:ind w:left="1440" w:right="420" w:hanging="353"/>
        <w:spacing w:after="0" w:line="262" w:lineRule="auto"/>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pricing of our drugs and any current or future drug candidates for which we receive marketing approval;</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publicity concerning our current and future drugs, or competing products and treatments; and</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sufficient third-party insurance coverage or reimbursement.</w:t>
      </w:r>
    </w:p>
    <w:p>
      <w:pPr>
        <w:spacing w:after="0" w:line="22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w:t>
      </w:r>
    </w:p>
    <w:p>
      <w:pPr>
        <w:sectPr>
          <w:pgSz w:w="12240" w:h="15840" w:orient="portrait"/>
          <w:cols w:equalWidth="0" w:num="1">
            <w:col w:w="9700"/>
          </w:cols>
          <w:pgMar w:left="1260" w:top="1246" w:right="1280" w:bottom="175"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00"/>
          </w:cols>
          <w:pgMar w:left="1260" w:top="1246" w:right="1280" w:bottom="175" w:gutter="0" w:footer="0" w:header="0"/>
          <w:type w:val="continuous"/>
        </w:sectPr>
      </w:pPr>
    </w:p>
    <w:bookmarkStart w:id="48" w:name="page49"/>
    <w:bookmarkEnd w:id="48"/>
    <w:p>
      <w:pPr>
        <w:ind w:right="60"/>
        <w:spacing w:after="0" w:line="259" w:lineRule="auto"/>
        <w:rPr>
          <w:sz w:val="20"/>
          <w:szCs w:val="20"/>
          <w:color w:val="auto"/>
        </w:rPr>
      </w:pPr>
      <w:r>
        <w:rPr>
          <w:rFonts w:ascii="Times New Roman" w:cs="Times New Roman" w:eastAsia="Times New Roman" w:hAnsi="Times New Roman"/>
          <w:sz w:val="20"/>
          <w:szCs w:val="20"/>
          <w:color w:val="auto"/>
        </w:rPr>
        <w:t>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5"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additional commercial capabilities and infrastructure, we may be unable to generate sufficient revenue to sustain our business.</w:t>
      </w:r>
    </w:p>
    <w:p>
      <w:pPr>
        <w:spacing w:after="0" w:line="168" w:lineRule="exact"/>
        <w:rPr>
          <w:sz w:val="20"/>
          <w:szCs w:val="20"/>
          <w:color w:val="auto"/>
        </w:rPr>
      </w:pPr>
    </w:p>
    <w:p>
      <w:pPr>
        <w:ind w:right="180" w:firstLine="720"/>
        <w:spacing w:after="0" w:line="245" w:lineRule="auto"/>
        <w:rPr>
          <w:sz w:val="20"/>
          <w:szCs w:val="20"/>
          <w:color w:val="auto"/>
        </w:rPr>
      </w:pPr>
      <w:r>
        <w:rPr>
          <w:rFonts w:ascii="Times New Roman" w:cs="Times New Roman" w:eastAsia="Times New Roman" w:hAnsi="Times New Roman"/>
          <w:sz w:val="20"/>
          <w:szCs w:val="20"/>
          <w:color w:val="auto"/>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201"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drugs include:</w:t>
      </w:r>
    </w:p>
    <w:p>
      <w:pPr>
        <w:spacing w:after="0" w:line="254" w:lineRule="exact"/>
        <w:rPr>
          <w:sz w:val="20"/>
          <w:szCs w:val="20"/>
          <w:color w:val="auto"/>
        </w:rPr>
      </w:pPr>
    </w:p>
    <w:p>
      <w:pPr>
        <w:ind w:left="1440" w:hanging="353"/>
        <w:spacing w:after="0"/>
        <w:tabs>
          <w:tab w:leader="none" w:pos="144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inability to recruit, train and retain adequate numbers of sales and marketing personnel;</w:t>
      </w:r>
    </w:p>
    <w:p>
      <w:pPr>
        <w:spacing w:after="0" w:line="238" w:lineRule="exact"/>
        <w:rPr>
          <w:rFonts w:ascii="Symbol" w:cs="Symbol" w:eastAsia="Symbol" w:hAnsi="Symbol"/>
          <w:sz w:val="20"/>
          <w:szCs w:val="20"/>
          <w:color w:val="auto"/>
        </w:rPr>
      </w:pPr>
    </w:p>
    <w:p>
      <w:pPr>
        <w:ind w:left="1440" w:right="300" w:hanging="353"/>
        <w:spacing w:after="0" w:line="262" w:lineRule="auto"/>
        <w:tabs>
          <w:tab w:leader="none" w:pos="144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of sales personnel to obtain access to or to persuade adequate numbers of physicians to prescribe our drugs;</w:t>
      </w:r>
    </w:p>
    <w:p>
      <w:pPr>
        <w:spacing w:after="0" w:line="196" w:lineRule="exact"/>
        <w:rPr>
          <w:rFonts w:ascii="Symbol" w:cs="Symbol" w:eastAsia="Symbol" w:hAnsi="Symbol"/>
          <w:sz w:val="20"/>
          <w:szCs w:val="20"/>
          <w:color w:val="auto"/>
        </w:rPr>
      </w:pPr>
    </w:p>
    <w:p>
      <w:pPr>
        <w:ind w:left="1440" w:right="640" w:hanging="353"/>
        <w:spacing w:after="0" w:line="262" w:lineRule="auto"/>
        <w:tabs>
          <w:tab w:leader="none" w:pos="144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unforeseen costs and expenses associated with maintaining an independent sales and marketing organization; and</w:t>
      </w:r>
    </w:p>
    <w:p>
      <w:pPr>
        <w:spacing w:after="0" w:line="195" w:lineRule="exact"/>
        <w:rPr>
          <w:rFonts w:ascii="Symbol" w:cs="Symbol" w:eastAsia="Symbol" w:hAnsi="Symbol"/>
          <w:sz w:val="20"/>
          <w:szCs w:val="20"/>
          <w:color w:val="auto"/>
        </w:rPr>
      </w:pPr>
    </w:p>
    <w:p>
      <w:pPr>
        <w:ind w:left="1440" w:hanging="353"/>
        <w:spacing w:after="0"/>
        <w:tabs>
          <w:tab w:leader="none" w:pos="144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or disruptions to sales and marketing activities.</w:t>
      </w:r>
    </w:p>
    <w:p>
      <w:pPr>
        <w:spacing w:after="0" w:line="225"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precise incidence and/or prevalence for SM, GIST, chronic urticaria, asthma, allergic rhinitis, mast cell activation syndrome (MCAS), and other allergy/inflammation indications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healthcare claims data, patient foundations or third-party market research, and may prove to be incorrect. Further, new studies may change the estimated incidence or prevalence of these diseases and the number of patients may turn out to be lower than expected. For example, new claims data and epidemiology data suggest that SM prevalence is greater than previously thought; however, other future studies could contradict such findings. Additionally, the potentially addressable patient population for our approved drugs and drug candidates may be limited or may not be amenable to treatment with our precision therapies.</w:t>
      </w:r>
    </w:p>
    <w:p>
      <w:pPr>
        <w:spacing w:after="0" w:line="199"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Accordingly, the incidence and/or prevalence of the diseases we aim to address may not be otherwise amenable to treatment with our drugs, patients treated with our drugs and drug candidates may develop mutations that confer</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1246" w:right="1260" w:bottom="175" w:gutter="0" w:footer="0" w:header="0"/>
          <w:type w:val="continuous"/>
        </w:sectPr>
      </w:pPr>
    </w:p>
    <w:bookmarkStart w:id="49" w:name="page50"/>
    <w:bookmarkEnd w:id="49"/>
    <w:p>
      <w:pPr>
        <w:ind w:right="520"/>
        <w:spacing w:after="0" w:line="278" w:lineRule="auto"/>
        <w:rPr>
          <w:sz w:val="20"/>
          <w:szCs w:val="20"/>
          <w:color w:val="auto"/>
        </w:rPr>
      </w:pPr>
      <w:r>
        <w:rPr>
          <w:rFonts w:ascii="Times New Roman" w:cs="Times New Roman" w:eastAsia="Times New Roman" w:hAnsi="Times New Roman"/>
          <w:sz w:val="20"/>
          <w:szCs w:val="20"/>
          <w:color w:val="auto"/>
        </w:rPr>
        <w:t>resistance to treatment or new patients may become increasingly difficult to identify or gain access to, all of which would adversely affect our results of operations and our business.</w:t>
      </w:r>
    </w:p>
    <w:p>
      <w:pPr>
        <w:spacing w:after="0" w:line="16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commercializing, developing or discovering drugs before or more successfully than we do.</w:t>
      </w:r>
    </w:p>
    <w:p>
      <w:pPr>
        <w:spacing w:after="0" w:line="20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hematology/oncology. Some of these competitive drugs and therapies are based on scientific approaches that are the same as or similar to our approach, and others are based on entirely different approaches, which could be more successful than ours.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247" w:lineRule="exact"/>
        <w:rPr>
          <w:sz w:val="20"/>
          <w:szCs w:val="20"/>
          <w:color w:val="auto"/>
        </w:rPr>
      </w:pPr>
    </w:p>
    <w:p>
      <w:pPr>
        <w:ind w:right="220" w:firstLine="720"/>
        <w:spacing w:after="0" w:line="247" w:lineRule="auto"/>
        <w:rPr>
          <w:sz w:val="20"/>
          <w:szCs w:val="20"/>
          <w:color w:val="auto"/>
        </w:rPr>
      </w:pPr>
      <w:r>
        <w:rPr>
          <w:rFonts w:ascii="Times New Roman" w:cs="Times New Roman" w:eastAsia="Times New Roman" w:hAnsi="Times New Roman"/>
          <w:sz w:val="19"/>
          <w:szCs w:val="19"/>
          <w:color w:val="auto"/>
        </w:rPr>
        <w:t xml:space="preserve">AYVAKIT/AYVAKYT and </w:t>
      </w:r>
      <w:r>
        <w:rPr>
          <w:rFonts w:ascii="Times New Roman" w:cs="Times New Roman" w:eastAsia="Times New Roman" w:hAnsi="Times New Roman"/>
          <w:sz w:val="20"/>
          <w:szCs w:val="20"/>
          <w:color w:val="auto"/>
        </w:rPr>
        <w:t>elenestinib (BLU-263) face competition for advanced SM from Novartis AG’s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Alys Pharmaceuticals Inc., Celldex Therapeutics, Inc., Cogent Biosciences, Inc., Hoth Therapeutics, Inc., Invea Therapeutics Inc., and Telios Pharma Inc.</w:t>
      </w:r>
    </w:p>
    <w:p>
      <w:pPr>
        <w:spacing w:after="0" w:line="189" w:lineRule="exact"/>
        <w:rPr>
          <w:sz w:val="20"/>
          <w:szCs w:val="20"/>
          <w:color w:val="auto"/>
        </w:rPr>
      </w:pPr>
    </w:p>
    <w:p>
      <w:pPr>
        <w:ind w:right="120" w:firstLine="720"/>
        <w:spacing w:after="0" w:line="270" w:lineRule="auto"/>
        <w:rPr>
          <w:sz w:val="20"/>
          <w:szCs w:val="20"/>
          <w:color w:val="auto"/>
        </w:rPr>
      </w:pPr>
      <w:r>
        <w:rPr>
          <w:rFonts w:ascii="Times New Roman" w:cs="Times New Roman" w:eastAsia="Times New Roman" w:hAnsi="Times New Roman"/>
          <w:sz w:val="19"/>
          <w:szCs w:val="19"/>
          <w:color w:val="auto"/>
        </w:rPr>
        <w:t>AYVAKIT/AYVAKYT may face competition from drug candidates in development for PDGFRA-driven GIST, including those being developed by AB Science S.A., ARIAD Pharmaceuticals, Inc., a wholly- owned subsidiary of Takeda Pharmaceutical Company Limited, AROG Pharmaceuticals, Inc., AstraZeneca plc, Cogent Biosciences, Inc., Deciphera Pharmaceuticals, LLC, Exelixis, Inc., Ningbo Tai Kang Medical Technology Co. Ltd. and Xencor, Inc.</w:t>
      </w:r>
    </w:p>
    <w:p>
      <w:pPr>
        <w:spacing w:after="0" w:line="17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are developing BLU -808 for chronic urticaria, asthma, allergic rhinitis/conjunctivitis, MCAS, and other allergy/inflammation indications, which if approved, will face competition from omalizumab developed by Genentech and Novartis. In addition, BLU-808 may face competition from drug candidates in development, including those developed by Alivexis, Inc., Allakos Inc., Amgen Inc., AstraZeneca plc, Celldex Therapeutics, Inc., Eli Lilly, Enanta Pharmaceuticals, Inc, Escient Pharmaceuticals, Inc., Evommune, Inc, Hangshou Highlightll Pharma, Incyte Corp., Jasper Therapeutics, Inc., Leo Pharma A/S, LongBio Pharma, Novartis AG, Regeneron Pharmaceuticals, Inc., Sanofi S.A., Third Harmonic Bio, Inc, Taiho Pharmaceutical Co., LTD, and United BioPharma.</w:t>
      </w:r>
    </w:p>
    <w:p>
      <w:pPr>
        <w:spacing w:after="0" w:line="190" w:lineRule="exact"/>
        <w:rPr>
          <w:sz w:val="20"/>
          <w:szCs w:val="20"/>
          <w:color w:val="auto"/>
        </w:rPr>
      </w:pPr>
    </w:p>
    <w:p>
      <w:pPr>
        <w:ind w:right="240" w:firstLine="720"/>
        <w:spacing w:after="0" w:line="244"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00"/>
          </w:cols>
          <w:pgMar w:left="1260" w:top="1246" w:right="1280" w:bottom="175" w:gutter="0" w:footer="0" w:header="0"/>
          <w:type w:val="continuous"/>
        </w:sectPr>
      </w:pPr>
    </w:p>
    <w:bookmarkStart w:id="50" w:name="page51"/>
    <w:bookmarkEnd w:id="50"/>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68"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211" w:lineRule="exact"/>
        <w:rPr>
          <w:sz w:val="20"/>
          <w:szCs w:val="20"/>
          <w:color w:val="auto"/>
        </w:rPr>
      </w:pPr>
    </w:p>
    <w:p>
      <w:pPr>
        <w:ind w:left="1440" w:right="720" w:hanging="353"/>
        <w:spacing w:after="0" w:line="262" w:lineRule="auto"/>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decreased demand for any of our approved drugs or drug candidates that we may develop and commercialize;</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revenue; and</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to commercialize any of approved drugs or drug candidates that we may develop.</w:t>
      </w:r>
    </w:p>
    <w:p>
      <w:pPr>
        <w:spacing w:after="0" w:line="22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97"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ectPr>
          <w:pgSz w:w="12240" w:h="15840" w:orient="portrait"/>
          <w:cols w:equalWidth="0" w:num="1">
            <w:col w:w="9660"/>
          </w:cols>
          <w:pgMar w:left="1260" w:top="1246" w:right="13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660"/>
          </w:cols>
          <w:pgMar w:left="1260" w:top="1246" w:right="1320" w:bottom="175" w:gutter="0" w:footer="0" w:header="0"/>
          <w:type w:val="continuous"/>
        </w:sectPr>
      </w:pPr>
    </w:p>
    <w:bookmarkStart w:id="51" w:name="page52"/>
    <w:bookmarkEnd w:id="51"/>
    <w:p>
      <w:pPr>
        <w:ind w:right="6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8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or a new indication for a drug product for which we establish marketing capabilities is delayed or does not occur for any reason, we would have prematurely or unnecessarily incurred these commercialization expenses, which may be costly.</w:t>
      </w:r>
    </w:p>
    <w:p>
      <w:pPr>
        <w:spacing w:after="0" w:line="198"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20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Drug Development and Regulatory Approval</w:t>
      </w:r>
    </w:p>
    <w:p>
      <w:pPr>
        <w:spacing w:after="0" w:line="243"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w:t>
      </w:r>
    </w:p>
    <w:p>
      <w:pPr>
        <w:spacing w:after="0" w:line="18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spacing w:after="0" w:line="214" w:lineRule="exact"/>
        <w:rPr>
          <w:sz w:val="20"/>
          <w:szCs w:val="20"/>
          <w:color w:val="auto"/>
        </w:rPr>
      </w:pPr>
    </w:p>
    <w:p>
      <w:pPr>
        <w:jc w:val="both"/>
        <w:ind w:left="1440" w:right="280" w:hanging="353"/>
        <w:spacing w:after="0" w:line="250" w:lineRule="auto"/>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enrollment in, and initiation and completion of, clinical trials, including our ongoing and planned clinical trials for our drugs and drug candidates as monotherapies and in combination with other agents;</w:t>
      </w:r>
    </w:p>
    <w:p>
      <w:pPr>
        <w:spacing w:after="0" w:line="210" w:lineRule="exact"/>
        <w:rPr>
          <w:rFonts w:ascii="Symbol" w:cs="Symbol" w:eastAsia="Symbol" w:hAnsi="Symbol"/>
          <w:sz w:val="20"/>
          <w:szCs w:val="20"/>
          <w:color w:val="auto"/>
        </w:rPr>
      </w:pPr>
    </w:p>
    <w:p>
      <w:pPr>
        <w:ind w:left="1440" w:hanging="353"/>
        <w:spacing w:after="0"/>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initiation and completion of preclinical studies for our other drug candidates;</w:t>
      </w:r>
    </w:p>
    <w:p>
      <w:pPr>
        <w:spacing w:after="0" w:line="238" w:lineRule="exact"/>
        <w:rPr>
          <w:rFonts w:ascii="Symbol" w:cs="Symbol" w:eastAsia="Symbol" w:hAnsi="Symbol"/>
          <w:sz w:val="20"/>
          <w:szCs w:val="20"/>
          <w:color w:val="auto"/>
        </w:rPr>
      </w:pPr>
    </w:p>
    <w:p>
      <w:pPr>
        <w:ind w:left="1440" w:right="20" w:hanging="353"/>
        <w:spacing w:after="0" w:line="262" w:lineRule="auto"/>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receipt of regulatory approvals from applicable regulatory authorities and transitioning any conditional marketing authorizations to full approvals;</w:t>
      </w:r>
    </w:p>
    <w:p>
      <w:pPr>
        <w:spacing w:after="0" w:line="195" w:lineRule="exact"/>
        <w:rPr>
          <w:rFonts w:ascii="Symbol" w:cs="Symbol" w:eastAsia="Symbol" w:hAnsi="Symbol"/>
          <w:sz w:val="20"/>
          <w:szCs w:val="20"/>
          <w:color w:val="auto"/>
        </w:rPr>
      </w:pPr>
    </w:p>
    <w:p>
      <w:pPr>
        <w:ind w:left="1440" w:right="20" w:hanging="353"/>
        <w:spacing w:after="0" w:line="247" w:lineRule="auto"/>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212" w:lineRule="exact"/>
        <w:rPr>
          <w:rFonts w:ascii="Symbol" w:cs="Symbol" w:eastAsia="Symbol" w:hAnsi="Symbol"/>
          <w:sz w:val="20"/>
          <w:szCs w:val="20"/>
          <w:color w:val="auto"/>
        </w:rPr>
      </w:pPr>
    </w:p>
    <w:p>
      <w:pPr>
        <w:ind w:left="1440" w:hanging="353"/>
        <w:spacing w:after="0" w:line="262" w:lineRule="auto"/>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and maintaining patent and trade secret protection or regulatory exclusivity for our drugs and drug candidates;</w:t>
      </w:r>
    </w:p>
    <w:p>
      <w:pPr>
        <w:spacing w:after="0" w:line="195" w:lineRule="exact"/>
        <w:rPr>
          <w:rFonts w:ascii="Symbol" w:cs="Symbol" w:eastAsia="Symbol" w:hAnsi="Symbol"/>
          <w:sz w:val="20"/>
          <w:szCs w:val="20"/>
          <w:color w:val="auto"/>
        </w:rPr>
      </w:pPr>
    </w:p>
    <w:p>
      <w:pPr>
        <w:ind w:left="1440" w:right="540" w:hanging="353"/>
        <w:spacing w:after="0" w:line="262" w:lineRule="auto"/>
        <w:tabs>
          <w:tab w:leader="none" w:pos="144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commercialization of our approved drugs and drug candidates, if and when approved, whether alone or in collaboration with others;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00"/>
          </w:cols>
          <w:pgMar w:left="1260" w:top="1246" w:right="1280" w:bottom="175" w:gutter="0" w:footer="0" w:header="0"/>
          <w:type w:val="continuous"/>
        </w:sectPr>
      </w:pPr>
    </w:p>
    <w:bookmarkStart w:id="52" w:name="page53"/>
    <w:bookmarkEnd w:id="52"/>
    <w:p>
      <w:pPr>
        <w:ind w:left="1440" w:right="60" w:hanging="353"/>
        <w:spacing w:after="0" w:line="262" w:lineRule="auto"/>
        <w:tabs>
          <w:tab w:leader="none" w:pos="144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acceptance of our approved drugs and drug candidates, if and when approved, by patients, the medical community and third-party payors;</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effectively competing with other therapies;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and maintaining healthcare coverage and adequate reimbursement;</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enforcing and defending intellectual property rights and claims; and</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maintaining a continued acceptable safety profile of our drugs and drug candidates following approval.</w:t>
      </w:r>
    </w:p>
    <w:p>
      <w:pPr>
        <w:spacing w:after="0" w:line="224"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91"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16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spacing w:after="0" w:line="200" w:lineRule="exact"/>
        <w:rPr>
          <w:sz w:val="20"/>
          <w:szCs w:val="20"/>
          <w:color w:val="auto"/>
        </w:rPr>
      </w:pPr>
    </w:p>
    <w:p>
      <w:pPr>
        <w:ind w:right="300" w:firstLine="720"/>
        <w:spacing w:after="0" w:line="252" w:lineRule="auto"/>
        <w:rPr>
          <w:sz w:val="20"/>
          <w:szCs w:val="20"/>
          <w:color w:val="auto"/>
        </w:rPr>
      </w:pPr>
      <w:r>
        <w:rPr>
          <w:rFonts w:ascii="Times New Roman" w:cs="Times New Roman" w:eastAsia="Times New Roman" w:hAnsi="Times New Roman"/>
          <w:sz w:val="20"/>
          <w:szCs w:val="20"/>
          <w:color w:val="auto"/>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Patient enrollment may be affected by other factors including:</w:t>
      </w:r>
    </w:p>
    <w:p>
      <w:pPr>
        <w:spacing w:after="0" w:line="255" w:lineRule="exact"/>
        <w:rPr>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size of the target patient population;</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eligibility criteria for the clinical trial;</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of an appropriate genomic screening test;</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perceived risks and benefits of the drug candidate under study;</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efforts to facilitate timely enrollment in clinical trials;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patient referral practices of physicians;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to monitor patients adequately during and after treatment; and</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proximity and availability of clinical trial sites for prospective patients.</w:t>
      </w:r>
    </w:p>
    <w:p>
      <w:pPr>
        <w:spacing w:after="0" w:line="2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w:t>
      </w:r>
    </w:p>
    <w:p>
      <w:pPr>
        <w:sectPr>
          <w:pgSz w:w="12240" w:h="15840" w:orient="portrait"/>
          <w:cols w:equalWidth="0" w:num="1">
            <w:col w:w="9700"/>
          </w:cols>
          <w:pgMar w:left="1260" w:top="1261" w:right="1280" w:bottom="175"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00"/>
          </w:cols>
          <w:pgMar w:left="1260" w:top="1261" w:right="1280" w:bottom="175" w:gutter="0" w:footer="0" w:header="0"/>
          <w:type w:val="continuous"/>
        </w:sectPr>
      </w:pPr>
    </w:p>
    <w:bookmarkStart w:id="53" w:name="page54"/>
    <w:bookmarkEnd w:id="53"/>
    <w:p>
      <w:pPr>
        <w:ind w:right="80"/>
        <w:spacing w:after="0" w:line="278" w:lineRule="auto"/>
        <w:rPr>
          <w:sz w:val="20"/>
          <w:szCs w:val="20"/>
          <w:color w:val="auto"/>
        </w:rPr>
      </w:pPr>
      <w:r>
        <w:rPr>
          <w:rFonts w:ascii="Times New Roman" w:cs="Times New Roman" w:eastAsia="Times New Roman" w:hAnsi="Times New Roman"/>
          <w:sz w:val="20"/>
          <w:szCs w:val="20"/>
          <w:color w:val="auto"/>
        </w:rPr>
        <w:t>FDA’s expedited review and approval programs, including breakthrough therapy designation and fast track designation, or otherwise to seek to accelerate clinical development and regulatory timelines.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8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w:t>
      </w:r>
    </w:p>
    <w:p>
      <w:pPr>
        <w:spacing w:after="0" w:line="197"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We expect to rely on third-party contract research organizations, or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the FDA determine that an inspection is necessary for approval of a marketing application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6"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interpretations or agency discretion during the development period, changes in or the enactment of additional statutes or regulations, or changes in regulatory review for each submitted new drug application, or NDA, for a drug candidate, may cause delays in the approval or rejection of an application. Moreover, the U.S. Supreme Court’s</w:t>
      </w:r>
    </w:p>
    <w:p>
      <w:pPr>
        <w:spacing w:after="0" w:line="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Additionally,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206" w:lineRule="exact"/>
        <w:rPr>
          <w:sz w:val="20"/>
          <w:szCs w:val="20"/>
          <w:color w:val="auto"/>
        </w:rPr>
      </w:pPr>
    </w:p>
    <w:p>
      <w:pPr>
        <w:ind w:right="380" w:firstLine="720"/>
        <w:spacing w:after="0" w:line="278" w:lineRule="auto"/>
        <w:rPr>
          <w:sz w:val="20"/>
          <w:szCs w:val="20"/>
          <w:color w:val="auto"/>
        </w:rPr>
      </w:pPr>
      <w:r>
        <w:rPr>
          <w:rFonts w:ascii="Times New Roman" w:cs="Times New Roman" w:eastAsia="Times New Roman" w:hAnsi="Times New Roman"/>
          <w:sz w:val="20"/>
          <w:szCs w:val="20"/>
          <w:color w:val="auto"/>
        </w:rPr>
        <w:t>Our drug candidates could be delayed in receiving, or fail to receive, regulatory approval for many reasons, including the following:</w:t>
      </w:r>
    </w:p>
    <w:p>
      <w:pPr>
        <w:spacing w:after="0" w:line="181" w:lineRule="exact"/>
        <w:rPr>
          <w:sz w:val="20"/>
          <w:szCs w:val="20"/>
          <w:color w:val="auto"/>
        </w:rPr>
      </w:pPr>
    </w:p>
    <w:p>
      <w:pPr>
        <w:ind w:left="1440" w:right="60" w:hanging="353"/>
        <w:spacing w:after="0" w:line="262" w:lineRule="auto"/>
        <w:tabs>
          <w:tab w:leader="none" w:pos="144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195" w:lineRule="exact"/>
        <w:rPr>
          <w:rFonts w:ascii="Symbol" w:cs="Symbol" w:eastAsia="Symbol" w:hAnsi="Symbol"/>
          <w:sz w:val="20"/>
          <w:szCs w:val="20"/>
          <w:color w:val="auto"/>
        </w:rPr>
      </w:pPr>
    </w:p>
    <w:p>
      <w:pPr>
        <w:ind w:left="1440" w:right="460" w:hanging="353"/>
        <w:spacing w:after="0" w:line="262" w:lineRule="auto"/>
        <w:tabs>
          <w:tab w:leader="none" w:pos="144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drug candidate is safe and effective for its proposed indication;</w:t>
      </w:r>
    </w:p>
    <w:p>
      <w:pPr>
        <w:spacing w:after="0" w:line="195" w:lineRule="exact"/>
        <w:rPr>
          <w:rFonts w:ascii="Symbol" w:cs="Symbol" w:eastAsia="Symbol" w:hAnsi="Symbol"/>
          <w:sz w:val="20"/>
          <w:szCs w:val="20"/>
          <w:color w:val="auto"/>
        </w:rPr>
      </w:pPr>
    </w:p>
    <w:p>
      <w:pPr>
        <w:ind w:left="1440" w:right="300" w:hanging="353"/>
        <w:spacing w:after="0" w:line="262" w:lineRule="auto"/>
        <w:tabs>
          <w:tab w:leader="none" w:pos="144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196" w:lineRule="exact"/>
        <w:rPr>
          <w:rFonts w:ascii="Symbol" w:cs="Symbol" w:eastAsia="Symbol" w:hAnsi="Symbol"/>
          <w:sz w:val="20"/>
          <w:szCs w:val="20"/>
          <w:color w:val="auto"/>
        </w:rPr>
      </w:pPr>
    </w:p>
    <w:p>
      <w:pPr>
        <w:ind w:left="1440" w:right="20" w:hanging="353"/>
        <w:spacing w:after="0" w:line="262" w:lineRule="auto"/>
        <w:tabs>
          <w:tab w:leader="none" w:pos="144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demonstrate that a drug candidate’s clinical and other benefits outweigh its safety risks;</w:t>
      </w:r>
    </w:p>
    <w:p>
      <w:pPr>
        <w:spacing w:after="0" w:line="195" w:lineRule="exact"/>
        <w:rPr>
          <w:rFonts w:ascii="Symbol" w:cs="Symbol" w:eastAsia="Symbol" w:hAnsi="Symbol"/>
          <w:sz w:val="20"/>
          <w:szCs w:val="20"/>
          <w:color w:val="auto"/>
        </w:rPr>
      </w:pPr>
    </w:p>
    <w:p>
      <w:pPr>
        <w:ind w:left="1440" w:right="400" w:hanging="353"/>
        <w:spacing w:after="0" w:line="262" w:lineRule="auto"/>
        <w:tabs>
          <w:tab w:leader="none" w:pos="144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00"/>
          </w:cols>
          <w:pgMar w:left="1260" w:top="1246" w:right="1280" w:bottom="175" w:gutter="0" w:footer="0" w:header="0"/>
          <w:type w:val="continuous"/>
        </w:sectPr>
      </w:pPr>
    </w:p>
    <w:bookmarkStart w:id="54" w:name="page55"/>
    <w:bookmarkEnd w:id="54"/>
    <w:p>
      <w:pPr>
        <w:ind w:left="1440" w:right="180" w:hanging="353"/>
        <w:spacing w:after="0" w:line="262" w:lineRule="auto"/>
        <w:tabs>
          <w:tab w:leader="none" w:pos="144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data collected from clinical trials of our drug candidates may not be sufficient to support the submission of an NDA or other submission or to obtain regulatory approval in the U.S. or elsewhere;</w:t>
      </w:r>
    </w:p>
    <w:p>
      <w:pPr>
        <w:spacing w:after="0" w:line="196" w:lineRule="exact"/>
        <w:rPr>
          <w:rFonts w:ascii="Symbol" w:cs="Symbol" w:eastAsia="Symbol" w:hAnsi="Symbol"/>
          <w:sz w:val="20"/>
          <w:szCs w:val="20"/>
          <w:color w:val="auto"/>
        </w:rPr>
      </w:pPr>
    </w:p>
    <w:p>
      <w:pPr>
        <w:ind w:left="1440" w:right="80" w:hanging="353"/>
        <w:spacing w:after="0" w:line="250" w:lineRule="auto"/>
        <w:tabs>
          <w:tab w:leader="none" w:pos="144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210" w:lineRule="exact"/>
        <w:rPr>
          <w:rFonts w:ascii="Symbol" w:cs="Symbol" w:eastAsia="Symbol" w:hAnsi="Symbol"/>
          <w:sz w:val="20"/>
          <w:szCs w:val="20"/>
          <w:color w:val="auto"/>
        </w:rPr>
      </w:pPr>
    </w:p>
    <w:p>
      <w:pPr>
        <w:ind w:left="1440" w:right="500" w:hanging="353"/>
        <w:spacing w:after="0" w:line="262" w:lineRule="auto"/>
        <w:tabs>
          <w:tab w:leader="none" w:pos="144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188"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auto"/>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spacing w:after="0" w:line="178"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20"/>
          <w:szCs w:val="20"/>
          <w:color w:val="auto"/>
        </w:rPr>
        <w:t>If we experience delays in obtaining approval or if we fail to obtain approval of our drug candidates, the commercial prospects for our approved drugs or drug candidates may be harmed and our ability to generate revenues will be materially impaired.</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1" w:lineRule="exact"/>
        <w:rPr>
          <w:sz w:val="20"/>
          <w:szCs w:val="20"/>
          <w:color w:val="auto"/>
        </w:rPr>
      </w:pPr>
    </w:p>
    <w:p>
      <w:pPr>
        <w:ind w:right="120" w:firstLine="720"/>
        <w:spacing w:after="0" w:line="270" w:lineRule="auto"/>
        <w:rPr>
          <w:sz w:val="20"/>
          <w:szCs w:val="20"/>
          <w:color w:val="auto"/>
        </w:rPr>
      </w:pPr>
      <w:r>
        <w:rPr>
          <w:rFonts w:ascii="Times New Roman" w:cs="Times New Roman" w:eastAsia="Times New Roman" w:hAnsi="Times New Roman"/>
          <w:sz w:val="20"/>
          <w:szCs w:val="20"/>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9"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9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w:t>
      </w:r>
    </w:p>
    <w:p>
      <w:pPr>
        <w:sectPr>
          <w:pgSz w:w="12240" w:h="15840" w:orient="portrait"/>
          <w:cols w:equalWidth="0" w:num="1">
            <w:col w:w="9720"/>
          </w:cols>
          <w:pgMar w:left="1260" w:top="1261" w:right="126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1261" w:right="1260" w:bottom="175" w:gutter="0" w:footer="0" w:header="0"/>
          <w:type w:val="continuous"/>
        </w:sectPr>
      </w:pPr>
    </w:p>
    <w:bookmarkStart w:id="55" w:name="page56"/>
    <w:bookmarkEnd w:id="55"/>
    <w:p>
      <w:pPr>
        <w:ind w:right="240"/>
        <w:spacing w:after="0" w:line="249" w:lineRule="auto"/>
        <w:rPr>
          <w:sz w:val="20"/>
          <w:szCs w:val="20"/>
          <w:color w:val="auto"/>
        </w:rPr>
      </w:pPr>
      <w:r>
        <w:rPr>
          <w:rFonts w:ascii="Times New Roman" w:cs="Times New Roman" w:eastAsia="Times New Roman" w:hAnsi="Times New Roman"/>
          <w:sz w:val="20"/>
          <w:szCs w:val="20"/>
          <w:color w:val="auto"/>
        </w:rPr>
        <w:t>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212" w:lineRule="exact"/>
        <w:rPr>
          <w:sz w:val="20"/>
          <w:szCs w:val="20"/>
          <w:color w:val="auto"/>
        </w:rPr>
      </w:pPr>
    </w:p>
    <w:p>
      <w:pPr>
        <w:ind w:left="1440" w:right="180" w:hanging="353"/>
        <w:spacing w:after="0" w:line="250" w:lineRule="auto"/>
        <w:tabs>
          <w:tab w:leader="none" w:pos="144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preclinical studies or clinical trials may show the drug candidates to be less effective than expected (e.g., a clinical trial could fail to meet its primary endpoint(s)) or to have unacceptable side effects or toxicities;</w:t>
      </w:r>
    </w:p>
    <w:p>
      <w:pPr>
        <w:spacing w:after="0" w:line="210" w:lineRule="exact"/>
        <w:rPr>
          <w:rFonts w:ascii="Symbol" w:cs="Symbol" w:eastAsia="Symbol" w:hAnsi="Symbol"/>
          <w:sz w:val="20"/>
          <w:szCs w:val="20"/>
          <w:color w:val="auto"/>
        </w:rPr>
      </w:pPr>
    </w:p>
    <w:p>
      <w:pPr>
        <w:ind w:left="1440" w:right="240" w:hanging="353"/>
        <w:spacing w:after="0" w:line="262" w:lineRule="auto"/>
        <w:tabs>
          <w:tab w:leader="none" w:pos="144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to establish clinical endpoints that applicable regulatory authorities would consider clinically meaningful;</w:t>
      </w:r>
    </w:p>
    <w:p>
      <w:pPr>
        <w:spacing w:after="0" w:line="195" w:lineRule="exact"/>
        <w:rPr>
          <w:rFonts w:ascii="Symbol" w:cs="Symbol" w:eastAsia="Symbol" w:hAnsi="Symbol"/>
          <w:sz w:val="20"/>
          <w:szCs w:val="20"/>
          <w:color w:val="auto"/>
        </w:rPr>
      </w:pPr>
    </w:p>
    <w:p>
      <w:pPr>
        <w:ind w:left="1440" w:hanging="353"/>
        <w:spacing w:after="0"/>
        <w:tabs>
          <w:tab w:leader="none" w:pos="144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to receive the necessary regulatory approvals;</w:t>
      </w:r>
    </w:p>
    <w:p>
      <w:pPr>
        <w:spacing w:after="0" w:line="238" w:lineRule="exact"/>
        <w:rPr>
          <w:rFonts w:ascii="Symbol" w:cs="Symbol" w:eastAsia="Symbol" w:hAnsi="Symbol"/>
          <w:sz w:val="20"/>
          <w:szCs w:val="20"/>
          <w:color w:val="auto"/>
        </w:rPr>
      </w:pPr>
    </w:p>
    <w:p>
      <w:pPr>
        <w:ind w:left="1440" w:right="80" w:hanging="353"/>
        <w:spacing w:after="0" w:line="262" w:lineRule="auto"/>
        <w:tabs>
          <w:tab w:leader="none" w:pos="144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manufacturing issues, formulation issues, pricing or reimbursement issues or other factors that make a drug candidate uneconomical; and</w:t>
      </w:r>
    </w:p>
    <w:p>
      <w:pPr>
        <w:spacing w:after="0" w:line="196" w:lineRule="exact"/>
        <w:rPr>
          <w:rFonts w:ascii="Symbol" w:cs="Symbol" w:eastAsia="Symbol" w:hAnsi="Symbol"/>
          <w:sz w:val="20"/>
          <w:szCs w:val="20"/>
          <w:color w:val="auto"/>
        </w:rPr>
      </w:pPr>
    </w:p>
    <w:p>
      <w:pPr>
        <w:ind w:left="1440" w:right="60" w:hanging="353"/>
        <w:spacing w:after="0" w:line="262" w:lineRule="auto"/>
        <w:tabs>
          <w:tab w:leader="none" w:pos="144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proprietary rights of others and their competing products and technologies that may prevent one of our drug candidates from being commercialized.</w:t>
      </w:r>
    </w:p>
    <w:p>
      <w:pPr>
        <w:spacing w:after="0" w:line="181"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94"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investigational and approved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firstLine="720"/>
        <w:spacing w:after="0" w:line="263" w:lineRule="auto"/>
        <w:rPr>
          <w:sz w:val="20"/>
          <w:szCs w:val="20"/>
          <w:color w:val="auto"/>
        </w:rPr>
      </w:pPr>
      <w:r>
        <w:rPr>
          <w:rFonts w:ascii="Times New Roman" w:cs="Times New Roman" w:eastAsia="Times New Roman" w:hAnsi="Times New Roman"/>
          <w:sz w:val="19"/>
          <w:szCs w:val="19"/>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such as off-target toxicity,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have later been found to cause side effects that prevented further development of the compound.</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00"/>
          </w:cols>
          <w:pgMar w:left="1260" w:top="1246" w:right="1280" w:bottom="175" w:gutter="0" w:footer="0" w:header="0"/>
          <w:type w:val="continuous"/>
        </w:sectPr>
      </w:pPr>
    </w:p>
    <w:bookmarkStart w:id="56" w:name="page57"/>
    <w:bookmarkEnd w:id="56"/>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212" w:lineRule="exact"/>
        <w:rPr>
          <w:sz w:val="20"/>
          <w:szCs w:val="20"/>
          <w:color w:val="auto"/>
        </w:rPr>
      </w:pPr>
    </w:p>
    <w:p>
      <w:pPr>
        <w:ind w:left="1440" w:hanging="353"/>
        <w:spacing w:after="0"/>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withdraw or limit their approval of such drug;</w:t>
      </w:r>
    </w:p>
    <w:p>
      <w:pPr>
        <w:spacing w:after="0" w:line="238" w:lineRule="exact"/>
        <w:rPr>
          <w:rFonts w:ascii="Symbol" w:cs="Symbol" w:eastAsia="Symbol" w:hAnsi="Symbol"/>
          <w:sz w:val="20"/>
          <w:szCs w:val="20"/>
          <w:color w:val="auto"/>
        </w:rPr>
      </w:pPr>
    </w:p>
    <w:p>
      <w:pPr>
        <w:ind w:left="1440" w:right="120" w:hanging="353"/>
        <w:spacing w:after="0" w:line="262" w:lineRule="auto"/>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“boxed” warning or a contraindication;</w:t>
      </w:r>
    </w:p>
    <w:p>
      <w:pPr>
        <w:spacing w:after="0" w:line="196" w:lineRule="exact"/>
        <w:rPr>
          <w:rFonts w:ascii="Symbol" w:cs="Symbol" w:eastAsia="Symbol" w:hAnsi="Symbol"/>
          <w:sz w:val="20"/>
          <w:szCs w:val="20"/>
          <w:color w:val="auto"/>
        </w:rPr>
      </w:pPr>
    </w:p>
    <w:p>
      <w:pPr>
        <w:ind w:left="1440" w:right="20" w:hanging="353"/>
        <w:spacing w:after="0" w:line="262" w:lineRule="auto"/>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w:t>
      </w:r>
    </w:p>
    <w:p>
      <w:pPr>
        <w:spacing w:after="0" w:line="195" w:lineRule="exact"/>
        <w:rPr>
          <w:rFonts w:ascii="Symbol" w:cs="Symbol" w:eastAsia="Symbol" w:hAnsi="Symbol"/>
          <w:sz w:val="20"/>
          <w:szCs w:val="20"/>
          <w:color w:val="auto"/>
        </w:rPr>
      </w:pPr>
    </w:p>
    <w:p>
      <w:pPr>
        <w:ind w:left="1440" w:right="360" w:hanging="353"/>
        <w:spacing w:after="0" w:line="262" w:lineRule="auto"/>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required to change the way such drug is distributed or administered, conduct additional clinical trials or change the labeling of such drug;</w:t>
      </w:r>
    </w:p>
    <w:p>
      <w:pPr>
        <w:spacing w:after="0" w:line="195" w:lineRule="exact"/>
        <w:rPr>
          <w:rFonts w:ascii="Symbol" w:cs="Symbol" w:eastAsia="Symbol" w:hAnsi="Symbol"/>
          <w:sz w:val="20"/>
          <w:szCs w:val="20"/>
          <w:color w:val="auto"/>
        </w:rPr>
      </w:pPr>
    </w:p>
    <w:p>
      <w:pPr>
        <w:ind w:left="1440" w:right="60" w:hanging="353"/>
        <w:spacing w:after="0" w:line="247" w:lineRule="auto"/>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212" w:lineRule="exact"/>
        <w:rPr>
          <w:rFonts w:ascii="Symbol" w:cs="Symbol" w:eastAsia="Symbol" w:hAnsi="Symbol"/>
          <w:sz w:val="20"/>
          <w:szCs w:val="20"/>
          <w:color w:val="auto"/>
        </w:rPr>
      </w:pPr>
    </w:p>
    <w:p>
      <w:pPr>
        <w:ind w:left="1440" w:hanging="353"/>
        <w:spacing w:after="0"/>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subject to regulatory investigations and government enforcement actions;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decide to remove such drug from the marketplace;</w:t>
      </w:r>
    </w:p>
    <w:p>
      <w:pPr>
        <w:spacing w:after="0" w:line="238" w:lineRule="exact"/>
        <w:rPr>
          <w:rFonts w:ascii="Symbol" w:cs="Symbol" w:eastAsia="Symbol" w:hAnsi="Symbol"/>
          <w:sz w:val="20"/>
          <w:szCs w:val="20"/>
          <w:color w:val="auto"/>
        </w:rPr>
      </w:pPr>
    </w:p>
    <w:p>
      <w:pPr>
        <w:ind w:left="1440" w:right="260" w:hanging="353"/>
        <w:spacing w:after="0" w:line="262" w:lineRule="auto"/>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we could be sued and held liable for injury caused to individuals exposed to or taking our drugs and drug candidates; and</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reputation may suffer.</w:t>
      </w:r>
    </w:p>
    <w:p>
      <w:pPr>
        <w:spacing w:after="0" w:line="224" w:lineRule="exact"/>
        <w:rPr>
          <w:sz w:val="20"/>
          <w:szCs w:val="20"/>
          <w:color w:val="auto"/>
        </w:rPr>
      </w:pPr>
    </w:p>
    <w:p>
      <w:pPr>
        <w:jc w:val="both"/>
        <w:ind w:right="100" w:firstLine="720"/>
        <w:spacing w:after="0" w:line="252" w:lineRule="auto"/>
        <w:rPr>
          <w:sz w:val="20"/>
          <w:szCs w:val="20"/>
          <w:color w:val="auto"/>
        </w:rPr>
      </w:pPr>
      <w:r>
        <w:rPr>
          <w:rFonts w:ascii="Times New Roman" w:cs="Times New Roman" w:eastAsia="Times New Roman" w:hAnsi="Times New Roman"/>
          <w:sz w:val="20"/>
          <w:szCs w:val="20"/>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202"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6" w:lineRule="exact"/>
        <w:rPr>
          <w:sz w:val="20"/>
          <w:szCs w:val="20"/>
          <w:color w:val="auto"/>
        </w:rPr>
      </w:pPr>
    </w:p>
    <w:p>
      <w:pPr>
        <w:ind w:right="140" w:firstLine="720"/>
        <w:spacing w:after="0" w:line="251" w:lineRule="auto"/>
        <w:rPr>
          <w:sz w:val="20"/>
          <w:szCs w:val="20"/>
          <w:color w:val="auto"/>
        </w:rPr>
      </w:pPr>
      <w:r>
        <w:rPr>
          <w:rFonts w:ascii="Times New Roman" w:cs="Times New Roman" w:eastAsia="Times New Roman" w:hAnsi="Times New Roman"/>
          <w:sz w:val="20"/>
          <w:szCs w:val="20"/>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breakthrough therapy designation to AYVAKIT for the treatment of certain patients with GIST, advanced SM, and moderate to severe indolent SM and RET-altered cancers. The FDA also granted fast track designation to BLU-782 for the treatment of FOP, which we have out licensed to Clementia.</w:t>
      </w:r>
    </w:p>
    <w:p>
      <w:pPr>
        <w:spacing w:after="0" w:line="204" w:lineRule="exact"/>
        <w:rPr>
          <w:sz w:val="20"/>
          <w:szCs w:val="20"/>
          <w:color w:val="auto"/>
        </w:rPr>
      </w:pPr>
    </w:p>
    <w:p>
      <w:pPr>
        <w:ind w:firstLine="720"/>
        <w:spacing w:after="0" w:line="287" w:lineRule="auto"/>
        <w:rPr>
          <w:sz w:val="20"/>
          <w:szCs w:val="20"/>
          <w:color w:val="auto"/>
        </w:rPr>
      </w:pPr>
      <w:r>
        <w:rPr>
          <w:rFonts w:ascii="Times New Roman" w:cs="Times New Roman" w:eastAsia="Times New Roman" w:hAnsi="Times New Roman"/>
          <w:sz w:val="20"/>
          <w:szCs w:val="20"/>
          <w:color w:val="auto"/>
        </w:rPr>
        <w:t>Designation as a fast track or breakthrough therapy is within the discretion of the FDA. Accordingly, even if we believe one of our drug candidates meets the criteria for designation as a fast track or breakthrough therapy, the FDA</w:t>
      </w:r>
    </w:p>
    <w:p>
      <w:pPr>
        <w:sectPr>
          <w:pgSz w:w="12240" w:h="15840" w:orient="portrait"/>
          <w:cols w:equalWidth="0" w:num="1">
            <w:col w:w="9700"/>
          </w:cols>
          <w:pgMar w:left="1260" w:top="1246" w:right="1280" w:bottom="175"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00"/>
          </w:cols>
          <w:pgMar w:left="1260" w:top="1246" w:right="1280" w:bottom="175" w:gutter="0" w:footer="0" w:header="0"/>
          <w:type w:val="continuous"/>
        </w:sectPr>
      </w:pPr>
    </w:p>
    <w:bookmarkStart w:id="57" w:name="page58"/>
    <w:bookmarkEnd w:id="57"/>
    <w:p>
      <w:pPr>
        <w:ind w:right="80"/>
        <w:spacing w:after="0" w:line="258" w:lineRule="auto"/>
        <w:rPr>
          <w:sz w:val="20"/>
          <w:szCs w:val="20"/>
          <w:color w:val="auto"/>
        </w:rPr>
      </w:pPr>
      <w:r>
        <w:rPr>
          <w:rFonts w:ascii="Times New Roman" w:cs="Times New Roman" w:eastAsia="Times New Roman" w:hAnsi="Times New Roman"/>
          <w:sz w:val="20"/>
          <w:szCs w:val="20"/>
          <w:color w:val="auto"/>
        </w:rPr>
        <w:t>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93"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20"/>
          <w:szCs w:val="20"/>
          <w:color w:val="auto"/>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the Food and Drug Omnibus Reform Act of 2022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w:t>
      </w:r>
    </w:p>
    <w:p>
      <w:pPr>
        <w:spacing w:after="0" w:line="198"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obtaining or may be unable to maintain the benefits associated with orphan drug designation, including the potential for market exclusivity.</w:t>
      </w:r>
    </w:p>
    <w:p>
      <w:pPr>
        <w:spacing w:after="0" w:line="175" w:lineRule="exact"/>
        <w:rPr>
          <w:sz w:val="20"/>
          <w:szCs w:val="20"/>
          <w:color w:val="auto"/>
        </w:rPr>
      </w:pPr>
    </w:p>
    <w:p>
      <w:pPr>
        <w:ind w:right="80" w:firstLine="720"/>
        <w:spacing w:after="0" w:line="251" w:lineRule="auto"/>
        <w:rPr>
          <w:sz w:val="20"/>
          <w:szCs w:val="20"/>
          <w:color w:val="auto"/>
        </w:rPr>
      </w:pPr>
      <w:r>
        <w:rPr>
          <w:rFonts w:ascii="Times New Roman" w:cs="Times New Roman" w:eastAsia="Times New Roman" w:hAnsi="Times New Roman"/>
          <w:sz w:val="20"/>
          <w:szCs w:val="20"/>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or EC, has granted orphan medicinal product designation to avapritinib for the treatment of GIST and the treatment of mastocytosis. Both the FDA and EC have granted orphan drug designation to elenestinib for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207"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Similarly, in the EU, the EC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in order to obtain orphan designation, there must be no satisfactory method of diagnosis, prevention, or treatment authorized for marketing in the EU for the applicable orphan</w:t>
      </w:r>
    </w:p>
    <w:p>
      <w:pPr>
        <w:sectPr>
          <w:pgSz w:w="12240" w:h="15840" w:orient="portrait"/>
          <w:cols w:equalWidth="0" w:num="1">
            <w:col w:w="9700"/>
          </w:cols>
          <w:pgMar w:left="1260" w:top="1255" w:right="1280" w:bottom="17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00"/>
          </w:cols>
          <w:pgMar w:left="1260" w:top="1255" w:right="1280" w:bottom="175" w:gutter="0" w:footer="0" w:header="0"/>
          <w:type w:val="continuous"/>
        </w:sectPr>
      </w:pPr>
    </w:p>
    <w:bookmarkStart w:id="58" w:name="page59"/>
    <w:bookmarkEnd w:id="58"/>
    <w:p>
      <w:pPr>
        <w:ind w:right="160"/>
        <w:spacing w:after="0" w:line="267" w:lineRule="auto"/>
        <w:rPr>
          <w:sz w:val="20"/>
          <w:szCs w:val="20"/>
          <w:color w:val="auto"/>
        </w:rPr>
      </w:pPr>
      <w:r>
        <w:rPr>
          <w:rFonts w:ascii="Times New Roman" w:cs="Times New Roman" w:eastAsia="Times New Roman" w:hAnsi="Times New Roman"/>
          <w:sz w:val="20"/>
          <w:szCs w:val="20"/>
          <w:color w:val="auto"/>
        </w:rPr>
        <w:t>condition (or, if such a method exists, the product would be of significant benefit to those affected by the condition). In the EU, orphan medicinal product designation entitles a party to financial incentives such as reduction of fees or fee waivers.</w:t>
      </w:r>
    </w:p>
    <w:p>
      <w:pPr>
        <w:spacing w:after="0" w:line="18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at the end of the fifth year, the drug no longer meets the criteria for orphan medicinal product designation or if the drug is sufficiently profitable so that market exclusivity is no longer justified.</w:t>
      </w:r>
    </w:p>
    <w:p>
      <w:pPr>
        <w:spacing w:after="0" w:line="202"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2"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208" w:lineRule="exact"/>
        <w:rPr>
          <w:sz w:val="20"/>
          <w:szCs w:val="20"/>
          <w:color w:val="auto"/>
        </w:rPr>
      </w:pPr>
    </w:p>
    <w:p>
      <w:pPr>
        <w:ind w:right="260" w:firstLine="720"/>
        <w:spacing w:after="0" w:line="261" w:lineRule="auto"/>
        <w:rPr>
          <w:sz w:val="20"/>
          <w:szCs w:val="20"/>
          <w:color w:val="auto"/>
        </w:rPr>
      </w:pPr>
      <w:r>
        <w:rPr>
          <w:rFonts w:ascii="Times New Roman" w:cs="Times New Roman" w:eastAsia="Times New Roman" w:hAnsi="Times New Roman"/>
          <w:sz w:val="20"/>
          <w:szCs w:val="20"/>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pipeline of drug candidates.</w:t>
      </w:r>
    </w:p>
    <w:p>
      <w:pPr>
        <w:spacing w:after="0" w:line="23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 key element of our strategy is to use our novel target discovery engine to identify small molecule inhibitors and targeted protein degraders, and design highly potent and selective therapeutic candidates where there is an opportunity to impact large patient populations.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spacing w:after="0" w:line="200" w:lineRule="exact"/>
        <w:rPr>
          <w:sz w:val="20"/>
          <w:szCs w:val="20"/>
          <w:color w:val="auto"/>
        </w:rPr>
      </w:pPr>
    </w:p>
    <w:p>
      <w:pPr>
        <w:jc w:val="both"/>
        <w:ind w:right="140" w:firstLine="720"/>
        <w:spacing w:after="0" w:line="258" w:lineRule="auto"/>
        <w:rPr>
          <w:sz w:val="20"/>
          <w:szCs w:val="20"/>
          <w:color w:val="auto"/>
        </w:rPr>
      </w:pPr>
      <w:r>
        <w:rPr>
          <w:rFonts w:ascii="Times New Roman" w:cs="Times New Roman" w:eastAsia="Times New Roman" w:hAnsi="Times New Roman"/>
          <w:sz w:val="20"/>
          <w:szCs w:val="20"/>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w:t>
      </w:r>
    </w:p>
    <w:p>
      <w:pPr>
        <w:sectPr>
          <w:pgSz w:w="12240" w:h="15840" w:orient="portrait"/>
          <w:cols w:equalWidth="0" w:num="1">
            <w:col w:w="9700"/>
          </w:cols>
          <w:pgMar w:left="1260" w:top="1255" w:right="1280" w:bottom="175"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00"/>
          </w:cols>
          <w:pgMar w:left="1260" w:top="1255" w:right="1280" w:bottom="175" w:gutter="0" w:footer="0" w:header="0"/>
          <w:type w:val="continuous"/>
        </w:sectPr>
      </w:pPr>
    </w:p>
    <w:bookmarkStart w:id="59" w:name="page60"/>
    <w:bookmarkEnd w:id="59"/>
    <w:p>
      <w:pPr>
        <w:ind w:right="20"/>
        <w:spacing w:after="0" w:line="259" w:lineRule="auto"/>
        <w:rPr>
          <w:sz w:val="20"/>
          <w:szCs w:val="20"/>
          <w:color w:val="auto"/>
        </w:rPr>
      </w:pPr>
      <w:r>
        <w:rPr>
          <w:rFonts w:ascii="Times New Roman" w:cs="Times New Roman" w:eastAsia="Times New Roman" w:hAnsi="Times New Roman"/>
          <w:sz w:val="20"/>
          <w:szCs w:val="20"/>
          <w:color w:val="auto"/>
        </w:rPr>
        <w:t>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6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intend to develop drug candidates in combination with other therapies, which exposes us to additional risks.</w:t>
      </w:r>
    </w:p>
    <w:p>
      <w:pPr>
        <w:spacing w:after="0" w:line="246"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We intend to develop, launch and commercialize BLU-808, elenestinib,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208"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93" w:lineRule="exact"/>
        <w:rPr>
          <w:sz w:val="20"/>
          <w:szCs w:val="20"/>
          <w:color w:val="auto"/>
        </w:rPr>
      </w:pPr>
    </w:p>
    <w:p>
      <w:pPr>
        <w:ind w:right="220" w:firstLine="720"/>
        <w:spacing w:after="0" w:line="268" w:lineRule="auto"/>
        <w:rPr>
          <w:sz w:val="20"/>
          <w:szCs w:val="20"/>
          <w:color w:val="auto"/>
        </w:rPr>
      </w:pPr>
      <w:r>
        <w:rPr>
          <w:rFonts w:ascii="Times New Roman" w:cs="Times New Roman" w:eastAsia="Times New Roman" w:hAnsi="Times New Roman"/>
          <w:sz w:val="20"/>
          <w:szCs w:val="20"/>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00"/>
          </w:cols>
          <w:pgMar w:left="1260" w:top="1246" w:right="1280" w:bottom="175"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Government Legislations and Regulations</w:t>
      </w:r>
    </w:p>
    <w:p>
      <w:pPr>
        <w:spacing w:after="0" w:line="2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205"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20"/>
          <w:szCs w:val="20"/>
          <w:color w:val="auto"/>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212"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20"/>
          <w:szCs w:val="20"/>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212" w:lineRule="exact"/>
        <w:rPr>
          <w:sz w:val="20"/>
          <w:szCs w:val="20"/>
          <w:color w:val="auto"/>
        </w:rPr>
      </w:pPr>
    </w:p>
    <w:p>
      <w:pPr>
        <w:ind w:left="1440" w:right="280" w:hanging="353"/>
        <w:spacing w:after="0" w:line="271" w:lineRule="auto"/>
        <w:tabs>
          <w:tab w:leader="none" w:pos="144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marketing or manufacturing of the drug, withdrawal of the drug from the market, “dear doctor” letters or drug recalls;</w:t>
      </w:r>
    </w:p>
    <w:p>
      <w:pPr>
        <w:spacing w:after="0" w:line="186" w:lineRule="exact"/>
        <w:rPr>
          <w:rFonts w:ascii="Symbol" w:cs="Symbol" w:eastAsia="Symbol" w:hAnsi="Symbol"/>
          <w:sz w:val="20"/>
          <w:szCs w:val="20"/>
          <w:color w:val="auto"/>
        </w:rPr>
      </w:pPr>
    </w:p>
    <w:p>
      <w:pPr>
        <w:ind w:left="1440" w:hanging="353"/>
        <w:spacing w:after="0"/>
        <w:tabs>
          <w:tab w:leader="none" w:pos="144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warning letters or holds on clinical trials;</w:t>
      </w:r>
    </w:p>
    <w:p>
      <w:pPr>
        <w:sectPr>
          <w:pgSz w:w="12240" w:h="15840" w:orient="portrait"/>
          <w:cols w:equalWidth="0" w:num="1">
            <w:col w:w="9700"/>
          </w:cols>
          <w:pgMar w:left="1260" w:top="1243"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00"/>
          </w:cols>
          <w:pgMar w:left="1260" w:top="1243" w:right="1280" w:bottom="175" w:gutter="0" w:footer="0" w:header="0"/>
          <w:type w:val="continuous"/>
        </w:sectPr>
      </w:pPr>
    </w:p>
    <w:bookmarkStart w:id="61" w:name="page62"/>
    <w:bookmarkEnd w:id="61"/>
    <w:p>
      <w:pPr>
        <w:ind w:left="1440" w:right="140" w:hanging="353"/>
        <w:spacing w:after="0" w:line="271" w:lineRule="auto"/>
        <w:tabs>
          <w:tab w:leader="none" w:pos="144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marketing approvals;</w:t>
      </w:r>
    </w:p>
    <w:p>
      <w:pPr>
        <w:spacing w:after="0" w:line="187" w:lineRule="exact"/>
        <w:rPr>
          <w:rFonts w:ascii="Symbol" w:cs="Symbol" w:eastAsia="Symbol" w:hAnsi="Symbol"/>
          <w:sz w:val="20"/>
          <w:szCs w:val="20"/>
          <w:color w:val="auto"/>
        </w:rPr>
      </w:pPr>
    </w:p>
    <w:p>
      <w:pPr>
        <w:ind w:left="1440" w:hanging="353"/>
        <w:spacing w:after="0"/>
        <w:tabs>
          <w:tab w:leader="none" w:pos="144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drug seizure or detention, or refusal to permit the import or export of drugs; and</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3" w:lineRule="exact"/>
        <w:rPr>
          <w:sz w:val="20"/>
          <w:szCs w:val="20"/>
          <w:color w:val="auto"/>
        </w:rPr>
      </w:pPr>
    </w:p>
    <w:p>
      <w:pPr>
        <w:ind w:right="160" w:firstLine="720"/>
        <w:spacing w:after="0" w:line="257" w:lineRule="auto"/>
        <w:rPr>
          <w:sz w:val="20"/>
          <w:szCs w:val="20"/>
          <w:color w:val="auto"/>
        </w:rPr>
      </w:pPr>
      <w:r>
        <w:rPr>
          <w:rFonts w:ascii="Times New Roman" w:cs="Times New Roman" w:eastAsia="Times New Roman" w:hAnsi="Times New Roman"/>
          <w:sz w:val="20"/>
          <w:szCs w:val="20"/>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3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Drug Supply Chain Security Act, or DSCSA, was enacted in 2013 with the aim of building an electronic system to identify and trace certain prescription drugs and biologics distributed in the United States. The DSCSA mandates phased-in and resource-intensive obligations for pharmaceutical manufacturers, wholesale distributors, and dispensers over a 10-year period that culminated in 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now extends until May 27, 2025. The DSCSA requirements include the quarantine and prompt investigation of a suspect product, to determine if it is illegitimate, notifying trading partners and the FDA of any illegitimate product, and compliance with product tracking and tracing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5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spacing w:after="0" w:line="20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p>
    <w:p>
      <w:pPr>
        <w:spacing w:after="0" w:line="184"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 w:cs="Times New Roman" w:eastAsia="Times New Roman" w:hAnsi="Times New Roman"/>
          <w:sz w:val="20"/>
          <w:szCs w:val="20"/>
          <w:i w:val="1"/>
          <w:iCs w:val="1"/>
          <w:color w:val="auto"/>
        </w:rPr>
        <w:t>Business – Coverage and Reimbursement</w:t>
      </w:r>
      <w:r>
        <w:rPr>
          <w:rFonts w:ascii="Times New Roman" w:cs="Times New Roman" w:eastAsia="Times New Roman" w:hAnsi="Times New Roman"/>
          <w:sz w:val="20"/>
          <w:szCs w:val="20"/>
          <w:color w:val="auto"/>
        </w:rPr>
        <w:t>”.</w:t>
      </w:r>
    </w:p>
    <w:p>
      <w:pPr>
        <w:sectPr>
          <w:pgSz w:w="12240" w:h="15840" w:orient="portrait"/>
          <w:cols w:equalWidth="0" w:num="1">
            <w:col w:w="9680"/>
          </w:cols>
          <w:pgMar w:left="1260" w:top="1261" w:right="1300" w:bottom="175"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680"/>
          </w:cols>
          <w:pgMar w:left="1260" w:top="1261" w:right="1300" w:bottom="175" w:gutter="0" w:footer="0" w:header="0"/>
          <w:type w:val="continuous"/>
        </w:sectPr>
      </w:pPr>
    </w:p>
    <w:bookmarkStart w:id="62" w:name="page63"/>
    <w:bookmarkEnd w:id="62"/>
    <w:p>
      <w:pPr>
        <w:jc w:val="both"/>
        <w:ind w:right="120" w:firstLine="720"/>
        <w:spacing w:after="0" w:line="267" w:lineRule="auto"/>
        <w:rPr>
          <w:sz w:val="20"/>
          <w:szCs w:val="20"/>
          <w:color w:val="auto"/>
        </w:rPr>
      </w:pPr>
      <w:r>
        <w:rPr>
          <w:rFonts w:ascii="Times New Roman" w:cs="Times New Roman" w:eastAsia="Times New Roman" w:hAnsi="Times New Roman"/>
          <w:sz w:val="20"/>
          <w:szCs w:val="20"/>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w:t>
      </w:r>
    </w:p>
    <w:p>
      <w:pPr>
        <w:spacing w:after="0" w:line="184"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20"/>
          <w:szCs w:val="20"/>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w:t>
      </w:r>
    </w:p>
    <w:p>
      <w:pPr>
        <w:spacing w:after="0" w:line="20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02"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material adverse effect on our business and results of operations.</w:t>
      </w:r>
    </w:p>
    <w:p>
      <w:pPr>
        <w:spacing w:after="0" w:line="239"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addition, both Congress and</w:t>
      </w:r>
    </w:p>
    <w:p>
      <w:pPr>
        <w:sectPr>
          <w:pgSz w:w="12240" w:h="15840" w:orient="portrait"/>
          <w:cols w:equalWidth="0" w:num="1">
            <w:col w:w="9700"/>
          </w:cols>
          <w:pgMar w:left="1260" w:top="1255" w:right="1280" w:bottom="175"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00"/>
          </w:cols>
          <w:pgMar w:left="1260" w:top="1255" w:right="1280" w:bottom="175" w:gutter="0" w:footer="0" w:header="0"/>
          <w:type w:val="continuous"/>
        </w:sectPr>
      </w:pPr>
    </w:p>
    <w:bookmarkStart w:id="63" w:name="page64"/>
    <w:bookmarkEnd w:id="63"/>
    <w:p>
      <w:pPr>
        <w:ind w:right="200"/>
        <w:spacing w:after="0" w:line="278" w:lineRule="auto"/>
        <w:rPr>
          <w:sz w:val="20"/>
          <w:szCs w:val="20"/>
          <w:color w:val="auto"/>
        </w:rPr>
      </w:pPr>
      <w:r>
        <w:rPr>
          <w:rFonts w:ascii="Times New Roman" w:cs="Times New Roman" w:eastAsia="Times New Roman" w:hAnsi="Times New Roman"/>
          <w:sz w:val="20"/>
          <w:szCs w:val="20"/>
          <w:color w:val="auto"/>
        </w:rPr>
        <w:t xml:space="preserve">the Trump administration have indicated that they will continue to seek new legislative measures to control drug costs. See section entitled </w:t>
      </w:r>
      <w:r>
        <w:rPr>
          <w:rFonts w:ascii="Times New Roman" w:cs="Times New Roman" w:eastAsia="Times New Roman" w:hAnsi="Times New Roman"/>
          <w:sz w:val="20"/>
          <w:szCs w:val="20"/>
          <w:i w:val="1"/>
          <w:iCs w:val="1"/>
          <w:color w:val="auto"/>
        </w:rPr>
        <w:t>“Business – Healthcare Reform.”</w:t>
      </w:r>
    </w:p>
    <w:p>
      <w:pPr>
        <w:spacing w:after="0" w:line="168"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In addition, a handful of states have passed legislation to establish state drug importation programs. Legislation or regulations allowing the reimportation of drugs, if enacted and successfully implemented, could decrease the price we receive for any products that we may develop and adversely affect our future revenues and prospects for profitability.</w:t>
      </w:r>
    </w:p>
    <w:p>
      <w:pPr>
        <w:spacing w:after="0" w:line="213"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200"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200" w:lineRule="exact"/>
        <w:rPr>
          <w:sz w:val="20"/>
          <w:szCs w:val="20"/>
          <w:color w:val="auto"/>
        </w:rPr>
      </w:pPr>
    </w:p>
    <w:p>
      <w:pPr>
        <w:ind w:left="1440" w:right="560" w:hanging="353"/>
        <w:spacing w:after="0" w:line="262" w:lineRule="auto"/>
        <w:tabs>
          <w:tab w:leader="none" w:pos="144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demand for AYVAKIT/AVAKYT and any current and future drug candidates, for which we receive marketing approval;</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set a price that we believe is fair for our approved products;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of capital.</w:t>
      </w:r>
    </w:p>
    <w:p>
      <w:pPr>
        <w:spacing w:after="0" w:line="22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9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ectPr>
          <w:pgSz w:w="12240" w:h="15840" w:orient="portrait"/>
          <w:cols w:equalWidth="0" w:num="1">
            <w:col w:w="9700"/>
          </w:cols>
          <w:pgMar w:left="1260" w:top="1246" w:right="1280" w:bottom="17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00"/>
          </w:cols>
          <w:pgMar w:left="1260" w:top="1246" w:right="1280" w:bottom="175" w:gutter="0" w:footer="0" w:header="0"/>
          <w:type w:val="continuous"/>
        </w:sectPr>
      </w:pPr>
    </w:p>
    <w:bookmarkStart w:id="64" w:name="page65"/>
    <w:bookmarkEnd w:id="64"/>
    <w:p>
      <w:pPr>
        <w:ind w:right="1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9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the Physician Payment Sunshine Act,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 w:cs="Times New Roman" w:eastAsia="Times New Roman" w:hAnsi="Times New Roman"/>
          <w:sz w:val="20"/>
          <w:szCs w:val="20"/>
          <w:i w:val="1"/>
          <w:iCs w:val="1"/>
          <w:color w:val="auto"/>
        </w:rPr>
        <w:t>Business – Other Healthcare Laws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 -pay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or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20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spacing w:after="0" w:line="20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200"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involve substantial costs. It is possible that governmental authorities will conclude that our business</w:t>
      </w:r>
    </w:p>
    <w:p>
      <w:pPr>
        <w:sectPr>
          <w:pgSz w:w="12240" w:h="15840" w:orient="portrait"/>
          <w:cols w:equalWidth="0" w:num="1">
            <w:col w:w="9700"/>
          </w:cols>
          <w:pgMar w:left="1260" w:top="1246" w:right="1280" w:bottom="175"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700"/>
          </w:cols>
          <w:pgMar w:left="1260" w:top="1246" w:right="1280" w:bottom="175" w:gutter="0" w:footer="0" w:header="0"/>
          <w:type w:val="continuous"/>
        </w:sectPr>
      </w:pPr>
    </w:p>
    <w:bookmarkStart w:id="65" w:name="page66"/>
    <w:bookmarkEnd w:id="65"/>
    <w:p>
      <w:pPr>
        <w:spacing w:after="0" w:line="245" w:lineRule="auto"/>
        <w:rPr>
          <w:sz w:val="20"/>
          <w:szCs w:val="20"/>
          <w:color w:val="auto"/>
        </w:rPr>
      </w:pPr>
      <w:r>
        <w:rPr>
          <w:rFonts w:ascii="Times New Roman" w:cs="Times New Roman" w:eastAsia="Times New Roman" w:hAnsi="Times New Roman"/>
          <w:sz w:val="20"/>
          <w:szCs w:val="20"/>
          <w:color w:val="auto"/>
        </w:rPr>
        <w:t>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203"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93"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19"/>
          <w:szCs w:val="19"/>
          <w:color w:val="auto"/>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92"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206"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spacing w:after="0" w:line="20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00"/>
          </w:cols>
          <w:pgMar w:left="1260" w:top="1246" w:right="1280" w:bottom="175" w:gutter="0" w:footer="0" w:header="0"/>
          <w:type w:val="continuous"/>
        </w:sectPr>
      </w:pPr>
    </w:p>
    <w:bookmarkStart w:id="66" w:name="page67"/>
    <w:bookmarkEnd w:id="66"/>
    <w:p>
      <w:pPr>
        <w:ind w:right="20"/>
        <w:spacing w:after="0" w:line="249" w:lineRule="auto"/>
        <w:rPr>
          <w:sz w:val="20"/>
          <w:szCs w:val="20"/>
          <w:color w:val="auto"/>
        </w:rPr>
      </w:pPr>
      <w:r>
        <w:rPr>
          <w:rFonts w:ascii="Times New Roman" w:cs="Times New Roman" w:eastAsia="Times New Roman" w:hAnsi="Times New Roman"/>
          <w:sz w:val="20"/>
          <w:szCs w:val="20"/>
          <w:color w:val="auto"/>
        </w:rPr>
        <w:t>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9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9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1"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220" w:lineRule="exact"/>
        <w:rPr>
          <w:sz w:val="20"/>
          <w:szCs w:val="20"/>
          <w:color w:val="auto"/>
        </w:rPr>
      </w:pPr>
    </w:p>
    <w:p>
      <w:pPr>
        <w:ind w:left="1440" w:hanging="353"/>
        <w:spacing w:after="0"/>
        <w:tabs>
          <w:tab w:leader="none" w:pos="144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our customers’ ability to obtain reimbursement for our drug candidates in foreign markets;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inability to directly control commercial activities because we are relying on third parties;</w:t>
      </w:r>
    </w:p>
    <w:p>
      <w:pPr>
        <w:spacing w:after="0" w:line="239" w:lineRule="exact"/>
        <w:rPr>
          <w:rFonts w:ascii="Symbol" w:cs="Symbol" w:eastAsia="Symbol" w:hAnsi="Symbol"/>
          <w:sz w:val="20"/>
          <w:szCs w:val="20"/>
          <w:color w:val="auto"/>
        </w:rPr>
      </w:pPr>
    </w:p>
    <w:p>
      <w:pPr>
        <w:jc w:val="both"/>
        <w:ind w:left="1440" w:right="360" w:hanging="353"/>
        <w:spacing w:after="0" w:line="250" w:lineRule="auto"/>
        <w:tabs>
          <w:tab w:leader="none" w:pos="144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the burden of complying with complex and changing foreign regulatory, tax, accounting and legal requirements, including, for example, the European General Data Protection Regulation 2016/679, commonly referred to as GDPR;</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00"/>
          </w:cols>
          <w:pgMar w:left="1260" w:top="1246" w:right="1280" w:bottom="175" w:gutter="0" w:footer="0" w:header="0"/>
          <w:type w:val="continuous"/>
        </w:sectPr>
      </w:pPr>
    </w:p>
    <w:bookmarkStart w:id="67" w:name="page68"/>
    <w:bookmarkEnd w:id="67"/>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different medical practices and customs in foreign countries affecting acceptance in the marketplace;</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import or export licensing requirements;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longer accounts receivable collection times;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longer lead times for shipping;</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language barriers for technical training;</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reduced protection of intellectual property rights in some foreign countries;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existence of additional potentially relevant third-party intellectual property rights;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foreign currency exchange rate fluctuations; and</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interpretation of contractual provisions governed by foreign laws in the event of a contract dispute.</w:t>
      </w:r>
    </w:p>
    <w:p>
      <w:pPr>
        <w:spacing w:after="0" w:line="224" w:lineRule="exact"/>
        <w:rPr>
          <w:sz w:val="20"/>
          <w:szCs w:val="20"/>
          <w:color w:val="auto"/>
        </w:rPr>
      </w:pPr>
    </w:p>
    <w:p>
      <w:pPr>
        <w:ind w:right="640" w:firstLine="720"/>
        <w:spacing w:after="0" w:line="278" w:lineRule="auto"/>
        <w:rPr>
          <w:sz w:val="20"/>
          <w:szCs w:val="20"/>
          <w:color w:val="auto"/>
        </w:rPr>
      </w:pPr>
      <w:r>
        <w:rPr>
          <w:rFonts w:ascii="Times New Roman" w:cs="Times New Roman" w:eastAsia="Times New Roman" w:hAnsi="Times New Roman"/>
          <w:sz w:val="20"/>
          <w:szCs w:val="20"/>
          <w:color w:val="auto"/>
        </w:rPr>
        <w:t>Foreign sales of our drug candidates could also be adversely affected by the imposition of governmental controls, political and economic instability, trade restrictions and changes in tariffs.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Governments outside the U.S. tend to impose strict price controls, which may adversely affect our revenues, if any.</w:t>
      </w:r>
    </w:p>
    <w:p>
      <w:pPr>
        <w:spacing w:after="0" w:line="23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 effectiveness of our drug candidate to other available therapies. If reimbursement of our drugs is unavailable or limited in scope or amount, or if pricing is set at unsatisfactory levels, our business could be materially harmed.</w:t>
      </w:r>
    </w:p>
    <w:p>
      <w:pPr>
        <w:spacing w:after="0" w:line="20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7"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244"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 precision therapy company in the process of growing our operations. We have incurred significant operating losses since our inception and may never become and remain profitable.</w:t>
      </w:r>
    </w:p>
    <w:p>
      <w:pPr>
        <w:spacing w:after="0" w:line="16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w:t>
      </w:r>
    </w:p>
    <w:p>
      <w:pPr>
        <w:sectPr>
          <w:pgSz w:w="12240" w:h="15840" w:orient="portrait"/>
          <w:cols w:equalWidth="0" w:num="1">
            <w:col w:w="9700"/>
          </w:cols>
          <w:pgMar w:left="1260" w:top="1262" w:right="1280" w:bottom="175"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700"/>
          </w:cols>
          <w:pgMar w:left="1260" w:top="1262" w:right="1280" w:bottom="175" w:gutter="0" w:footer="0" w:header="0"/>
          <w:type w:val="continuous"/>
        </w:sectPr>
      </w:pPr>
    </w:p>
    <w:bookmarkStart w:id="68" w:name="page69"/>
    <w:bookmarkEnd w:id="68"/>
    <w:p>
      <w:pPr>
        <w:jc w:val="both"/>
        <w:ind w:right="140"/>
        <w:spacing w:after="0" w:line="259" w:lineRule="auto"/>
        <w:rPr>
          <w:sz w:val="20"/>
          <w:szCs w:val="20"/>
          <w:color w:val="auto"/>
        </w:rPr>
      </w:pPr>
      <w:r>
        <w:rPr>
          <w:rFonts w:ascii="Times New Roman" w:cs="Times New Roman" w:eastAsia="Times New Roman" w:hAnsi="Times New Roman"/>
          <w:sz w:val="20"/>
          <w:szCs w:val="20"/>
          <w:color w:val="auto"/>
        </w:rPr>
        <w:t>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 date, we have financed our operations primarily through public offerings of our common stock, private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placements of our convertible preferred and common stock, collaboration and license agreements, future royalty and</w:t>
      </w:r>
    </w:p>
    <w:p>
      <w:pPr>
        <w:spacing w:after="0"/>
        <w:rPr>
          <w:sz w:val="20"/>
          <w:szCs w:val="20"/>
          <w:color w:val="auto"/>
        </w:rPr>
      </w:pPr>
      <w:r>
        <w:rPr>
          <w:rFonts w:ascii="Times New Roman" w:cs="Times New Roman" w:eastAsia="Times New Roman" w:hAnsi="Times New Roman"/>
          <w:sz w:val="20"/>
          <w:szCs w:val="20"/>
          <w:color w:val="auto"/>
        </w:rPr>
        <w:t>revenue monetization, and a term loan. Through December 31, 2024, we have received an aggregate of $3.9 billion from</w:t>
      </w:r>
    </w:p>
    <w:p>
      <w:pPr>
        <w:spacing w:after="0"/>
        <w:rPr>
          <w:sz w:val="20"/>
          <w:szCs w:val="20"/>
          <w:color w:val="auto"/>
        </w:rPr>
      </w:pPr>
      <w:r>
        <w:rPr>
          <w:rFonts w:ascii="Times New Roman" w:cs="Times New Roman" w:eastAsia="Times New Roman" w:hAnsi="Times New Roman"/>
          <w:sz w:val="20"/>
          <w:szCs w:val="20"/>
          <w:color w:val="auto"/>
        </w:rPr>
        <w:t>such transactions, including $1.9 billion in aggregate gross proceeds from the sale of common stock in our initial public</w:t>
      </w:r>
    </w:p>
    <w:p>
      <w:pPr>
        <w:spacing w:after="0"/>
        <w:rPr>
          <w:sz w:val="20"/>
          <w:szCs w:val="20"/>
          <w:color w:val="auto"/>
        </w:rPr>
      </w:pPr>
      <w:r>
        <w:rPr>
          <w:rFonts w:ascii="Times New Roman" w:cs="Times New Roman" w:eastAsia="Times New Roman" w:hAnsi="Times New Roman"/>
          <w:sz w:val="20"/>
          <w:szCs w:val="20"/>
          <w:color w:val="auto"/>
        </w:rPr>
        <w:t>offering, follow on public offerings, through our “at the market” stock offering program and the equity investment by</w:t>
      </w:r>
    </w:p>
    <w:p>
      <w:pPr>
        <w:spacing w:after="0"/>
        <w:rPr>
          <w:sz w:val="20"/>
          <w:szCs w:val="20"/>
          <w:color w:val="auto"/>
        </w:rPr>
      </w:pPr>
      <w:r>
        <w:rPr>
          <w:rFonts w:ascii="Times New Roman" w:cs="Times New Roman" w:eastAsia="Times New Roman" w:hAnsi="Times New Roman"/>
          <w:sz w:val="20"/>
          <w:szCs w:val="20"/>
          <w:color w:val="auto"/>
        </w:rPr>
        <w:t>Roche, $115.1 million in gross proceeds from the issuance of convertible preferred stock, $175.0 million in gross</w:t>
      </w:r>
    </w:p>
    <w:p>
      <w:pPr>
        <w:spacing w:after="0"/>
        <w:rPr>
          <w:sz w:val="20"/>
          <w:szCs w:val="20"/>
          <w:color w:val="auto"/>
        </w:rPr>
      </w:pPr>
      <w:r>
        <w:rPr>
          <w:rFonts w:ascii="Times New Roman" w:cs="Times New Roman" w:eastAsia="Times New Roman" w:hAnsi="Times New Roman"/>
          <w:sz w:val="20"/>
          <w:szCs w:val="20"/>
          <w:color w:val="auto"/>
        </w:rPr>
        <w:t>proceeds from our Royalty Purchase Agreement with Royalty Pharma, $250.0 million in gross proceeds from our Future</w:t>
      </w:r>
    </w:p>
    <w:p>
      <w:pPr>
        <w:spacing w:after="0"/>
        <w:rPr>
          <w:sz w:val="20"/>
          <w:szCs w:val="20"/>
          <w:color w:val="auto"/>
        </w:rPr>
      </w:pPr>
      <w:r>
        <w:rPr>
          <w:rFonts w:ascii="Times New Roman" w:cs="Times New Roman" w:eastAsia="Times New Roman" w:hAnsi="Times New Roman"/>
          <w:sz w:val="20"/>
          <w:szCs w:val="20"/>
          <w:color w:val="auto"/>
        </w:rPr>
        <w:t>Revenue Purchase Agreement with Sixth Street Partners, $1.1 billion in upfront payments and milestone payments under</w:t>
      </w:r>
    </w:p>
    <w:p>
      <w:pPr>
        <w:spacing w:after="0"/>
        <w:rPr>
          <w:sz w:val="20"/>
          <w:szCs w:val="20"/>
          <w:color w:val="auto"/>
        </w:rPr>
      </w:pPr>
      <w:r>
        <w:rPr>
          <w:rFonts w:ascii="Times New Roman" w:cs="Times New Roman" w:eastAsia="Times New Roman" w:hAnsi="Times New Roman"/>
          <w:sz w:val="20"/>
          <w:szCs w:val="20"/>
          <w:color w:val="auto"/>
        </w:rPr>
        <w:t>our collaborations with CStone and Zai Lab, our now terminated collaborations with Roche, our license agreement with</w:t>
      </w:r>
    </w:p>
    <w:p>
      <w:pPr>
        <w:spacing w:after="0"/>
        <w:rPr>
          <w:sz w:val="20"/>
          <w:szCs w:val="20"/>
          <w:color w:val="auto"/>
        </w:rPr>
      </w:pPr>
      <w:r>
        <w:rPr>
          <w:rFonts w:ascii="Times New Roman" w:cs="Times New Roman" w:eastAsia="Times New Roman" w:hAnsi="Times New Roman"/>
          <w:sz w:val="20"/>
          <w:szCs w:val="20"/>
          <w:color w:val="auto"/>
        </w:rPr>
        <w:t>Clementia, our agreement with Rigel, and our former collaboration with Alexion Pharma Holding, or Alexion and</w:t>
      </w:r>
    </w:p>
    <w:p>
      <w:pPr>
        <w:spacing w:after="0"/>
        <w:rPr>
          <w:sz w:val="20"/>
          <w:szCs w:val="20"/>
          <w:color w:val="auto"/>
        </w:rPr>
      </w:pPr>
      <w:r>
        <w:rPr>
          <w:rFonts w:ascii="Times New Roman" w:cs="Times New Roman" w:eastAsia="Times New Roman" w:hAnsi="Times New Roman"/>
          <w:sz w:val="20"/>
          <w:szCs w:val="20"/>
          <w:color w:val="auto"/>
        </w:rPr>
        <w:t>$400.0 million in gross proceeds from a term loan from Sixth Street Partners. In addition, since January 2020, we also</w:t>
      </w:r>
    </w:p>
    <w:p>
      <w:pPr>
        <w:spacing w:after="0"/>
        <w:rPr>
          <w:sz w:val="20"/>
          <w:szCs w:val="20"/>
          <w:color w:val="auto"/>
        </w:rPr>
      </w:pPr>
      <w:r>
        <w:rPr>
          <w:rFonts w:ascii="Times New Roman" w:cs="Times New Roman" w:eastAsia="Times New Roman" w:hAnsi="Times New Roman"/>
          <w:sz w:val="20"/>
          <w:szCs w:val="20"/>
          <w:color w:val="auto"/>
        </w:rPr>
        <w:t>have generated revenue through sales of our drug products.</w:t>
      </w:r>
    </w:p>
    <w:p>
      <w:pPr>
        <w:spacing w:after="0" w:line="172" w:lineRule="exact"/>
        <w:rPr>
          <w:sz w:val="20"/>
          <w:szCs w:val="20"/>
          <w:color w:val="auto"/>
        </w:rPr>
      </w:pPr>
    </w:p>
    <w:p>
      <w:pPr>
        <w:ind w:right="500" w:firstLine="720"/>
        <w:spacing w:after="0" w:line="254" w:lineRule="auto"/>
        <w:rPr>
          <w:sz w:val="20"/>
          <w:szCs w:val="20"/>
          <w:color w:val="auto"/>
        </w:rPr>
      </w:pPr>
      <w:r>
        <w:rPr>
          <w:rFonts w:ascii="Times New Roman" w:cs="Times New Roman" w:eastAsia="Times New Roman" w:hAnsi="Times New Roman"/>
          <w:sz w:val="20"/>
          <w:szCs w:val="20"/>
          <w:color w:val="auto"/>
        </w:rPr>
        <w:t>Since inception, we have incurred significant operating losses. Our net loss was $67.1 million for the year ended December 31, 2024. Our net losses were $507.0 million and $557.5 million for the years ended December 31, 2023 and 2022, respectively. As of December 31, 2024, we had an accumulated deficit of $2,407.0 million.</w:t>
      </w:r>
    </w:p>
    <w:p>
      <w:pPr>
        <w:spacing w:after="0" w:line="38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3"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Our ability to generate substantial revenue depends on a number of factors, including, but not limited to, our ability to:</w:t>
      </w:r>
    </w:p>
    <w:p>
      <w:pPr>
        <w:spacing w:after="0" w:line="142" w:lineRule="exact"/>
        <w:rPr>
          <w:sz w:val="20"/>
          <w:szCs w:val="20"/>
          <w:color w:val="auto"/>
        </w:rPr>
      </w:pPr>
    </w:p>
    <w:p>
      <w:pPr>
        <w:ind w:left="1440" w:hanging="353"/>
        <w:spacing w:after="0"/>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and successfully complete clinical trials that meet their clinical endpoints;</w:t>
      </w:r>
    </w:p>
    <w:p>
      <w:pPr>
        <w:spacing w:after="0" w:line="198" w:lineRule="exact"/>
        <w:rPr>
          <w:rFonts w:ascii="Symbol" w:cs="Symbol" w:eastAsia="Symbol" w:hAnsi="Symbol"/>
          <w:sz w:val="20"/>
          <w:szCs w:val="20"/>
          <w:color w:val="auto"/>
        </w:rPr>
      </w:pPr>
    </w:p>
    <w:p>
      <w:pPr>
        <w:ind w:left="1440" w:right="460" w:hanging="353"/>
        <w:spacing w:after="0" w:line="262" w:lineRule="auto"/>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and successfully complete all safety studies required to obtain U.S. and foreign marketing approval for our drug candidates, including for avapritinib in additional geographies;</w:t>
      </w:r>
    </w:p>
    <w:p>
      <w:pPr>
        <w:spacing w:after="0" w:line="155" w:lineRule="exact"/>
        <w:rPr>
          <w:rFonts w:ascii="Symbol" w:cs="Symbol" w:eastAsia="Symbol" w:hAnsi="Symbol"/>
          <w:sz w:val="20"/>
          <w:szCs w:val="20"/>
          <w:color w:val="auto"/>
        </w:rPr>
      </w:pPr>
    </w:p>
    <w:p>
      <w:pPr>
        <w:ind w:left="1440" w:right="240" w:hanging="353"/>
        <w:spacing w:after="0" w:line="262" w:lineRule="auto"/>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maintain and expand commercial manufacturing capabilities or make arrangements with third-party manufacturers to ensure clinical supply and commercial manufacturing;</w:t>
      </w:r>
    </w:p>
    <w:p>
      <w:pPr>
        <w:spacing w:after="0" w:line="155" w:lineRule="exact"/>
        <w:rPr>
          <w:rFonts w:ascii="Symbol" w:cs="Symbol" w:eastAsia="Symbol" w:hAnsi="Symbol"/>
          <w:sz w:val="20"/>
          <w:szCs w:val="20"/>
          <w:color w:val="auto"/>
        </w:rPr>
      </w:pPr>
    </w:p>
    <w:p>
      <w:pPr>
        <w:ind w:left="1440" w:right="120" w:hanging="353"/>
        <w:spacing w:after="0" w:line="251" w:lineRule="auto"/>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and, if necessary, expand a sales, marketing and distribution infrastructure to commercialize AYVAKIT/AYVAKYT and any current or future drug candidates for which we obtain marketing approval;</w:t>
      </w:r>
    </w:p>
    <w:p>
      <w:pPr>
        <w:spacing w:after="0" w:line="167" w:lineRule="exact"/>
        <w:rPr>
          <w:rFonts w:ascii="Symbol" w:cs="Symbol" w:eastAsia="Symbol" w:hAnsi="Symbol"/>
          <w:sz w:val="20"/>
          <w:szCs w:val="20"/>
          <w:color w:val="auto"/>
        </w:rPr>
      </w:pPr>
    </w:p>
    <w:p>
      <w:pPr>
        <w:ind w:left="1440" w:right="360" w:hanging="353"/>
        <w:spacing w:after="0" w:line="250" w:lineRule="auto"/>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achieve market acceptance in the medical community and with third-party payors for AYVAKIT/AYVAKYT and any current or future drug candidates for which we receive marketing approval; and</w:t>
      </w:r>
    </w:p>
    <w:p>
      <w:pPr>
        <w:spacing w:after="0" w:line="210" w:lineRule="exact"/>
        <w:rPr>
          <w:rFonts w:ascii="Symbol" w:cs="Symbol" w:eastAsia="Symbol" w:hAnsi="Symbol"/>
          <w:sz w:val="20"/>
          <w:szCs w:val="20"/>
          <w:color w:val="auto"/>
        </w:rPr>
      </w:pPr>
    </w:p>
    <w:p>
      <w:pPr>
        <w:ind w:left="1440" w:right="440" w:hanging="353"/>
        <w:spacing w:after="0" w:line="250" w:lineRule="auto"/>
        <w:tabs>
          <w:tab w:leader="none" w:pos="144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compete with companies that may have significantly greater financial resources and expertise in research and development, manufacturing, preclinical testing, conducting clinical trials, obtaining regulatory approvals and marketing approved drugs.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700"/>
          </w:cols>
          <w:pgMar w:left="1260" w:top="1246" w:right="1280" w:bottom="175" w:gutter="0" w:footer="0" w:header="0"/>
          <w:type w:val="continuous"/>
        </w:sectPr>
      </w:pPr>
    </w:p>
    <w:bookmarkStart w:id="69" w:name="page70"/>
    <w:bookmarkEnd w:id="69"/>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w:t>
      </w:r>
    </w:p>
    <w:p>
      <w:pPr>
        <w:spacing w:after="0" w:line="18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6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Our future capital requirements will depend on and may increase as a result of many factors, including:</w:t>
      </w:r>
    </w:p>
    <w:p>
      <w:pPr>
        <w:spacing w:after="0" w:line="254" w:lineRule="exact"/>
        <w:rPr>
          <w:sz w:val="20"/>
          <w:szCs w:val="20"/>
          <w:color w:val="auto"/>
        </w:rPr>
      </w:pPr>
    </w:p>
    <w:p>
      <w:pPr>
        <w:ind w:left="1440" w:hanging="353"/>
        <w:spacing w:after="0" w:line="262"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commercialization efforts and market acceptance for AYVAKIT/AYVAKYT or any of our current or future drug candidates for which we receive marketing approval;</w:t>
      </w:r>
    </w:p>
    <w:p>
      <w:pPr>
        <w:spacing w:after="0" w:line="195" w:lineRule="exact"/>
        <w:rPr>
          <w:rFonts w:ascii="Symbol" w:cs="Symbol" w:eastAsia="Symbol" w:hAnsi="Symbol"/>
          <w:sz w:val="20"/>
          <w:szCs w:val="20"/>
          <w:color w:val="auto"/>
        </w:rPr>
      </w:pPr>
    </w:p>
    <w:p>
      <w:pPr>
        <w:ind w:left="1440" w:right="120" w:hanging="353"/>
        <w:spacing w:after="0" w:line="251"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207" w:lineRule="exact"/>
        <w:rPr>
          <w:rFonts w:ascii="Symbol" w:cs="Symbol" w:eastAsia="Symbol" w:hAnsi="Symbol"/>
          <w:sz w:val="20"/>
          <w:szCs w:val="20"/>
          <w:color w:val="auto"/>
        </w:rPr>
      </w:pPr>
    </w:p>
    <w:p>
      <w:pPr>
        <w:ind w:left="1440" w:right="20" w:hanging="353"/>
        <w:spacing w:after="0" w:line="247"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212" w:lineRule="exact"/>
        <w:rPr>
          <w:rFonts w:ascii="Symbol" w:cs="Symbol" w:eastAsia="Symbol" w:hAnsi="Symbol"/>
          <w:sz w:val="20"/>
          <w:szCs w:val="20"/>
          <w:color w:val="auto"/>
        </w:rPr>
      </w:pPr>
    </w:p>
    <w:p>
      <w:pPr>
        <w:ind w:left="1440" w:right="40" w:hanging="353"/>
        <w:spacing w:after="0" w:line="262"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purchasing quantities of agents for use in our clinical trials in connection with our efforts to develop our drugs and drug candidates, including for development as combination therapies;</w:t>
      </w:r>
    </w:p>
    <w:p>
      <w:pPr>
        <w:spacing w:after="0" w:line="195" w:lineRule="exact"/>
        <w:rPr>
          <w:rFonts w:ascii="Symbol" w:cs="Symbol" w:eastAsia="Symbol" w:hAnsi="Symbol"/>
          <w:sz w:val="20"/>
          <w:szCs w:val="20"/>
          <w:color w:val="auto"/>
        </w:rPr>
      </w:pPr>
    </w:p>
    <w:p>
      <w:pPr>
        <w:ind w:left="1440" w:right="320" w:hanging="353"/>
        <w:spacing w:after="0" w:line="262"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drug discovery, preclinical development, laboratory testing and clinical trials for our approved drugs and drug candidates;</w:t>
      </w:r>
    </w:p>
    <w:p>
      <w:pPr>
        <w:spacing w:after="0" w:line="195" w:lineRule="exact"/>
        <w:rPr>
          <w:rFonts w:ascii="Symbol" w:cs="Symbol" w:eastAsia="Symbol" w:hAnsi="Symbol"/>
          <w:sz w:val="20"/>
          <w:szCs w:val="20"/>
          <w:color w:val="auto"/>
        </w:rPr>
      </w:pPr>
    </w:p>
    <w:p>
      <w:pPr>
        <w:ind w:left="1440" w:right="120" w:hanging="353"/>
        <w:spacing w:after="0" w:line="262"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marketing applications for our drug candidates, including seeking marketing approval for avapritinib in additional geographies;</w:t>
      </w:r>
    </w:p>
    <w:p>
      <w:pPr>
        <w:spacing w:after="0" w:line="195" w:lineRule="exact"/>
        <w:rPr>
          <w:rFonts w:ascii="Symbol" w:cs="Symbol" w:eastAsia="Symbol" w:hAnsi="Symbol"/>
          <w:sz w:val="20"/>
          <w:szCs w:val="20"/>
          <w:color w:val="auto"/>
        </w:rPr>
      </w:pPr>
    </w:p>
    <w:p>
      <w:pPr>
        <w:ind w:left="1440" w:hanging="353"/>
        <w:spacing w:after="0" w:line="247"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collaborations with CStone, and our license agreements with Clementia, IDRx (which has recently entered into an agreement to be acquired by GSK plc) and our agreement with Rigel, as well as our ability to establish and maintain additional collaborations, partnerships or licenses on favorable terms, if at all;</w:t>
      </w:r>
    </w:p>
    <w:p>
      <w:pPr>
        <w:spacing w:after="0" w:line="212" w:lineRule="exact"/>
        <w:rPr>
          <w:rFonts w:ascii="Symbol" w:cs="Symbol" w:eastAsia="Symbol" w:hAnsi="Symbol"/>
          <w:sz w:val="20"/>
          <w:szCs w:val="20"/>
          <w:color w:val="auto"/>
        </w:rPr>
      </w:pPr>
    </w:p>
    <w:p>
      <w:pPr>
        <w:ind w:left="1440" w:right="260" w:hanging="353"/>
        <w:spacing w:after="0" w:line="251"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spacing w:after="0" w:line="207" w:lineRule="exact"/>
        <w:rPr>
          <w:rFonts w:ascii="Symbol" w:cs="Symbol" w:eastAsia="Symbol" w:hAnsi="Symbol"/>
          <w:sz w:val="20"/>
          <w:szCs w:val="20"/>
          <w:color w:val="auto"/>
        </w:rPr>
      </w:pPr>
    </w:p>
    <w:p>
      <w:pPr>
        <w:ind w:left="1440" w:right="600" w:hanging="353"/>
        <w:spacing w:after="0" w:line="262" w:lineRule="auto"/>
        <w:tabs>
          <w:tab w:leader="none" w:pos="144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are obligated to reimburse, or entitled to reimbursement of, research and development, clinical or other costs under future collaboration agreements, if any;</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00"/>
          </w:cols>
          <w:pgMar w:left="1260" w:top="1246" w:right="1280" w:bottom="175" w:gutter="0" w:footer="0" w:header="0"/>
          <w:type w:val="continuous"/>
        </w:sectPr>
      </w:pPr>
    </w:p>
    <w:bookmarkStart w:id="70" w:name="page71"/>
    <w:bookmarkEnd w:id="70"/>
    <w:p>
      <w:pPr>
        <w:ind w:left="1440" w:right="60" w:hanging="353"/>
        <w:spacing w:after="0" w:line="262" w:lineRule="auto"/>
        <w:tabs>
          <w:tab w:leader="none" w:pos="144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acquire or in-license other approved drugs, drug candidates or technologies and the terms of any such arrangements;</w:t>
      </w:r>
    </w:p>
    <w:p>
      <w:pPr>
        <w:spacing w:after="0" w:line="196" w:lineRule="exact"/>
        <w:rPr>
          <w:rFonts w:ascii="Symbol" w:cs="Symbol" w:eastAsia="Symbol" w:hAnsi="Symbol"/>
          <w:sz w:val="20"/>
          <w:szCs w:val="20"/>
          <w:color w:val="auto"/>
        </w:rPr>
      </w:pPr>
    </w:p>
    <w:p>
      <w:pPr>
        <w:ind w:left="1440" w:right="600" w:hanging="353"/>
        <w:spacing w:after="0" w:line="262" w:lineRule="auto"/>
        <w:tabs>
          <w:tab w:leader="none" w:pos="144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 and</w:t>
      </w:r>
    </w:p>
    <w:p>
      <w:pPr>
        <w:spacing w:after="0" w:line="195" w:lineRule="exact"/>
        <w:rPr>
          <w:rFonts w:ascii="Symbol" w:cs="Symbol" w:eastAsia="Symbol" w:hAnsi="Symbol"/>
          <w:sz w:val="20"/>
          <w:szCs w:val="20"/>
          <w:color w:val="auto"/>
        </w:rPr>
      </w:pPr>
    </w:p>
    <w:p>
      <w:pPr>
        <w:ind w:left="1440" w:hanging="353"/>
        <w:spacing w:after="0"/>
        <w:tabs>
          <w:tab w:leader="none" w:pos="144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continuing to expand our operations.</w:t>
      </w:r>
    </w:p>
    <w:p>
      <w:pPr>
        <w:spacing w:after="0" w:line="225"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201"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If we are unable to obtain funding if needed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9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drug candidates.</w:t>
      </w:r>
    </w:p>
    <w:p>
      <w:pPr>
        <w:spacing w:after="0" w:line="167"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 with CStone and the license agreements with Clementia and IDRx (which recently entered into an agreement to be acquired by GSK plc), the Financing Agreement with Sixth Street Partners, and the Rigel Agreement, which are limited in scope and duration and subject to the achievement of milestones or royalties on sales of licensed products, if any. In addition, we may sell additional shares of our common stock pursuant to our at-the-market (ATM) Facility with Cowen.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20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w:t>
      </w:r>
    </w:p>
    <w:p>
      <w:pPr>
        <w:sectPr>
          <w:pgSz w:w="12240" w:h="15840" w:orient="portrait"/>
          <w:cols w:equalWidth="0" w:num="1">
            <w:col w:w="9720"/>
          </w:cols>
          <w:pgMar w:left="1260" w:top="1261"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720"/>
          </w:cols>
          <w:pgMar w:left="1260" w:top="1261" w:right="1260" w:bottom="175" w:gutter="0" w:footer="0" w:header="0"/>
          <w:type w:val="continuous"/>
        </w:sectPr>
      </w:pPr>
    </w:p>
    <w:bookmarkStart w:id="71" w:name="page72"/>
    <w:bookmarkEnd w:id="71"/>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85"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w:t>
      </w:r>
    </w:p>
    <w:p>
      <w:pPr>
        <w:spacing w:after="0" w:line="2" w:lineRule="exact"/>
        <w:rPr>
          <w:sz w:val="20"/>
          <w:szCs w:val="20"/>
          <w:color w:val="auto"/>
        </w:rPr>
      </w:pPr>
    </w:p>
    <w:p>
      <w:pPr>
        <w:ind w:right="60" w:firstLine="7"/>
        <w:spacing w:after="0" w:line="241" w:lineRule="auto"/>
        <w:tabs>
          <w:tab w:leader="none" w:pos="23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tranche A delayed draw loan in an aggregate principal amount of $100.0 million and (ii) a tranche B delayed draw term loan in an aggregate principal amount of up to $150.0 million. In August 2023, we received tranche A of the senior secured delayed draw term loan facility in the amount of $100.0 million in gross proceeds. In May 2024, we received tranche B of the senior secured delayed draw term loan facility in the amount of $150.0 million in gross proceeds. We may also at any time request an incremental term loan in an amount not to exceed $260.0 million on terms to be agreed and subject to the consent of the lenders providing such incremental term loan. As borrowings under the facility bear interest at a variable rate, we are exposed to market risk for changes in interest rates.</w:t>
      </w:r>
    </w:p>
    <w:p>
      <w:pPr>
        <w:spacing w:after="0" w:line="19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20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spacing w:after="0" w:line="19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3" w:lineRule="exact"/>
        <w:rPr>
          <w:sz w:val="20"/>
          <w:szCs w:val="20"/>
          <w:color w:val="auto"/>
        </w:rPr>
      </w:pPr>
    </w:p>
    <w:p>
      <w:pPr>
        <w:jc w:val="both"/>
        <w:ind w:right="5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collaborations, licenses and other agreements with third parties for the development and commercialization of several of our drugs and drug candidates. If such collaborations or arrangements are not successful, we may not be able to capitalize on the market potential of these drugs and drug candidates.</w:t>
      </w:r>
    </w:p>
    <w:p>
      <w:pPr>
        <w:spacing w:after="0" w:line="185"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19"/>
          <w:szCs w:val="19"/>
          <w:color w:val="auto"/>
        </w:rPr>
        <w:t>We have entered into collaborations, licenses and other agreements with CStone, VantAI, Clementia, and Rigel for the development and commercialization of several of our drugs and drug candidates, and may enter into additional collaborations, licenses and other arrangements with other third parties in the future. The success of these arrangements will depend heavily on the efforts and activities of our collaborators, licensing partners and other contracting parties. Collaborators and other contracting parties generally have significant discretion in determining the efforts and resources that they will apply to these arrangements.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or other arrangement regarding clinical development and commercialization matters can lead to delays in the development process or commercializing the applicable drug or drug candidate and, in some cases, termination of the collaboration or other arrangement or result in litigation or arbitration, which would be time-consuming and expensive. Licensors generally have sole discretion in determining the efforts and resources that they will apply to the licensed products.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700"/>
          </w:cols>
          <w:pgMar w:left="1260" w:top="1246" w:right="1280" w:bottom="175" w:gutter="0" w:footer="0" w:header="0"/>
          <w:type w:val="continuous"/>
        </w:sectPr>
      </w:pPr>
    </w:p>
    <w:bookmarkStart w:id="72" w:name="page73"/>
    <w:bookmarkEnd w:id="72"/>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Collaborations and licenses with pharmaceutical or biotechnology companies and other third parties often are terminated or allowed to expire by the other party. Any termination or expiration of our collaboration or license agreements with CStone, VantAI, Clementia or IDRx (which has recently entered into an agreement to be acquired by GSK plc),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became effective on February 22, 2024.</w:t>
      </w:r>
    </w:p>
    <w:p>
      <w:pPr>
        <w:spacing w:after="0" w:line="20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5"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20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12"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14" w:lineRule="exact"/>
        <w:rPr>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have staffing difficulties;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undergo changes in priorities or become financially distressed; or</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form relationships with other entities, some of which may be our competitors.</w:t>
      </w:r>
    </w:p>
    <w:p>
      <w:pPr>
        <w:spacing w:after="0" w:line="224"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w:t>
      </w:r>
    </w:p>
    <w:p>
      <w:pPr>
        <w:sectPr>
          <w:pgSz w:w="12240" w:h="15840" w:orient="portrait"/>
          <w:cols w:equalWidth="0" w:num="1">
            <w:col w:w="9700"/>
          </w:cols>
          <w:pgMar w:left="1260" w:top="1246" w:right="1280" w:bottom="175"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700"/>
          </w:cols>
          <w:pgMar w:left="1260" w:top="1246" w:right="1280" w:bottom="175" w:gutter="0" w:footer="0" w:header="0"/>
          <w:type w:val="continuous"/>
        </w:sectPr>
      </w:pPr>
    </w:p>
    <w:bookmarkStart w:id="73" w:name="page74"/>
    <w:bookmarkEnd w:id="73"/>
    <w:p>
      <w:pPr>
        <w:ind w:right="60"/>
        <w:spacing w:after="0" w:line="247" w:lineRule="auto"/>
        <w:rPr>
          <w:sz w:val="20"/>
          <w:szCs w:val="20"/>
          <w:color w:val="auto"/>
        </w:rPr>
      </w:pPr>
      <w:r>
        <w:rPr>
          <w:rFonts w:ascii="Times New Roman" w:cs="Times New Roman" w:eastAsia="Times New Roman" w:hAnsi="Times New Roman"/>
          <w:sz w:val="20"/>
          <w:szCs w:val="20"/>
          <w:color w:val="auto"/>
        </w:rPr>
        <w:t>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0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20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98"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96"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facilities used by our contract manufacturing organizations, or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700"/>
          </w:cols>
          <w:pgMar w:left="1260" w:top="1246" w:right="1280" w:bottom="175" w:gutter="0" w:footer="0" w:header="0"/>
          <w:type w:val="continuous"/>
        </w:sectPr>
      </w:pPr>
    </w:p>
    <w:bookmarkStart w:id="74" w:name="page75"/>
    <w:bookmarkEnd w:id="74"/>
    <w:p>
      <w:pPr>
        <w:spacing w:after="0" w:line="251" w:lineRule="auto"/>
        <w:rPr>
          <w:sz w:val="20"/>
          <w:szCs w:val="20"/>
          <w:color w:val="auto"/>
        </w:rPr>
      </w:pPr>
      <w:r>
        <w:rPr>
          <w:rFonts w:ascii="Times New Roman" w:cs="Times New Roman" w:eastAsia="Times New Roman" w:hAnsi="Times New Roman"/>
          <w:sz w:val="20"/>
          <w:szCs w:val="20"/>
          <w:color w:val="auto"/>
        </w:rPr>
        <w:t>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20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201" w:lineRule="exact"/>
        <w:rPr>
          <w:sz w:val="20"/>
          <w:szCs w:val="20"/>
          <w:color w:val="auto"/>
        </w:rPr>
      </w:pPr>
    </w:p>
    <w:p>
      <w:pPr>
        <w:ind w:left="1440" w:hanging="353"/>
        <w:spacing w:after="0"/>
        <w:tabs>
          <w:tab w:leader="none" w:pos="144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239" w:lineRule="exact"/>
        <w:rPr>
          <w:rFonts w:ascii="Symbol" w:cs="Symbol" w:eastAsia="Symbol" w:hAnsi="Symbol"/>
          <w:sz w:val="20"/>
          <w:szCs w:val="20"/>
          <w:color w:val="auto"/>
        </w:rPr>
      </w:pPr>
    </w:p>
    <w:p>
      <w:pPr>
        <w:ind w:left="1440" w:right="320" w:hanging="353"/>
        <w:spacing w:after="0" w:line="262" w:lineRule="auto"/>
        <w:tabs>
          <w:tab w:leader="none" w:pos="144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pacing w:after="0" w:line="195" w:lineRule="exact"/>
        <w:rPr>
          <w:rFonts w:ascii="Symbol" w:cs="Symbol" w:eastAsia="Symbol" w:hAnsi="Symbol"/>
          <w:sz w:val="20"/>
          <w:szCs w:val="20"/>
          <w:color w:val="auto"/>
        </w:rPr>
      </w:pPr>
    </w:p>
    <w:p>
      <w:pPr>
        <w:ind w:left="1440" w:right="300" w:hanging="353"/>
        <w:spacing w:after="0" w:line="262" w:lineRule="auto"/>
        <w:tabs>
          <w:tab w:leader="none" w:pos="144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181"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 -19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202"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200"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ectPr>
          <w:pgSz w:w="12240" w:h="15840" w:orient="portrait"/>
          <w:cols w:equalWidth="0" w:num="1">
            <w:col w:w="9720"/>
          </w:cols>
          <w:pgMar w:left="1260" w:top="1255"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20"/>
          </w:cols>
          <w:pgMar w:left="1260" w:top="1255" w:right="1260" w:bottom="175" w:gutter="0" w:footer="0" w:header="0"/>
          <w:type w:val="continuous"/>
        </w:sectPr>
      </w:pPr>
    </w:p>
    <w:bookmarkStart w:id="75" w:name="page76"/>
    <w:bookmarkEnd w:id="75"/>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third parties upon whom we rely for the supply of the API, drug substance and drug product used in avapritinib are our sole source of supply, and the loss of any of these suppliers could significantly harm our business.</w:t>
      </w:r>
    </w:p>
    <w:p>
      <w:pPr>
        <w:spacing w:after="0" w:line="16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API, drug substance and drug product used in our drug and drug candidates are supplied to us primarily from single-source suppliers. We do not currently own or operate manufacturing facilities for the production of our drugs or any drug candidates that may be approved in the future. As a result, we primarily rely on single-source third-party suppliers to manufacture and supply our drugs, which may not be able to produce sufficient inventory to meet commercial demand in a timely manner, or at all.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 Therefore, there can be no assurances that we will be able to obtain sufficient quantities of our drugs or any other drug candidates that may be approved in the future, which could have a material adverse effect on our business as a whole.</w:t>
      </w:r>
    </w:p>
    <w:p>
      <w:pPr>
        <w:spacing w:after="0" w:line="21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For all of our drug candidates, we may from time to time explore opportunities to identify and qualify additional manufacturers to provide such API, drug substance and drug product prior to submission of an NDA to the FDA and/or a marketing authorization application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2025.</w:t>
      </w:r>
    </w:p>
    <w:p>
      <w:pPr>
        <w:spacing w:after="0" w:line="205"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9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future legislative proposals in the U.S., such as the previously considered BIOSECURE bill, that, if enacted, could significantly impact our ability to work with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00"/>
          </w:cols>
          <w:pgMar w:left="1260" w:top="1246" w:right="1280" w:bottom="175" w:gutter="0" w:footer="0" w:header="0"/>
          <w:type w:val="continuous"/>
        </w:sectPr>
      </w:pPr>
    </w:p>
    <w:bookmarkStart w:id="76" w:name="page77"/>
    <w:bookmarkEnd w:id="76"/>
    <w:p>
      <w:pPr>
        <w:ind w:right="200"/>
        <w:spacing w:after="0" w:line="259" w:lineRule="auto"/>
        <w:rPr>
          <w:sz w:val="20"/>
          <w:szCs w:val="20"/>
          <w:color w:val="auto"/>
        </w:rPr>
      </w:pPr>
      <w:r>
        <w:rPr>
          <w:rFonts w:ascii="Times New Roman" w:cs="Times New Roman" w:eastAsia="Times New Roman" w:hAnsi="Times New Roman"/>
          <w:sz w:val="20"/>
          <w:szCs w:val="20"/>
          <w:color w:val="auto"/>
        </w:rPr>
        <w:t>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our discovery platform technology or obtain and maintain patent protection for our technology, drugs and drug candidates or if the scope of the patent protection obtained is not sufficiently broad, our competitors could develop and commercialize technology, drugs and drug candidates similar or identical to ours, and our ability to successfully commercialize our technology, drugs and drug candidates may be impaired.</w:t>
      </w:r>
    </w:p>
    <w:p>
      <w:pPr>
        <w:spacing w:after="0" w:line="19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uses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95" w:lineRule="exact"/>
        <w:rPr>
          <w:sz w:val="20"/>
          <w:szCs w:val="20"/>
          <w:color w:val="auto"/>
        </w:rPr>
      </w:pPr>
    </w:p>
    <w:p>
      <w:pPr>
        <w:ind w:right="400" w:firstLine="720"/>
        <w:spacing w:after="0" w:line="278"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involves complex legal and factual questions and has in recent years been the subject of much litigation.</w:t>
      </w:r>
    </w:p>
    <w:p>
      <w:pPr>
        <w:spacing w:after="0" w:line="15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9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processes,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20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00"/>
          </w:cols>
          <w:pgMar w:left="1260" w:top="1246" w:right="1280" w:bottom="175" w:gutter="0" w:footer="0" w:header="0"/>
          <w:type w:val="continuous"/>
        </w:sectPr>
      </w:pPr>
    </w:p>
    <w:bookmarkStart w:id="77" w:name="page78"/>
    <w:bookmarkEnd w:id="77"/>
    <w:p>
      <w:pPr>
        <w:ind w:right="220"/>
        <w:spacing w:after="0" w:line="252" w:lineRule="auto"/>
        <w:rPr>
          <w:sz w:val="20"/>
          <w:szCs w:val="20"/>
          <w:color w:val="auto"/>
        </w:rPr>
      </w:pPr>
      <w:r>
        <w:rPr>
          <w:rFonts w:ascii="Times New Roman" w:cs="Times New Roman" w:eastAsia="Times New Roman" w:hAnsi="Times New Roman"/>
          <w:sz w:val="20"/>
          <w:szCs w:val="20"/>
          <w:color w:val="auto"/>
        </w:rPr>
        <w:t>protection. Moreover, there may be circumstances, when we do not have the right to control the preparation, filing and prosecution of patent applications, or to maintain the patents, covering technology, drug or drug candidates that we license from third parties. Therefore, these patents and applications may not be prosecuted and enforced in a manner consistent with the best interests of our business.</w:t>
      </w:r>
    </w:p>
    <w:p>
      <w:pPr>
        <w:spacing w:after="0" w:line="185"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drugs or drug candidates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w:t>
      </w:r>
    </w:p>
    <w:p>
      <w:pPr>
        <w:spacing w:after="0" w:line="19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 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92"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201"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7"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46" w:right="1260" w:bottom="175" w:gutter="0" w:footer="0" w:header="0"/>
          <w:type w:val="continuous"/>
        </w:sectPr>
      </w:pPr>
    </w:p>
    <w:bookmarkStart w:id="78" w:name="page79"/>
    <w:bookmarkEnd w:id="78"/>
    <w:p>
      <w:pPr>
        <w:ind w:right="20"/>
        <w:spacing w:after="0" w:line="244" w:lineRule="auto"/>
        <w:rPr>
          <w:sz w:val="20"/>
          <w:szCs w:val="20"/>
          <w:color w:val="auto"/>
        </w:rPr>
      </w:pPr>
      <w:r>
        <w:rPr>
          <w:rFonts w:ascii="Times New Roman" w:cs="Times New Roman" w:eastAsia="Times New Roman" w:hAnsi="Times New Roman"/>
          <w:sz w:val="20"/>
          <w:szCs w:val="20"/>
          <w:color w:val="auto"/>
        </w:rPr>
        <w:t>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206"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206"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other intellectual property rights, which could be expensive, time-consuming and unsuccessful.</w:t>
      </w:r>
    </w:p>
    <w:p>
      <w:pPr>
        <w:spacing w:after="0" w:line="167"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Competitors and other third parties may infringe, misappropriate or otherwise violate our patents and other intellectual property rights. To counter infringement or unauthorized use, including against abbreviated new drug application, or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1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00"/>
          </w:cols>
          <w:pgMar w:left="1260" w:top="1246" w:right="1280" w:bottom="175" w:gutter="0" w:footer="0" w:header="0"/>
          <w:type w:val="continuous"/>
        </w:sectPr>
      </w:pPr>
    </w:p>
    <w:bookmarkStart w:id="79" w:name="page80"/>
    <w:bookmarkEnd w:id="79"/>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could cause us to spend substantial resources and distract our personnel from their normal responsibilities.</w:t>
      </w:r>
    </w:p>
    <w:p>
      <w:pPr>
        <w:spacing w:after="0" w:line="16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6" w:lineRule="exact"/>
        <w:rPr>
          <w:sz w:val="20"/>
          <w:szCs w:val="20"/>
          <w:color w:val="auto"/>
        </w:rPr>
      </w:pPr>
    </w:p>
    <w:p>
      <w:pPr>
        <w:ind w:right="40" w:firstLine="720"/>
        <w:spacing w:after="0" w:line="263" w:lineRule="auto"/>
        <w:rPr>
          <w:sz w:val="20"/>
          <w:szCs w:val="20"/>
          <w:color w:val="auto"/>
        </w:rPr>
      </w:pPr>
      <w:r>
        <w:rPr>
          <w:rFonts w:ascii="Times New Roman" w:cs="Times New Roman" w:eastAsia="Times New Roman" w:hAnsi="Times New Roman"/>
          <w:sz w:val="19"/>
          <w:szCs w:val="19"/>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w:t>
      </w:r>
    </w:p>
    <w:p>
      <w:pPr>
        <w:spacing w:after="0" w:line="67" w:lineRule="exact"/>
        <w:rPr>
          <w:sz w:val="20"/>
          <w:szCs w:val="20"/>
          <w:color w:val="auto"/>
        </w:rPr>
      </w:pPr>
    </w:p>
    <w:p>
      <w:pPr>
        <w:ind w:firstLine="556"/>
        <w:spacing w:after="0" w:line="243" w:lineRule="auto"/>
        <w:rPr>
          <w:sz w:val="20"/>
          <w:szCs w:val="20"/>
          <w:color w:val="auto"/>
        </w:rPr>
      </w:pPr>
      <w:r>
        <w:rPr>
          <w:rFonts w:ascii="Times New Roman" w:cs="Times New Roman" w:eastAsia="Times New Roman" w:hAnsi="Times New Roman"/>
          <w:sz w:val="20"/>
          <w:szCs w:val="20"/>
          <w:color w:val="auto"/>
        </w:rPr>
        <w:t>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03" w:lineRule="exact"/>
        <w:rPr>
          <w:sz w:val="20"/>
          <w:szCs w:val="20"/>
          <w:color w:val="auto"/>
        </w:rPr>
      </w:pPr>
    </w:p>
    <w:p>
      <w:pPr>
        <w:ind w:right="40" w:firstLine="556"/>
        <w:spacing w:after="0" w:line="252" w:lineRule="auto"/>
        <w:rPr>
          <w:sz w:val="20"/>
          <w:szCs w:val="20"/>
          <w:color w:val="auto"/>
        </w:rPr>
      </w:pPr>
      <w:r>
        <w:rPr>
          <w:rFonts w:ascii="Times New Roman" w:cs="Times New Roman" w:eastAsia="Times New Roman" w:hAnsi="Times New Roman"/>
          <w:sz w:val="20"/>
          <w:szCs w:val="20"/>
          <w:color w:val="auto"/>
        </w:rPr>
        <w:t>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94" w:lineRule="exact"/>
        <w:rPr>
          <w:sz w:val="20"/>
          <w:szCs w:val="20"/>
          <w:color w:val="auto"/>
        </w:rPr>
      </w:pPr>
    </w:p>
    <w:p>
      <w:pPr>
        <w:ind w:right="120" w:firstLine="556"/>
        <w:spacing w:after="0" w:line="246" w:lineRule="auto"/>
        <w:rPr>
          <w:sz w:val="20"/>
          <w:szCs w:val="20"/>
          <w:color w:val="auto"/>
        </w:rPr>
      </w:pPr>
      <w:r>
        <w:rPr>
          <w:rFonts w:ascii="Times New Roman" w:cs="Times New Roman" w:eastAsia="Times New Roman" w:hAnsi="Times New Roman"/>
          <w:sz w:val="20"/>
          <w:szCs w:val="20"/>
          <w:color w:val="auto"/>
        </w:rPr>
        <w:t>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w:t>
      </w:r>
    </w:p>
    <w:p>
      <w:pPr>
        <w:spacing w:after="0" w:line="199" w:lineRule="exact"/>
        <w:rPr>
          <w:sz w:val="20"/>
          <w:szCs w:val="20"/>
          <w:color w:val="auto"/>
        </w:rPr>
      </w:pPr>
    </w:p>
    <w:p>
      <w:pPr>
        <w:ind w:right="40" w:firstLine="556"/>
        <w:spacing w:after="0" w:line="246" w:lineRule="auto"/>
        <w:rPr>
          <w:sz w:val="20"/>
          <w:szCs w:val="20"/>
          <w:color w:val="auto"/>
        </w:rPr>
      </w:pPr>
      <w:r>
        <w:rPr>
          <w:rFonts w:ascii="Times New Roman" w:cs="Times New Roman" w:eastAsia="Times New Roman" w:hAnsi="Times New Roman"/>
          <w:sz w:val="20"/>
          <w:szCs w:val="20"/>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w:t>
      </w:r>
    </w:p>
    <w:p>
      <w:pPr>
        <w:sectPr>
          <w:pgSz w:w="12240" w:h="15840" w:orient="portrait"/>
          <w:cols w:equalWidth="0" w:num="1">
            <w:col w:w="9720"/>
          </w:cols>
          <w:pgMar w:left="1260" w:top="1246" w:right="1260" w:bottom="175"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720"/>
          </w:cols>
          <w:pgMar w:left="1260" w:top="1246" w:right="1260" w:bottom="175" w:gutter="0" w:footer="0" w:header="0"/>
          <w:type w:val="continuous"/>
        </w:sectPr>
      </w:pPr>
    </w:p>
    <w:bookmarkStart w:id="80" w:name="page81"/>
    <w:bookmarkEnd w:id="80"/>
    <w:p>
      <w:pPr>
        <w:ind w:right="20" w:firstLine="556"/>
        <w:spacing w:after="0" w:line="247" w:lineRule="auto"/>
        <w:rPr>
          <w:sz w:val="20"/>
          <w:szCs w:val="20"/>
          <w:color w:val="auto"/>
        </w:rPr>
      </w:pPr>
      <w:r>
        <w:rPr>
          <w:rFonts w:ascii="Times New Roman" w:cs="Times New Roman" w:eastAsia="Times New Roman" w:hAnsi="Times New Roman"/>
          <w:sz w:val="20"/>
          <w:szCs w:val="20"/>
          <w:color w:val="auto"/>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spacing w:after="0" w:line="1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effectively enforce our intellectual property rights throughout the world.</w:t>
      </w:r>
    </w:p>
    <w:p>
      <w:pPr>
        <w:spacing w:after="0" w:line="24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20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9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6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 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720"/>
          </w:cols>
          <w:pgMar w:left="1260" w:top="1246" w:right="1260" w:bottom="175" w:gutter="0" w:footer="0" w:header="0"/>
          <w:type w:val="continuous"/>
        </w:sectPr>
      </w:pPr>
    </w:p>
    <w:bookmarkStart w:id="81" w:name="page82"/>
    <w:bookmarkEnd w:id="81"/>
    <w:p>
      <w:pPr>
        <w:ind w:right="80"/>
        <w:spacing w:after="0" w:line="249" w:lineRule="auto"/>
        <w:rPr>
          <w:sz w:val="20"/>
          <w:szCs w:val="20"/>
          <w:color w:val="auto"/>
        </w:rPr>
      </w:pPr>
      <w:r>
        <w:rPr>
          <w:rFonts w:ascii="Times New Roman" w:cs="Times New Roman" w:eastAsia="Times New Roman" w:hAnsi="Times New Roman"/>
          <w:sz w:val="20"/>
          <w:szCs w:val="20"/>
          <w:color w:val="auto"/>
        </w:rPr>
        <w:t>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9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could be found invalid or unenforceable if challenged in court or the USPTO.</w:t>
      </w:r>
    </w:p>
    <w:p>
      <w:pPr>
        <w:spacing w:after="0" w:line="16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 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0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67"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our success is heavily dependent on the intellectual property we maintain, particularly patents. Obtaining and enforcing patents in the biotechnology and 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w:t>
      </w:r>
    </w:p>
    <w:p>
      <w:pPr>
        <w:spacing w:after="0" w:line="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0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1"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may be harmed.</w:t>
      </w:r>
    </w:p>
    <w:p>
      <w:pPr>
        <w:spacing w:after="0" w:line="168"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720"/>
          </w:cols>
          <w:pgMar w:left="1260" w:top="1246" w:right="1260" w:bottom="175" w:gutter="0" w:footer="0" w:header="0"/>
          <w:type w:val="continuous"/>
        </w:sectPr>
      </w:pPr>
    </w:p>
    <w:bookmarkStart w:id="82" w:name="page83"/>
    <w:bookmarkEnd w:id="82"/>
    <w:p>
      <w:pPr>
        <w:ind w:right="80"/>
        <w:spacing w:after="0" w:line="244" w:lineRule="auto"/>
        <w:rPr>
          <w:sz w:val="20"/>
          <w:szCs w:val="20"/>
          <w:color w:val="auto"/>
        </w:rPr>
      </w:pPr>
      <w:r>
        <w:rPr>
          <w:rFonts w:ascii="Times New Roman" w:cs="Times New Roman" w:eastAsia="Times New Roman" w:hAnsi="Times New Roman"/>
          <w:sz w:val="20"/>
          <w:szCs w:val="20"/>
          <w:color w:val="auto"/>
        </w:rPr>
        <w:t>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206"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Risks Related to Our Business, including Employee Matters, Managing Growth and Others</w:t>
      </w:r>
    </w:p>
    <w:p>
      <w:pPr>
        <w:spacing w:after="0" w:line="243"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6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700"/>
          </w:cols>
          <w:pgMar w:left="1260" w:top="1246" w:right="1280" w:bottom="175" w:gutter="0" w:footer="0" w:header="0"/>
          <w:type w:val="continuous"/>
        </w:sectPr>
      </w:pPr>
    </w:p>
    <w:bookmarkStart w:id="83" w:name="page84"/>
    <w:bookmarkEnd w:id="83"/>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0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need to develop and expand our company, and we may encounter difficulties in managing this development and expansion, which could disrupt our operations.</w:t>
      </w:r>
    </w:p>
    <w:p>
      <w:pPr>
        <w:spacing w:after="0" w:line="16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As of January 31, 2025, we had 649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5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or political conditions could adversely affect our business, financial condition or results of operations.</w:t>
      </w:r>
    </w:p>
    <w:p>
      <w:pPr>
        <w:spacing w:after="0" w:line="20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increased inflation, increased U.S. trade tariffs and trade disputes with other countries,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ectPr>
          <w:pgSz w:w="12240" w:h="15840" w:orient="portrait"/>
          <w:cols w:equalWidth="0" w:num="1">
            <w:col w:w="9720"/>
          </w:cols>
          <w:pgMar w:left="1260" w:top="1246" w:right="1260" w:bottom="175"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720"/>
          </w:cols>
          <w:pgMar w:left="1260" w:top="1246" w:right="1260" w:bottom="175" w:gutter="0" w:footer="0" w:header="0"/>
          <w:type w:val="continuous"/>
        </w:sectPr>
      </w:pPr>
    </w:p>
    <w:bookmarkStart w:id="84" w:name="page85"/>
    <w:bookmarkEnd w:id="84"/>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 Additionally, the impacts of the change in the U.S. presidential administration also remains unknown.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93"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rates fluctuations could have an adverse impact on our operating results.</w:t>
      </w:r>
    </w:p>
    <w:p>
      <w:pPr>
        <w:spacing w:after="0" w:line="246" w:lineRule="exact"/>
        <w:rPr>
          <w:sz w:val="20"/>
          <w:szCs w:val="20"/>
          <w:color w:val="auto"/>
        </w:rPr>
      </w:pPr>
    </w:p>
    <w:p>
      <w:pPr>
        <w:ind w:right="140" w:firstLine="720"/>
        <w:spacing w:after="0" w:line="254" w:lineRule="auto"/>
        <w:rPr>
          <w:sz w:val="20"/>
          <w:szCs w:val="20"/>
          <w:color w:val="auto"/>
        </w:rPr>
      </w:pPr>
      <w:r>
        <w:rPr>
          <w:rFonts w:ascii="Times New Roman" w:cs="Times New Roman" w:eastAsia="Times New Roman" w:hAnsi="Times New Roman"/>
          <w:sz w:val="20"/>
          <w:szCs w:val="20"/>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195"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6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third-party collaborators, service providers, contractors or consultants, may fail or suffer cybersecurity incidents or data breaches, which could result in a material disruption of our drugs’ and drug candidates’ development programs and have a material adverse effect on our reputation, business, financial condition or results of operations.</w:t>
      </w:r>
    </w:p>
    <w:p>
      <w:pPr>
        <w:spacing w:after="0" w:line="193"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700"/>
          </w:cols>
          <w:pgMar w:left="1260" w:top="1246" w:right="1280" w:bottom="175" w:gutter="0" w:footer="0" w:header="0"/>
          <w:type w:val="continuous"/>
        </w:sectPr>
      </w:pPr>
    </w:p>
    <w:bookmarkStart w:id="85" w:name="page86"/>
    <w:bookmarkEnd w:id="85"/>
    <w:p>
      <w:pPr>
        <w:spacing w:after="0" w:line="241" w:lineRule="auto"/>
        <w:rPr>
          <w:sz w:val="20"/>
          <w:szCs w:val="20"/>
          <w:color w:val="auto"/>
        </w:rPr>
      </w:pPr>
      <w:r>
        <w:rPr>
          <w:rFonts w:ascii="Times New Roman" w:cs="Times New Roman" w:eastAsia="Times New Roman" w:hAnsi="Times New Roman"/>
          <w:sz w:val="20"/>
          <w:szCs w:val="20"/>
          <w:color w:val="auto"/>
        </w:rPr>
        <w:t>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(including phishing attacks) and other means to affect service reliability and threaten the confidentiality, integrity and availability of information. Cyber-attacks also could include wrongful conduct by employees or vendors, phishing attempts or e-mail fraud to cause payments or information to be transmitted to an unintended recipient and could include the use of artificial intelligence (AI), and machine learning to launch more automated, targeted and coordinated attacks on targets. The prevalent use of mobile devices also increases the risk of data security incidents. Although our business strategy, results of operations, and financial condition have not, to date, been materially affected by risks from cybersecurity threats, we and third parties upon whom we rely, like other companies in our industry, have, experienced threats and security incidents, including phishing attacks. Such events could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cybersecurity incident or data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cybersecurity incidents, data breaches, cyberattacks and other related security events.</w:t>
      </w:r>
    </w:p>
    <w:p>
      <w:pPr>
        <w:spacing w:after="0" w:line="21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Any failure or perceived failure by us or any third-party collaborators, service providers, contractors or consultants to comply with our privacy, confidentiality, data security or similar obligations to third parties, or any data security incidents or cybersecurity incidents that result in the unauthorized access, release or transfer of sensitive information, including physician data, patient data, or any personally identifiable information, may require that we notify affected stakeholders and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w:t>
      </w:r>
    </w:p>
    <w:p>
      <w:pPr>
        <w:spacing w:after="0" w:line="206"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Cybersecurity incidents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93"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use of new and evolving technologies, such as artificial intelligence, in our business may result in spending material resources and presents risks and uncertainties that can impact our business including by posing security and other risks to our confidential and/or proprietary information, including personal information, and as a result we may be exposed to reputational harm and liability.</w:t>
      </w:r>
    </w:p>
    <w:p>
      <w:pPr>
        <w:spacing w:after="0" w:line="191"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increasing use of AI, and machine learning technology in the biopharmaceutical industry presents new risks and challenges. If we enable or offer solutions that draw controversy due to perceived or actual negative societal impact, we may experience brand or reputational harm, competitive harm or legal liability. The use of AI based software may lead to intellectual property risks, including intellectual property infringement and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w:t>
      </w:r>
    </w:p>
    <w:p>
      <w:pPr>
        <w:spacing w:after="0" w:line="19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We expect to see increasing government and supranational regulation related to artificial intelligence use and ethics, which may also significantly increase the burden</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700"/>
          </w:cols>
          <w:pgMar w:left="1260" w:top="1246" w:right="1280" w:bottom="175" w:gutter="0" w:footer="0" w:header="0"/>
          <w:type w:val="continuous"/>
        </w:sectPr>
      </w:pPr>
    </w:p>
    <w:bookmarkStart w:id="86" w:name="page87"/>
    <w:bookmarkEnd w:id="86"/>
    <w:p>
      <w:pPr>
        <w:ind w:right="40"/>
        <w:spacing w:after="0" w:line="244" w:lineRule="auto"/>
        <w:rPr>
          <w:sz w:val="20"/>
          <w:szCs w:val="20"/>
          <w:color w:val="auto"/>
        </w:rPr>
      </w:pPr>
      <w:r>
        <w:rPr>
          <w:rFonts w:ascii="Times New Roman" w:cs="Times New Roman" w:eastAsia="Times New Roman" w:hAnsi="Times New Roman"/>
          <w:sz w:val="20"/>
          <w:szCs w:val="20"/>
          <w:color w:val="auto"/>
        </w:rPr>
        <w:t>and cost of research, development and compliance in this area. For example, in Europe, the EU’s Artificial Intelligence Act (“AI Act”) — which entered into force on August 1, 2024 and, with some exceptions, will begin to apply as of August 2, 2026 — imposes significant obligations on providers and deployers of high-risk artificial intelligence systems, and encourages providers and deployers of artificial intelligence systems to account for EU ethical principles in their development and use of these systems. Furthermore, in the U.S., a number of states have proposed and passed laws regulating various uses of AI, and federal regulators have issued guidance affecting the use of AI in regulated sectors. If we develop or use AI systems that are governed by these AI laws, it may necessitate ensuring higher standards of data quality, transparency, and human oversight, as well as adhering to specific and potentially burdensome and costly ethical, accountability, and administrative requirements.</w:t>
      </w:r>
    </w:p>
    <w:p>
      <w:pPr>
        <w:spacing w:after="0" w:line="19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85"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victims of cyber-security incident or are breached, and unauthorized access is obtained to our data or our information technology systems, we may incur significant legal and financial exposure and liabilities.</w:t>
      </w:r>
    </w:p>
    <w:p>
      <w:pPr>
        <w:spacing w:after="0" w:line="202"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23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2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Privacy and data security remain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Additional regulations and guidance requiring data localization and restrictions on data transfer increase complexity for global corporations.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stricter requirements for processing special category data (such as health data), having a valid legal basis or condition to process personal data, maintaining records</w:t>
      </w:r>
    </w:p>
    <w:p>
      <w:pPr>
        <w:sectPr>
          <w:pgSz w:w="12240" w:h="15840" w:orient="portrait"/>
          <w:cols w:equalWidth="0" w:num="1">
            <w:col w:w="9720"/>
          </w:cols>
          <w:pgMar w:left="1260" w:top="1246" w:right="1260" w:bottom="175"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20"/>
          </w:cols>
          <w:pgMar w:left="1260" w:top="1246" w:right="1260" w:bottom="175" w:gutter="0" w:footer="0" w:header="0"/>
          <w:type w:val="continuous"/>
        </w:sectPr>
      </w:pPr>
    </w:p>
    <w:bookmarkStart w:id="87" w:name="page88"/>
    <w:bookmarkEnd w:id="87"/>
    <w:p>
      <w:pPr>
        <w:ind w:right="100"/>
        <w:spacing w:after="0" w:line="246" w:lineRule="auto"/>
        <w:rPr>
          <w:sz w:val="20"/>
          <w:szCs w:val="20"/>
          <w:color w:val="auto"/>
        </w:rPr>
      </w:pPr>
      <w:r>
        <w:rPr>
          <w:rFonts w:ascii="Times New Roman" w:cs="Times New Roman" w:eastAsia="Times New Roman" w:hAnsi="Times New Roman"/>
          <w:sz w:val="20"/>
          <w:szCs w:val="20"/>
          <w:color w:val="auto"/>
        </w:rPr>
        <w:t>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spacing w:after="0" w:line="24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which failed in the UK legislative process. A new Data (Use and Access) Bill (UK Bill) has been introduced into parliament. If passed, the final version of the UK Bill may have the effect of further altering the similarities between the UK and EEA data protection regime and threaten the UK Adequacy Decision from the European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251"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Given the breadth and depth of changes in data protection obligations,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w:t>
      </w:r>
    </w:p>
    <w:p>
      <w:pPr>
        <w:spacing w:after="0" w:line="23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Further, European data protection laws also regulates the transfer of personal data from the EEA, the UK and Switzerland to third countries that are not considered to provide adequate protections to personal data. On June 4, 2021, the European Commission, or the EC, issued Standard Contractual Clauses, or the SCCs, for data transfers from controllers or processors in the EEA (or otherwise subject to the EU GDPR) to controllers or processors established outside the EEA (and not subject to the EU GDPR). The UK is not subject to the EC’s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spacing w:after="0" w:line="242"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UK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24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700"/>
          </w:cols>
          <w:pgMar w:left="1260" w:top="1246" w:right="1280" w:bottom="175" w:gutter="0" w:footer="0" w:header="0"/>
          <w:type w:val="continuous"/>
        </w:sectPr>
      </w:pPr>
    </w:p>
    <w:bookmarkStart w:id="88" w:name="page89"/>
    <w:bookmarkEnd w:id="88"/>
    <w:p>
      <w:pPr>
        <w:ind w:right="220"/>
        <w:spacing w:after="0" w:line="253" w:lineRule="auto"/>
        <w:rPr>
          <w:sz w:val="20"/>
          <w:szCs w:val="20"/>
          <w:color w:val="auto"/>
        </w:rPr>
      </w:pPr>
      <w:r>
        <w:rPr>
          <w:rFonts w:ascii="Times New Roman" w:cs="Times New Roman" w:eastAsia="Times New Roman" w:hAnsi="Times New Roman"/>
          <w:sz w:val="20"/>
          <w:szCs w:val="20"/>
          <w:color w:val="auto"/>
        </w:rPr>
        <w:t>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w:t>
      </w:r>
    </w:p>
    <w:p>
      <w:pPr>
        <w:spacing w:after="0" w:line="230" w:lineRule="exact"/>
        <w:rPr>
          <w:sz w:val="20"/>
          <w:szCs w:val="20"/>
          <w:color w:val="auto"/>
        </w:rPr>
      </w:pPr>
    </w:p>
    <w:p>
      <w:pPr>
        <w:ind w:right="420" w:firstLine="720"/>
        <w:spacing w:after="0" w:line="249" w:lineRule="auto"/>
        <w:rPr>
          <w:sz w:val="20"/>
          <w:szCs w:val="20"/>
          <w:color w:val="auto"/>
        </w:rPr>
      </w:pPr>
      <w:r>
        <w:rPr>
          <w:rFonts w:ascii="Times New Roman" w:cs="Times New Roman" w:eastAsia="Times New Roman" w:hAnsi="Times New Roman"/>
          <w:sz w:val="20"/>
          <w:szCs w:val="20"/>
          <w:color w:val="auto"/>
        </w:rPr>
        <w:t>In addition, we are subject to Swiss data protection laws, including the Federal Act on Data Protection, or FADP. While the FADP provides broad protections to personal data, the Swiss federal Parliament enacted a revised version of the FADP which came into effect in September 2023. The new version of the FADP aligns Swiss data protection law with the GDPR. We have updated our agreements to reflect the new requirements per the FADP, but further modifications or changes may require revisiting these agreements.</w:t>
      </w:r>
    </w:p>
    <w:p>
      <w:pPr>
        <w:spacing w:after="0" w:line="23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w:t>
      </w:r>
    </w:p>
    <w:p>
      <w:pPr>
        <w:spacing w:after="0" w:line="234" w:lineRule="exact"/>
        <w:rPr>
          <w:sz w:val="20"/>
          <w:szCs w:val="20"/>
          <w:color w:val="auto"/>
        </w:rPr>
      </w:pPr>
    </w:p>
    <w:p>
      <w:pPr>
        <w:ind w:firstLine="770"/>
        <w:spacing w:after="0" w:line="252" w:lineRule="auto"/>
        <w:rPr>
          <w:sz w:val="20"/>
          <w:szCs w:val="20"/>
          <w:color w:val="auto"/>
        </w:rPr>
      </w:pPr>
      <w:r>
        <w:rPr>
          <w:rFonts w:ascii="Times New Roman" w:cs="Times New Roman" w:eastAsia="Times New Roman" w:hAnsi="Times New Roman"/>
          <w:sz w:val="20"/>
          <w:szCs w:val="20"/>
          <w:color w:val="auto"/>
        </w:rPr>
        <w:t>Further, the EU Artificial Intelligence Act or AI Act came into force on August 1, 2024 with provisions effective between 2025 and 2026. The AI Act prescribes requirements on companies that publish, deploy or use AI systems to perform assessments and to ensure governance of process to ensure the transparency, fairness and accuracy of AI systems.</w:t>
      </w:r>
    </w:p>
    <w:p>
      <w:pPr>
        <w:spacing w:after="0" w:line="23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Preparing for and complying with the evolving application of the GDPR, national laws in Switzerland and the UK, ePrivacy Regulation (if and when it becomes effective) and the EU AI Act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24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addition to European data protection requirements, we are subject to US federal and state laws relating to privacy and data security. 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spacing w:after="0" w:line="245"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auto"/>
        </w:rPr>
        <w:t>In addition, certain state laws govern the privacy and security of personal information. For example, the California Consumer Privacy Act (CCPA), which took effect on January 1, 2020 and imposed sweeping privacy and security obligations on many companies doing business in California that meet one of three thresholds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was amended by the California Privacy Rights Act (CPRA) which became effective on January 1, 2023. The CPRA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The effects of the CCPA are significant and requires us to incur substantial costs and expenses in an effort to comply and increase our potential exposure to regulatory enforcement and/or litigation.</w:t>
      </w:r>
    </w:p>
    <w:p>
      <w:pPr>
        <w:spacing w:after="0" w:line="245"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In addition to the CCPA, similar laws have been passed in numerous other states, reflecting a trend toward more stringent privacy legislation in the U.S., which may accelerate. Further, other states have proposed new privacy laws which, if enacted, may add additional complexity, variation in requirements, restrictions and potential legal risk, require additional investment of resources in compliance programs, impact strategies and the availability of previously</w:t>
      </w:r>
    </w:p>
    <w:p>
      <w:pPr>
        <w:sectPr>
          <w:pgSz w:w="12240" w:h="15840" w:orient="portrait"/>
          <w:cols w:equalWidth="0" w:num="1">
            <w:col w:w="9700"/>
          </w:cols>
          <w:pgMar w:left="1260" w:top="1246" w:right="1280" w:bottom="175"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700"/>
          </w:cols>
          <w:pgMar w:left="1260" w:top="1246" w:right="1280" w:bottom="175" w:gutter="0" w:footer="0" w:header="0"/>
          <w:type w:val="continuous"/>
        </w:sectPr>
      </w:pPr>
    </w:p>
    <w:bookmarkStart w:id="89" w:name="page90"/>
    <w:bookmarkEnd w:id="89"/>
    <w:p>
      <w:pPr>
        <w:ind w:right="80"/>
        <w:spacing w:after="0" w:line="253" w:lineRule="auto"/>
        <w:rPr>
          <w:sz w:val="20"/>
          <w:szCs w:val="20"/>
          <w:color w:val="auto"/>
        </w:rPr>
      </w:pPr>
      <w:r>
        <w:rPr>
          <w:rFonts w:ascii="Times New Roman" w:cs="Times New Roman" w:eastAsia="Times New Roman" w:hAnsi="Times New Roman"/>
          <w:sz w:val="20"/>
          <w:szCs w:val="20"/>
          <w:color w:val="auto"/>
        </w:rPr>
        <w:t>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23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Furthermore, a smaller number of states have passed or are considering laws that are specifically focused upon health privacy, such as Washington’s My Health My Data Act which took effect on March 31, 2024 and regulates the collection and sharing of health information. This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41"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These various privacy and security laws may impact our business activities, including our identification of research subjects, relationships with business partners and ultimately the marketing and distribution of our products. The effects of the CCPA and other state and federal privacy laws are significant and may require us to modify our data processing practices and policies and to incur substantial costs and potential liability in an effort to comply with such legislation. State laws are changing rapidly and there is discussion in the U.S. Congress of a new comprehensive federal data privacy law to which we may become subject, if enacted.</w:t>
      </w:r>
    </w:p>
    <w:p>
      <w:pPr>
        <w:spacing w:after="0" w:line="23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w:t>
      </w:r>
    </w:p>
    <w:p>
      <w:pPr>
        <w:spacing w:after="0" w:line="236"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The Department of Justice, or DOJ, issued the final rule carrying out Executive Order 14117, Preventing Access to Americans’ Bulk Sensitive Personal Data and United States Government-Related Data by Countries of Concern. This rule imposes restrictions on data considered sensitive to certain countries. As a result, we are exposed to risks associated with required data sharing between ourselves and a vendor in a country of concern, and we will need to invest resources to ensure appropriate safeguards are in place prior to any sharing of sensitive data.</w:t>
      </w:r>
    </w:p>
    <w:p>
      <w:pPr>
        <w:spacing w:after="0" w:line="23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Cybersecurity presents an ongoing risk vector for our company. A cybersecurity incident or data breach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or data breach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 or data breaches.</w:t>
      </w:r>
    </w:p>
    <w:p>
      <w:pPr>
        <w:spacing w:after="0" w:line="24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9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67"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w:t>
      </w:r>
    </w:p>
    <w:p>
      <w:pPr>
        <w:sectPr>
          <w:pgSz w:w="12240" w:h="15840" w:orient="portrait"/>
          <w:cols w:equalWidth="0" w:num="1">
            <w:col w:w="9700"/>
          </w:cols>
          <w:pgMar w:left="1260" w:top="1246" w:right="1280" w:bottom="175"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700"/>
          </w:cols>
          <w:pgMar w:left="1260" w:top="1246" w:right="1280" w:bottom="175" w:gutter="0" w:footer="0" w:header="0"/>
          <w:type w:val="continuous"/>
        </w:sectPr>
      </w:pPr>
    </w:p>
    <w:bookmarkStart w:id="90" w:name="page91"/>
    <w:bookmarkEnd w:id="90"/>
    <w:p>
      <w:pPr>
        <w:spacing w:after="0" w:line="242" w:lineRule="auto"/>
        <w:rPr>
          <w:sz w:val="20"/>
          <w:szCs w:val="20"/>
          <w:color w:val="auto"/>
        </w:rPr>
      </w:pPr>
      <w:r>
        <w:rPr>
          <w:rFonts w:ascii="Times New Roman" w:cs="Times New Roman" w:eastAsia="Times New Roman" w:hAnsi="Times New Roman"/>
          <w:sz w:val="20"/>
          <w:szCs w:val="20"/>
          <w:color w:val="auto"/>
        </w:rPr>
        <w:t>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8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201"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adverse legislative or regulatory tax changes that could negatively impact our financial condition.</w:t>
      </w:r>
    </w:p>
    <w:p>
      <w:pPr>
        <w:spacing w:after="0" w:line="16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The inability to deduct research and development expenditures in their entirety will continue to have a material impact on the carryover of taxable losses used to offset future taxable income, and in turn will impact our cash flows in future years.</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Additionally, the Organization for Economic Co-operation and Development, or the OECD, the EC, and individual taxing jurisdictions where we and our affiliates do business have recently focused on issues related to the taxation of multinational corporations. In December 2021, the OECD released its comprehensive plan to create an agreed set of international rules for fighting base erosion and profit shifting, including the implementation of minimum taxes. As a result, tax laws in the U.S. and other countries in which we operate could change and any such changes could materially affect our business, prospects, operating results and financial condition. As of December 31, 2024, the Company does not meet the revenue threshold requirements set forth by the OECD and as such has not included any tax impact.</w:t>
      </w:r>
    </w:p>
    <w:p>
      <w:pPr>
        <w:sectPr>
          <w:pgSz w:w="12240" w:h="15840" w:orient="portrait"/>
          <w:cols w:equalWidth="0" w:num="1">
            <w:col w:w="9680"/>
          </w:cols>
          <w:pgMar w:left="1260" w:top="1246" w:right="1300" w:bottom="175"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680"/>
          </w:cols>
          <w:pgMar w:left="1260" w:top="1246" w:right="1300" w:bottom="175"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been and may in the future be volatile and fluctuate substantially.</w:t>
      </w:r>
    </w:p>
    <w:p>
      <w:pPr>
        <w:spacing w:after="0" w:line="24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stock price has been and may in the future be subject to substantial volatility. For example, our stock traded within a range of a high price of $125.61 and a low price of $ 13.04 per share for the period beginning on April 30, 2015, our first day of trading on The Nasdaq Global Select Market, through February 11, 2025. As a result of this volatility, our stockholders could incur substantial losses.</w:t>
      </w:r>
    </w:p>
    <w:p>
      <w:pPr>
        <w:spacing w:after="0" w:line="19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215" w:lineRule="exact"/>
        <w:rPr>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commercialization of our drugs and drug candidates, if approved;</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competitive drugs or technologies;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results of clinical trials of our drug candidates or those of our competitors;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or legal developments in the U.S. and other countries;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level of expenses related to any of our drug candidates or clinical development programs;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our efforts to discover, develop, acquire or in-license additional drug candidates or drugs;</w:t>
      </w:r>
    </w:p>
    <w:p>
      <w:pPr>
        <w:spacing w:after="0" w:line="238" w:lineRule="exact"/>
        <w:rPr>
          <w:rFonts w:ascii="Symbol" w:cs="Symbol" w:eastAsia="Symbol" w:hAnsi="Symbol"/>
          <w:sz w:val="20"/>
          <w:szCs w:val="20"/>
          <w:color w:val="auto"/>
        </w:rPr>
      </w:pPr>
    </w:p>
    <w:p>
      <w:pPr>
        <w:ind w:left="1440" w:right="1060" w:hanging="353"/>
        <w:spacing w:after="0" w:line="262" w:lineRule="auto"/>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238" w:lineRule="exact"/>
        <w:rPr>
          <w:rFonts w:ascii="Symbol" w:cs="Symbol" w:eastAsia="Symbol" w:hAnsi="Symbol"/>
          <w:sz w:val="20"/>
          <w:szCs w:val="20"/>
          <w:color w:val="auto"/>
        </w:rPr>
      </w:pPr>
    </w:p>
    <w:p>
      <w:pPr>
        <w:ind w:left="1440" w:right="120" w:hanging="353"/>
        <w:spacing w:after="0" w:line="262" w:lineRule="auto"/>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natural disasters, epidemic or pandemic disease outbreaks, trade wars, political unrest or other similar events;</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announcement of, or developments in, any litigation matters; and</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185"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Future sales or issuances of common stock or other equity related securities may also adversely affect the market price of our common stock. In February 2022, we entered into the Sales Agreement with Cowen through which we may, from time to time, issue and sell shares of our common stock having an aggregate offering price of up to $300.0 million, subject to the terms and conditions of the Sales Agreement. Through December 31, 2024, we sold 544,719 shares of common stock pursuant to the Sales Agreement, at an average price of $91.88 per share, with aggregate net</w:t>
      </w:r>
    </w:p>
    <w:p>
      <w:pPr>
        <w:sectPr>
          <w:pgSz w:w="12240" w:h="15840" w:orient="portrait"/>
          <w:cols w:equalWidth="0" w:num="1">
            <w:col w:w="9700"/>
          </w:cols>
          <w:pgMar w:left="1260" w:top="1243" w:right="1280" w:bottom="175"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700"/>
          </w:cols>
          <w:pgMar w:left="1260" w:top="1243" w:right="1280" w:bottom="175" w:gutter="0" w:footer="0" w:header="0"/>
          <w:type w:val="continuous"/>
        </w:sectPr>
      </w:pPr>
    </w:p>
    <w:bookmarkStart w:id="92" w:name="page93"/>
    <w:bookmarkEnd w:id="92"/>
    <w:p>
      <w:pPr>
        <w:jc w:val="both"/>
        <w:ind w:right="160"/>
        <w:spacing w:after="0" w:line="259" w:lineRule="auto"/>
        <w:rPr>
          <w:sz w:val="20"/>
          <w:szCs w:val="20"/>
          <w:color w:val="auto"/>
        </w:rPr>
      </w:pPr>
      <w:r>
        <w:rPr>
          <w:rFonts w:ascii="Times New Roman" w:cs="Times New Roman" w:eastAsia="Times New Roman" w:hAnsi="Times New Roman"/>
          <w:sz w:val="20"/>
          <w:szCs w:val="20"/>
          <w:color w:val="auto"/>
        </w:rPr>
        <w:t>proceeds of $48.9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9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In addition, we are, and may from time-to-time become, involved in lawsuits and other disputes that could have a material impact on us. See the section titled “</w:t>
      </w:r>
      <w:r>
        <w:rPr>
          <w:rFonts w:ascii="Times New Roman" w:cs="Times New Roman" w:eastAsia="Times New Roman" w:hAnsi="Times New Roman"/>
          <w:sz w:val="20"/>
          <w:szCs w:val="20"/>
          <w:i w:val="1"/>
          <w:iCs w:val="1"/>
          <w:color w:val="auto"/>
        </w:rPr>
        <w:t>Legal Proceedings</w:t>
      </w:r>
      <w:r>
        <w:rPr>
          <w:rFonts w:ascii="Times New Roman" w:cs="Times New Roman" w:eastAsia="Times New Roman" w:hAnsi="Times New Roman"/>
          <w:sz w:val="20"/>
          <w:szCs w:val="20"/>
          <w:color w:val="auto"/>
        </w:rPr>
        <w:t xml:space="preserve">” in Note 19, </w:t>
      </w:r>
      <w:r>
        <w:rPr>
          <w:rFonts w:ascii="Times New Roman" w:cs="Times New Roman" w:eastAsia="Times New Roman" w:hAnsi="Times New Roman"/>
          <w:sz w:val="20"/>
          <w:szCs w:val="20"/>
          <w:i w:val="1"/>
          <w:iCs w:val="1"/>
          <w:color w:val="auto"/>
        </w:rPr>
        <w:t xml:space="preserve">Commitments and Contingencies </w:t>
      </w:r>
      <w:r>
        <w:rPr>
          <w:rFonts w:ascii="Times New Roman" w:cs="Times New Roman" w:eastAsia="Times New Roman" w:hAnsi="Times New Roman"/>
          <w:sz w:val="20"/>
          <w:szCs w:val="20"/>
          <w:color w:val="auto"/>
        </w:rPr>
        <w:t>to our consolidated financial statements included in this Annual Report on Form 10 -K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information regarding currently pending litigation. It is possible that we may not prevail in any such lawsuits and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program with Cowen.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99"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color w:val="auto"/>
        </w:rPr>
        <w:t>In February 2022, we commenced a new ATM program, the ATM Facility with Cowen to raise additional capital. Under our ATM Facility, we entered into the Sales Agreement, pursuant to which we can sell common shares, up to a maximum aggregate market value of $300.0 million, through one or more at-the-market offerings. Through December 31, 2024,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if we need additional capital.</w:t>
      </w:r>
    </w:p>
    <w:p>
      <w:pPr>
        <w:spacing w:after="0" w:line="202"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98"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any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8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publish negative evaluations of or downgrade our common stock, the price of our common stock could decline.</w:t>
      </w:r>
    </w:p>
    <w:p>
      <w:pPr>
        <w:spacing w:after="0" w:line="168"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19"/>
          <w:szCs w:val="19"/>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700"/>
          </w:cols>
          <w:pgMar w:left="1260" w:top="1246" w:right="1280" w:bottom="175" w:gutter="0" w:footer="0" w:header="0"/>
          <w:type w:val="continuous"/>
        </w:sectPr>
      </w:pPr>
    </w:p>
    <w:bookmarkStart w:id="93" w:name="page94"/>
    <w:bookmarkEnd w:id="93"/>
    <w:p>
      <w:pPr>
        <w:ind w:right="280"/>
        <w:spacing w:after="0" w:line="278" w:lineRule="auto"/>
        <w:rPr>
          <w:sz w:val="20"/>
          <w:szCs w:val="20"/>
          <w:color w:val="auto"/>
        </w:rPr>
      </w:pPr>
      <w:r>
        <w:rPr>
          <w:rFonts w:ascii="Times New Roman" w:cs="Times New Roman" w:eastAsia="Times New Roman" w:hAnsi="Times New Roman"/>
          <w:sz w:val="20"/>
          <w:szCs w:val="20"/>
          <w:color w:val="auto"/>
        </w:rPr>
        <w:t>analysts cease to cover our common stock, we could lose visibility in the market for our common stock, which in turn could cause our common stock price to decline.</w:t>
      </w:r>
    </w:p>
    <w:p>
      <w:pPr>
        <w:spacing w:after="0" w:line="16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67"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217" w:lineRule="exact"/>
        <w:rPr>
          <w:sz w:val="20"/>
          <w:szCs w:val="20"/>
          <w:color w:val="auto"/>
        </w:rPr>
      </w:pPr>
    </w:p>
    <w:p>
      <w:pPr>
        <w:ind w:left="1440" w:hanging="353"/>
        <w:spacing w:after="0"/>
        <w:tabs>
          <w:tab w:leader="none" w:pos="144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delaying, deferring or preventing a change of control of us;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impeding a merger, consolidation, takeover or other business combination involving us; or</w:t>
      </w:r>
    </w:p>
    <w:p>
      <w:pPr>
        <w:spacing w:after="0" w:line="238" w:lineRule="exact"/>
        <w:rPr>
          <w:rFonts w:ascii="Symbol" w:cs="Symbol" w:eastAsia="Symbol" w:hAnsi="Symbol"/>
          <w:sz w:val="20"/>
          <w:szCs w:val="20"/>
          <w:color w:val="auto"/>
        </w:rPr>
      </w:pPr>
    </w:p>
    <w:p>
      <w:pPr>
        <w:ind w:left="1440" w:right="80" w:hanging="353"/>
        <w:spacing w:after="0" w:line="262" w:lineRule="auto"/>
        <w:tabs>
          <w:tab w:leader="none" w:pos="144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discouraging a potential acquiror from making a tender offer or otherwise attempting to obtain control of us.</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96"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6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Exchange Act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700"/>
          </w:cols>
          <w:pgMar w:left="1260" w:top="1246" w:right="1280" w:bottom="175" w:gutter="0" w:footer="0" w:header="0"/>
          <w:type w:val="continuous"/>
        </w:sectPr>
      </w:pPr>
    </w:p>
    <w:bookmarkStart w:id="94" w:name="page95"/>
    <w:bookmarkEnd w:id="94"/>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68"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201"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w:t>
      </w:r>
    </w:p>
    <w:p>
      <w:pPr>
        <w:sectPr>
          <w:pgSz w:w="12240" w:h="15840" w:orient="portrait"/>
          <w:cols w:equalWidth="0" w:num="1">
            <w:col w:w="9660"/>
          </w:cols>
          <w:pgMar w:left="1260" w:top="1246" w:right="1320" w:bottom="175" w:gutter="0" w:footer="0" w:header="0"/>
        </w:sect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660"/>
          </w:cols>
          <w:pgMar w:left="1260" w:top="1246" w:right="1320" w:bottom="175" w:gutter="0" w:footer="0" w:header="0"/>
          <w:type w:val="continuous"/>
        </w:sectPr>
      </w:pPr>
    </w:p>
    <w:bookmarkStart w:id="95" w:name="page96"/>
    <w:bookmarkEnd w:id="95"/>
    <w:p>
      <w:pPr>
        <w:ind w:right="40"/>
        <w:spacing w:after="0" w:line="245" w:lineRule="auto"/>
        <w:rPr>
          <w:sz w:val="20"/>
          <w:szCs w:val="20"/>
          <w:color w:val="auto"/>
        </w:rPr>
      </w:pPr>
      <w:r>
        <w:rPr>
          <w:rFonts w:ascii="Times New Roman" w:cs="Times New Roman" w:eastAsia="Times New Roman" w:hAnsi="Times New Roman"/>
          <w:sz w:val="20"/>
          <w:szCs w:val="20"/>
          <w:color w:val="auto"/>
        </w:rPr>
        <w:t>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203"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67"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all of our future earnings, if any, to finance the growth and development of our business. In addition, the terms of the Financing Agreement preclude us, and the terms of any future debt agreements may preclude us from paying cash dividends. As a result, capital appreciation, if any, of our common stock will be the sole source of gain for our stockholders for the foreseeable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Repurchases of our capital stock may be subject to additional tax.</w:t>
      </w:r>
    </w:p>
    <w:p>
      <w:pPr>
        <w:spacing w:after="0" w:line="246"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auto"/>
        </w:rPr>
        <w:t>As part of the Inflation Reduction Act of 2022, for tax years beginning on or after December 31, 2022, U.S. Congress enacted a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may be limited.</w:t>
      </w:r>
    </w:p>
    <w:p>
      <w:pPr>
        <w:spacing w:after="0" w:line="246" w:lineRule="exact"/>
        <w:rPr>
          <w:sz w:val="20"/>
          <w:szCs w:val="20"/>
          <w:color w:val="auto"/>
        </w:rPr>
      </w:pPr>
    </w:p>
    <w:p>
      <w:pPr>
        <w:ind w:right="20" w:firstLine="720"/>
        <w:spacing w:after="0" w:line="251"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2024, we had federal net operating loss carryforwards of approximately $859.2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21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percentage point ownership change. The previous Section 382 model, through December 31, 2021, was updated for reported transactions among the Company’s 5% owners. The analysis concluded that there was no additional Company equity activity through December 31, 2022 that would rise to the level of a greater than 50 percentage point ownership change. The Company has not performed an analysis through December 31, 2024 at this time.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700"/>
          </w:cols>
          <w:pgMar w:left="1260" w:top="1246" w:right="1280" w:bottom="175" w:gutter="0" w:footer="0" w:header="0"/>
          <w:type w:val="continuous"/>
        </w:sectPr>
      </w:pPr>
    </w:p>
    <w:bookmarkStart w:id="96" w:name="page97"/>
    <w:bookmarkEnd w:id="96"/>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Related to Cybersecurity Risks</w:t>
      </w:r>
    </w:p>
    <w:p>
      <w:pPr>
        <w:spacing w:after="0" w:line="24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management, with involvement and input from our audit committee, performs an annual enterprise-wide risk management (ERM) assessment to identify and manage key existing and emerging risks for our company. Our ERM process seeks to identify both the potential impacts to our company of a particular risk and the likelihood and proximity of any such risk. Our management team is responsible for implementing and overseeing our ERM process. Cybersecurity is among the risks identified for board of directors’ level risk oversight as a result of our most recent ERM assessment, with our audit committee of the board of directors having been delegated responsibility for overseeing our policies, practices and assessments with respect to cybersecurity and other information technology risks.</w:t>
      </w:r>
    </w:p>
    <w:p>
      <w:pPr>
        <w:spacing w:after="0" w:line="19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information security team is led by the SVP of IS, who reports to our chief financial officer. Our SVP of IS has over 25 years of experience managing and securing technology infrastructure. The information security team has responsibility for the planning and execution of our processes to manage cybersecurity and other information technology risks. The information security team also institutes and maintains controls for our systems, applications, and databases.</w:t>
      </w:r>
    </w:p>
    <w:p>
      <w:pPr>
        <w:spacing w:after="0" w:line="184"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audit committee receives periodic updates on our cybersecurity risks from our information security team, which include biannual presentations on the status of our cybersecurity risk management program by the SVP IS. These reports include updates on our performance preparing for, preventing, detecting, responding to and recovering from cyber incidents, if any. In addition, as needed, management updates the audit committee regarding any notable cybersecurity incidents. We have also implemented an annual process for employees to complete security awareness training.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 Risk Management and Strategy</w:t>
      </w:r>
    </w:p>
    <w:p>
      <w:pPr>
        <w:spacing w:after="0" w:line="244" w:lineRule="exact"/>
        <w:rPr>
          <w:sz w:val="20"/>
          <w:szCs w:val="20"/>
          <w:color w:val="auto"/>
        </w:rPr>
      </w:pPr>
    </w:p>
    <w:p>
      <w:pPr>
        <w:ind w:right="440" w:firstLine="720"/>
        <w:spacing w:after="0" w:line="249" w:lineRule="auto"/>
        <w:rPr>
          <w:sz w:val="20"/>
          <w:szCs w:val="20"/>
          <w:color w:val="auto"/>
        </w:rPr>
      </w:pPr>
      <w:r>
        <w:rPr>
          <w:rFonts w:ascii="Times New Roman" w:cs="Times New Roman" w:eastAsia="Times New Roman" w:hAnsi="Times New Roman"/>
          <w:sz w:val="20"/>
          <w:szCs w:val="20"/>
          <w:color w:val="auto"/>
        </w:rPr>
        <w:t>Our processes to identify, assess, and manage risks presented by cybersecurity threats are informed by the National Institute of Standards and Technology Cybersecurity Framework. Our SVP of IS, with support from the information security team, is informed about and monitors the prevention, detection, mitigation, and remediation of cybersecurity risks and incidents through various means, which include leveraging external third parties for security testing.</w:t>
      </w:r>
    </w:p>
    <w:p>
      <w:pPr>
        <w:spacing w:after="0" w:line="18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The information security team monitors security alerts from information security research sources and peer networking, and we have implemented processes and technologies for monitoring our networks for exfiltration of sensitive company information. Before contracting with third parties or purchasing third party technology or other solutions that involve exposure to sensitive company information the team assesses vendor risk, including by requesting SOC2 reports and/or security documentation from a vendor, where appropriate, and we receive and review security updates and alerts from these third parties. Penetration testing is performed periodically across our network boundaries to identify issues for remediation. Additionally, we maintain off-site back-ups and disaster recovery plans to restore our information and systems in the event of a disruptive event.</w:t>
      </w:r>
    </w:p>
    <w:p>
      <w:pPr>
        <w:spacing w:after="0" w:line="192" w:lineRule="exact"/>
        <w:rPr>
          <w:sz w:val="20"/>
          <w:szCs w:val="20"/>
          <w:color w:val="auto"/>
        </w:rPr>
      </w:pPr>
    </w:p>
    <w:p>
      <w:pPr>
        <w:ind w:right="380" w:firstLine="720"/>
        <w:spacing w:after="0" w:line="249" w:lineRule="auto"/>
        <w:rPr>
          <w:sz w:val="20"/>
          <w:szCs w:val="20"/>
          <w:color w:val="auto"/>
        </w:rPr>
      </w:pPr>
      <w:r>
        <w:rPr>
          <w:rFonts w:ascii="Times New Roman" w:cs="Times New Roman" w:eastAsia="Times New Roman" w:hAnsi="Times New Roman"/>
          <w:sz w:val="20"/>
          <w:szCs w:val="20"/>
          <w:color w:val="auto"/>
        </w:rPr>
        <w:t>The information security team also has processes in place to inform and update management and, as needed, the audit committee about cybersecurity incidents that may pose significant risk to the company. Although risks from cybersecurity threats have to date not materially affected us, our business strategy, results of operations or financial condition, we have, from time to time, experienced threats and security incidents relating to our and our third-party vendors’ data and systems. For more information, please see “</w:t>
      </w:r>
      <w:r>
        <w:rPr>
          <w:rFonts w:ascii="Times New Roman" w:cs="Times New Roman" w:eastAsia="Times New Roman" w:hAnsi="Times New Roman"/>
          <w:sz w:val="20"/>
          <w:szCs w:val="20"/>
          <w:i w:val="1"/>
          <w:iCs w:val="1"/>
          <w:color w:val="auto"/>
        </w:rPr>
        <w:t>Item 1A, Risk Factors.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720"/>
          </w:cols>
          <w:pgMar w:left="1260" w:top="1440" w:right="1260" w:bottom="175"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Our headquarters are located at 45 Sidney Street in Cambridge, Massachusetts where we occupy approximately 139,216 rentable square feet of office and laboratory space under a lease that will expire on November 30, 2029, unless terminated sooner.</w:t>
      </w:r>
    </w:p>
    <w:p>
      <w:pPr>
        <w:spacing w:after="0" w:line="185" w:lineRule="exact"/>
        <w:rPr>
          <w:sz w:val="20"/>
          <w:szCs w:val="20"/>
          <w:color w:val="auto"/>
        </w:rPr>
      </w:pPr>
    </w:p>
    <w:p>
      <w:pPr>
        <w:ind w:right="380" w:firstLine="720"/>
        <w:spacing w:after="0" w:line="259" w:lineRule="auto"/>
        <w:rPr>
          <w:sz w:val="20"/>
          <w:szCs w:val="20"/>
          <w:color w:val="auto"/>
        </w:rPr>
      </w:pPr>
      <w:r>
        <w:rPr>
          <w:rFonts w:ascii="Times New Roman" w:cs="Times New Roman" w:eastAsia="Times New Roman" w:hAnsi="Times New Roman"/>
          <w:sz w:val="20"/>
          <w:szCs w:val="20"/>
          <w:color w:val="auto"/>
        </w:rPr>
        <w:t>We also lease approximately 39,000 rentable square feet at our former corporate headquarters at 38 Sidney Street in Cambridge, Massachusetts under a lease that was extended in December 2021, and will now expire on November 30, 2029.</w:t>
      </w:r>
    </w:p>
    <w:p>
      <w:pPr>
        <w:spacing w:after="0" w:line="185" w:lineRule="exact"/>
        <w:rPr>
          <w:sz w:val="20"/>
          <w:szCs w:val="20"/>
          <w:color w:val="auto"/>
        </w:rPr>
      </w:pPr>
    </w:p>
    <w:p>
      <w:pPr>
        <w:ind w:right="460" w:firstLine="720"/>
        <w:spacing w:after="0" w:line="278" w:lineRule="auto"/>
        <w:rPr>
          <w:sz w:val="20"/>
          <w:szCs w:val="20"/>
          <w:color w:val="auto"/>
        </w:rPr>
      </w:pPr>
      <w:r>
        <w:rPr>
          <w:rFonts w:ascii="Times New Roman" w:cs="Times New Roman" w:eastAsia="Times New Roman" w:hAnsi="Times New Roman"/>
          <w:sz w:val="20"/>
          <w:szCs w:val="20"/>
          <w:color w:val="auto"/>
        </w:rPr>
        <w:t>We believe that our existing office and laboratory space is sufficient to meet our needs for the foreseeable future and that suitable additional space will be available as and when needed.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For a description of our material legal proceedings, please see the section titled “</w:t>
      </w:r>
      <w:r>
        <w:rPr>
          <w:rFonts w:ascii="Times New Roman" w:cs="Times New Roman" w:eastAsia="Times New Roman" w:hAnsi="Times New Roman"/>
          <w:sz w:val="20"/>
          <w:szCs w:val="20"/>
          <w:i w:val="1"/>
          <w:iCs w:val="1"/>
          <w:color w:val="auto"/>
        </w:rPr>
        <w:t>Legal Proceedings</w:t>
      </w:r>
      <w:r>
        <w:rPr>
          <w:rFonts w:ascii="Times New Roman" w:cs="Times New Roman" w:eastAsia="Times New Roman" w:hAnsi="Times New Roman"/>
          <w:sz w:val="20"/>
          <w:szCs w:val="20"/>
          <w:color w:val="auto"/>
        </w:rPr>
        <w:t xml:space="preserve">” in Note 19,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to our consolidated financial statements included in this Annual Report on Form 10-K.</w:t>
      </w:r>
    </w:p>
    <w:p>
      <w:pPr>
        <w:spacing w:after="0" w:line="181"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660"/>
          </w:cols>
          <w:pgMar w:left="1260" w:top="1243" w:right="13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660"/>
          </w:cols>
          <w:pgMar w:left="1260" w:top="1243" w:right="1320" w:bottom="175" w:gutter="0" w:footer="0" w:header="0"/>
          <w:type w:val="continuous"/>
        </w:sectPr>
      </w:pPr>
    </w:p>
    <w:bookmarkStart w:id="98" w:name="page99"/>
    <w:bookmarkEnd w:id="98"/>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5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Information Regarding the Trading of Our Common Stock</w:t>
      </w:r>
    </w:p>
    <w:p>
      <w:pPr>
        <w:spacing w:after="0" w:line="164" w:lineRule="exact"/>
        <w:rPr>
          <w:sz w:val="20"/>
          <w:szCs w:val="20"/>
          <w:color w:val="auto"/>
        </w:rPr>
      </w:pPr>
    </w:p>
    <w:p>
      <w:pPr>
        <w:ind w:right="600" w:firstLine="720"/>
        <w:spacing w:after="0" w:line="278" w:lineRule="auto"/>
        <w:rPr>
          <w:sz w:val="20"/>
          <w:szCs w:val="20"/>
          <w:color w:val="auto"/>
        </w:rPr>
      </w:pPr>
      <w:r>
        <w:rPr>
          <w:rFonts w:ascii="Times New Roman" w:cs="Times New Roman" w:eastAsia="Times New Roman" w:hAnsi="Times New Roman"/>
          <w:sz w:val="20"/>
          <w:szCs w:val="20"/>
          <w:color w:val="auto"/>
        </w:rPr>
        <w:t>Our common stock trades under the symbol “BPMC” on the Nasdaq Global Select Market and has been publicly traded since April 30, 2015.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64"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color w:val="auto"/>
        </w:rPr>
        <w:t>As of January 31, 2025, there were 7 holders of record of our common stock. This number does not include beneficial owners whose shares are held by nominees in street name.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6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6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16"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The following performance graph compares the performance of our common stock to the Nasdaq Composite Index and to the Nasdaq Biotechnology Index from December 31, 2015 through December 31, 2024.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ectPr>
          <w:pgSz w:w="12240" w:h="15840" w:orient="portrait"/>
          <w:cols w:equalWidth="0" w:num="1">
            <w:col w:w="9640"/>
          </w:cols>
          <w:pgMar w:left="1260" w:top="1243"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640"/>
          </w:cols>
          <w:pgMar w:left="1260" w:top="1243" w:right="1340" w:bottom="175"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801370</wp:posOffset>
            </wp:positionH>
            <wp:positionV relativeFrom="page">
              <wp:posOffset>801370</wp:posOffset>
            </wp:positionV>
            <wp:extent cx="6169025" cy="3435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extLst>
                    </a:blip>
                    <a:srcRect/>
                    <a:stretch>
                      <a:fillRect/>
                    </a:stretch>
                  </pic:blipFill>
                  <pic:spPr bwMode="auto">
                    <a:xfrm>
                      <a:off x="0" y="0"/>
                      <a:ext cx="6169025" cy="343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3"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Information about our equity compensation plans will be included in our definitive proxy statement to be filed with the SEC with respect to our 2025 Annual Meeting of Stockholders and is incorporated herein by reference.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2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We did not purchase any of our registered equity securities during the period covered by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04"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 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4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Information pertaining to fiscal year 2022 was included in the Company’s Annual Report on Form 10-K for the year ended December 31, 2023 on pages 105 through 113 under Part II, Item 7, “Management’s Discussion and Analysis of Financial Position and Results of Operations,” which was filed with the Securities and Exchange Commission (the “SEC”) on February 15, 2024.</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660"/>
          </w:cols>
          <w:pgMar w:left="1260" w:top="1440" w:right="1320" w:bottom="175"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83"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spacing w:after="0" w:line="246"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 diseases, breast cancer and other solid tumors. Our focused business model integrates our research engine with robust clinical development and commercial capabilities in allergy/inflammation and solid tumors to create a sustainable cycle of innovation</w:t>
      </w:r>
      <w:r>
        <w:rPr>
          <w:rFonts w:ascii="Times New Roman" w:cs="Times New Roman" w:eastAsia="Times New Roman" w:hAnsi="Times New Roman"/>
          <w:sz w:val="20"/>
          <w:szCs w:val="20"/>
          <w:b w:val="1"/>
          <w:bCs w:val="1"/>
          <w:color w:val="auto"/>
        </w:rPr>
        <w:t>.</w:t>
      </w:r>
    </w:p>
    <w:p>
      <w:pPr>
        <w:spacing w:after="0" w:line="23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described in Part I, Item 1.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of this Annual Report on Form 10-K, we currently have two products that have received marketing approval, including one partnered product, and multiple investigational programs of various stages advancing towards potential commercialization. In Part I, Item 1.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you can also find a summary of key events from 2023 and 2024 to-date related to our marketed products and our clinical development programs.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28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2024, we have received an aggregate of $3.9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and milestone payments under our collaborations with CStone and Zai Lab, our now terminated collaborations with Roche, our license agreement with Clementia, our agreement with Rigel and our former collaboration with Alexion Pharma Holding (Alexion) and $400.0 million in gross proceeds from a term loan from Sixth Street Partners. In addition, since January 2020, we have also generated revenue through the sales of our approved drug products.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Since inception, we have incurred significant operating losses. Our net loss was $67.1 million for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2024. Our net losses were $507.0 million and $557.5 million for the years ended</w:t>
      </w:r>
    </w:p>
    <w:p>
      <w:pPr>
        <w:spacing w:after="0"/>
        <w:rPr>
          <w:sz w:val="20"/>
          <w:szCs w:val="20"/>
          <w:color w:val="auto"/>
        </w:rPr>
      </w:pPr>
      <w:r>
        <w:rPr>
          <w:rFonts w:ascii="Times New Roman" w:cs="Times New Roman" w:eastAsia="Times New Roman" w:hAnsi="Times New Roman"/>
          <w:sz w:val="20"/>
          <w:szCs w:val="20"/>
          <w:color w:val="auto"/>
        </w:rPr>
        <w:t>December 31, 2023 and 2022, respectively. As of December 31, 2024, we had an accumulated deficit of</w:t>
      </w:r>
    </w:p>
    <w:p>
      <w:pPr>
        <w:spacing w:after="0"/>
        <w:rPr>
          <w:sz w:val="20"/>
          <w:szCs w:val="20"/>
          <w:color w:val="auto"/>
        </w:rPr>
      </w:pPr>
      <w:r>
        <w:rPr>
          <w:rFonts w:ascii="Times New Roman" w:cs="Times New Roman" w:eastAsia="Times New Roman" w:hAnsi="Times New Roman"/>
          <w:sz w:val="20"/>
          <w:szCs w:val="20"/>
          <w:color w:val="auto"/>
        </w:rPr>
        <w:t>$2,407.0 million. We expect to continue to incur significant expenses over the next few years, with anticipated</w:t>
      </w:r>
    </w:p>
    <w:p>
      <w:pPr>
        <w:spacing w:after="0"/>
        <w:rPr>
          <w:sz w:val="20"/>
          <w:szCs w:val="20"/>
          <w:color w:val="auto"/>
        </w:rPr>
      </w:pPr>
      <w:r>
        <w:rPr>
          <w:rFonts w:ascii="Times New Roman" w:cs="Times New Roman" w:eastAsia="Times New Roman" w:hAnsi="Times New Roman"/>
          <w:sz w:val="20"/>
          <w:szCs w:val="20"/>
          <w:color w:val="auto"/>
        </w:rPr>
        <w:t>variability in these expenses due to our ongoing activities, particularly as we:</w:t>
      </w:r>
    </w:p>
    <w:p>
      <w:pPr>
        <w:spacing w:after="0" w:line="265" w:lineRule="exact"/>
        <w:rPr>
          <w:sz w:val="20"/>
          <w:szCs w:val="20"/>
          <w:color w:val="auto"/>
        </w:rPr>
      </w:pPr>
    </w:p>
    <w:p>
      <w:pPr>
        <w:ind w:left="1440" w:right="100" w:hanging="353"/>
        <w:spacing w:after="0" w:line="262" w:lineRule="auto"/>
        <w:tabs>
          <w:tab w:leader="none" w:pos="144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and expand our sales, marketing and distribution infrastructure to continue to commercialize avapritinib and any current or future drug candidates for which we may obtain marketing approval;</w:t>
      </w:r>
    </w:p>
    <w:p>
      <w:pPr>
        <w:spacing w:after="0" w:line="196" w:lineRule="exact"/>
        <w:rPr>
          <w:rFonts w:ascii="Symbol" w:cs="Symbol" w:eastAsia="Symbol" w:hAnsi="Symbol"/>
          <w:sz w:val="20"/>
          <w:szCs w:val="20"/>
          <w:color w:val="auto"/>
        </w:rPr>
      </w:pPr>
    </w:p>
    <w:p>
      <w:pPr>
        <w:ind w:left="1440" w:hanging="353"/>
        <w:spacing w:after="0"/>
        <w:tabs>
          <w:tab w:leader="none" w:pos="144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seek marketing approval for avapritinib in additional geographies;</w:t>
      </w:r>
    </w:p>
    <w:p>
      <w:pPr>
        <w:spacing w:after="0" w:line="238" w:lineRule="exact"/>
        <w:rPr>
          <w:rFonts w:ascii="Symbol" w:cs="Symbol" w:eastAsia="Symbol" w:hAnsi="Symbol"/>
          <w:sz w:val="20"/>
          <w:szCs w:val="20"/>
          <w:color w:val="auto"/>
        </w:rPr>
      </w:pPr>
    </w:p>
    <w:p>
      <w:pPr>
        <w:ind w:left="1440" w:right="640" w:hanging="353"/>
        <w:spacing w:after="0" w:line="262" w:lineRule="auto"/>
        <w:tabs>
          <w:tab w:leader="none" w:pos="144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or advance clinical development activities for other current or future drug candidates as monotherapies or in combination with other agents;</w:t>
      </w:r>
    </w:p>
    <w:p>
      <w:pPr>
        <w:sectPr>
          <w:pgSz w:w="12240" w:h="15840" w:orient="portrait"/>
          <w:cols w:equalWidth="0" w:num="1">
            <w:col w:w="9700"/>
          </w:cols>
          <w:pgMar w:left="1260" w:top="1243"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700"/>
          </w:cols>
          <w:pgMar w:left="1260" w:top="1243" w:right="1280" w:bottom="175" w:gutter="0" w:footer="0" w:header="0"/>
          <w:type w:val="continuous"/>
        </w:sectPr>
      </w:pPr>
    </w:p>
    <w:bookmarkStart w:id="101" w:name="page102"/>
    <w:bookmarkEnd w:id="101"/>
    <w:p>
      <w:pPr>
        <w:ind w:left="1440" w:right="480" w:hanging="353"/>
        <w:spacing w:after="0" w:line="262" w:lineRule="auto"/>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discover, validate and develop additional drug candidates or development candidates, including elenestinib (BLU-263) and BLU-808;</w:t>
      </w:r>
    </w:p>
    <w:p>
      <w:pPr>
        <w:spacing w:after="0" w:line="196" w:lineRule="exact"/>
        <w:rPr>
          <w:rFonts w:ascii="Symbol" w:cs="Symbol" w:eastAsia="Symbol" w:hAnsi="Symbol"/>
          <w:sz w:val="20"/>
          <w:szCs w:val="20"/>
          <w:color w:val="auto"/>
        </w:rPr>
      </w:pPr>
    </w:p>
    <w:p>
      <w:pPr>
        <w:ind w:left="1440" w:right="80" w:hanging="353"/>
        <w:spacing w:after="0" w:line="247" w:lineRule="auto"/>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manufacture increasing quantities of drug substance and drug product material for use in preclinical studies, clinical trials and commercialization; and to purchase quantities of other agents for use in our clinical trials as we develop our drugs and drug candidates either as potential combination therapies or for use as comparator agents;</w:t>
      </w:r>
    </w:p>
    <w:p>
      <w:pPr>
        <w:spacing w:after="0" w:line="212" w:lineRule="exact"/>
        <w:rPr>
          <w:rFonts w:ascii="Symbol" w:cs="Symbol" w:eastAsia="Symbol" w:hAnsi="Symbol"/>
          <w:sz w:val="20"/>
          <w:szCs w:val="20"/>
          <w:color w:val="auto"/>
        </w:rPr>
      </w:pPr>
    </w:p>
    <w:p>
      <w:pPr>
        <w:ind w:left="1440" w:hanging="353"/>
        <w:spacing w:after="0"/>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conduct research and development activities under current or future collaborations;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239" w:lineRule="exact"/>
        <w:rPr>
          <w:rFonts w:ascii="Symbol" w:cs="Symbol" w:eastAsia="Symbol" w:hAnsi="Symbol"/>
          <w:sz w:val="20"/>
          <w:szCs w:val="20"/>
          <w:color w:val="auto"/>
        </w:rPr>
      </w:pPr>
    </w:p>
    <w:p>
      <w:pPr>
        <w:ind w:left="1440" w:right="480" w:hanging="353"/>
        <w:spacing w:after="0" w:line="262" w:lineRule="auto"/>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acquire or in-license additional businesses, technologies, drugs or drug candidates, form strategic alliances or create joint ventures with third parties; and</w:t>
      </w:r>
    </w:p>
    <w:p>
      <w:pPr>
        <w:spacing w:after="0" w:line="195" w:lineRule="exact"/>
        <w:rPr>
          <w:rFonts w:ascii="Symbol" w:cs="Symbol" w:eastAsia="Symbol" w:hAnsi="Symbol"/>
          <w:sz w:val="20"/>
          <w:szCs w:val="20"/>
          <w:color w:val="auto"/>
        </w:rPr>
      </w:pPr>
    </w:p>
    <w:p>
      <w:pPr>
        <w:ind w:left="1440" w:right="480" w:hanging="353"/>
        <w:spacing w:after="0" w:line="262" w:lineRule="auto"/>
        <w:tabs>
          <w:tab w:leader="none" w:pos="144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hire additional research, clinical, quality, manufacturing, regulatory, commercial and general and administrative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249"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2024, our revenue primarily consisted of product sales of AYVAKIT/AYVAKYT as well as some collaboration, license and other revenue. Our collaboration, license and other revenue primarily included revenue related to the Rigel Agreement.</w:t>
      </w:r>
    </w:p>
    <w:p>
      <w:pPr>
        <w:spacing w:after="0" w:line="225"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license and other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license or other agreements, if any.</w:t>
      </w:r>
    </w:p>
    <w:p>
      <w:pPr>
        <w:spacing w:after="0" w:line="240"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In 2025, we anticipate a robust increase in net product revenues compared to 2024, as we continue to add new patients onto AYVAKIT/AYVAKYT, including those with indolent SM and advanced SM.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8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distribution, freight, and indirect overhead costs as well as amounts written down as a result of excess, obsolescence, unmarketability or other reasons. In addition, shipping and handling costs for product shipments are recorded in cost of sales as incurred.</w:t>
      </w:r>
    </w:p>
    <w:p>
      <w:pPr>
        <w:sectPr>
          <w:pgSz w:w="12240" w:h="15840" w:orient="portrait"/>
          <w:cols w:equalWidth="0" w:num="1">
            <w:col w:w="9700"/>
          </w:cols>
          <w:pgMar w:left="1260" w:top="1261" w:right="1280" w:bottom="175"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700"/>
          </w:cols>
          <w:pgMar w:left="1260" w:top="1261" w:right="1280" w:bottom="175" w:gutter="0" w:footer="0" w:header="0"/>
          <w:type w:val="continuous"/>
        </w:sectPr>
      </w:pPr>
    </w:p>
    <w:bookmarkStart w:id="102" w:name="page103"/>
    <w:bookmarkEnd w:id="102"/>
    <w:p>
      <w:pPr>
        <w:ind w:firstLine="720"/>
        <w:spacing w:after="0" w:line="245" w:lineRule="auto"/>
        <w:rPr>
          <w:sz w:val="20"/>
          <w:szCs w:val="20"/>
          <w:color w:val="auto"/>
        </w:rPr>
      </w:pPr>
      <w:r>
        <w:rPr>
          <w:rFonts w:ascii="Times New Roman" w:cs="Times New Roman" w:eastAsia="Times New Roman" w:hAnsi="Times New Roman"/>
          <w:sz w:val="20"/>
          <w:szCs w:val="20"/>
          <w:color w:val="auto"/>
        </w:rPr>
        <w:t>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years ended December 31, 2023 and 2022. This pre-launch inventory was fully sold through during 2023 and as a result, it did not have an impact on the cost of goods sold during the year ended December 31, 2024. We estimate our costs of goods sold related to product sales to be within the low to the mid-single digit percentage range. Cost of goods sold related to sales of drug products to our collaboration partners are at lower margins.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Loss Sharing</w:t>
      </w:r>
    </w:p>
    <w:p>
      <w:pPr>
        <w:spacing w:after="0" w:line="27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 xml:space="preserve">Roche was the principal for recording GAVRETO product sales to customers in the U.S. under our Roche pralsetinib collaboration, and we recognized a portion of the profit as revenue and losses as collaboration loss sharing in our consolidated statements of operations and comprehensive loss. The Roche pralsetinib collaboration agreement was terminated in February 2024. We continued to share any profit or loss from GAVRETO sales in the U.S. until February 22, 2024. For additional information, see Note 11, </w:t>
      </w:r>
      <w:r>
        <w:rPr>
          <w:rFonts w:ascii="Times New Roman" w:cs="Times New Roman" w:eastAsia="Times New Roman" w:hAnsi="Times New Roman"/>
          <w:sz w:val="20"/>
          <w:szCs w:val="20"/>
          <w:i w:val="1"/>
          <w:iCs w:val="1"/>
          <w:color w:val="auto"/>
        </w:rPr>
        <w:t>Collaboration, License and Other Agreements</w:t>
      </w:r>
      <w:r>
        <w:rPr>
          <w:rFonts w:ascii="Times New Roman" w:cs="Times New Roman" w:eastAsia="Times New Roman" w:hAnsi="Times New Roman"/>
          <w:sz w:val="20"/>
          <w:szCs w:val="20"/>
          <w:color w:val="auto"/>
        </w:rPr>
        <w:t>, to our consolidated financial statements included in this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77" w:lineRule="exact"/>
        <w:rPr>
          <w:sz w:val="20"/>
          <w:szCs w:val="20"/>
          <w:color w:val="auto"/>
        </w:rPr>
      </w:pPr>
    </w:p>
    <w:p>
      <w:pPr>
        <w:ind w:right="500" w:firstLine="720"/>
        <w:spacing w:after="0" w:line="278"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research and development activities, including our drug discovery efforts, and the development of our drug candidates, which include:</w:t>
      </w:r>
    </w:p>
    <w:p>
      <w:pPr>
        <w:spacing w:after="0" w:line="222" w:lineRule="exact"/>
        <w:rPr>
          <w:sz w:val="20"/>
          <w:szCs w:val="20"/>
          <w:color w:val="auto"/>
        </w:rPr>
      </w:pPr>
    </w:p>
    <w:p>
      <w:pPr>
        <w:ind w:left="1440" w:hanging="353"/>
        <w:spacing w:after="0"/>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employee-related expenses including salaries, benefits, and stock-based compensation expense;</w:t>
      </w:r>
    </w:p>
    <w:p>
      <w:pPr>
        <w:spacing w:after="0" w:line="238" w:lineRule="exact"/>
        <w:rPr>
          <w:rFonts w:ascii="Symbol" w:cs="Symbol" w:eastAsia="Symbol" w:hAnsi="Symbol"/>
          <w:sz w:val="20"/>
          <w:szCs w:val="20"/>
          <w:color w:val="auto"/>
        </w:rPr>
      </w:pPr>
    </w:p>
    <w:p>
      <w:pPr>
        <w:ind w:left="1440" w:right="700" w:hanging="353"/>
        <w:spacing w:after="0" w:line="262" w:lineRule="auto"/>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under agreements with third parties that conduct research and development, preclinical activities, clinical activities and manufacturing on our behalf;</w:t>
      </w:r>
    </w:p>
    <w:p>
      <w:pPr>
        <w:spacing w:after="0" w:line="196" w:lineRule="exact"/>
        <w:rPr>
          <w:rFonts w:ascii="Symbol" w:cs="Symbol" w:eastAsia="Symbol" w:hAnsi="Symbol"/>
          <w:sz w:val="20"/>
          <w:szCs w:val="20"/>
          <w:color w:val="auto"/>
        </w:rPr>
      </w:pPr>
    </w:p>
    <w:p>
      <w:pPr>
        <w:ind w:left="1440" w:right="180" w:hanging="353"/>
        <w:spacing w:after="0" w:line="250" w:lineRule="auto"/>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in connection with development activities under our now terminated collaboration for pralsetinib with Roche and research and development activities under our collaboration with VantAI;</w:t>
      </w:r>
    </w:p>
    <w:p>
      <w:pPr>
        <w:spacing w:after="0" w:line="210" w:lineRule="exact"/>
        <w:rPr>
          <w:rFonts w:ascii="Symbol" w:cs="Symbol" w:eastAsia="Symbol" w:hAnsi="Symbol"/>
          <w:sz w:val="20"/>
          <w:szCs w:val="20"/>
          <w:color w:val="auto"/>
        </w:rPr>
      </w:pPr>
    </w:p>
    <w:p>
      <w:pPr>
        <w:ind w:left="1440" w:hanging="353"/>
        <w:spacing w:after="0"/>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consultants in connection with our research and development activities;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associated with regulatory quality assurance and quality control operations;</w:t>
      </w:r>
    </w:p>
    <w:p>
      <w:pPr>
        <w:spacing w:after="0" w:line="238" w:lineRule="exact"/>
        <w:rPr>
          <w:rFonts w:ascii="Symbol" w:cs="Symbol" w:eastAsia="Symbol" w:hAnsi="Symbol"/>
          <w:sz w:val="20"/>
          <w:szCs w:val="20"/>
          <w:color w:val="auto"/>
        </w:rPr>
      </w:pPr>
    </w:p>
    <w:p>
      <w:pPr>
        <w:ind w:left="1440" w:right="500" w:hanging="353"/>
        <w:spacing w:after="0" w:line="262" w:lineRule="auto"/>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lab supplies and acquiring, developing and manufacturing preclinical study materials, clinical trial materials and pre-validated commercial supply materials; and</w:t>
      </w:r>
    </w:p>
    <w:p>
      <w:pPr>
        <w:spacing w:after="0" w:line="195" w:lineRule="exact"/>
        <w:rPr>
          <w:rFonts w:ascii="Symbol" w:cs="Symbol" w:eastAsia="Symbol" w:hAnsi="Symbol"/>
          <w:sz w:val="20"/>
          <w:szCs w:val="20"/>
          <w:color w:val="auto"/>
        </w:rPr>
      </w:pPr>
    </w:p>
    <w:p>
      <w:pPr>
        <w:ind w:left="1440" w:right="180" w:hanging="353"/>
        <w:spacing w:after="0" w:line="251" w:lineRule="auto"/>
        <w:tabs>
          <w:tab w:leader="none" w:pos="144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facilities, depreciation, and other expenses, which include direct and allocated lease, information technology and maintenance of facilities expenses, insurance, and other operating costs in support of research and development activities.</w:t>
      </w:r>
    </w:p>
    <w:p>
      <w:pPr>
        <w:spacing w:after="0" w:line="232"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3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p>
      <w:pPr>
        <w:sectPr>
          <w:pgSz w:w="12240" w:h="15840" w:orient="portrait"/>
          <w:cols w:equalWidth="0" w:num="1">
            <w:col w:w="9680"/>
          </w:cols>
          <w:pgMar w:left="1260" w:top="1246" w:right="1300" w:bottom="175"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680"/>
          </w:cols>
          <w:pgMar w:left="1260" w:top="1246" w:right="1300" w:bottom="175" w:gutter="0" w:footer="0" w:header="0"/>
          <w:type w:val="continuous"/>
        </w:sectPr>
      </w:pPr>
    </w:p>
    <w:bookmarkStart w:id="103" w:name="page104"/>
    <w:bookmarkEnd w:id="103"/>
    <w:p>
      <w:pPr>
        <w:ind w:left="1440" w:hanging="353"/>
        <w:spacing w:after="0"/>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establishing an appropriate safety profile with IND-enabling toxicology studies;</w:t>
      </w:r>
    </w:p>
    <w:p>
      <w:pPr>
        <w:spacing w:after="0" w:line="238" w:lineRule="exact"/>
        <w:rPr>
          <w:rFonts w:ascii="Symbol" w:cs="Symbol" w:eastAsia="Symbol" w:hAnsi="Symbol"/>
          <w:sz w:val="20"/>
          <w:szCs w:val="20"/>
          <w:color w:val="auto"/>
        </w:rPr>
      </w:pPr>
    </w:p>
    <w:p>
      <w:pPr>
        <w:ind w:left="1440" w:hanging="353"/>
        <w:spacing w:after="0"/>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initiation, enrollment in, and completion of clinical trials;</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receipt of marketing approvals from applicable regulatory authorities;</w:t>
      </w:r>
    </w:p>
    <w:p>
      <w:pPr>
        <w:spacing w:after="0" w:line="238" w:lineRule="exact"/>
        <w:rPr>
          <w:rFonts w:ascii="Symbol" w:cs="Symbol" w:eastAsia="Symbol" w:hAnsi="Symbol"/>
          <w:sz w:val="20"/>
          <w:szCs w:val="20"/>
          <w:color w:val="auto"/>
        </w:rPr>
      </w:pPr>
    </w:p>
    <w:p>
      <w:pPr>
        <w:ind w:left="1440" w:right="440" w:hanging="353"/>
        <w:spacing w:after="0" w:line="262" w:lineRule="auto"/>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establishing manufacturing capabilities or making arrangements with third-party manufacturers to ensure adequate clinical and commercial supply;</w:t>
      </w:r>
    </w:p>
    <w:p>
      <w:pPr>
        <w:spacing w:after="0" w:line="196" w:lineRule="exact"/>
        <w:rPr>
          <w:rFonts w:ascii="Symbol" w:cs="Symbol" w:eastAsia="Symbol" w:hAnsi="Symbol"/>
          <w:sz w:val="20"/>
          <w:szCs w:val="20"/>
          <w:color w:val="auto"/>
        </w:rPr>
      </w:pPr>
    </w:p>
    <w:p>
      <w:pPr>
        <w:ind w:left="1440" w:right="320" w:hanging="353"/>
        <w:spacing w:after="0" w:line="262" w:lineRule="auto"/>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for our drug candidates;</w:t>
      </w:r>
    </w:p>
    <w:p>
      <w:pPr>
        <w:spacing w:after="0" w:line="195" w:lineRule="exact"/>
        <w:rPr>
          <w:rFonts w:ascii="Symbol" w:cs="Symbol" w:eastAsia="Symbol" w:hAnsi="Symbol"/>
          <w:sz w:val="20"/>
          <w:szCs w:val="20"/>
          <w:color w:val="auto"/>
        </w:rPr>
      </w:pPr>
    </w:p>
    <w:p>
      <w:pPr>
        <w:ind w:left="1440" w:right="300" w:hanging="353"/>
        <w:spacing w:after="0" w:line="262" w:lineRule="auto"/>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commercializing our drug candidates, if and when approved, whether alone or in collaboration with others;</w:t>
      </w:r>
    </w:p>
    <w:p>
      <w:pPr>
        <w:spacing w:after="0" w:line="195" w:lineRule="exact"/>
        <w:rPr>
          <w:rFonts w:ascii="Symbol" w:cs="Symbol" w:eastAsia="Symbol" w:hAnsi="Symbol"/>
          <w:sz w:val="20"/>
          <w:szCs w:val="20"/>
          <w:color w:val="auto"/>
        </w:rPr>
      </w:pPr>
    </w:p>
    <w:p>
      <w:pPr>
        <w:ind w:left="1440" w:hanging="353"/>
        <w:spacing w:after="0"/>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acceptance of AYVAKIT/AYVAKYT and any future drug we may commercialize; and</w:t>
      </w:r>
    </w:p>
    <w:p>
      <w:pPr>
        <w:spacing w:after="0" w:line="239" w:lineRule="exact"/>
        <w:rPr>
          <w:rFonts w:ascii="Symbol" w:cs="Symbol" w:eastAsia="Symbol" w:hAnsi="Symbol"/>
          <w:sz w:val="20"/>
          <w:szCs w:val="20"/>
          <w:color w:val="auto"/>
        </w:rPr>
      </w:pPr>
    </w:p>
    <w:p>
      <w:pPr>
        <w:ind w:left="1440" w:hanging="353"/>
        <w:spacing w:after="0"/>
        <w:tabs>
          <w:tab w:leader="none" w:pos="144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continued acceptable safety profile of the drugs following approval.</w:t>
      </w:r>
    </w:p>
    <w:p>
      <w:pPr>
        <w:spacing w:after="0" w:line="265" w:lineRule="exact"/>
        <w:rPr>
          <w:sz w:val="20"/>
          <w:szCs w:val="20"/>
          <w:color w:val="auto"/>
        </w:rPr>
      </w:pPr>
    </w:p>
    <w:p>
      <w:pPr>
        <w:ind w:right="500" w:firstLine="720"/>
        <w:spacing w:after="0" w:line="305" w:lineRule="auto"/>
        <w:rPr>
          <w:sz w:val="20"/>
          <w:szCs w:val="20"/>
          <w:color w:val="auto"/>
        </w:rPr>
      </w:pPr>
      <w:r>
        <w:rPr>
          <w:rFonts w:ascii="Times New Roman" w:cs="Times New Roman" w:eastAsia="Times New Roman" w:hAnsi="Times New Roman"/>
          <w:sz w:val="19"/>
          <w:szCs w:val="19"/>
          <w:color w:val="auto"/>
        </w:rPr>
        <w:t>A change in the outcome of any of these variables with respect to the development of any of our drug candidates would significantly change the costs and timing associated with the development of that drug candidate.</w:t>
      </w:r>
    </w:p>
    <w:p>
      <w:pPr>
        <w:spacing w:after="0" w:line="184" w:lineRule="exact"/>
        <w:rPr>
          <w:sz w:val="20"/>
          <w:szCs w:val="20"/>
          <w:color w:val="auto"/>
        </w:rPr>
      </w:pPr>
    </w:p>
    <w:p>
      <w:pPr>
        <w:jc w:val="both"/>
        <w:ind w:right="560" w:firstLine="720"/>
        <w:spacing w:after="0" w:line="259"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w:t>
      </w:r>
    </w:p>
    <w:p>
      <w:pPr>
        <w:spacing w:after="0" w:line="226"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allocate our internal research and development expenses to specific drug candidate programs as they are deployed across multiple projects under development.</w:t>
      </w:r>
    </w:p>
    <w:p>
      <w:pPr>
        <w:spacing w:after="0" w:line="239" w:lineRule="exact"/>
        <w:rPr>
          <w:sz w:val="20"/>
          <w:szCs w:val="20"/>
          <w:color w:val="auto"/>
        </w:rPr>
      </w:pPr>
    </w:p>
    <w:p>
      <w:pPr>
        <w:ind w:right="40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by principal program for the years ended December 31, 2024 and 2023 (in thousands). Other development and pre-development candidate expenses, unallocated expenses and internal research and development expenses have been classified separately.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auto"/>
            </w:tcBorders>
            <w:gridSpan w:val="6"/>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restart"/>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80" w:type="dxa"/>
            <w:vAlign w:val="bottom"/>
            <w:gridSpan w:val="3"/>
            <w:vMerge w:val="restart"/>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3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Avapritinib external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2"/>
        </w:trPr>
        <w:tc>
          <w:tcPr>
            <w:tcW w:w="5460" w:type="dxa"/>
            <w:vAlign w:val="bottom"/>
            <w:gridSpan w:val="2"/>
            <w:vMerge w:val="continue"/>
          </w:tcPr>
          <w:p>
            <w:pPr>
              <w:jc w:val="right"/>
              <w:ind w:right="240"/>
              <w:spacing w:after="0" w:line="178" w:lineRule="exact"/>
              <w:rPr>
                <w:sz w:val="20"/>
                <w:szCs w:val="20"/>
                <w:color w:val="auto"/>
              </w:rPr>
            </w:pPr>
            <w:r>
              <w:rPr>
                <w:rFonts w:ascii="Times New Roman" w:cs="Times New Roman" w:eastAsia="Times New Roman" w:hAnsi="Times New Roman"/>
                <w:sz w:val="20"/>
                <w:szCs w:val="20"/>
                <w:color w:val="auto"/>
              </w:rPr>
              <w:t>. . . . . . . . . . . . . . . . . . . . . . . . . . . .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16,240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32,383</w:t>
            </w:r>
          </w:p>
        </w:tc>
        <w:tc>
          <w:tcPr>
            <w:tcW w:w="160" w:type="dxa"/>
            <w:vAlign w:val="bottom"/>
          </w:tcPr>
          <w:p>
            <w:pPr>
              <w:spacing w:after="0"/>
              <w:rPr>
                <w:sz w:val="17"/>
                <w:szCs w:val="17"/>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(16,143)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32"/>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Pralsetinib external expenses*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(19,252)</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30"/>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Elenestinib external expenses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32"/>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EGFR franchise (BLU-451/525/701/945) external expenses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57,177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(50,901)</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30"/>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BLU-222 external expenses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(24,930)</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BLU-808 external expenses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development and pre-development candidate expenses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and unallocated expenses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101,780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Internal research and development expenses.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158,514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148,333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460" w:type="dxa"/>
            <w:vAlign w:val="bottom"/>
            <w:gridSpan w:val="2"/>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 . . . . . . . . . . . . . . . . . . .Totalresearchanddevelopmentexpenses</w:t>
            </w: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341,433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427,720</w:t>
            </w:r>
          </w:p>
        </w:tc>
        <w:tc>
          <w:tcPr>
            <w:tcW w:w="2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(86,287)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2"/>
        </w:trPr>
        <w:tc>
          <w:tcPr>
            <w:tcW w:w="234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60" w:right="240" w:hanging="353"/>
        <w:spacing w:after="0" w:line="278" w:lineRule="auto"/>
        <w:tabs>
          <w:tab w:leader="none" w:pos="3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Pralsetinib external expenses include expenses reimbursable to Roche under our now terminated collaboration for pralsetinib with Roche.</w:t>
      </w:r>
    </w:p>
    <w:p>
      <w:pPr>
        <w:sectPr>
          <w:pgSz w:w="12240" w:h="15840" w:orient="portrait"/>
          <w:cols w:equalWidth="0" w:num="1">
            <w:col w:w="9720"/>
          </w:cols>
          <w:pgMar w:left="1260" w:top="126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720"/>
          </w:cols>
          <w:pgMar w:left="1260" w:top="1262" w:right="1260" w:bottom="175" w:gutter="0" w:footer="0" w:header="0"/>
          <w:type w:val="continuous"/>
        </w:sectPr>
      </w:pPr>
    </w:p>
    <w:bookmarkStart w:id="104" w:name="page105"/>
    <w:bookmarkEnd w:id="104"/>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49" w:lineRule="exact"/>
        <w:rPr>
          <w:sz w:val="20"/>
          <w:szCs w:val="20"/>
          <w:color w:val="auto"/>
        </w:rPr>
      </w:pPr>
    </w:p>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In 2025, we anticipate a modest increase in our research and development expenses compared to 2024. This is due to increased investment in our priority programs to advance the associated clinical trials, in contrast to our focused approach towards optimizing operational efficiency across our portfolio in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77" w:lineRule="exact"/>
        <w:rPr>
          <w:sz w:val="20"/>
          <w:szCs w:val="20"/>
          <w:color w:val="auto"/>
        </w:rPr>
      </w:pPr>
    </w:p>
    <w:p>
      <w:pPr>
        <w:ind w:right="220" w:firstLine="720"/>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spacing w:after="0" w:line="239"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40" w:lineRule="exact"/>
        <w:rPr>
          <w:sz w:val="20"/>
          <w:szCs w:val="20"/>
          <w:color w:val="auto"/>
        </w:rPr>
      </w:pPr>
    </w:p>
    <w:p>
      <w:pPr>
        <w:ind w:right="340" w:firstLine="720"/>
        <w:spacing w:after="0" w:line="259" w:lineRule="auto"/>
        <w:rPr>
          <w:sz w:val="20"/>
          <w:szCs w:val="20"/>
          <w:color w:val="auto"/>
        </w:rPr>
      </w:pPr>
      <w:r>
        <w:rPr>
          <w:rFonts w:ascii="Times New Roman" w:cs="Times New Roman" w:eastAsia="Times New Roman" w:hAnsi="Times New Roman"/>
          <w:sz w:val="20"/>
          <w:szCs w:val="20"/>
          <w:color w:val="auto"/>
        </w:rPr>
        <w:t>In 2025, we anticipate a modest increase in selling, general, and administrative expenses compared to 2024. This increase is driven by our enhanced efforts to expand our global commercial and compliance infrastructure to support the commercialization of AYVAKIT/AYVAKYT.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27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Interest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Future Revenue Purchase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pacing w:after="0" w:line="241"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Interest expense, net, also includes income earned on cash equivalents and marketable securities. Our interest income may fluctuate depending on the movement of interest rates and our total amount of cash equivalents and marketable securities.</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700"/>
          </w:cols>
          <w:pgMar w:left="1260" w:top="1246" w:right="1280" w:bottom="175"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77"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Other income (expense), net consists of miscellaneous income and expenses unrelated to our core operations, including gains on our equity investment and the impacts of foreign currency exchange differences.</w:t>
      </w:r>
    </w:p>
    <w:p>
      <w:pPr>
        <w:spacing w:after="0" w:line="208"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2025, we anticipate an increase in other income, net, compared to 2024. This increase is driven by a gain on our equity investment in IDRx we expect to recognize upon closing of the acquisition of IDRx by GSK plc. For additional information, see Note 20,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to our consolidated financial statements included in this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Extinguishment Gain</w:t>
      </w:r>
    </w:p>
    <w:p>
      <w:pPr>
        <w:spacing w:after="0" w:line="278"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 xml:space="preserve">Debt extinguishment gain consists of the gain recognized as a result of the Royalty Pharma Termination Agreement entered into on February 22, 2024. For additional information,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Income tax expense consists of U.S. state and foreign income taxes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27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We evaluate our judgments and estimates in light of changes in circumstances, facts and experience on an ongoing basis.</w:t>
      </w:r>
    </w:p>
    <w:p>
      <w:pPr>
        <w:spacing w:after="0" w:line="24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Critical accounting estimates are those estimates that, in accordance with generally accepted accounting principles, involve a significant level of estimation uncertainty and have had or are reasonably likely to have a material impact on our consolidated financial statements. Management has determined that our most critical accounting estimates are those relating to revenue recognition, accrued research and development expenses, equity investments, liabilities related to the sale of future royalties and revenues, and modification of debt. We have reviewed our critical accounting estimates with our audit committee. For further discussion about our general accounting policies, see Note 2 </w:t>
      </w:r>
      <w:r>
        <w:rPr>
          <w:rFonts w:ascii="Times New Roman" w:cs="Times New Roman" w:eastAsia="Times New Roman" w:hAnsi="Times New Roman"/>
          <w:sz w:val="20"/>
          <w:szCs w:val="20"/>
          <w:i w:val="1"/>
          <w:iCs w:val="1"/>
          <w:color w:val="auto"/>
        </w:rPr>
        <w:t>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Significant Accounting Policies and Recent Accounting Pronouncements, </w:t>
      </w:r>
      <w:r>
        <w:rPr>
          <w:rFonts w:ascii="Times New Roman" w:cs="Times New Roman" w:eastAsia="Times New Roman" w:hAnsi="Times New Roman"/>
          <w:sz w:val="20"/>
          <w:szCs w:val="20"/>
          <w:color w:val="auto"/>
        </w:rPr>
        <w:t>to our consolidated financial statements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this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7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recognize revenue when we transfer control of goods or services to our customers. Revenue is measured as the amount of consideration we expect to receive in exchange for goods and services. We generate revenue from product sales and revenue transactions under our collaboration, license and other agreements.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2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chargebacks or discounts that ultimately will be due to</w:t>
      </w:r>
    </w:p>
    <w:p>
      <w:pPr>
        <w:sectPr>
          <w:pgSz w:w="12240" w:h="15840" w:orient="portrait"/>
          <w:cols w:equalWidth="0" w:num="1">
            <w:col w:w="9680"/>
          </w:cols>
          <w:pgMar w:left="1260" w:top="1249" w:right="1300" w:bottom="175"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680"/>
          </w:cols>
          <w:pgMar w:left="1260" w:top="1249" w:right="1300" w:bottom="175" w:gutter="0" w:footer="0" w:header="0"/>
          <w:type w:val="continuous"/>
        </w:sectPr>
      </w:pPr>
    </w:p>
    <w:bookmarkStart w:id="106" w:name="page107"/>
    <w:bookmarkEnd w:id="106"/>
    <w:p>
      <w:pPr>
        <w:ind w:right="40"/>
        <w:spacing w:after="0" w:line="244" w:lineRule="auto"/>
        <w:rPr>
          <w:sz w:val="20"/>
          <w:szCs w:val="20"/>
          <w:color w:val="auto"/>
        </w:rPr>
      </w:pPr>
      <w:r>
        <w:rPr>
          <w:rFonts w:ascii="Times New Roman" w:cs="Times New Roman" w:eastAsia="Times New Roman" w:hAnsi="Times New Roman"/>
          <w:sz w:val="20"/>
          <w:szCs w:val="20"/>
          <w:color w:val="auto"/>
        </w:rPr>
        <w:t>the direct customer and other customers in the distribution chain under the terms of our contracts. Significant judgments are required in making these estimates. The largest of our sales rebate and discount amounts are rebates associated with sales covered by Medicaid and chargeback contracts in the U.S. We utilize the expected value method to determine the appropriate amount for estimates of variable consideration based on factors such as historical rebate payments for these programs, the current contractual and statutory requirements, specific known market events and sales trends, industry data and forecasted customer buying and payment patterns, the percentage of our products that are sold via these programs, and our product pricing.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License and Other Revenue</w:t>
      </w:r>
    </w:p>
    <w:p>
      <w:pPr>
        <w:spacing w:after="0" w:line="27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Revenue recognized from collaboration, license and other agreements includes estimated royalties on drug sales, upfront, milestone, profit sharing and other payments, if any, under any current or future collaboration, license and other agreements, including revenues related to the supply of our drug candidates or approved drugs to our various collaboration partners under these types of contracts.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Accrued Research and Development Expenses</w:t>
      </w:r>
    </w:p>
    <w:p>
      <w:pPr>
        <w:spacing w:after="0" w:line="27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41"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42"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Investment</w:t>
      </w:r>
    </w:p>
    <w:p>
      <w:pPr>
        <w:spacing w:after="0" w:line="27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Investments in non-marketable equity securities of privately-held companies that do not have readily determinable fair values and where we have no significant influence are measured at cost, less any impairments, plus or minus changes resulting from observable price changes in orderly transactions for the identical or a similar investment of the same issuer. Each period we assess relevant transactions to identify observable price changes, and regularly monitor these investments to evaluate whether there is an indication of impairment. Judgement is required in identifying the existence of impairment indicators. If indicators of impairment exist, we evaluate whether an investment’s fair value is less than its carrying value using an estimate of fair value.</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700"/>
          </w:cols>
          <w:pgMar w:left="1260" w:top="1246" w:right="1280" w:bottom="175"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i w:val="1"/>
          <w:iCs w:val="1"/>
          <w:color w:val="auto"/>
        </w:rPr>
        <w:t>Liabilities related to the sale of future royalties and revenues</w:t>
      </w:r>
    </w:p>
    <w:p>
      <w:pPr>
        <w:spacing w:after="0" w:line="27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We account for net proceeds from sales of our rights to receive future royalty payments and from sales of future revenues as liabilities related to the sale of future royalties and revenues as we have significant continuing involvement in the generation of the related future cash flows. Interest on the liabilities related to the sale of future royalties and revenues is recognized using the effective interest rate method over the life of the related royalty or revenue stream. The liabilities related to the sale of future royalties and revenues and the related interest expenses are based on our current estimates of future royalties and revenues as well as commercial milestones expected to be achieved and received over the life of the arrangement, which we determine by using forecasts of the underlying drug products of the underlying regions. We periodically assess the expected payments and to the extent the amount or timing of the future estimated payments is materially different than previous estimates, we account for any such change by adjusting carrying value of the liabilities related to the sale of future royalties and revenues, and prospectively recognizing the related interest expenses. An increase or decrease of 5% to the interest rate would result in an increase or decrease to our liability related to the sale of future royalties of approximately $0.3 million.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Modification of Debt Instruments</w:t>
      </w:r>
    </w:p>
    <w:p>
      <w:pPr>
        <w:spacing w:after="0" w:line="27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When a debt instrument in which we are the debtor is modified or exchanged, we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79" w:lineRule="exact"/>
        <w:rPr>
          <w:sz w:val="20"/>
          <w:szCs w:val="20"/>
          <w:color w:val="auto"/>
        </w:rPr>
      </w:pPr>
    </w:p>
    <w:p>
      <w:pPr>
        <w:ind w:right="3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2024 and 2023, together with the changes in those items in dollars and as a percentage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Pr>
          <w:p>
            <w:pPr>
              <w:jc w:val="right"/>
              <w:ind w:right="160"/>
              <w:spacing w:after="0" w:line="224" w:lineRule="exact"/>
              <w:rPr>
                <w:sz w:val="20"/>
                <w:szCs w:val="20"/>
                <w:color w:val="auto"/>
              </w:rPr>
            </w:pPr>
            <w:r>
              <w:rPr>
                <w:rFonts w:ascii="Times New Roman" w:cs="Times New Roman" w:eastAsia="Times New Roman" w:hAnsi="Times New Roman"/>
                <w:sz w:val="20"/>
                <w:szCs w:val="20"/>
                <w:color w:val="auto"/>
                <w:w w:val="98"/>
              </w:rPr>
              <w:t>. . . . . . . . . . . . . . . . . . . . . . . . . . . . . . . . . . . . . . . . . .Totalrevenues</w:t>
            </w:r>
          </w:p>
        </w:tc>
        <w:tc>
          <w:tcPr>
            <w:tcW w:w="12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508,824</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249,380</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259,444</w:t>
            </w: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104</w:t>
            </w:r>
          </w:p>
        </w:tc>
        <w:tc>
          <w:tcPr>
            <w:tcW w:w="20" w:type="dxa"/>
            <w:vAlign w:val="bottom"/>
            <w:tcBorders>
              <w:top w:val="single" w:sz="8" w:color="auto"/>
            </w:tcBorders>
          </w:tcPr>
          <w:p>
            <w:pPr>
              <w:spacing w:after="0"/>
              <w:rPr>
                <w:sz w:val="19"/>
                <w:szCs w:val="19"/>
                <w:color w:val="auto"/>
              </w:rPr>
            </w:pPr>
          </w:p>
        </w:tc>
        <w:tc>
          <w:tcPr>
            <w:tcW w:w="1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53"/>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Total cost and operating expenses . . . . . . . . . . . . . . . . . . . . . . . . . .</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720,868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735,657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(14,789)</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0"/>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Total other income (expense), net . . . . . . . . . . . . . . . . . . . . . . . . . .</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(19,739)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80" w:type="dxa"/>
            <w:vAlign w:val="bottom"/>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.Lossbeforeincometaxes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(65,863)</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(506,016)</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440,153</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87</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Income tax expense . . . . . . . . . . . . . . . . . . . . . . . . . . . . . . . . . . . . . .</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8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7"/>
              </w:rPr>
              <w:t>. . . . . . . . . . . . . . . . . . . . . . . . . . . . . . . . . . . . . . . . . . . . . . . .Netloss</w:t>
            </w: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(67,089)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(506,984)</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439,895</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87</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527"/>
        </w:trPr>
        <w:tc>
          <w:tcPr>
            <w:tcW w:w="5480" w:type="dxa"/>
            <w:vAlign w:val="bottom"/>
          </w:tcPr>
          <w:p>
            <w:pPr>
              <w:jc w:val="right"/>
              <w:ind w:right="4140"/>
              <w:spacing w:after="0"/>
              <w:rPr>
                <w:sz w:val="20"/>
                <w:szCs w:val="20"/>
                <w:color w:val="auto"/>
              </w:rPr>
            </w:pPr>
            <w:r>
              <w:rPr>
                <w:rFonts w:ascii="Times New Roman" w:cs="Times New Roman" w:eastAsia="Times New Roman" w:hAnsi="Times New Roman"/>
                <w:sz w:val="20"/>
                <w:szCs w:val="20"/>
                <w:i w:val="1"/>
                <w:iCs w:val="1"/>
                <w:color w:val="auto"/>
                <w:w w:val="99"/>
              </w:rPr>
              <w:t>Total Revenues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5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Total revenues consist of the following (in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480" w:type="dxa"/>
            <w:vAlign w:val="bottom"/>
          </w:tcPr>
          <w:p>
            <w:pPr>
              <w:spacing w:after="0"/>
              <w:rPr>
                <w:sz w:val="24"/>
                <w:szCs w:val="24"/>
                <w:color w:val="auto"/>
              </w:rPr>
            </w:pPr>
          </w:p>
        </w:tc>
        <w:tc>
          <w:tcPr>
            <w:tcW w:w="2160" w:type="dxa"/>
            <w:vAlign w:val="bottom"/>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Dollar Change</w:t>
            </w:r>
          </w:p>
        </w:tc>
        <w:tc>
          <w:tcPr>
            <w:tcW w:w="180" w:type="dxa"/>
            <w:vAlign w:val="bottom"/>
            <w:gridSpan w:val="2"/>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 Change</w:t>
            </w:r>
          </w:p>
        </w:tc>
        <w:tc>
          <w:tcPr>
            <w:tcW w:w="1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Product revenue, net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478,950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204,207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274,743</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0" w:type="dxa"/>
            <w:vAlign w:val="bottom"/>
          </w:tcPr>
          <w:p>
            <w:pPr>
              <w:spacing w:after="0"/>
              <w:rPr>
                <w:sz w:val="1"/>
                <w:szCs w:val="1"/>
                <w:color w:val="auto"/>
              </w:rPr>
            </w:pPr>
          </w:p>
        </w:tc>
      </w:tr>
      <w:tr>
        <w:trPr>
          <w:trHeight w:val="252"/>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Collaboration, license and other revenue . . . . . . . . . . . . . . . . . . . . .</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29,874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45,173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(15,299)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4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Total revenues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508,824</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249,380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259,444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104 %</w:t>
            </w:r>
          </w:p>
        </w:tc>
        <w:tc>
          <w:tcPr>
            <w:tcW w:w="0" w:type="dxa"/>
            <w:vAlign w:val="bottom"/>
          </w:tcPr>
          <w:p>
            <w:pPr>
              <w:spacing w:after="0"/>
              <w:rPr>
                <w:sz w:val="1"/>
                <w:szCs w:val="1"/>
                <w:color w:val="auto"/>
              </w:rPr>
            </w:pPr>
          </w:p>
        </w:tc>
      </w:tr>
      <w:tr>
        <w:trPr>
          <w:trHeight w:val="29"/>
        </w:trPr>
        <w:tc>
          <w:tcPr>
            <w:tcW w:w="54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9"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720"/>
          </w:cols>
          <w:pgMar w:left="1260" w:top="1249" w:right="1260" w:bottom="175"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i w:val="1"/>
          <w:iCs w:val="1"/>
          <w:color w:val="auto"/>
        </w:rPr>
        <w:t>Product Revenue, Net</w:t>
      </w:r>
    </w:p>
    <w:p>
      <w:pPr>
        <w:spacing w:after="0" w:line="198"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revenue recognized from sales of AYVAKIT/AYVAKYT during the years ended December 31, 2024, and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6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40" w:type="dxa"/>
            <w:vAlign w:val="bottom"/>
            <w:vMerge w:val="restart"/>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421,837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181,971</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239,866</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0" w:type="dxa"/>
            <w:vAlign w:val="bottom"/>
          </w:tcPr>
          <w:p>
            <w:pPr>
              <w:spacing w:after="0"/>
              <w:rPr>
                <w:sz w:val="1"/>
                <w:szCs w:val="1"/>
                <w:color w:val="auto"/>
              </w:rPr>
            </w:pPr>
          </w:p>
        </w:tc>
      </w:tr>
      <w:tr>
        <w:trPr>
          <w:trHeight w:val="252"/>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Rest of World. . . . . . . . . . . . . . . . . . . . . . . . . . . . . . . . . . . . . . . . . . .</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57,113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22,236</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34,877</w:t>
            </w:r>
          </w:p>
        </w:tc>
        <w:tc>
          <w:tcPr>
            <w:tcW w:w="1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Total product revenue, net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478,950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204,207</w:t>
            </w:r>
          </w:p>
        </w:tc>
        <w:tc>
          <w:tcPr>
            <w:tcW w:w="16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274,743</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0" w:type="dxa"/>
            <w:vAlign w:val="bottom"/>
          </w:tcPr>
          <w:p>
            <w:pPr>
              <w:spacing w:after="0"/>
              <w:rPr>
                <w:sz w:val="1"/>
                <w:szCs w:val="1"/>
                <w:color w:val="auto"/>
              </w:rPr>
            </w:pPr>
          </w:p>
        </w:tc>
      </w:tr>
      <w:tr>
        <w:trPr>
          <w:trHeight w:val="29"/>
        </w:trPr>
        <w:tc>
          <w:tcPr>
            <w:tcW w:w="5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0" w:firstLine="720"/>
        <w:spacing w:after="0" w:line="305" w:lineRule="auto"/>
        <w:rPr>
          <w:sz w:val="20"/>
          <w:szCs w:val="20"/>
          <w:color w:val="auto"/>
        </w:rPr>
      </w:pPr>
      <w:r>
        <w:rPr>
          <w:rFonts w:ascii="Times New Roman" w:cs="Times New Roman" w:eastAsia="Times New Roman" w:hAnsi="Times New Roman"/>
          <w:sz w:val="19"/>
          <w:szCs w:val="19"/>
          <w:color w:val="auto"/>
        </w:rPr>
        <w:t>Product revenue, net increased during the year ended December 31, 2024 as compared to the year ended December 31, 2023 primarily driven by growth in the number of indolent SM and advanced SM patients on therapy.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License and Other Revenue</w:t>
      </w:r>
    </w:p>
    <w:p>
      <w:pPr>
        <w:spacing w:after="0" w:line="198"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revenue recognized from our collaboration, license and other agreements during the years ended December 31,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60" w:type="dxa"/>
            <w:vAlign w:val="bottom"/>
          </w:tcPr>
          <w:p>
            <w:pPr>
              <w:jc w:val="right"/>
              <w:ind w:right="140"/>
              <w:spacing w:after="0" w:line="208" w:lineRule="exact"/>
              <w:rPr>
                <w:sz w:val="20"/>
                <w:szCs w:val="20"/>
                <w:color w:val="auto"/>
              </w:rPr>
            </w:pPr>
            <w:r>
              <w:rPr>
                <w:rFonts w:ascii="Times New Roman" w:cs="Times New Roman" w:eastAsia="Times New Roman" w:hAnsi="Times New Roman"/>
                <w:sz w:val="20"/>
                <w:szCs w:val="20"/>
                <w:color w:val="auto"/>
                <w:w w:val="97"/>
              </w:rPr>
              <w:t>. . . . . . . . . . . . . . . . . . . . . . . . . . . . . . . . . . . . . . . . .Rigelagreement</w:t>
            </w: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24,273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24,273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5"/>
        </w:trPr>
        <w:tc>
          <w:tcPr>
            <w:tcW w:w="54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CStone collaboration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(14,008)</w:t>
            </w:r>
          </w:p>
        </w:tc>
        <w:tc>
          <w:tcPr>
            <w:tcW w:w="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Roche pralsetinib collaboration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(223)</w:t>
            </w:r>
          </w:p>
        </w:tc>
        <w:tc>
          <w:tcPr>
            <w:tcW w:w="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Roche immunotherapy collaboration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(25,706)</w:t>
            </w:r>
          </w:p>
        </w:tc>
        <w:tc>
          <w:tcPr>
            <w:tcW w:w="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w:t>
            </w: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60" w:type="dxa"/>
            <w:vAlign w:val="bottom"/>
          </w:tcPr>
          <w:p>
            <w:pPr>
              <w:jc w:val="right"/>
              <w:ind w:right="140"/>
              <w:spacing w:after="0" w:line="214" w:lineRule="exact"/>
              <w:rPr>
                <w:sz w:val="20"/>
                <w:szCs w:val="20"/>
                <w:color w:val="auto"/>
              </w:rPr>
            </w:pPr>
            <w:r>
              <w:rPr>
                <w:rFonts w:ascii="Times New Roman" w:cs="Times New Roman" w:eastAsia="Times New Roman" w:hAnsi="Times New Roman"/>
                <w:sz w:val="20"/>
                <w:szCs w:val="20"/>
                <w:color w:val="auto"/>
              </w:rPr>
              <w:t>. . . . . . . . . . . . . . . .Totalcollaboration,licenseandotherrevenue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29,874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45,173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(15,299)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Revenue recognized from our collaboration, license and other agreements decreased during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as compared to the year ended December 31, 2023 primarily due to:</w:t>
      </w:r>
    </w:p>
    <w:p>
      <w:pPr>
        <w:spacing w:after="0" w:line="186" w:lineRule="exact"/>
        <w:rPr>
          <w:sz w:val="20"/>
          <w:szCs w:val="20"/>
          <w:color w:val="auto"/>
        </w:rPr>
      </w:pPr>
    </w:p>
    <w:p>
      <w:pPr>
        <w:ind w:left="1440" w:right="120" w:hanging="353"/>
        <w:spacing w:after="0" w:line="245" w:lineRule="auto"/>
        <w:tabs>
          <w:tab w:leader="none" w:pos="14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termination of the Roche immunotherapy collaboration effective in April 2023. As a result of the termination, the percentage of completion to fulfill the performance obligations under the Roche immunotherapy collaboration was increased, and therefore, the remaining transaction price associated with the agreement was recognized as collaboration, license and other revenue during the year ended December 31, 2023; and</w:t>
      </w:r>
    </w:p>
    <w:p>
      <w:pPr>
        <w:spacing w:after="0" w:line="175" w:lineRule="exact"/>
        <w:rPr>
          <w:rFonts w:ascii="Symbol" w:cs="Symbol" w:eastAsia="Symbol" w:hAnsi="Symbol"/>
          <w:sz w:val="20"/>
          <w:szCs w:val="20"/>
          <w:color w:val="auto"/>
        </w:rPr>
      </w:pPr>
    </w:p>
    <w:p>
      <w:pPr>
        <w:ind w:left="1440" w:right="160" w:hanging="353"/>
        <w:spacing w:after="0" w:line="247" w:lineRule="auto"/>
        <w:tabs>
          <w:tab w:leader="none" w:pos="14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Decreased revenue under our CStone collaboration primarily due to a regulatory milestone of $9.0 million achieved during the year ended December 31, 2023 and a reduction in revenue recorded as a result of consideration payable to CStone in connection with commercial supply of pralsetinib for the CStone Territory.</w:t>
      </w:r>
    </w:p>
    <w:p>
      <w:pPr>
        <w:spacing w:after="0" w:line="157"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decrease in collaboration, license and other revenue was partially offset by the revenue recorded under the Rigel Agreement upon completion of the transition during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198" w:lineRule="exact"/>
        <w:rPr>
          <w:sz w:val="20"/>
          <w:szCs w:val="20"/>
          <w:color w:val="auto"/>
        </w:rPr>
      </w:pPr>
    </w:p>
    <w:p>
      <w:pPr>
        <w:ind w:right="5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cost of sales during the years ended December 31,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85"/>
        </w:trPr>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 . . . . . . . . . . . . . . . . . . . . . . . . . . . . . . . . . . . .Costofproductsales</w:t>
            </w:r>
          </w:p>
        </w:tc>
        <w:tc>
          <w:tcPr>
            <w:tcW w:w="18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8,041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6,465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67"/>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1,576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24</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50"/>
        </w:trPr>
        <w:tc>
          <w:tcPr>
            <w:tcW w:w="5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Cost of collaboration and other sales . . . . . . . . . . . . . . . . . . . . . . .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Total cost of sales . . . . . . . . . . . . . . . . . . . . . . . . . . . . . . . . . . . . . . .</w:t>
            </w: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20,163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8,540</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9"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720"/>
          </w:cols>
          <w:pgMar w:left="1260" w:top="1249" w:right="1260" w:bottom="175" w:gutter="0" w:footer="0" w:header="0"/>
          <w:type w:val="continuous"/>
        </w:sectPr>
      </w:pPr>
    </w:p>
    <w:bookmarkStart w:id="109" w:name="page110"/>
    <w:bookmarkEnd w:id="109"/>
    <w:p>
      <w:pPr>
        <w:ind w:left="720"/>
        <w:spacing w:after="0"/>
        <w:rPr>
          <w:sz w:val="20"/>
          <w:szCs w:val="20"/>
          <w:color w:val="auto"/>
        </w:rPr>
      </w:pPr>
      <w:r>
        <w:rPr>
          <w:rFonts w:ascii="Times New Roman" w:cs="Times New Roman" w:eastAsia="Times New Roman" w:hAnsi="Times New Roman"/>
          <w:sz w:val="20"/>
          <w:szCs w:val="20"/>
          <w:color w:val="auto"/>
        </w:rPr>
        <w:t>Cost of sales increased during the year ended December 31, 2024 as compared to the year ended</w:t>
      </w:r>
    </w:p>
    <w:p>
      <w:pPr>
        <w:spacing w:after="0" w:line="28"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December 31, 2023 primarily due to an increase in the cost of collaboration and other agreement related sales which was driven by GAVRETO product sales to Rigel and collaboration sales to CStone. The increase in cost of product sales was primarily due to an increase in product sales volume.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Loss Sharing</w:t>
      </w:r>
    </w:p>
    <w:p>
      <w:pPr>
        <w:spacing w:after="0" w:line="277"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no collaboration loss sharing was recognized for the sales of GAVRETO to the customers in the U.S. because the commercialization activities of GAVRETO were profitable in the U.S. through its termination date of February 22, 2024 and generated profit sharing revenue of $1.4 million which was recorded as Roche pralsetinib collaboration revenue. During the year ended December 31, 2023, we recorded collaboration loss sharing of $4.3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78"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research and development expenses during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gridSpan w:val="2"/>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rPr>
              <w:t>. . . . . . . . . . . . . . . . . . . . . . . . . . .Compensationandrelatedexpenses</w:t>
            </w:r>
          </w:p>
        </w:tc>
        <w:tc>
          <w:tcPr>
            <w:tcW w:w="9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$ 114,861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$ 110,740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4,121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4"/>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Early drug discovery and platform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76,970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70,383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6,587</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Stock-based compensation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47,455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41,534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5,921</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Clinical and manufacturing related activities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38,889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138,801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(99,912)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Facilities and IT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33,783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1,806</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Consulting and professional services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29,189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(5,007)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3,290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Total research and development expenses . . . . . .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$ 341,433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$ 427,720</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(86,287)</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 decreased during the year ended December 31, 2024 as compared to the year ended December 31, 2023, primarily due to a decrease in clinical and manufacturing related activities. This decrease is attributed to our focused approach towards optimizing operational efficiency across our portfolio while prioritizing our top programs, the timing of manufacturing clinical trial materials, and the termination of the Roche pralsetinib collaboration.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w:t>
      </w: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sales, general and administrative expenses during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.Compensationandrelatedexpenses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$ 127,286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$ 120,756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4"/>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Commercial and related expenses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96,604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53,579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43,025</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Stock-based compensation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61,456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51,138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10,318</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Consulting and professional services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49,575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41,876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Facilities and IT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14,666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(2,529)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Total sales, general and administrative expenses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$ 359,272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$ 295,141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64,131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40"/>
          </w:cols>
          <w:pgMar w:left="1260" w:top="1246" w:right="12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740"/>
          </w:cols>
          <w:pgMar w:left="1260" w:top="1246" w:right="1240" w:bottom="175" w:gutter="0" w:footer="0" w:header="0"/>
          <w:type w:val="continuous"/>
        </w:sectPr>
      </w:pPr>
    </w:p>
    <w:bookmarkStart w:id="110" w:name="page111"/>
    <w:bookmarkEnd w:id="110"/>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Selling, general and administrative expense increased during the year ended December 31, 2024 as compared to the year ended December 31, 2023 primarily due to:</w:t>
      </w:r>
    </w:p>
    <w:p>
      <w:pPr>
        <w:spacing w:after="0" w:line="182" w:lineRule="exact"/>
        <w:rPr>
          <w:sz w:val="20"/>
          <w:szCs w:val="20"/>
          <w:color w:val="auto"/>
        </w:rPr>
      </w:pPr>
    </w:p>
    <w:p>
      <w:pPr>
        <w:ind w:left="1440" w:right="1220" w:hanging="353"/>
        <w:spacing w:after="0" w:line="262" w:lineRule="auto"/>
        <w:tabs>
          <w:tab w:leader="none" w:pos="144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an increase in commercial and related activities primarily driven by efforts to support the commercialization of AYVAKIT/AYVAKYT; and</w:t>
      </w:r>
    </w:p>
    <w:p>
      <w:pPr>
        <w:spacing w:after="0" w:line="195" w:lineRule="exact"/>
        <w:rPr>
          <w:rFonts w:ascii="Symbol" w:cs="Symbol" w:eastAsia="Symbol" w:hAnsi="Symbol"/>
          <w:sz w:val="20"/>
          <w:szCs w:val="20"/>
          <w:color w:val="auto"/>
        </w:rPr>
      </w:pPr>
    </w:p>
    <w:p>
      <w:pPr>
        <w:ind w:left="1440" w:right="160" w:hanging="353"/>
        <w:spacing w:after="0" w:line="251" w:lineRule="auto"/>
        <w:tabs>
          <w:tab w:leader="none" w:pos="144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an increase in stock-based compensation expense primarily driven by the higher valuation of newly granted equity awards as a result of the Company's rising stock price, and an increase in equity awards granted to support headcount growth within our commercial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278"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interest expense, net, during the years ended December 31,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gridSpan w:val="2"/>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w w:val="98"/>
              </w:rPr>
              <w:t>. . . . . . . . . . . . . . . . . . . . . . . . . . . . . . . . . . . . . . . . . . . .Interestincome</w:t>
            </w:r>
          </w:p>
        </w:tc>
        <w:tc>
          <w:tcPr>
            <w:tcW w:w="14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40,655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32,812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7,843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24</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50"/>
        </w:trPr>
        <w:tc>
          <w:tcPr>
            <w:tcW w:w="5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Interest expense . . . . . . . . . . . . . . . . . . . . . . . . . . . . . . . . . . . . . . . . . . .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(68,806)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(51,605)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(17,201)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Interest expense, net . . . . . . . . . . .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(28,151)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(9,358)</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360" w:firstLine="720"/>
        <w:spacing w:after="0" w:line="253" w:lineRule="auto"/>
        <w:rPr>
          <w:sz w:val="20"/>
          <w:szCs w:val="20"/>
          <w:color w:val="auto"/>
        </w:rPr>
      </w:pPr>
      <w:r>
        <w:rPr>
          <w:rFonts w:ascii="Times New Roman" w:cs="Times New Roman" w:eastAsia="Times New Roman" w:hAnsi="Times New Roman"/>
          <w:sz w:val="20"/>
          <w:szCs w:val="20"/>
          <w:color w:val="auto"/>
        </w:rPr>
        <w:t>Interest expense, net, increased during the year ended December 31, 2024 as compared to the year ended December 31, 2023 primarily due to higher interest charges on the term loan with Sixth Street Partners driven by the additional delayed draw term loan facilities, partially offset by higher interest income earned on our available-for-sale investments during the year ended December 31, 2024 as compared to the year ended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96" w:lineRule="exact"/>
        <w:rPr>
          <w:sz w:val="20"/>
          <w:szCs w:val="20"/>
          <w:color w:val="auto"/>
        </w:rPr>
      </w:pPr>
    </w:p>
    <w:p>
      <w:pPr>
        <w:ind w:right="3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other income (expense), net, during the years ended December 31,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Dollar Change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185"/>
        </w:trPr>
        <w:tc>
          <w:tcPr>
            <w:tcW w:w="5960" w:type="dxa"/>
            <w:vAlign w:val="bottom"/>
            <w:vMerge w:val="restart"/>
          </w:tcPr>
          <w:p>
            <w:pPr>
              <w:jc w:val="right"/>
              <w:ind w:right="3580"/>
              <w:spacing w:after="0"/>
              <w:rPr>
                <w:sz w:val="20"/>
                <w:szCs w:val="20"/>
                <w:color w:val="auto"/>
              </w:rPr>
            </w:pPr>
            <w:r>
              <w:rPr>
                <w:rFonts w:ascii="Times New Roman" w:cs="Times New Roman" w:eastAsia="Times New Roman" w:hAnsi="Times New Roman"/>
                <w:sz w:val="20"/>
                <w:szCs w:val="20"/>
                <w:color w:val="auto"/>
                <w:w w:val="99"/>
              </w:rPr>
              <w:t>Other income (expense), net</w:t>
            </w:r>
          </w:p>
        </w:tc>
        <w:tc>
          <w:tcPr>
            <w:tcW w:w="20" w:type="dxa"/>
            <w:vAlign w:val="bottom"/>
            <w:vMerge w:val="restart"/>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60" w:type="dxa"/>
            <w:vAlign w:val="bottom"/>
            <w:vMerge w:val="continue"/>
          </w:tcPr>
          <w:p>
            <w:pPr>
              <w:jc w:val="right"/>
              <w:ind w:right="16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w:t>
            </w:r>
          </w:p>
        </w:tc>
        <w:tc>
          <w:tcPr>
            <w:tcW w:w="20" w:type="dxa"/>
            <w:vAlign w:val="bottom"/>
            <w:tcBorders>
              <w:bottom w:val="single" w:sz="8" w:color="auto"/>
            </w:tcBorders>
            <w:vMerge w:val="continue"/>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(946)</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169 %</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Other income, net, increased during the year ended December 31, 2024 as compared to the year ended December 31, 2023 primarily due to the gain recorded associated with our equity investment in IDRx in connection with the Series B preferred stock financing completed by IDRx during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extinguishment gain</w:t>
      </w:r>
    </w:p>
    <w:p>
      <w:pPr>
        <w:spacing w:after="0" w:line="23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 xml:space="preserve">During the year ended December 31, 2024, a debt extinguishment gain of $173.7 million was recognized as a result of the Royalty Pharma Termination Agreement entered into on February 22, 2024. For additional information,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278"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income tax expense during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20" w:type="dxa"/>
            <w:vAlign w:val="bottom"/>
          </w:tcPr>
          <w:p>
            <w:pPr>
              <w:spacing w:after="0"/>
              <w:rPr>
                <w:sz w:val="17"/>
                <w:szCs w:val="17"/>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Dollar Change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185"/>
        </w:trPr>
        <w:tc>
          <w:tcPr>
            <w:tcW w:w="5920" w:type="dxa"/>
            <w:vAlign w:val="bottom"/>
            <w:vMerge w:val="restart"/>
          </w:tcPr>
          <w:p>
            <w:pPr>
              <w:jc w:val="right"/>
              <w:ind w:right="4220"/>
              <w:spacing w:after="0"/>
              <w:rPr>
                <w:sz w:val="20"/>
                <w:szCs w:val="20"/>
                <w:color w:val="auto"/>
              </w:rPr>
            </w:pPr>
            <w:r>
              <w:rPr>
                <w:rFonts w:ascii="Times New Roman" w:cs="Times New Roman" w:eastAsia="Times New Roman" w:hAnsi="Times New Roman"/>
                <w:sz w:val="20"/>
                <w:szCs w:val="20"/>
                <w:color w:val="auto"/>
                <w:w w:val="99"/>
              </w:rPr>
              <w:t>Income tax expense</w:t>
            </w:r>
          </w:p>
        </w:tc>
        <w:tc>
          <w:tcPr>
            <w:tcW w:w="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20" w:type="dxa"/>
            <w:vAlign w:val="bottom"/>
            <w:vMerge w:val="continue"/>
          </w:tcPr>
          <w:p>
            <w:pPr>
              <w:jc w:val="right"/>
              <w:ind w:right="12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  1,226</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260" w:top="1246"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800"/>
          </w:cols>
          <w:pgMar w:left="1260" w:top="1246" w:right="1180" w:bottom="175" w:gutter="0" w:footer="0" w:header="0"/>
          <w:type w:val="continuous"/>
        </w:sectPr>
      </w:pPr>
    </w:p>
    <w:bookmarkStart w:id="111" w:name="page112"/>
    <w:bookmarkEnd w:id="111"/>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 xml:space="preserve">Income tax expense increased during the year ended December 31, 2024 as compared to the year ended December 31, 2023 primarily due to state income tax and taxable income from jurisdictions in which the Company is subject to tax. For additional information, see Note 15,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to our consolidated financial statements included in this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Sources of Liquidity</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 date, we have financed our operations primarily through public offerings of our common stock, private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placements of our convertible preferred and common stock, collaborations and license agreements, future royalty and</w:t>
      </w:r>
    </w:p>
    <w:p>
      <w:pPr>
        <w:spacing w:after="0"/>
        <w:rPr>
          <w:sz w:val="20"/>
          <w:szCs w:val="20"/>
          <w:color w:val="auto"/>
        </w:rPr>
      </w:pPr>
      <w:r>
        <w:rPr>
          <w:rFonts w:ascii="Times New Roman" w:cs="Times New Roman" w:eastAsia="Times New Roman" w:hAnsi="Times New Roman"/>
          <w:sz w:val="20"/>
          <w:szCs w:val="20"/>
          <w:color w:val="auto"/>
        </w:rPr>
        <w:t>revenue monetization, and a term loan. Through December 31, 2024, we have received an aggregate of $3.9 billion from</w:t>
      </w:r>
    </w:p>
    <w:p>
      <w:pPr>
        <w:spacing w:after="0"/>
        <w:rPr>
          <w:sz w:val="20"/>
          <w:szCs w:val="20"/>
          <w:color w:val="auto"/>
        </w:rPr>
      </w:pPr>
      <w:r>
        <w:rPr>
          <w:rFonts w:ascii="Times New Roman" w:cs="Times New Roman" w:eastAsia="Times New Roman" w:hAnsi="Times New Roman"/>
          <w:sz w:val="20"/>
          <w:szCs w:val="20"/>
          <w:color w:val="auto"/>
        </w:rPr>
        <w:t>such transactions, including $1.9 billion in aggregate gross proceeds from the sale of common stock in our IPO,</w:t>
      </w:r>
    </w:p>
    <w:p>
      <w:pPr>
        <w:spacing w:after="0"/>
        <w:rPr>
          <w:sz w:val="20"/>
          <w:szCs w:val="20"/>
          <w:color w:val="auto"/>
        </w:rPr>
      </w:pPr>
      <w:r>
        <w:rPr>
          <w:rFonts w:ascii="Times New Roman" w:cs="Times New Roman" w:eastAsia="Times New Roman" w:hAnsi="Times New Roman"/>
          <w:sz w:val="20"/>
          <w:szCs w:val="20"/>
          <w:color w:val="auto"/>
        </w:rPr>
        <w:t>follow-on public offerings, through our “at the market” stock offering program and the equity investment by Roche,</w:t>
      </w:r>
    </w:p>
    <w:p>
      <w:pPr>
        <w:spacing w:after="0"/>
        <w:rPr>
          <w:sz w:val="20"/>
          <w:szCs w:val="20"/>
          <w:color w:val="auto"/>
        </w:rPr>
      </w:pPr>
      <w:r>
        <w:rPr>
          <w:rFonts w:ascii="Times New Roman" w:cs="Times New Roman" w:eastAsia="Times New Roman" w:hAnsi="Times New Roman"/>
          <w:sz w:val="20"/>
          <w:szCs w:val="20"/>
          <w:color w:val="auto"/>
        </w:rPr>
        <w:t>$115.1 million in gross proceeds from the issuance of convertible preferred stock, $175.0 million in gross proceeds from</w:t>
      </w:r>
    </w:p>
    <w:p>
      <w:pPr>
        <w:spacing w:after="0"/>
        <w:rPr>
          <w:sz w:val="20"/>
          <w:szCs w:val="20"/>
          <w:color w:val="auto"/>
        </w:rPr>
      </w:pPr>
      <w:r>
        <w:rPr>
          <w:rFonts w:ascii="Times New Roman" w:cs="Times New Roman" w:eastAsia="Times New Roman" w:hAnsi="Times New Roman"/>
          <w:sz w:val="20"/>
          <w:szCs w:val="20"/>
          <w:color w:val="auto"/>
        </w:rPr>
        <w:t>our Royalty Purchase Agreement with Royalty Pharma, $250.0 million in gross proceeds from our Future Revenue</w:t>
      </w:r>
    </w:p>
    <w:p>
      <w:pPr>
        <w:spacing w:after="0"/>
        <w:rPr>
          <w:sz w:val="20"/>
          <w:szCs w:val="20"/>
          <w:color w:val="auto"/>
        </w:rPr>
      </w:pPr>
      <w:r>
        <w:rPr>
          <w:rFonts w:ascii="Times New Roman" w:cs="Times New Roman" w:eastAsia="Times New Roman" w:hAnsi="Times New Roman"/>
          <w:sz w:val="20"/>
          <w:szCs w:val="20"/>
          <w:color w:val="auto"/>
        </w:rPr>
        <w:t>Purchase Agreement with Sixth Street Partners, $1.1 billion in upfront payments and milestone payments under our</w:t>
      </w:r>
    </w:p>
    <w:p>
      <w:pPr>
        <w:spacing w:after="0"/>
        <w:rPr>
          <w:sz w:val="20"/>
          <w:szCs w:val="20"/>
          <w:color w:val="auto"/>
        </w:rPr>
      </w:pPr>
      <w:r>
        <w:rPr>
          <w:rFonts w:ascii="Times New Roman" w:cs="Times New Roman" w:eastAsia="Times New Roman" w:hAnsi="Times New Roman"/>
          <w:sz w:val="20"/>
          <w:szCs w:val="20"/>
          <w:color w:val="auto"/>
        </w:rPr>
        <w:t>collaborations with CStone and Zai Lab, our now terminated collaborations with Roche, our license agreement with</w:t>
      </w:r>
    </w:p>
    <w:p>
      <w:pPr>
        <w:spacing w:after="0"/>
        <w:rPr>
          <w:sz w:val="20"/>
          <w:szCs w:val="20"/>
          <w:color w:val="auto"/>
        </w:rPr>
      </w:pPr>
      <w:r>
        <w:rPr>
          <w:rFonts w:ascii="Times New Roman" w:cs="Times New Roman" w:eastAsia="Times New Roman" w:hAnsi="Times New Roman"/>
          <w:sz w:val="20"/>
          <w:szCs w:val="20"/>
          <w:color w:val="auto"/>
        </w:rPr>
        <w:t>Clementia, our agreement with Rigel and our former collaboration with Alexion, and $400.0 million in gross proceeds</w:t>
      </w:r>
    </w:p>
    <w:p>
      <w:pPr>
        <w:spacing w:after="0"/>
        <w:rPr>
          <w:sz w:val="20"/>
          <w:szCs w:val="20"/>
          <w:color w:val="auto"/>
        </w:rPr>
      </w:pPr>
      <w:r>
        <w:rPr>
          <w:rFonts w:ascii="Times New Roman" w:cs="Times New Roman" w:eastAsia="Times New Roman" w:hAnsi="Times New Roman"/>
          <w:sz w:val="20"/>
          <w:szCs w:val="20"/>
          <w:color w:val="auto"/>
        </w:rPr>
        <w:t>from a term loan from Sixth Street Partners. In addition, since January 2020, we have also generated revenue through the</w:t>
      </w:r>
    </w:p>
    <w:p>
      <w:pPr>
        <w:spacing w:after="0"/>
        <w:rPr>
          <w:sz w:val="20"/>
          <w:szCs w:val="20"/>
          <w:color w:val="auto"/>
        </w:rPr>
      </w:pPr>
      <w:r>
        <w:rPr>
          <w:rFonts w:ascii="Times New Roman" w:cs="Times New Roman" w:eastAsia="Times New Roman" w:hAnsi="Times New Roman"/>
          <w:sz w:val="20"/>
          <w:szCs w:val="20"/>
          <w:color w:val="auto"/>
        </w:rPr>
        <w:t>sales of our approved drug products.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we had cash, cash equivalents and marketable securities of $863.9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 for the years ended December 31, 2024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vMerge w:val="restart"/>
          </w:tcPr>
          <w:p>
            <w:pPr>
              <w:jc w:val="right"/>
              <w:ind w:right="6444"/>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7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7"/>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4"/>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00" w:type="dxa"/>
            <w:vAlign w:val="bottom"/>
          </w:tcPr>
          <w:p>
            <w:pPr>
              <w:jc w:val="right"/>
              <w:ind w:right="164"/>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.Netcashusedinoperatingactivities</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(192,586)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(436,847)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7"/>
              </w:rPr>
              <w:t>Net cash provided by (used in) investing activities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(47,501)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7"/>
              </w:rPr>
              <w:t>Net cash provided by financing activities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273,111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00" w:type="dxa"/>
            <w:vAlign w:val="bottom"/>
          </w:tcPr>
          <w:p>
            <w:pPr>
              <w:jc w:val="right"/>
              <w:ind w:right="164"/>
              <w:spacing w:after="0" w:line="221" w:lineRule="exact"/>
              <w:rPr>
                <w:sz w:val="20"/>
                <w:szCs w:val="20"/>
                <w:color w:val="auto"/>
              </w:rPr>
            </w:pPr>
            <w:r>
              <w:rPr>
                <w:rFonts w:ascii="Times New Roman" w:cs="Times New Roman" w:eastAsia="Times New Roman" w:hAnsi="Times New Roman"/>
                <w:sz w:val="20"/>
                <w:szCs w:val="20"/>
                <w:color w:val="auto"/>
              </w:rPr>
              <w:t>. . . . . . . . . . . . . . . . . .Netincrease(decrease)incash,cashequivalents,andrestrictedcash</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33,024</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(43,582)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Net Cash Used in Operating Activities. </w:t>
      </w:r>
      <w:r>
        <w:rPr>
          <w:rFonts w:ascii="Times New Roman" w:cs="Times New Roman" w:eastAsia="Times New Roman" w:hAnsi="Times New Roman"/>
          <w:sz w:val="20"/>
          <w:szCs w:val="20"/>
          <w:color w:val="auto"/>
        </w:rPr>
        <w:t>For the year ended December 31, 2024, compared to the same period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the $244.3 million decrease in net cash used in operating activities was primarily due to the decrease in net loss of $439.9 million. The decrease was partially offset by the non-cash adjustment for the debt extinguishment gain of $173.7 million and changes in our operating assets and liabilities of $23.6 million.</w:t>
      </w:r>
    </w:p>
    <w:p>
      <w:pPr>
        <w:spacing w:after="0" w:line="234"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Net Cash Provided by (Used in) Investing Activities. </w:t>
      </w:r>
      <w:r>
        <w:rPr>
          <w:rFonts w:ascii="Times New Roman" w:cs="Times New Roman" w:eastAsia="Times New Roman" w:hAnsi="Times New Roman"/>
          <w:sz w:val="20"/>
          <w:szCs w:val="20"/>
          <w:color w:val="auto"/>
        </w:rPr>
        <w:t>For the year ended December 31, 2024, compared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same period in 2023, the $ 321.5 million decrease in net cash provided by investing activities was primarily due to a $333.0 million increase in net purchases of investments classified as available for sale.</w:t>
      </w:r>
    </w:p>
    <w:p>
      <w:pPr>
        <w:spacing w:after="0" w:line="17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Net Cash Provided by Financing Activities. </w:t>
      </w:r>
      <w:r>
        <w:rPr>
          <w:rFonts w:ascii="Times New Roman" w:cs="Times New Roman" w:eastAsia="Times New Roman" w:hAnsi="Times New Roman"/>
          <w:sz w:val="20"/>
          <w:szCs w:val="20"/>
          <w:color w:val="auto"/>
        </w:rPr>
        <w:t>For the year ended December 31, 2024, compared to the same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in 2023, the $153.9 million increase in net cash provided by financing activities was primarily due to the increase of $48.9 million in proceeds from the ATM Facility (as defined below), the $56.4 million increase in net proceeds received from stock option exercises and employee stock purchase plan and the $49.0 million increase in net proceeds from the term loan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Financing</w:t>
      </w:r>
    </w:p>
    <w:p>
      <w:pPr>
        <w:spacing w:after="0" w:line="228"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In June 2022, we entered into a Royalty Purchase Agreement with Royalty Pharma. Pursuant to the Royalty Purchase Agreement, we received an upfront payment of $175.0 million in consideration for our rights to receive royalty</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720"/>
          </w:cols>
          <w:pgMar w:left="1260" w:top="1246" w:right="1260" w:bottom="175" w:gutter="0" w:footer="0" w:header="0"/>
          <w:type w:val="continuous"/>
        </w:sectPr>
      </w:pPr>
    </w:p>
    <w:bookmarkStart w:id="112" w:name="page113"/>
    <w:bookmarkEnd w:id="112"/>
    <w:p>
      <w:pPr>
        <w:ind w:right="20"/>
        <w:spacing w:after="0" w:line="249" w:lineRule="auto"/>
        <w:rPr>
          <w:sz w:val="20"/>
          <w:szCs w:val="20"/>
          <w:color w:val="auto"/>
        </w:rPr>
      </w:pPr>
      <w:r>
        <w:rPr>
          <w:rFonts w:ascii="Times New Roman" w:cs="Times New Roman" w:eastAsia="Times New Roman" w:hAnsi="Times New Roman"/>
          <w:sz w:val="20"/>
          <w:szCs w:val="20"/>
          <w:color w:val="auto"/>
        </w:rPr>
        <w:t>payments on the net sales of GAVRETO worldwide excluding the CStone Territory and U.S. territory under the terms of the Roche pralsetinib collaboration agreement. In connection with and effective upon the termination of the Roche pralsetinib collaboration agreement, on February 22, 2024, we and Royalty Pharma agreed to terminate the Royalty Purchase Agreement. As of December 31, 2024, the net carrying value of liability related to this arrangement was $0.7 million, which we subsequently paid in February 2025.</w:t>
      </w:r>
    </w:p>
    <w:p>
      <w:pPr>
        <w:spacing w:after="0" w:line="18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In July 2022, we closed a Future Revenue Purchase Agreement with Sixth Street Partners and received gross proceeds of $250.0 million in exchange for future royalty payments at a rate of 9.75% on up to $900 million each year of</w:t>
      </w:r>
    </w:p>
    <w:p>
      <w:pPr>
        <w:ind w:right="60" w:firstLine="7"/>
        <w:spacing w:after="0" w:line="241" w:lineRule="auto"/>
        <w:tabs>
          <w:tab w:leader="none" w:pos="2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December 31, 2024, the net carrying value of the liability related to this arrangement was $254.4 million.</w:t>
      </w:r>
    </w:p>
    <w:p>
      <w:pPr>
        <w:spacing w:after="0" w:line="19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As of December 31, 2024, the net carrying value of the term loan was $387.0 million.</w:t>
      </w:r>
    </w:p>
    <w:p>
      <w:pPr>
        <w:spacing w:after="0" w:line="19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$80.0 million.</w:t>
      </w:r>
    </w:p>
    <w:p>
      <w:pPr>
        <w:spacing w:after="0" w:line="192" w:lineRule="exact"/>
        <w:rPr>
          <w:sz w:val="20"/>
          <w:szCs w:val="20"/>
          <w:color w:val="auto"/>
        </w:rPr>
      </w:pPr>
    </w:p>
    <w:p>
      <w:pPr>
        <w:ind w:right="520" w:firstLine="720"/>
        <w:spacing w:after="0" w:line="277" w:lineRule="auto"/>
        <w:rPr>
          <w:sz w:val="20"/>
          <w:szCs w:val="20"/>
          <w:color w:val="auto"/>
        </w:rPr>
      </w:pPr>
      <w:r>
        <w:rPr>
          <w:rFonts w:ascii="Times New Roman" w:cs="Times New Roman" w:eastAsia="Times New Roman" w:hAnsi="Times New Roman"/>
          <w:sz w:val="20"/>
          <w:szCs w:val="20"/>
          <w:color w:val="auto"/>
        </w:rPr>
        <w:t xml:space="preserve">For additional information,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Agreement with Cowen</w:t>
      </w:r>
    </w:p>
    <w:p>
      <w:pPr>
        <w:spacing w:after="0" w:line="228" w:lineRule="exact"/>
        <w:rPr>
          <w:sz w:val="20"/>
          <w:szCs w:val="20"/>
          <w:color w:val="auto"/>
        </w:rPr>
      </w:pPr>
    </w:p>
    <w:p>
      <w:pPr>
        <w:jc w:val="both"/>
        <w:ind w:right="60" w:firstLine="720"/>
        <w:spacing w:after="0" w:line="249" w:lineRule="auto"/>
        <w:rPr>
          <w:sz w:val="20"/>
          <w:szCs w:val="20"/>
          <w:color w:val="auto"/>
        </w:rPr>
      </w:pPr>
      <w:r>
        <w:rPr>
          <w:rFonts w:ascii="Times New Roman" w:cs="Times New Roman" w:eastAsia="Times New Roman" w:hAnsi="Times New Roman"/>
          <w:sz w:val="20"/>
          <w:szCs w:val="20"/>
          <w:color w:val="auto"/>
        </w:rPr>
        <w:t>In February 2022, we entered into an at-the-market (ATM) Facility with Cowen and Company, LLC (Cowen), pursuant to which we may offer and sell, from time to time at our sole discretion, shares of our common stock having an aggregate offering price of up to $300.0 million through Cowen as sales agent. During the year ended</w:t>
      </w:r>
    </w:p>
    <w:p>
      <w:pPr>
        <w:spacing w:after="0" w:line="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December 31, 2024, we issued and sold 544,719 shares of our common stock under the ATM Facility, at an average price of $91.88 per share, and received net proceeds of $48.9 million. As of December 31, 2024, we had $250.0 million of remaining capacity available under the ATM Facility.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Funding Requirements</w:t>
      </w:r>
    </w:p>
    <w:p>
      <w:pPr>
        <w:spacing w:after="0" w:line="27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w:t>
      </w:r>
    </w:p>
    <w:p>
      <w:pPr>
        <w:sectPr>
          <w:pgSz w:w="12240" w:h="15840" w:orient="portrait"/>
          <w:cols w:equalWidth="0" w:num="1">
            <w:col w:w="9700"/>
          </w:cols>
          <w:pgMar w:left="1260" w:top="1246" w:right="1280" w:bottom="175"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700"/>
          </w:cols>
          <w:pgMar w:left="1260" w:top="1246" w:right="1280" w:bottom="175" w:gutter="0" w:footer="0" w:header="0"/>
          <w:type w:val="continuous"/>
        </w:sectPr>
      </w:pPr>
    </w:p>
    <w:bookmarkStart w:id="113" w:name="page114"/>
    <w:bookmarkEnd w:id="113"/>
    <w:p>
      <w:pPr>
        <w:ind w:right="60"/>
        <w:spacing w:after="0" w:line="253" w:lineRule="auto"/>
        <w:rPr>
          <w:sz w:val="20"/>
          <w:szCs w:val="20"/>
          <w:color w:val="auto"/>
        </w:rPr>
      </w:pPr>
      <w:r>
        <w:rPr>
          <w:rFonts w:ascii="Times New Roman" w:cs="Times New Roman" w:eastAsia="Times New Roman" w:hAnsi="Times New Roman"/>
          <w:sz w:val="20"/>
          <w:szCs w:val="20"/>
          <w:color w:val="auto"/>
        </w:rPr>
        <w:t>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spacing w:after="0" w:line="230"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2024, we had cash, cash equivalents and marketable securities of $863.9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Our future capital requirements will depend on and may increase as a result of many factors, including:</w:t>
      </w:r>
    </w:p>
    <w:p>
      <w:pPr>
        <w:spacing w:after="0" w:line="255" w:lineRule="exact"/>
        <w:rPr>
          <w:sz w:val="20"/>
          <w:szCs w:val="20"/>
          <w:color w:val="auto"/>
        </w:rPr>
      </w:pPr>
    </w:p>
    <w:p>
      <w:pPr>
        <w:ind w:left="144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commercialization efforts and market acceptance for AYVAKIT/AYVAKYT or any of our current or future drug candidates for which we receive marketing approval;</w:t>
      </w:r>
    </w:p>
    <w:p>
      <w:pPr>
        <w:spacing w:after="0" w:line="195" w:lineRule="exact"/>
        <w:rPr>
          <w:rFonts w:ascii="Symbol" w:cs="Symbol" w:eastAsia="Symbol" w:hAnsi="Symbol"/>
          <w:sz w:val="20"/>
          <w:szCs w:val="20"/>
          <w:color w:val="auto"/>
        </w:rPr>
      </w:pPr>
    </w:p>
    <w:p>
      <w:pPr>
        <w:ind w:left="1440" w:right="120" w:hanging="353"/>
        <w:spacing w:after="0" w:line="251"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207" w:lineRule="exact"/>
        <w:rPr>
          <w:rFonts w:ascii="Symbol" w:cs="Symbol" w:eastAsia="Symbol" w:hAnsi="Symbol"/>
          <w:sz w:val="20"/>
          <w:szCs w:val="20"/>
          <w:color w:val="auto"/>
        </w:rPr>
      </w:pPr>
    </w:p>
    <w:p>
      <w:pPr>
        <w:ind w:left="1440" w:right="200" w:hanging="353"/>
        <w:spacing w:after="0" w:line="247"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211" w:lineRule="exact"/>
        <w:rPr>
          <w:rFonts w:ascii="Symbol" w:cs="Symbol" w:eastAsia="Symbol" w:hAnsi="Symbol"/>
          <w:sz w:val="20"/>
          <w:szCs w:val="20"/>
          <w:color w:val="auto"/>
        </w:rPr>
      </w:pPr>
    </w:p>
    <w:p>
      <w:pPr>
        <w:ind w:left="1440" w:right="4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purchasing quantities of agents for use in our clinical trials in connection with our efforts to develop our drugs and drug candidates, including for development as combination therapies;</w:t>
      </w:r>
    </w:p>
    <w:p>
      <w:pPr>
        <w:spacing w:after="0" w:line="196" w:lineRule="exact"/>
        <w:rPr>
          <w:rFonts w:ascii="Symbol" w:cs="Symbol" w:eastAsia="Symbol" w:hAnsi="Symbol"/>
          <w:sz w:val="20"/>
          <w:szCs w:val="20"/>
          <w:color w:val="auto"/>
        </w:rPr>
      </w:pPr>
    </w:p>
    <w:p>
      <w:pPr>
        <w:ind w:left="1440" w:right="32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drug discovery, preclinical development, laboratory testing and clinical trials for our approved drugs and drug candidates;</w:t>
      </w:r>
    </w:p>
    <w:p>
      <w:pPr>
        <w:spacing w:after="0" w:line="195" w:lineRule="exact"/>
        <w:rPr>
          <w:rFonts w:ascii="Symbol" w:cs="Symbol" w:eastAsia="Symbol" w:hAnsi="Symbol"/>
          <w:sz w:val="20"/>
          <w:szCs w:val="20"/>
          <w:color w:val="auto"/>
        </w:rPr>
      </w:pPr>
    </w:p>
    <w:p>
      <w:pPr>
        <w:ind w:left="1440" w:right="12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marketing applications for our drug candidates, to the extent these expenses are not the responsibility of our collaboration partners;</w:t>
      </w:r>
    </w:p>
    <w:p>
      <w:pPr>
        <w:spacing w:after="0" w:line="195" w:lineRule="exact"/>
        <w:rPr>
          <w:rFonts w:ascii="Symbol" w:cs="Symbol" w:eastAsia="Symbol" w:hAnsi="Symbol"/>
          <w:sz w:val="20"/>
          <w:szCs w:val="20"/>
          <w:color w:val="auto"/>
        </w:rPr>
      </w:pPr>
    </w:p>
    <w:p>
      <w:pPr>
        <w:ind w:left="1440" w:right="260" w:hanging="353"/>
        <w:spacing w:after="0" w:line="251"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collaboration with CStone, our license agreements with Clementia and IDRx, our agreement with Rigel, as well as our ability to establish and maintain additional collaborations, partnerships or licenses on favorable terms, if at all;</w:t>
      </w:r>
    </w:p>
    <w:p>
      <w:pPr>
        <w:spacing w:after="0" w:line="207" w:lineRule="exact"/>
        <w:rPr>
          <w:rFonts w:ascii="Symbol" w:cs="Symbol" w:eastAsia="Symbol" w:hAnsi="Symbol"/>
          <w:sz w:val="20"/>
          <w:szCs w:val="20"/>
          <w:color w:val="auto"/>
        </w:rPr>
      </w:pPr>
    </w:p>
    <w:p>
      <w:pPr>
        <w:ind w:left="1440" w:right="160" w:hanging="353"/>
        <w:spacing w:after="0" w:line="251"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achievement of milestones or occurrence of other developments that trigger payments under our existing collaboration, license or other agreements, our financing arrangements, or any collaboration, partnership, financing or license agreements that we may enter into in the future;</w:t>
      </w:r>
    </w:p>
    <w:p>
      <w:pPr>
        <w:spacing w:after="0" w:line="207" w:lineRule="exact"/>
        <w:rPr>
          <w:rFonts w:ascii="Symbol" w:cs="Symbol" w:eastAsia="Symbol" w:hAnsi="Symbol"/>
          <w:sz w:val="20"/>
          <w:szCs w:val="20"/>
          <w:color w:val="auto"/>
        </w:rPr>
      </w:pPr>
    </w:p>
    <w:p>
      <w:pPr>
        <w:ind w:left="1440" w:right="60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are obligated to reimburse, or entitled to reimbursement of, research and development, clinical or other costs under future collaboration agreements, if any;</w:t>
      </w:r>
    </w:p>
    <w:p>
      <w:pPr>
        <w:spacing w:after="0" w:line="195" w:lineRule="exact"/>
        <w:rPr>
          <w:rFonts w:ascii="Symbol" w:cs="Symbol" w:eastAsia="Symbol" w:hAnsi="Symbol"/>
          <w:sz w:val="20"/>
          <w:szCs w:val="20"/>
          <w:color w:val="auto"/>
        </w:rPr>
      </w:pPr>
    </w:p>
    <w:p>
      <w:pPr>
        <w:ind w:left="1440" w:right="4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acquire or in-license other approved drugs, drug candidates or technologies and the terms of any such arrangements;</w:t>
      </w:r>
    </w:p>
    <w:p>
      <w:pPr>
        <w:spacing w:after="0" w:line="196" w:lineRule="exact"/>
        <w:rPr>
          <w:rFonts w:ascii="Symbol" w:cs="Symbol" w:eastAsia="Symbol" w:hAnsi="Symbol"/>
          <w:sz w:val="20"/>
          <w:szCs w:val="20"/>
          <w:color w:val="auto"/>
        </w:rPr>
      </w:pPr>
    </w:p>
    <w:p>
      <w:pPr>
        <w:ind w:left="1440" w:right="580" w:hanging="353"/>
        <w:spacing w:after="0" w:line="262" w:lineRule="auto"/>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 and</w:t>
      </w:r>
    </w:p>
    <w:p>
      <w:pPr>
        <w:spacing w:after="0" w:line="195" w:lineRule="exact"/>
        <w:rPr>
          <w:rFonts w:ascii="Symbol" w:cs="Symbol" w:eastAsia="Symbol" w:hAnsi="Symbol"/>
          <w:sz w:val="20"/>
          <w:szCs w:val="20"/>
          <w:color w:val="auto"/>
        </w:rPr>
      </w:pPr>
    </w:p>
    <w:p>
      <w:pPr>
        <w:ind w:left="1440" w:hanging="353"/>
        <w:spacing w:after="0"/>
        <w:tabs>
          <w:tab w:leader="none" w:pos="144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continuing to expand our operations.</w:t>
      </w:r>
    </w:p>
    <w:p>
      <w:pPr>
        <w:spacing w:after="0" w:line="265"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w:t>
      </w:r>
    </w:p>
    <w:p>
      <w:pPr>
        <w:sectPr>
          <w:pgSz w:w="12240" w:h="15840" w:orient="portrait"/>
          <w:cols w:equalWidth="0" w:num="1">
            <w:col w:w="9700"/>
          </w:cols>
          <w:pgMar w:left="1260" w:top="1246" w:right="1280" w:bottom="175"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700"/>
          </w:cols>
          <w:pgMar w:left="1260" w:top="1246" w:right="1280" w:bottom="175" w:gutter="0" w:footer="0" w:header="0"/>
          <w:type w:val="continuous"/>
        </w:sectPr>
      </w:pPr>
    </w:p>
    <w:bookmarkStart w:id="114" w:name="page115"/>
    <w:bookmarkEnd w:id="114"/>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spacing w:after="0" w:line="22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achievement of milestones or royalties on sales of licensed products, if any. In addition, we may sell additional shares of our common stock pursuant to our ATM Facility with Cowen, as further discussed above.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4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28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We have entered into arrangements that contractually obligate us to make payments that will affect our liquidity and cash flows in future periods. Our contractual obligations primarily consist of our obligations under unconditional purchase obligations related to certain commercial manufacturing agreements, research service commitments, non-cancellable operating leases, term loan and defined benefit obligation.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agreements</w:t>
      </w:r>
    </w:p>
    <w:p>
      <w:pPr>
        <w:spacing w:after="0" w:line="27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The aggregate amount of future minimum purchase obligations under the manufacturing agreements over the period of next five years was approximately $2.0 million as of December 31, 2024, of which $1.0 million are expected to be paid within one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 commitments</w:t>
      </w:r>
    </w:p>
    <w:p>
      <w:pPr>
        <w:spacing w:after="0" w:line="278"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aggregate amount of future operating lease obligations over the term of our leases was $97.8 million as of December 31, 2024, of which $18.8 million are expected to be paid within one year. For additional information on our leases and timing of future payments, see Note 16,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to our consolidated financial statements included in this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debt obligations</w:t>
      </w:r>
    </w:p>
    <w:p>
      <w:pPr>
        <w:spacing w:after="0" w:line="278"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long-term debt obligation related to our term loan over the period of next five years was $553.6 million as of December 31, 2024, of which $43.9 million are expected to be paid within one year. For additional information on the term loan,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ectPr>
          <w:pgSz w:w="12240" w:h="15840" w:orient="portrait"/>
          <w:cols w:equalWidth="0" w:num="1">
            <w:col w:w="9700"/>
          </w:cols>
          <w:pgMar w:left="1260" w:top="1246"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700"/>
          </w:cols>
          <w:pgMar w:left="1260" w:top="1246" w:right="1280" w:bottom="17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i w:val="1"/>
          <w:iCs w:val="1"/>
          <w:color w:val="auto"/>
        </w:rPr>
        <w:t>Defined benefit obligation</w:t>
      </w:r>
    </w:p>
    <w:p>
      <w:pPr>
        <w:spacing w:after="0" w:line="277"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future benefits expected to be paid under our pension plan covering employees of our Swiss subsidiary, Blueprint Medicines (Switzerland) GmbH was $6.8 million as of December 31, 2024, of which $0.5 million is expected to become payable from the plan within one year. For additional information on the defined benefit plan, see Note 17, </w:t>
      </w:r>
      <w:r>
        <w:rPr>
          <w:rFonts w:ascii="Times New Roman" w:cs="Times New Roman" w:eastAsia="Times New Roman" w:hAnsi="Times New Roman"/>
          <w:sz w:val="20"/>
          <w:szCs w:val="20"/>
          <w:i w:val="1"/>
          <w:iCs w:val="1"/>
          <w:color w:val="auto"/>
        </w:rPr>
        <w:t>Employee Benefit Plans</w:t>
      </w:r>
      <w:r>
        <w:rPr>
          <w:rFonts w:ascii="Times New Roman" w:cs="Times New Roman" w:eastAsia="Times New Roman" w:hAnsi="Times New Roman"/>
          <w:sz w:val="20"/>
          <w:szCs w:val="20"/>
          <w:color w:val="auto"/>
        </w:rPr>
        <w:t>, to our consolidated financial statements included in this Form 10-K.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service commitments</w:t>
      </w:r>
    </w:p>
    <w:p>
      <w:pPr>
        <w:spacing w:after="0" w:line="27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also have obligations to make future payments to third parties that become due and payable on the achievement of certain development and sales milestones, including future payments to third parties with whom we have entered into agreements to develop and commercialize certain of our research and development programs. As of December 31, 2024, we have an obligation to pay $5.0 million under one of such commitments within one year. We have not included these other such commitments on our balance sheet or in the contractual obligations above because the achievement and timing of these milestones is not fixed and determinable.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obligations</w:t>
      </w:r>
    </w:p>
    <w:p>
      <w:pPr>
        <w:spacing w:after="0" w:line="278"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 the normal course of business, we enter into agreements with contract research organizations for clinical trials and vendors for clinical supply manufacturing, preclinical research studies, synthetic chemistry and other services and products for operating purposes. We have not included all of these payments in the contractual obligations above since majority of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and Adopted Accounting Pronouncements</w:t>
      </w:r>
    </w:p>
    <w:p>
      <w:pPr>
        <w:spacing w:after="0" w:line="234"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20"/>
          <w:szCs w:val="20"/>
          <w:i w:val="1"/>
          <w:iCs w:val="1"/>
          <w:color w:val="auto"/>
        </w:rPr>
        <w:t>Summary of Significant Accounting Policies and Recent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Pronouncements</w:t>
      </w:r>
      <w:r>
        <w:rPr>
          <w:rFonts w:ascii="Times New Roman" w:cs="Times New Roman" w:eastAsia="Times New Roman" w:hAnsi="Times New Roman"/>
          <w:sz w:val="20"/>
          <w:szCs w:val="20"/>
          <w:color w:val="auto"/>
        </w:rPr>
        <w:t>, to our consolidated financial statements included in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4"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and 2023, we had cash, cash equivalents and marketable securities of $863.9 million and $767.2 million, respectively, consisting primarily of money market funds and investments in U.S. government agency securities and treasury obligations.</w:t>
      </w:r>
    </w:p>
    <w:p>
      <w:pPr>
        <w:spacing w:after="0" w:line="148"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Our primary exposure to market risk is interest rate sensitivity in our fixed income portfolio, which is affected primarily by changes in the general level of U.S. interest rates resulting from the Federal Reserve’s raising or lowering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materially affected to any significant degree by the effect of a change in market interest rates on our investment portfolio.</w:t>
      </w:r>
    </w:p>
    <w:p>
      <w:pPr>
        <w:spacing w:after="0" w:line="16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are also exposed to interest rate risk in connection with our borrowings under our senior secured term loan with Sixth Street Partners. As of December 31, 2024, we had $387.0 million of outstanding borrowings under the senior secured term loan. Pursuant to the Financing Agreement, outstanding indebtedness under the term loan bears interest at a rate equal to either the Secured Overnight Financing Rate (SOFR) plus 6.50% or the base rate plus 5.50%, subject to a floor of 1% and 2% with respect to the SOFR and base rate, respectively. The effective annual interest was 12.0% as of December 31, 2024. We currently do not engage in any interest rate hedging activity, and we have no intention to do so in the foreseeable future. Based on the current interest rate of the term loan and the scheduled payments thereunder, we do not believe a 1.0% increase in interest rates would have a material impact on our financial condition or results of</w:t>
      </w:r>
    </w:p>
    <w:p>
      <w:pPr>
        <w:sectPr>
          <w:pgSz w:w="12240" w:h="15840" w:orient="portrait"/>
          <w:cols w:equalWidth="0" w:num="1">
            <w:col w:w="9700"/>
          </w:cols>
          <w:pgMar w:left="1260" w:top="1249"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700"/>
          </w:cols>
          <w:pgMar w:left="1260" w:top="1249" w:right="1280" w:bottom="175" w:gutter="0" w:footer="0" w:header="0"/>
          <w:type w:val="continuous"/>
        </w:sectPr>
      </w:pPr>
    </w:p>
    <w:bookmarkStart w:id="116" w:name="page117"/>
    <w:bookmarkEnd w:id="116"/>
    <w:p>
      <w:pPr>
        <w:ind w:right="240"/>
        <w:spacing w:after="0" w:line="278" w:lineRule="auto"/>
        <w:rPr>
          <w:sz w:val="20"/>
          <w:szCs w:val="20"/>
          <w:color w:val="auto"/>
        </w:rPr>
      </w:pPr>
      <w:r>
        <w:rPr>
          <w:rFonts w:ascii="Times New Roman" w:cs="Times New Roman" w:eastAsia="Times New Roman" w:hAnsi="Times New Roman"/>
          <w:sz w:val="20"/>
          <w:szCs w:val="20"/>
          <w:color w:val="auto"/>
        </w:rPr>
        <w:t xml:space="preserve">operations. For more information regarding the Financing Agreement and the term loan with Sixth Street Partners,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to our consolidated financial statements included in this Form 10-K.</w:t>
      </w:r>
    </w:p>
    <w:p>
      <w:pPr>
        <w:spacing w:after="0" w:line="127"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2024 and 2023, we held considerable funds and obligations denominated in foreign currencies.</w:t>
      </w:r>
    </w:p>
    <w:p>
      <w:pPr>
        <w:spacing w:after="0" w:line="161" w:lineRule="exact"/>
        <w:rPr>
          <w:sz w:val="20"/>
          <w:szCs w:val="20"/>
          <w:color w:val="auto"/>
        </w:rPr>
      </w:pPr>
    </w:p>
    <w:p>
      <w:pPr>
        <w:ind w:right="300" w:firstLine="720"/>
        <w:spacing w:after="0" w:line="249"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clinical trial and manufacturing costs and indirectly increasing interest rates. We have not seen a significant impact from inflation on our business, financial condition or results of operations during the years ended December 31, 2024 and 2023. However, a significant or prolonged period of high inflation could adversely impact our results if costs were to increase at a rate higher than the increase in the revenues we generate.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04"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The financial statements and the report of our independent registered public accounting firm (PCAOB ID:42) required to be filed pursuant to this Item 8 are appended to this Annual Report on Form 10-K. An index of those financial statements is found in Item 15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 in and Disagreements with Accountants on Accounting and Financial Disclosure.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Evaluation of our Disclosure Controls and Procedures</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w:t>
      </w:r>
    </w:p>
    <w:p>
      <w:pPr>
        <w:spacing w:after="0" w:line="2" w:lineRule="exact"/>
        <w:rPr>
          <w:sz w:val="20"/>
          <w:szCs w:val="20"/>
          <w:color w:val="auto"/>
        </w:rPr>
      </w:pPr>
    </w:p>
    <w:p>
      <w:pPr>
        <w:ind w:right="20" w:firstLine="7"/>
        <w:spacing w:after="0" w:line="241" w:lineRule="auto"/>
        <w:tabs>
          <w:tab w:leader="none" w:pos="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06"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Based upon such evaluation, our Chief Executive Officer and Chief Financial Officer have concluded that, as of December 31, 2024, our disclosure controls and procedures were effective at the reasonable assurance level.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3"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w:t>
      </w:r>
    </w:p>
    <w:p>
      <w:pPr>
        <w:sectPr>
          <w:pgSz w:w="12240" w:h="15840" w:orient="portrait"/>
          <w:cols w:equalWidth="0" w:num="1">
            <w:col w:w="9720"/>
          </w:cols>
          <w:pgMar w:left="1260" w:top="1246"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720"/>
          </w:cols>
          <w:pgMar w:left="1260" w:top="1246" w:right="1260" w:bottom="175" w:gutter="0" w:footer="0" w:header="0"/>
          <w:type w:val="continuous"/>
        </w:sectPr>
      </w:pPr>
    </w:p>
    <w:bookmarkStart w:id="117" w:name="page118"/>
    <w:bookmarkEnd w:id="117"/>
    <w:p>
      <w:pPr>
        <w:ind w:right="60"/>
        <w:spacing w:after="0" w:line="278" w:lineRule="auto"/>
        <w:rPr>
          <w:sz w:val="20"/>
          <w:szCs w:val="20"/>
          <w:color w:val="auto"/>
        </w:rPr>
      </w:pPr>
      <w:r>
        <w:rPr>
          <w:rFonts w:ascii="Times New Roman" w:cs="Times New Roman" w:eastAsia="Times New Roman" w:hAnsi="Times New Roman"/>
          <w:sz w:val="20"/>
          <w:szCs w:val="20"/>
          <w:color w:val="auto"/>
        </w:rPr>
        <w:t>statements for external purposes in accordance with generally accepted accounting principles and includes those policies and procedures that:</w:t>
      </w:r>
    </w:p>
    <w:p>
      <w:pPr>
        <w:spacing w:after="0" w:line="142" w:lineRule="exact"/>
        <w:rPr>
          <w:sz w:val="20"/>
          <w:szCs w:val="20"/>
          <w:color w:val="auto"/>
        </w:rPr>
      </w:pPr>
    </w:p>
    <w:p>
      <w:pPr>
        <w:ind w:left="1440" w:right="800" w:hanging="353"/>
        <w:spacing w:after="0" w:line="262" w:lineRule="auto"/>
        <w:tabs>
          <w:tab w:leader="none" w:pos="144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a company’s assets;</w:t>
      </w:r>
    </w:p>
    <w:p>
      <w:pPr>
        <w:spacing w:after="0" w:line="155" w:lineRule="exact"/>
        <w:rPr>
          <w:rFonts w:ascii="Symbol" w:cs="Symbol" w:eastAsia="Symbol" w:hAnsi="Symbol"/>
          <w:sz w:val="20"/>
          <w:szCs w:val="20"/>
          <w:color w:val="auto"/>
        </w:rPr>
      </w:pPr>
    </w:p>
    <w:p>
      <w:pPr>
        <w:ind w:left="1440" w:right="380" w:hanging="353"/>
        <w:spacing w:after="0" w:line="247" w:lineRule="auto"/>
        <w:tabs>
          <w:tab w:leader="none" w:pos="144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2" w:lineRule="exact"/>
        <w:rPr>
          <w:rFonts w:ascii="Symbol" w:cs="Symbol" w:eastAsia="Symbol" w:hAnsi="Symbol"/>
          <w:sz w:val="20"/>
          <w:szCs w:val="20"/>
          <w:color w:val="auto"/>
        </w:rPr>
      </w:pPr>
    </w:p>
    <w:p>
      <w:pPr>
        <w:ind w:left="1440" w:right="40" w:hanging="353"/>
        <w:spacing w:after="0" w:line="262" w:lineRule="auto"/>
        <w:tabs>
          <w:tab w:leader="none" w:pos="144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financial statements.</w:t>
      </w:r>
    </w:p>
    <w:p>
      <w:pPr>
        <w:spacing w:after="0" w:line="141"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framework) . Based on this assessment, management concluded that our internal control over financial reporting was effective as of December 31, 2024.</w:t>
      </w:r>
    </w:p>
    <w:p>
      <w:pPr>
        <w:spacing w:after="0" w:line="157"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Our independent registered public accounting firm has issued an attestation report of our internal control over financial reporting. This report appears below.</w:t>
      </w:r>
    </w:p>
    <w:p>
      <w:pPr>
        <w:spacing w:after="0" w:line="12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Blueprint Medicines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audited Blueprint Medicines Corporation’s internal control over financial reporting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based on criteria established in Internal Control—Integrated Framework issued by the Committee of</w:t>
      </w:r>
    </w:p>
    <w:p>
      <w:pPr>
        <w:spacing w:after="0"/>
        <w:rPr>
          <w:sz w:val="20"/>
          <w:szCs w:val="20"/>
          <w:color w:val="auto"/>
        </w:rPr>
      </w:pPr>
      <w:r>
        <w:rPr>
          <w:rFonts w:ascii="Times New Roman" w:cs="Times New Roman" w:eastAsia="Times New Roman" w:hAnsi="Times New Roman"/>
          <w:sz w:val="20"/>
          <w:szCs w:val="20"/>
          <w:color w:val="auto"/>
        </w:rPr>
        <w:t>Sponsoring Organizations of the Treadway Commission (2013 framework) (the COSO criteria). In our opinion,</w:t>
      </w:r>
    </w:p>
    <w:p>
      <w:pPr>
        <w:spacing w:after="0"/>
        <w:rPr>
          <w:sz w:val="20"/>
          <w:szCs w:val="20"/>
          <w:color w:val="auto"/>
        </w:rPr>
      </w:pPr>
      <w:r>
        <w:rPr>
          <w:rFonts w:ascii="Times New Roman" w:cs="Times New Roman" w:eastAsia="Times New Roman" w:hAnsi="Times New Roman"/>
          <w:sz w:val="20"/>
          <w:szCs w:val="20"/>
          <w:color w:val="auto"/>
        </w:rPr>
        <w:t>Blueprint Medicines Corporation (the Company) maintained, in all material respects, effective internal control over</w:t>
      </w:r>
    </w:p>
    <w:p>
      <w:pPr>
        <w:spacing w:after="0"/>
        <w:rPr>
          <w:sz w:val="20"/>
          <w:szCs w:val="20"/>
          <w:color w:val="auto"/>
        </w:rPr>
      </w:pPr>
      <w:r>
        <w:rPr>
          <w:rFonts w:ascii="Times New Roman" w:cs="Times New Roman" w:eastAsia="Times New Roman" w:hAnsi="Times New Roman"/>
          <w:sz w:val="20"/>
          <w:szCs w:val="20"/>
          <w:color w:val="auto"/>
        </w:rPr>
        <w:t>financial reporting as of December 31, 2024, based on the COSO criteria.</w:t>
      </w:r>
    </w:p>
    <w:p>
      <w:pPr>
        <w:spacing w:after="0" w:line="203"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13, 2025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3"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firstLine="720"/>
        <w:spacing w:after="0" w:line="305"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w:t>
      </w:r>
    </w:p>
    <w:p>
      <w:pPr>
        <w:sectPr>
          <w:pgSz w:w="12240" w:h="15840" w:orient="portrait"/>
          <w:cols w:equalWidth="0" w:num="1">
            <w:col w:w="9720"/>
          </w:cols>
          <w:pgMar w:left="1260" w:top="1246" w:right="1260" w:bottom="175"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720"/>
          </w:cols>
          <w:pgMar w:left="1260" w:top="1246" w:right="1260" w:bottom="175"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maintained in all material respects.</w:t>
      </w:r>
    </w:p>
    <w:p>
      <w:pPr>
        <w:spacing w:after="0" w:line="231"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44"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rPr>
          <w:sz w:val="20"/>
          <w:szCs w:val="20"/>
          <w:color w:val="auto"/>
        </w:rPr>
      </w:pPr>
      <w:r>
        <w:rPr>
          <w:rFonts w:ascii="Times New Roman" w:cs="Times New Roman" w:eastAsia="Times New Roman" w:hAnsi="Times New Roman"/>
          <w:sz w:val="20"/>
          <w:szCs w:val="20"/>
          <w:color w:val="auto"/>
        </w:rPr>
        <w:t>February 13,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4"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auto"/>
        </w:rPr>
        <w:t>No change in our internal control over financial reporting (as defined in Rules 13a-15(f) and 15d-15(f) under the Exchange Act) occurred during the year ended December 31, 2024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Rule 10b5-1 Trading Arrangements</w:t>
      </w:r>
    </w:p>
    <w:p>
      <w:pPr>
        <w:spacing w:after="0" w:line="124"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color w:val="auto"/>
        </w:rPr>
        <w:t>During the three months ended December 31, 2024, none of our officers or directors adopted a “Rule 10b5-1 trading arrangement,” as the term is defined in Item 408(a) of Regulation S-K.</w:t>
      </w:r>
    </w:p>
    <w:p>
      <w:pPr>
        <w:spacing w:after="0" w:line="4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During the three months ended September 30, 2024, one of the Company’s officers adopted a “Rule 10b5-1 trading arrangement,” as the term is defined in Item 408(a) of Regulation S-K which was not previously disclosed due to an administrative error. We describe the material terms of the Rule 10b5-1 trading arrangement below.</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6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and Title</w:t>
            </w:r>
          </w:p>
        </w:tc>
        <w:tc>
          <w:tcPr>
            <w:tcW w:w="1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Action Taken</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Type of Trading</w:t>
            </w:r>
          </w:p>
        </w:tc>
        <w:tc>
          <w:tcPr>
            <w:tcW w:w="1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Nature of Trading</w:t>
            </w:r>
          </w:p>
        </w:tc>
        <w:tc>
          <w:tcPr>
            <w:tcW w:w="1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Duration of</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1640" w:type="dxa"/>
            <w:vAlign w:val="bottom"/>
            <w:tcBorders>
              <w:left w:val="single" w:sz="8" w:color="auto"/>
              <w:right w:val="single" w:sz="8" w:color="auto"/>
            </w:tcBorders>
            <w:shd w:val="clear" w:color="auto" w:fill="D9D9D9"/>
          </w:tcPr>
          <w:p>
            <w:pPr>
              <w:spacing w:after="0"/>
              <w:rPr>
                <w:sz w:val="20"/>
                <w:szCs w:val="20"/>
                <w:color w:val="auto"/>
              </w:rPr>
            </w:pPr>
          </w:p>
        </w:tc>
        <w:tc>
          <w:tcPr>
            <w:tcW w:w="1720" w:type="dxa"/>
            <w:vAlign w:val="bottom"/>
            <w:tcBorders>
              <w:right w:val="single" w:sz="8" w:color="auto"/>
            </w:tcBorders>
            <w:shd w:val="clear" w:color="auto" w:fill="D9D9D9"/>
          </w:tcPr>
          <w:p>
            <w:pPr>
              <w:spacing w:after="0"/>
              <w:rPr>
                <w:sz w:val="20"/>
                <w:szCs w:val="20"/>
                <w:color w:val="auto"/>
              </w:rPr>
            </w:pPr>
          </w:p>
        </w:tc>
        <w:tc>
          <w:tcPr>
            <w:tcW w:w="15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Arrangement</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Arrangement</w:t>
            </w:r>
          </w:p>
        </w:tc>
        <w:tc>
          <w:tcPr>
            <w:tcW w:w="17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Trading</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319"/>
        </w:trPr>
        <w:tc>
          <w:tcPr>
            <w:tcW w:w="16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720" w:type="dxa"/>
            <w:vAlign w:val="bottom"/>
            <w:tcBorders>
              <w:bottom w:val="single" w:sz="8" w:color="D9D9D9"/>
              <w:right w:val="single" w:sz="8" w:color="auto"/>
            </w:tcBorders>
            <w:shd w:val="clear" w:color="auto" w:fill="D9D9D9"/>
          </w:tcPr>
          <w:p>
            <w:pPr>
              <w:spacing w:after="0"/>
              <w:rPr>
                <w:sz w:val="24"/>
                <w:szCs w:val="24"/>
                <w:color w:val="auto"/>
              </w:rPr>
            </w:pPr>
          </w:p>
        </w:tc>
        <w:tc>
          <w:tcPr>
            <w:tcW w:w="1520" w:type="dxa"/>
            <w:vAlign w:val="bottom"/>
            <w:tcBorders>
              <w:bottom w:val="single" w:sz="8" w:color="D9D9D9"/>
              <w:right w:val="single" w:sz="8" w:color="auto"/>
            </w:tcBorders>
            <w:shd w:val="clear" w:color="auto" w:fill="D9D9D9"/>
          </w:tcPr>
          <w:p>
            <w:pPr>
              <w:spacing w:after="0"/>
              <w:rPr>
                <w:sz w:val="24"/>
                <w:szCs w:val="24"/>
                <w:color w:val="auto"/>
              </w:rPr>
            </w:pPr>
          </w:p>
        </w:tc>
        <w:tc>
          <w:tcPr>
            <w:tcW w:w="1620" w:type="dxa"/>
            <w:vAlign w:val="bottom"/>
            <w:tcBorders>
              <w:bottom w:val="single" w:sz="8" w:color="D9D9D9"/>
              <w:right w:val="single" w:sz="8" w:color="auto"/>
            </w:tcBorders>
            <w:shd w:val="clear" w:color="auto" w:fill="D9D9D9"/>
          </w:tcPr>
          <w:p>
            <w:pPr>
              <w:spacing w:after="0"/>
              <w:rPr>
                <w:sz w:val="24"/>
                <w:szCs w:val="24"/>
                <w:color w:val="auto"/>
              </w:rPr>
            </w:pPr>
          </w:p>
        </w:tc>
        <w:tc>
          <w:tcPr>
            <w:tcW w:w="1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Arrangement</w:t>
            </w: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Securities</w:t>
            </w:r>
          </w:p>
        </w:tc>
      </w:tr>
      <w:tr>
        <w:trPr>
          <w:trHeight w:val="259"/>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Christina Rossi</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Adoption</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Trading plan</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Sale of the</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August 27, 2024 –</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27,291</w:t>
            </w:r>
          </w:p>
        </w:tc>
      </w:tr>
      <w:tr>
        <w:trPr>
          <w:trHeight w:val="268"/>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(Officer)</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August 27, 2024</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intended to satisfy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Company’s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November 28, 2025</w:t>
            </w:r>
          </w:p>
        </w:tc>
        <w:tc>
          <w:tcPr>
            <w:tcW w:w="1500" w:type="dxa"/>
            <w:vAlign w:val="bottom"/>
            <w:tcBorders>
              <w:right w:val="single" w:sz="8" w:color="auto"/>
            </w:tcBorders>
          </w:tcPr>
          <w:p>
            <w:pPr>
              <w:spacing w:after="0"/>
              <w:rPr>
                <w:sz w:val="23"/>
                <w:szCs w:val="23"/>
                <w:color w:val="auto"/>
              </w:rPr>
            </w:pPr>
          </w:p>
        </w:tc>
      </w:tr>
      <w:tr>
        <w:trPr>
          <w:trHeight w:val="193"/>
        </w:trPr>
        <w:tc>
          <w:tcPr>
            <w:tcW w:w="1640" w:type="dxa"/>
            <w:vAlign w:val="bottom"/>
            <w:tcBorders>
              <w:left w:val="single" w:sz="8" w:color="auto"/>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9"/>
              </w:rPr>
              <w:t>the affirmative</w:t>
            </w:r>
          </w:p>
        </w:tc>
        <w:tc>
          <w:tcPr>
            <w:tcW w:w="16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common stock</w:t>
            </w:r>
          </w:p>
        </w:tc>
        <w:tc>
          <w:tcPr>
            <w:tcW w:w="17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defense conditions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pursuant to the</w:t>
            </w:r>
          </w:p>
        </w:tc>
        <w:tc>
          <w:tcPr>
            <w:tcW w:w="17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of Securities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terms of the trading</w:t>
            </w:r>
          </w:p>
        </w:tc>
        <w:tc>
          <w:tcPr>
            <w:tcW w:w="17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Exchange Act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plan</w:t>
            </w:r>
          </w:p>
        </w:tc>
        <w:tc>
          <w:tcPr>
            <w:tcW w:w="17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67"/>
        </w:trPr>
        <w:tc>
          <w:tcPr>
            <w:tcW w:w="164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Rule 10b5-1(c)</w:t>
            </w:r>
          </w:p>
        </w:tc>
        <w:tc>
          <w:tcPr>
            <w:tcW w:w="1620" w:type="dxa"/>
            <w:vAlign w:val="bottom"/>
            <w:tcBorders>
              <w:right w:val="single" w:sz="8" w:color="auto"/>
            </w:tcBorders>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r>
      <w:tr>
        <w:trPr>
          <w:trHeight w:val="43"/>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2240" w:h="15840" w:orient="portrait"/>
          <w:cols w:equalWidth="0" w:num="1">
            <w:col w:w="9740"/>
          </w:cols>
          <w:pgMar w:left="1260" w:top="1246" w:right="1240" w:bottom="1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740"/>
          </w:cols>
          <w:pgMar w:left="1260" w:top="1246" w:right="1240" w:bottom="175"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 the SEC with respect to our 2025 Annual Meeting of Stockholders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 respect to our 2025 Annual Meeting of Stockholders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 respect to our 2025 Annual Meeting of Stockholders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 respect to our 2025 Annual Meeting of Stockholders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 respect to our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580"/>
          </w:cols>
          <w:pgMar w:left="1260" w:top="1427" w:right="1400" w:bottom="175" w:gutter="0" w:footer="0" w:header="0"/>
        </w:sectPr>
      </w:pPr>
    </w:p>
    <w:bookmarkStart w:id="120" w:name="page121"/>
    <w:bookmarkEnd w:id="120"/>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4" w:lineRule="exact"/>
        <w:rPr>
          <w:sz w:val="20"/>
          <w:szCs w:val="20"/>
          <w:color w:val="auto"/>
        </w:rPr>
      </w:pPr>
    </w:p>
    <w:p>
      <w:pPr>
        <w:ind w:left="1360" w:hanging="633"/>
        <w:spacing w:after="0"/>
        <w:tabs>
          <w:tab w:leader="none" w:pos="1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239"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The following documents are included on pages F-1 through F-46 attached hereto and are filed as part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F-2</w:t>
            </w:r>
          </w:p>
        </w:tc>
      </w:t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Consolidated Balance Sheets . . . . . . . . .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F-4</w:t>
            </w:r>
          </w:p>
        </w:tc>
      </w:tr>
      <w:tr>
        <w:trPr>
          <w:trHeight w:val="229"/>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F-5</w:t>
            </w:r>
          </w:p>
        </w:tc>
      </w:t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Consolidated Statements of Stockholders’ Equity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F-6</w:t>
            </w:r>
          </w:p>
        </w:tc>
      </w:t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Consolidated Statements of Cash Flows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7"/>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F-8</w:t>
            </w:r>
          </w:p>
        </w:tc>
      </w:tr>
      <w:tr>
        <w:trPr>
          <w:trHeight w:val="460"/>
        </w:trPr>
        <w:tc>
          <w:tcPr>
            <w:tcW w:w="1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w:t>
            </w:r>
          </w:p>
        </w:tc>
        <w:tc>
          <w:tcPr>
            <w:tcW w:w="8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Financial Statement Schedules</w:t>
            </w:r>
          </w:p>
        </w:tc>
        <w:tc>
          <w:tcPr>
            <w:tcW w:w="480" w:type="dxa"/>
            <w:vAlign w:val="bottom"/>
          </w:tcPr>
          <w:p>
            <w:pPr>
              <w:spacing w:after="0"/>
              <w:rPr>
                <w:sz w:val="24"/>
                <w:szCs w:val="24"/>
                <w:color w:val="auto"/>
              </w:rPr>
            </w:pPr>
          </w:p>
        </w:tc>
      </w:tr>
    </w:tbl>
    <w:p>
      <w:pPr>
        <w:spacing w:after="0" w:line="193"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Schedules have been omitted since they are either not required or not applicable or the information is otherwise included herein.</w:t>
      </w:r>
    </w:p>
    <w:p>
      <w:pPr>
        <w:spacing w:after="0" w:line="157" w:lineRule="exact"/>
        <w:rPr>
          <w:sz w:val="20"/>
          <w:szCs w:val="20"/>
          <w:color w:val="auto"/>
        </w:rPr>
      </w:pPr>
    </w:p>
    <w:p>
      <w:pPr>
        <w:ind w:left="1360" w:hanging="633"/>
        <w:spacing w:after="0"/>
        <w:tabs>
          <w:tab w:leader="none" w:pos="1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60" w:type="dxa"/>
            <w:vAlign w:val="bottom"/>
          </w:tcPr>
          <w:p>
            <w:pPr>
              <w:spacing w:after="0"/>
              <w:rPr>
                <w:sz w:val="20"/>
                <w:szCs w:val="20"/>
                <w:color w:val="auto"/>
              </w:rPr>
            </w:pPr>
            <w:r>
              <w:rPr>
                <w:rFonts w:ascii="Times New Roman" w:cs="Times New Roman" w:eastAsia="Times New Roman" w:hAnsi="Times New Roman"/>
                <w:sz w:val="2"/>
                <w:szCs w:val="2"/>
                <w:color w:val="auto"/>
              </w:rPr>
              <w:t>7</w:t>
            </w: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gridSpan w:val="3"/>
            <w:vMerge w:val="restart"/>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Pr>
          <w:p>
            <w:pPr>
              <w:ind w:left="160"/>
              <w:spacing w:after="0" w:line="173" w:lineRule="exact"/>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5"/>
                <w:szCs w:val="15"/>
                <w:color w:val="auto"/>
              </w:rPr>
            </w:pPr>
          </w:p>
        </w:tc>
        <w:tc>
          <w:tcPr>
            <w:tcW w:w="2300" w:type="dxa"/>
            <w:vAlign w:val="bottom"/>
            <w:gridSpan w:val="2"/>
          </w:tcPr>
          <w:p>
            <w:pPr>
              <w:ind w:left="320"/>
              <w:spacing w:after="0" w:line="173" w:lineRule="exact"/>
              <w:rPr>
                <w:sz w:val="20"/>
                <w:szCs w:val="20"/>
                <w:color w:val="auto"/>
              </w:rPr>
            </w:pPr>
            <w:r>
              <w:rPr>
                <w:rFonts w:ascii="Times New Roman" w:cs="Times New Roman" w:eastAsia="Times New Roman" w:hAnsi="Times New Roman"/>
                <w:sz w:val="16"/>
                <w:szCs w:val="16"/>
                <w:b w:val="1"/>
                <w:bCs w:val="1"/>
                <w:color w:val="auto"/>
              </w:rPr>
              <w:t>Description of Exhibit</w:t>
            </w: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Form</w:t>
            </w:r>
          </w:p>
        </w:tc>
        <w:tc>
          <w:tcPr>
            <w:tcW w:w="380" w:type="dxa"/>
            <w:vAlign w:val="bottom"/>
          </w:tcPr>
          <w:p>
            <w:pPr>
              <w:spacing w:after="0"/>
              <w:rPr>
                <w:sz w:val="15"/>
                <w:szCs w:val="15"/>
                <w:color w:val="auto"/>
              </w:rPr>
            </w:pPr>
          </w:p>
        </w:tc>
        <w:tc>
          <w:tcPr>
            <w:tcW w:w="184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6"/>
                <w:szCs w:val="16"/>
                <w:b w:val="1"/>
                <w:bCs w:val="1"/>
                <w:color w:val="auto"/>
                <w:w w:val="97"/>
              </w:rPr>
              <w:t>File No.</w:t>
            </w: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6"/>
                <w:szCs w:val="16"/>
                <w:b w:val="1"/>
                <w:bCs w:val="1"/>
                <w:color w:val="auto"/>
                <w:w w:val="98"/>
              </w:rPr>
              <w:t>Exhibit Number</w:t>
            </w:r>
          </w:p>
        </w:tc>
        <w:tc>
          <w:tcPr>
            <w:tcW w:w="160" w:type="dxa"/>
            <w:vAlign w:val="bottom"/>
          </w:tcPr>
          <w:p>
            <w:pPr>
              <w:spacing w:after="0"/>
              <w:rPr>
                <w:sz w:val="15"/>
                <w:szCs w:val="15"/>
                <w:color w:val="auto"/>
              </w:rPr>
            </w:pPr>
          </w:p>
        </w:tc>
        <w:tc>
          <w:tcPr>
            <w:tcW w:w="19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201"/>
        </w:trPr>
        <w:tc>
          <w:tcPr>
            <w:tcW w:w="8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Sales Agreement, dated as</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10-K</w:t>
            </w:r>
          </w:p>
        </w:tc>
        <w:tc>
          <w:tcPr>
            <w:tcW w:w="380" w:type="dxa"/>
            <w:vAlign w:val="bottom"/>
          </w:tcPr>
          <w:p>
            <w:pPr>
              <w:spacing w:after="0"/>
              <w:rPr>
                <w:sz w:val="17"/>
                <w:szCs w:val="17"/>
                <w:color w:val="auto"/>
              </w:rPr>
            </w:pPr>
          </w:p>
        </w:tc>
        <w:tc>
          <w:tcPr>
            <w:tcW w:w="17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001-37359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17"/>
                <w:szCs w:val="17"/>
                <w:color w:val="auto"/>
              </w:rPr>
            </w:pPr>
          </w:p>
        </w:tc>
        <w:tc>
          <w:tcPr>
            <w:tcW w:w="19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February 17, 2022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February 17, 2022, by</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between Blueprint</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Medicines Corporation</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Cowen and Company,</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2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Fifth Amended and</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rPr>
              <w:t>001-37359</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 9, 2015</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Restated Certificate of</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Incorporation of the</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rPr>
              <w:t>001-37359</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6, 2022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Bylaws, as amended on</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30, 2022, of</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Registrant</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Specimen Common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w w:val="99"/>
              </w:rPr>
              <w:t>333-202938</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20, 2015</w:t>
            </w: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the</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rPr>
              <w:t>001-37359</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13, 2020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Registrant’s securities</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registered pursuant to</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 of the</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and Exchange</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 of 1934, as amended</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2011 Stock Option and</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w w:val="99"/>
              </w:rPr>
              <w:t>333-202938</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23, 2015</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 Plan, as amended,</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forms of award</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2015 Stock Option and</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21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color w:val="auto"/>
              </w:rPr>
              <w:t>001-37359</w:t>
            </w:r>
          </w:p>
        </w:tc>
        <w:tc>
          <w:tcPr>
            <w:tcW w:w="12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13, 2020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 and forms</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award agreements</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thereunder</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3" w:right="1260" w:bottom="175"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720"/>
          </w:cols>
          <w:pgMar w:left="1260" w:top="1243" w:right="1260" w:bottom="175"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2015 Employee Stock</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10.3</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February 13, 2020</w:t>
            </w: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Purchase Plan</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2020 Inducement Plan</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S-8</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333-238039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99.1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May 6, 2020</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form of award</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agreements thereunder</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Agreement, dated</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S-1</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333-202938</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10.4</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March 23, 2015</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February 11, 2015, by and</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38 Sidney Street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Limited Partnership</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 Lease</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10.5</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February 26, 2019</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Agreement, dated</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January 26, 2018, by and</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38 Sidney Street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Limited Partnership</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April 29,2021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Agreement, dated</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April 6, 2021, by and</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between Blueprint</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Medicines Corporation</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BRE-BMR 38</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SIDNEY LLC</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Third Amendment to</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10.8</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February 17,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Agreement, dated</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December 15, 2021, by</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between Blueprint</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Medicines Corporation</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BRE-BMR 38</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SIDNEY LLC</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Agreement, dated</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May 3, 2017</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April 28, 2017, by and</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UP 45/75 Sidney</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Street, LLC</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of</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September 25, 2018</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dated</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September 19, 2018,</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between Blueprint</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Medicines Corporation</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UP 45/75 Sidney</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Street, LLC</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Amendment Agreement</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10.2</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December 27,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as of December 23,</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Jeffrey W.</w:t>
            </w: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Albers</w:t>
            </w:r>
          </w:p>
        </w:tc>
        <w:tc>
          <w:tcPr>
            <w:tcW w:w="1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10.9</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March 11, 2016</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March 10, 2016, by</w:t>
            </w:r>
          </w:p>
        </w:tc>
        <w:tc>
          <w:tcPr>
            <w:tcW w:w="1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8"/>
        </w:trPr>
        <w:tc>
          <w:tcPr>
            <w:tcW w:w="80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between the</w:t>
            </w:r>
          </w:p>
        </w:tc>
        <w:tc>
          <w:tcPr>
            <w:tcW w:w="1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980" w:type="dxa"/>
            <w:vAlign w:val="bottom"/>
          </w:tcPr>
          <w:p>
            <w:pPr>
              <w:spacing w:after="0"/>
              <w:rPr>
                <w:sz w:val="22"/>
                <w:szCs w:val="22"/>
                <w:color w:val="auto"/>
              </w:rPr>
            </w:pPr>
          </w:p>
        </w:tc>
      </w:tr>
    </w:tbl>
    <w:p>
      <w:pPr>
        <w:ind w:left="1020"/>
        <w:spacing w:after="0"/>
        <w:rPr>
          <w:sz w:val="20"/>
          <w:szCs w:val="20"/>
          <w:color w:val="auto"/>
        </w:rPr>
      </w:pPr>
      <w:r>
        <w:rPr>
          <w:rFonts w:ascii="Times New Roman" w:cs="Times New Roman" w:eastAsia="Times New Roman" w:hAnsi="Times New Roman"/>
          <w:sz w:val="20"/>
          <w:szCs w:val="20"/>
          <w:color w:val="auto"/>
        </w:rPr>
        <w:t>Registrant and Kathryn</w:t>
      </w:r>
    </w:p>
    <w:p>
      <w:pPr>
        <w:ind w:left="1020"/>
        <w:spacing w:after="0"/>
        <w:rPr>
          <w:sz w:val="20"/>
          <w:szCs w:val="20"/>
          <w:color w:val="auto"/>
        </w:rPr>
      </w:pPr>
      <w:r>
        <w:rPr>
          <w:rFonts w:ascii="Times New Roman" w:cs="Times New Roman" w:eastAsia="Times New Roman" w:hAnsi="Times New Roman"/>
          <w:sz w:val="20"/>
          <w:szCs w:val="20"/>
          <w:color w:val="auto"/>
        </w:rPr>
        <w:t>Haviland</w:t>
      </w: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540"/>
          </w:cols>
          <w:pgMar w:left="1260" w:top="1246" w:right="1440" w:bottom="175"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10.13#</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10.2</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February 5, 2019</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January 30, 2019,</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Kathryn</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Haviland</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4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10.14#</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10.4</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Kathryn</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Haviland</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10.15#</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Kathryn</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Haviland</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49"/>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10.16#</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10.2</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January 5, 2022</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January 4, 2022 and</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effective as of April 4,</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Kathryn</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Haviland</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10.17#</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10-Q</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10.3</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November 10, 2016</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6, 2016,</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Tracey L.</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McCain</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10.18#</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10.5</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Tracey L.</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McCain</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10.19#</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10.5</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Tracey L.</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McCain</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10.20#</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November 22, 2017</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November 22, 2017,</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Michael</w:t>
            </w: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Landsittel</w:t>
            </w: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10.21#</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198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February 5, 2019</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8"/>
        </w:trPr>
        <w:tc>
          <w:tcPr>
            <w:tcW w:w="80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January 30, 2019,</w:t>
            </w:r>
          </w:p>
        </w:tc>
        <w:tc>
          <w:tcPr>
            <w:tcW w:w="1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980" w:type="dxa"/>
            <w:vAlign w:val="bottom"/>
          </w:tcPr>
          <w:p>
            <w:pPr>
              <w:spacing w:after="0"/>
              <w:rPr>
                <w:sz w:val="22"/>
                <w:szCs w:val="22"/>
                <w:color w:val="auto"/>
              </w:rPr>
            </w:pPr>
          </w:p>
        </w:tc>
      </w:tr>
    </w:tbl>
    <w:p>
      <w:pPr>
        <w:ind w:left="1020"/>
        <w:spacing w:after="0"/>
        <w:rPr>
          <w:sz w:val="20"/>
          <w:szCs w:val="20"/>
          <w:color w:val="auto"/>
        </w:rPr>
      </w:pPr>
      <w:r>
        <w:rPr>
          <w:rFonts w:ascii="Times New Roman" w:cs="Times New Roman" w:eastAsia="Times New Roman" w:hAnsi="Times New Roman"/>
          <w:sz w:val="20"/>
          <w:szCs w:val="20"/>
          <w:color w:val="auto"/>
        </w:rPr>
        <w:t>by and between the</w:t>
      </w:r>
    </w:p>
    <w:p>
      <w:pPr>
        <w:ind w:left="1020"/>
        <w:spacing w:after="0"/>
        <w:rPr>
          <w:sz w:val="20"/>
          <w:szCs w:val="20"/>
          <w:color w:val="auto"/>
        </w:rPr>
      </w:pPr>
      <w:r>
        <w:rPr>
          <w:rFonts w:ascii="Times New Roman" w:cs="Times New Roman" w:eastAsia="Times New Roman" w:hAnsi="Times New Roman"/>
          <w:sz w:val="20"/>
          <w:szCs w:val="20"/>
          <w:color w:val="auto"/>
        </w:rPr>
        <w:t>Registrant and Michael</w:t>
      </w:r>
    </w:p>
    <w:p>
      <w:pPr>
        <w:ind w:left="1020"/>
        <w:spacing w:after="0"/>
        <w:rPr>
          <w:sz w:val="20"/>
          <w:szCs w:val="20"/>
          <w:color w:val="auto"/>
        </w:rPr>
      </w:pPr>
      <w:r>
        <w:rPr>
          <w:rFonts w:ascii="Times New Roman" w:cs="Times New Roman" w:eastAsia="Times New Roman" w:hAnsi="Times New Roman"/>
          <w:sz w:val="20"/>
          <w:szCs w:val="20"/>
          <w:color w:val="auto"/>
        </w:rPr>
        <w:t>Landsittel</w:t>
      </w:r>
    </w:p>
    <w:p>
      <w:pPr>
        <w:sectPr>
          <w:pgSz w:w="12240" w:h="15840" w:orient="portrait"/>
          <w:cols w:equalWidth="0" w:num="1">
            <w:col w:w="9540"/>
          </w:cols>
          <w:pgMar w:left="1260" w:top="1246" w:right="1440" w:bottom="175" w:gutter="0" w:footer="0" w:header="0"/>
        </w:sectPr>
      </w:pPr>
    </w:p>
    <w:p>
      <w:pPr>
        <w:spacing w:after="0" w:line="3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540"/>
          </w:cols>
          <w:pgMar w:left="1260" w:top="1246" w:right="1440" w:bottom="175"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10.22#</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Michael</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Landsittel</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10.23#</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Third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Michael</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Landsittel</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10.24#</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8"/>
              </w:rPr>
              <w:t>October 29, 2018</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October 29, 2018,</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Christina</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Rossi</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10.25#</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10.6</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Christina</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Rossi</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10.26#</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January 5,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January 4, 2022 and</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effective as of April 4,</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Christina</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Rossi</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10.27#</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Christina</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Rossi</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10.28#</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March 8, 2019</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March 6, 2019, by</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Ariel</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Hurley</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10.29#</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10.11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Ariel</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Hurley</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10.30#</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8-K</w:t>
            </w:r>
          </w:p>
        </w:tc>
        <w:tc>
          <w:tcPr>
            <w:tcW w:w="18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10.10</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Ariel</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Hurley</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540"/>
          </w:cols>
          <w:pgMar w:left="1260" w:top="1246" w:right="1440" w:bottom="175" w:gutter="0" w:footer="0" w:header="0"/>
        </w:sect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540"/>
          </w:cols>
          <w:pgMar w:left="1260" w:top="1246" w:right="1440" w:bottom="175"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10.31#</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Third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10.39</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16, 2023</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February 15, 2023,</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effective as of January 1,</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2023, 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Ariel</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Hurley</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10.32#</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10.19</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13, 2020</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November 22, 2017,</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Debra</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Durso-Bumpus, as</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by the First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Amendment to</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February 10, 2020,</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Debra</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Durso-Bumpus</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10.33#</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10.10</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Debra</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Durso-Bumpus</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308"/>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10.34#</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Third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10.9</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Debra</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Durso-Bumpus</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10.35#</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September 1, 2020</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effective September 1,</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2020, 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Fouad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Namouni, M.D.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10.36#</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Fouad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Namouni, M.D.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10.37#</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10.4</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29"/>
        </w:trPr>
        <w:tc>
          <w:tcPr>
            <w:tcW w:w="80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and Fouad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Namouni, M.D.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10.38#</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January 11, 2021</w:t>
            </w:r>
          </w:p>
        </w:tc>
      </w:tr>
      <w:tr>
        <w:trPr>
          <w:trHeight w:val="258"/>
        </w:trPr>
        <w:tc>
          <w:tcPr>
            <w:tcW w:w="80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960" w:type="dxa"/>
            <w:vAlign w:val="bottom"/>
          </w:tcPr>
          <w:p>
            <w:pPr>
              <w:spacing w:after="0"/>
              <w:rPr>
                <w:sz w:val="22"/>
                <w:szCs w:val="22"/>
                <w:color w:val="auto"/>
              </w:rPr>
            </w:pPr>
          </w:p>
        </w:tc>
      </w:tr>
    </w:tbl>
    <w:p>
      <w:pPr>
        <w:ind w:left="1020"/>
        <w:spacing w:after="0"/>
        <w:rPr>
          <w:sz w:val="20"/>
          <w:szCs w:val="20"/>
          <w:color w:val="auto"/>
        </w:rPr>
      </w:pPr>
      <w:r>
        <w:rPr>
          <w:rFonts w:ascii="Times New Roman" w:cs="Times New Roman" w:eastAsia="Times New Roman" w:hAnsi="Times New Roman"/>
          <w:sz w:val="20"/>
          <w:szCs w:val="20"/>
          <w:color w:val="auto"/>
        </w:rPr>
        <w:t>dated January 11, 2021,</w:t>
      </w:r>
    </w:p>
    <w:p>
      <w:pPr>
        <w:ind w:left="1020"/>
        <w:spacing w:after="0"/>
        <w:rPr>
          <w:sz w:val="20"/>
          <w:szCs w:val="20"/>
          <w:color w:val="auto"/>
        </w:rPr>
      </w:pPr>
      <w:r>
        <w:rPr>
          <w:rFonts w:ascii="Times New Roman" w:cs="Times New Roman" w:eastAsia="Times New Roman" w:hAnsi="Times New Roman"/>
          <w:sz w:val="20"/>
          <w:szCs w:val="20"/>
          <w:color w:val="auto"/>
        </w:rPr>
        <w:t>by and between the</w:t>
      </w:r>
    </w:p>
    <w:p>
      <w:pPr>
        <w:ind w:left="1020"/>
        <w:spacing w:after="0"/>
        <w:rPr>
          <w:sz w:val="20"/>
          <w:szCs w:val="20"/>
          <w:color w:val="auto"/>
        </w:rPr>
      </w:pPr>
      <w:r>
        <w:rPr>
          <w:rFonts w:ascii="Times New Roman" w:cs="Times New Roman" w:eastAsia="Times New Roman" w:hAnsi="Times New Roman"/>
          <w:sz w:val="20"/>
          <w:szCs w:val="20"/>
          <w:color w:val="auto"/>
        </w:rPr>
        <w:t>Registrant and Becker</w:t>
      </w:r>
    </w:p>
    <w:p>
      <w:pPr>
        <w:ind w:left="1020"/>
        <w:spacing w:after="0"/>
        <w:rPr>
          <w:sz w:val="20"/>
          <w:szCs w:val="20"/>
          <w:color w:val="auto"/>
        </w:rPr>
      </w:pPr>
      <w:r>
        <w:rPr>
          <w:rFonts w:ascii="Times New Roman" w:cs="Times New Roman" w:eastAsia="Times New Roman" w:hAnsi="Times New Roman"/>
          <w:sz w:val="20"/>
          <w:szCs w:val="20"/>
          <w:color w:val="auto"/>
        </w:rPr>
        <w:t>Hewes, M.D.</w:t>
      </w: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540"/>
          </w:cols>
          <w:pgMar w:left="1260" w:top="1246" w:right="1440" w:bottom="175"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10.7</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Lemuel</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Becker Hewes, M.D.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10.6</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Lemuel</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Becker Hewes, M.D.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10-Q</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July 29, 2021</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effective as of May 19,</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2021, 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Percy H.</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Carter, M.D., Ph.D.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10.9</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December 23, 2021</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December 22, 2021,</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Percy H.</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Carter, M.D., Ph.D.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Second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10.8</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Percy H.</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Carter, M.D., Ph.D.</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January 20, 2022</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January 19, 2022</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effective as of</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April 4, 2022, by and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Philina Lee</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10.45#</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First Amendment to</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8-K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7"/>
              </w:rPr>
              <w:t>10.11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September 23, 2022</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Employment Agreement,</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September 23,</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2022, by and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Philina Lee</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10.46†</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License and Collaboration</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10-Q</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August 1, 2018</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 dated June 1,</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2018, between the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CStone</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Pharmaceuticals</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10.47††</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License Agreement,</w:t>
            </w: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7"/>
              </w:rPr>
              <w:t>10-Q</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96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rPr>
              <w:t>November 5, 2019</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effective October 15,</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2019, by and between the</w:t>
            </w:r>
          </w:p>
        </w:tc>
        <w:tc>
          <w:tcPr>
            <w:tcW w:w="11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960" w:type="dxa"/>
            <w:vAlign w:val="bottom"/>
          </w:tcPr>
          <w:p>
            <w:pPr>
              <w:spacing w:after="0"/>
              <w:rPr>
                <w:sz w:val="22"/>
                <w:szCs w:val="22"/>
                <w:color w:val="auto"/>
              </w:rPr>
            </w:pPr>
          </w:p>
        </w:tc>
      </w:tr>
    </w:tbl>
    <w:p>
      <w:pPr>
        <w:ind w:left="1020"/>
        <w:spacing w:after="0"/>
        <w:rPr>
          <w:sz w:val="20"/>
          <w:szCs w:val="20"/>
          <w:color w:val="auto"/>
        </w:rPr>
      </w:pPr>
      <w:r>
        <w:rPr>
          <w:rFonts w:ascii="Times New Roman" w:cs="Times New Roman" w:eastAsia="Times New Roman" w:hAnsi="Times New Roman"/>
          <w:sz w:val="20"/>
          <w:szCs w:val="20"/>
          <w:color w:val="auto"/>
        </w:rPr>
        <w:t>Registrant and Clementia</w:t>
      </w:r>
    </w:p>
    <w:p>
      <w:pPr>
        <w:ind w:left="1020"/>
        <w:spacing w:after="0"/>
        <w:rPr>
          <w:sz w:val="20"/>
          <w:szCs w:val="20"/>
          <w:color w:val="auto"/>
        </w:rPr>
      </w:pPr>
      <w:r>
        <w:rPr>
          <w:rFonts w:ascii="Times New Roman" w:cs="Times New Roman" w:eastAsia="Times New Roman" w:hAnsi="Times New Roman"/>
          <w:sz w:val="20"/>
          <w:szCs w:val="20"/>
          <w:color w:val="auto"/>
        </w:rPr>
        <w:t>Pharmaceuticals, Inc.</w:t>
      </w: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540"/>
          </w:cols>
          <w:pgMar w:left="1260" w:top="1246" w:right="1440" w:bottom="175"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10.48~††</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Collaboration and License</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10.54</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February 17, 2021</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 dated</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November 8, 2021, by</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between the</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and Zai Lab</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(Shanghai) Co. Ltd</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10.49</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Indemnification</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S-1</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333-202938</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March 23, 2015</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 entered into</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its directors</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10.50</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Indemnification</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S-1</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333-202938</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March 23, 2015</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 entered into</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its officers</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10.51#</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Senior Executive Cash</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10-K</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March 11, 2016</w:t>
            </w: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Incentive Bonus Plan</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10.52</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Purchase and Sale</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10-Q</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August 2, 2022</w:t>
            </w: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 dated as of</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June 30, 2022, by and</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among the Registrant</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Garnich Adjacent</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 S.a.r.l. the</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various other purchasers</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from time to time party</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thereto and Garnish</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Adjacent Investments</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S.a.r.l, as Purchaser’s</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Representative</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10.53</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Financing Agreement,</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7"/>
              </w:rPr>
              <w:t>10-Q</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August 2, 2022</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as of June 30, 2022,</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 and among the</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as Borrower,</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subsidiaries of the</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Registrant, as Guarantors,</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various lenders from time-</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to-time party thereto and</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Tao Talents, LLC, as</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Agent for</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lenders</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10.54</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First Amendment to</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8-K</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8"/>
              </w:rPr>
              <w:t>May 25, 2023</w:t>
            </w: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Financing Agreement</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as of May 22, 2023</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 and among Blueprint</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Medicines Corporation,</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lenders party thereto,</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TAO Talents LLC, as</w:t>
            </w: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Agent for</w:t>
            </w:r>
          </w:p>
        </w:tc>
        <w:tc>
          <w:tcPr>
            <w:tcW w:w="1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lenders</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10.55#</w:t>
            </w: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w:t>
            </w:r>
          </w:p>
        </w:tc>
        <w:tc>
          <w:tcPr>
            <w:tcW w:w="11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8-K</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001-37359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8"/>
              </w:rPr>
              <w:t>June 27, 2022</w:t>
            </w:r>
          </w:p>
        </w:tc>
      </w:tr>
      <w:tr>
        <w:trPr>
          <w:trHeight w:val="267"/>
        </w:trPr>
        <w:tc>
          <w:tcPr>
            <w:tcW w:w="900" w:type="dxa"/>
            <w:vAlign w:val="bottom"/>
          </w:tcPr>
          <w:p>
            <w:pPr>
              <w:spacing w:after="0"/>
              <w:rPr>
                <w:sz w:val="23"/>
                <w:szCs w:val="23"/>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2020 Inducement Plan</w:t>
            </w:r>
          </w:p>
        </w:tc>
        <w:tc>
          <w:tcPr>
            <w:tcW w:w="1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540"/>
          </w:cols>
          <w:pgMar w:left="1260" w:top="1246" w:right="1440" w:bottom="175"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10.56#</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Non-Qualified Stock</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10.76</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for Employees</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 the 2015 Stock</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and Incentive Plan</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(annual 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10.57#</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Non-Qualified Stock</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10.77</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for Employees</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 the 2015 Stock</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and Incentive Plan</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(non-U.S. new hire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10.58#</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Non-Qualified Stock</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10.78</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for Non-Employee</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under the 2015</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Option and</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 (annual</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10.59#</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Non-Qualified Stock</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10.79</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for Non-Employee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under the 2015</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Option and</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 (new</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 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10.60#</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Non-Qualified Stock</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10.80</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for Employees</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 the 2020</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Inducement Plan</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10.61#</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Performance-Based</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10.81</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Stock Unit</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 Agreement for</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Employees under the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2015 Stock Option and</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10.62#</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Stock Unit</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10.82</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 for Employees</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 the 2015 Stock</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 and Incentive Plan</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10.63#</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Stock Unit</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10.83</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 for Non-Employee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under the 2015</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Option and</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 (annual</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10.64#</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Stock Unit</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10.84</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 for Non-Employee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under the 2015</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Option and</w:t>
            </w:r>
          </w:p>
        </w:tc>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 (new</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 award)</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3"/>
        </w:trPr>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10.65#</w:t>
            </w: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Stock Unit</w:t>
            </w:r>
          </w:p>
        </w:tc>
        <w:tc>
          <w:tcPr>
            <w:tcW w:w="1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10-K</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001-37359</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10.85</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16, 2023</w:t>
            </w: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Award for Employees</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 the 2020 Incentive</w:t>
            </w: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Plan</w:t>
            </w:r>
          </w:p>
        </w:tc>
        <w:tc>
          <w:tcPr>
            <w:tcW w:w="1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540"/>
          </w:cols>
          <w:pgMar w:left="1260" w:top="1246" w:right="1440" w:bottom="175"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10.66#</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Blueprint Medicines</w:t>
            </w:r>
          </w:p>
        </w:tc>
        <w:tc>
          <w:tcPr>
            <w:tcW w:w="13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Form 8-K</w:t>
            </w:r>
          </w:p>
        </w:tc>
        <w:tc>
          <w:tcPr>
            <w:tcW w:w="17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99.1</w:t>
            </w: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June 14, 2024</w:t>
            </w: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Corporation 2024 Stock</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10.67#</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Form of award</w:t>
            </w:r>
          </w:p>
        </w:tc>
        <w:tc>
          <w:tcPr>
            <w:tcW w:w="13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Form 8-K</w:t>
            </w:r>
          </w:p>
        </w:tc>
        <w:tc>
          <w:tcPr>
            <w:tcW w:w="17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99.2</w:t>
            </w: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June 14, 2024</w:t>
            </w: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agreements under the</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Blueprint Medicines</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Corporation 2024 Stock</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Incentive Plan</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Blueprint Medicines</w:t>
            </w:r>
          </w:p>
        </w:tc>
        <w:tc>
          <w:tcPr>
            <w:tcW w:w="13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8"/>
              </w:rPr>
              <w:t>Form 10-K</w:t>
            </w:r>
          </w:p>
        </w:tc>
        <w:tc>
          <w:tcPr>
            <w:tcW w:w="17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19.1</w:t>
            </w: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February 15, 2024</w:t>
            </w: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Insider Trading Policy</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and Special Trading</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Procedures for Insiders</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Subsidiaries of the</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Young LLP</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of Principal</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Executive Officer</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pursuant to Rule</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13a-14(a) or Rule</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15d-14(a) of the</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Exchange Act, as adopted</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pursuant to Section 302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Sarbanes-Oxley Act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2002</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of Principal</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Financial Officer pursuant</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Rule 13a-14(a) or Rule</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15d-14(a) of the</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Exchange Act, as adopted</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pursuant to Section 302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Sarbanes-Oxley Act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2002</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of Principal</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88"/>
              </w:rPr>
              <w:t>+</w:t>
            </w: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Executive Officer and</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Principal Financial</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Officer pursuant to 18</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U.S.C. Section 1350, as</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adopted pursuant to</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906 of the</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Sarbanes-Oxley Act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2002</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Blueprint Medicines</w:t>
            </w:r>
          </w:p>
        </w:tc>
        <w:tc>
          <w:tcPr>
            <w:tcW w:w="13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8"/>
              </w:rPr>
              <w:t>Form 10-K</w:t>
            </w:r>
          </w:p>
        </w:tc>
        <w:tc>
          <w:tcPr>
            <w:tcW w:w="17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001-37359</w:t>
            </w: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97.1</w:t>
            </w:r>
          </w:p>
        </w:tc>
        <w:tc>
          <w:tcPr>
            <w:tcW w:w="186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February 15, 2024</w:t>
            </w:r>
          </w:p>
        </w:tc>
      </w:tr>
      <w:tr>
        <w:trPr>
          <w:trHeight w:val="229"/>
        </w:trPr>
        <w:tc>
          <w:tcPr>
            <w:tcW w:w="80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Corporation Policy for</w:t>
            </w:r>
          </w:p>
        </w:tc>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Recoupment of</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Erroneously Awarded</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Compensation</w:t>
            </w:r>
          </w:p>
        </w:tc>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540"/>
          </w:cols>
          <w:pgMar w:left="1260" w:top="124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540"/>
          </w:cols>
          <w:pgMar w:left="1260" w:top="1246" w:right="1440" w:bottom="175"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Instance</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 - the instance</w:t>
            </w:r>
          </w:p>
        </w:tc>
        <w:tc>
          <w:tcPr>
            <w:tcW w:w="288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 does not appear</w:t>
            </w:r>
          </w:p>
        </w:tc>
        <w:tc>
          <w:tcPr>
            <w:tcW w:w="288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 the Interactive Data</w:t>
            </w:r>
          </w:p>
        </w:tc>
        <w:tc>
          <w:tcPr>
            <w:tcW w:w="288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File because its XBRL</w:t>
            </w:r>
          </w:p>
        </w:tc>
        <w:tc>
          <w:tcPr>
            <w:tcW w:w="288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tags are embedded within</w:t>
            </w:r>
          </w:p>
        </w:tc>
        <w:tc>
          <w:tcPr>
            <w:tcW w:w="288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Inline XBRL</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288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Extension Schema</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288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Extension Calculation</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288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Extension Definition</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288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Extension Label Linkbase</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2880" w:type="dxa"/>
            <w:vAlign w:val="bottom"/>
          </w:tcPr>
          <w:p>
            <w:pPr>
              <w:spacing w:after="0"/>
              <w:rPr>
                <w:sz w:val="23"/>
                <w:szCs w:val="23"/>
                <w:color w:val="auto"/>
              </w:rPr>
            </w:pPr>
          </w:p>
        </w:tc>
      </w:tr>
      <w:tr>
        <w:trPr>
          <w:trHeight w:val="2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Taxonomy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90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Extension Presentation</w:t>
            </w:r>
          </w:p>
        </w:tc>
        <w:tc>
          <w:tcPr>
            <w:tcW w:w="2880" w:type="dxa"/>
            <w:vAlign w:val="bottom"/>
          </w:tcPr>
          <w:p>
            <w:pPr>
              <w:spacing w:after="0"/>
              <w:rPr>
                <w:sz w:val="20"/>
                <w:szCs w:val="20"/>
                <w:color w:val="auto"/>
              </w:rPr>
            </w:pPr>
          </w:p>
        </w:tc>
      </w:tr>
      <w:tr>
        <w:trPr>
          <w:trHeight w:val="267"/>
        </w:trPr>
        <w:tc>
          <w:tcPr>
            <w:tcW w:w="90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2880" w:type="dxa"/>
            <w:vAlign w:val="bottom"/>
          </w:tcPr>
          <w:p>
            <w:pPr>
              <w:spacing w:after="0"/>
              <w:rPr>
                <w:sz w:val="23"/>
                <w:szCs w:val="23"/>
                <w:color w:val="auto"/>
              </w:rPr>
            </w:pPr>
          </w:p>
        </w:tc>
      </w:tr>
      <w:tr>
        <w:trPr>
          <w:trHeight w:val="27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 Page Interactive</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900" w:type="dxa"/>
            <w:vAlign w:val="bottom"/>
          </w:tcPr>
          <w:p>
            <w:pPr>
              <w:spacing w:after="0"/>
              <w:rPr>
                <w:sz w:val="22"/>
                <w:szCs w:val="22"/>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Data File (formatted as</w:t>
            </w:r>
          </w:p>
        </w:tc>
        <w:tc>
          <w:tcPr>
            <w:tcW w:w="2880" w:type="dxa"/>
            <w:vAlign w:val="bottom"/>
          </w:tcPr>
          <w:p>
            <w:pPr>
              <w:spacing w:after="0"/>
              <w:rPr>
                <w:sz w:val="22"/>
                <w:szCs w:val="22"/>
                <w:color w:val="auto"/>
              </w:rPr>
            </w:pPr>
          </w:p>
        </w:tc>
      </w:tr>
    </w:tbl>
    <w:p>
      <w:pPr>
        <w:ind w:left="1020"/>
        <w:spacing w:after="0"/>
        <w:rPr>
          <w:sz w:val="20"/>
          <w:szCs w:val="20"/>
          <w:color w:val="auto"/>
        </w:rPr>
      </w:pPr>
      <w:r>
        <w:rPr>
          <w:rFonts w:ascii="Times New Roman" w:cs="Times New Roman" w:eastAsia="Times New Roman" w:hAnsi="Times New Roman"/>
          <w:sz w:val="20"/>
          <w:szCs w:val="20"/>
          <w:color w:val="auto"/>
        </w:rPr>
        <w:t>inline XBRL with</w:t>
      </w:r>
    </w:p>
    <w:p>
      <w:pPr>
        <w:ind w:left="1020"/>
        <w:spacing w:after="0"/>
        <w:rPr>
          <w:sz w:val="20"/>
          <w:szCs w:val="20"/>
          <w:color w:val="auto"/>
        </w:rPr>
      </w:pPr>
      <w:r>
        <w:rPr>
          <w:rFonts w:ascii="Times New Roman" w:cs="Times New Roman" w:eastAsia="Times New Roman" w:hAnsi="Times New Roman"/>
          <w:sz w:val="20"/>
          <w:szCs w:val="20"/>
          <w:color w:val="auto"/>
        </w:rPr>
        <w:t>applicable taxonomy</w:t>
      </w:r>
    </w:p>
    <w:p>
      <w:pPr>
        <w:ind w:left="1020"/>
        <w:spacing w:after="0"/>
        <w:rPr>
          <w:sz w:val="20"/>
          <w:szCs w:val="20"/>
          <w:color w:val="auto"/>
        </w:rPr>
      </w:pPr>
      <w:r>
        <w:rPr>
          <w:rFonts w:ascii="Times New Roman" w:cs="Times New Roman" w:eastAsia="Times New Roman" w:hAnsi="Times New Roman"/>
          <w:sz w:val="20"/>
          <w:szCs w:val="20"/>
          <w:color w:val="auto"/>
        </w:rPr>
        <w:t>extension information</w:t>
      </w:r>
    </w:p>
    <w:p>
      <w:pPr>
        <w:ind w:left="1020"/>
        <w:spacing w:after="0"/>
        <w:rPr>
          <w:sz w:val="20"/>
          <w:szCs w:val="20"/>
          <w:color w:val="auto"/>
        </w:rPr>
      </w:pPr>
      <w:r>
        <w:rPr>
          <w:rFonts w:ascii="Times New Roman" w:cs="Times New Roman" w:eastAsia="Times New Roman" w:hAnsi="Times New Roman"/>
          <w:sz w:val="20"/>
          <w:szCs w:val="20"/>
          <w:color w:val="auto"/>
        </w:rPr>
        <w:t>contained in Exhibits</w:t>
      </w:r>
    </w:p>
    <w:p>
      <w:pPr>
        <w:ind w:left="102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151765</wp:posOffset>
                </wp:positionV>
                <wp:extent cx="154178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1.95pt" to="121.65pt,11.95pt" o:allowincell="f" strokecolor="#000000" strokeweight="1.02pt"/>
            </w:pict>
          </mc:Fallback>
        </mc:AlternateConten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or arrangement.</w:t>
      </w:r>
    </w:p>
    <w:p>
      <w:pPr>
        <w:spacing w:after="0" w:line="120" w:lineRule="exact"/>
        <w:rPr>
          <w:sz w:val="20"/>
          <w:szCs w:val="20"/>
          <w:color w:val="auto"/>
        </w:rPr>
      </w:pPr>
    </w:p>
    <w:p>
      <w:pPr>
        <w:ind w:left="200" w:right="120" w:hanging="193"/>
        <w:spacing w:after="0" w:line="258" w:lineRule="auto"/>
        <w:tabs>
          <w:tab w:leader="none" w:pos="2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68" w:lineRule="exact"/>
        <w:rPr>
          <w:sz w:val="20"/>
          <w:szCs w:val="20"/>
          <w:color w:val="auto"/>
        </w:rPr>
      </w:pPr>
    </w:p>
    <w:p>
      <w:pPr>
        <w:ind w:left="200" w:hanging="193"/>
        <w:spacing w:after="0" w:line="278" w:lineRule="auto"/>
        <w:tabs>
          <w:tab w:leader="none" w:pos="2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requested as to portions of the exhibit. Confidential materials omitted and filed separately with the Securities and Exchange Commission.</w:t>
      </w:r>
    </w:p>
    <w:p>
      <w:pPr>
        <w:spacing w:after="0" w:line="47" w:lineRule="exact"/>
        <w:rPr>
          <w:sz w:val="20"/>
          <w:szCs w:val="20"/>
          <w:color w:val="auto"/>
        </w:rPr>
      </w:pPr>
    </w:p>
    <w:p>
      <w:pPr>
        <w:ind w:left="200" w:right="280" w:hanging="199"/>
        <w:spacing w:after="0" w:line="278" w:lineRule="auto"/>
        <w:rPr>
          <w:sz w:val="20"/>
          <w:szCs w:val="20"/>
          <w:color w:val="auto"/>
        </w:rPr>
      </w:pPr>
      <w:r>
        <w:rPr>
          <w:rFonts w:ascii="Times New Roman" w:cs="Times New Roman" w:eastAsia="Times New Roman" w:hAnsi="Times New Roman"/>
          <w:sz w:val="20"/>
          <w:szCs w:val="20"/>
          <w:color w:val="auto"/>
        </w:rPr>
        <w:t>††Certain portions of the exhibit have been omitted pursuant to Regulation S-K Item 601(b) because it is both (i) not material to investors and (ii) likely to cause competitive harm to the Company if publicly disclosed.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119" w:lineRule="exact"/>
        <w:rPr>
          <w:sz w:val="20"/>
          <w:szCs w:val="20"/>
          <w:color w:val="auto"/>
        </w:rPr>
      </w:pPr>
    </w:p>
    <w:p>
      <w:pPr>
        <w:ind w:left="200" w:right="40" w:hanging="193"/>
        <w:spacing w:after="0" w:line="252" w:lineRule="auto"/>
        <w:tabs>
          <w:tab w:leader="none" w:pos="2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80" w:lineRule="exact"/>
        <w:rPr>
          <w:sz w:val="20"/>
          <w:szCs w:val="20"/>
          <w:color w:val="auto"/>
        </w:rPr>
      </w:pPr>
    </w:p>
    <w:p>
      <w:pPr>
        <w:jc w:val="center"/>
        <w:ind w:right="698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jc w:val="center"/>
        <w:ind w:right="69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640"/>
          </w:cols>
          <w:pgMar w:left="1260" w:top="1246" w:right="1340" w:bottom="175"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303" w:lineRule="exact"/>
        <w:rPr>
          <w:sz w:val="20"/>
          <w:szCs w:val="20"/>
          <w:color w:val="auto"/>
        </w:rPr>
      </w:pPr>
    </w:p>
    <w:p>
      <w:pPr>
        <w:spacing w:after="0"/>
        <w:tabs>
          <w:tab w:leader="none" w:pos="5000" w:val="left"/>
          <w:tab w:leader="none" w:pos="5560" w:val="left"/>
        </w:tabs>
        <w:rPr>
          <w:sz w:val="20"/>
          <w:szCs w:val="20"/>
          <w:color w:val="auto"/>
        </w:rPr>
      </w:pPr>
      <w:r>
        <w:rPr>
          <w:rFonts w:ascii="Times New Roman" w:cs="Times New Roman" w:eastAsia="Times New Roman" w:hAnsi="Times New Roman"/>
          <w:sz w:val="20"/>
          <w:szCs w:val="20"/>
          <w:color w:val="auto"/>
        </w:rPr>
        <w:t>Date: February 13, 2025</w:t>
      </w:r>
      <w:r>
        <w:rPr>
          <w:sz w:val="20"/>
          <w:szCs w:val="20"/>
          <w:color w:val="auto"/>
        </w:rPr>
        <w:tab/>
      </w:r>
      <w:r>
        <w:rPr>
          <w:rFonts w:ascii="Times New Roman" w:cs="Times New Roman" w:eastAsia="Times New Roman" w:hAnsi="Times New Roman"/>
          <w:sz w:val="20"/>
          <w:szCs w:val="20"/>
          <w:color w:val="auto"/>
        </w:rPr>
        <w:t>By:</w:t>
        <w:tab/>
        <w:t>/s/ Kathryn Haviland</w:t>
      </w:r>
    </w:p>
    <w:p>
      <w:pPr>
        <w:spacing w:after="0" w:line="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Kathryn Haviland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3545205</wp:posOffset>
                </wp:positionH>
                <wp:positionV relativeFrom="paragraph">
                  <wp:posOffset>-136525</wp:posOffset>
                </wp:positionV>
                <wp:extent cx="26219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19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15pt,-10.7499pt" to="485.6pt,-10.7499pt" o:allowincell="f" strokecolor="#000000" strokeweight="0.4799pt"/>
            </w:pict>
          </mc:Fallback>
        </mc:AlternateContent>
      </w:r>
    </w:p>
    <w:p>
      <w:pPr>
        <w:spacing w:after="0" w:line="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Director</w:t>
      </w:r>
    </w:p>
    <w:p>
      <w:pPr>
        <w:spacing w:after="0" w:line="200" w:lineRule="exact"/>
        <w:rPr>
          <w:sz w:val="20"/>
          <w:szCs w:val="20"/>
          <w:color w:val="auto"/>
        </w:rPr>
      </w:pPr>
    </w:p>
    <w:p>
      <w:pPr>
        <w:spacing w:after="0" w:line="326"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80" w:type="dxa"/>
            <w:vAlign w:val="bottom"/>
          </w:tcPr>
          <w:p>
            <w:pPr>
              <w:spacing w:after="0"/>
              <w:rPr>
                <w:sz w:val="17"/>
                <w:szCs w:val="17"/>
                <w:color w:val="auto"/>
              </w:rPr>
            </w:pPr>
          </w:p>
        </w:tc>
        <w:tc>
          <w:tcPr>
            <w:tcW w:w="43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6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66"/>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Kathryn Haviland</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4340" w:type="dxa"/>
            <w:vAlign w:val="bottom"/>
            <w:vMerge w:val="restart"/>
          </w:tcPr>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Kathryn Haviland</w:t>
            </w:r>
          </w:p>
        </w:tc>
        <w:tc>
          <w:tcPr>
            <w:tcW w:w="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Michael Landsittel</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4340" w:type="dxa"/>
            <w:vAlign w:val="bottom"/>
            <w:vMerge w:val="restart"/>
          </w:tcPr>
          <w:p>
            <w:pPr>
              <w:ind w:left="6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c>
          <w:tcPr>
            <w:tcW w:w="1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Landsittel</w:t>
            </w:r>
          </w:p>
        </w:tc>
        <w:tc>
          <w:tcPr>
            <w:tcW w:w="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3"/>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Ariel Hurley</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Senior Vice President, Finance</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Ariel Hurley</w:t>
            </w:r>
          </w:p>
        </w:tc>
        <w:tc>
          <w:tcPr>
            <w:tcW w:w="280" w:type="dxa"/>
            <w:vAlign w:val="bottom"/>
          </w:tcPr>
          <w:p>
            <w:pPr>
              <w:spacing w:after="0"/>
              <w:rPr>
                <w:sz w:val="22"/>
                <w:szCs w:val="22"/>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auto"/>
              </w:rPr>
              <w:t>(Principal Accounting Officer)</w:t>
            </w: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Jeffrey W. Albers</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Jeffrey W. Albers</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Daniella Beckman</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Daniella Beckman</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Alexis Borisy</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Alexis Borisy</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Lonnel Coats</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Lonnel Coats</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Habib Dable</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Habib Dable</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Mark Goldberg</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Mark Goldberg, M.D.</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Nicholas Lydon</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Nicholas Lydon, Ph.D.</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Lynn Seely</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Lynn Seely, M.D.</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John Tsai</w:t>
            </w:r>
          </w:p>
        </w:tc>
        <w:tc>
          <w:tcPr>
            <w:tcW w:w="28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John Tsai, M.D.</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720"/>
          </w:cols>
          <w:pgMar w:left="1260" w:top="1243" w:right="1260" w:bottom="175"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75"/>
        </w:trPr>
        <w:tc>
          <w:tcPr>
            <w:tcW w:w="9240" w:type="dxa"/>
            <w:vAlign w:val="bottom"/>
          </w:tcPr>
          <w:p>
            <w:pPr>
              <w:ind w:left="3440"/>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tc>
        <w:tc>
          <w:tcPr>
            <w:tcW w:w="480" w:type="dxa"/>
            <w:vAlign w:val="bottom"/>
          </w:tcPr>
          <w:p>
            <w:pPr>
              <w:spacing w:after="0"/>
              <w:rPr>
                <w:sz w:val="23"/>
                <w:szCs w:val="23"/>
                <w:color w:val="auto"/>
              </w:rPr>
            </w:pPr>
          </w:p>
        </w:tc>
      </w:tr>
      <w:tr>
        <w:trPr>
          <w:trHeight w:val="488"/>
        </w:trPr>
        <w:tc>
          <w:tcPr>
            <w:tcW w:w="9240" w:type="dxa"/>
            <w:vAlign w:val="bottom"/>
          </w:tcPr>
          <w:p>
            <w:pPr>
              <w:ind w:left="30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480" w:type="dxa"/>
            <w:vAlign w:val="bottom"/>
          </w:tcPr>
          <w:p>
            <w:pPr>
              <w:spacing w:after="0"/>
              <w:rPr>
                <w:sz w:val="24"/>
                <w:szCs w:val="24"/>
                <w:color w:val="auto"/>
              </w:rPr>
            </w:pPr>
          </w:p>
        </w:tc>
      </w:tr>
      <w:tr>
        <w:trPr>
          <w:trHeight w:val="466"/>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42)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F-2</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Balance Sheets . . . . . . . . .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F-4</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F-5</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Stockholders’ Equity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F-6</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Cash Flows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7"/>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720"/>
          </w:cols>
          <w:pgMar w:left="1260" w:top="1243" w:right="1260" w:bottom="175" w:gutter="0" w:footer="0" w:header="0"/>
          <w:type w:val="continuous"/>
        </w:sectPr>
      </w:pPr>
    </w:p>
    <w:bookmarkStart w:id="132" w:name="page133"/>
    <w:bookmarkEnd w:id="132"/>
    <w:p>
      <w:pPr>
        <w:ind w:right="2340" w:firstLine="2347"/>
        <w:spacing w:after="0" w:line="457"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Blueprint Medicines Corporation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Blueprint Medicines Corporation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7"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13, 2025 expressed an unqualified opinion thereon.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1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i w:val="1"/>
          <w:iCs w:val="1"/>
          <w:color w:val="auto"/>
        </w:rPr>
        <w:t>Accrued Clinical Trial Expenses</w:t>
      </w:r>
    </w:p>
    <w:p>
      <w:pPr>
        <w:spacing w:after="0" w:line="239" w:lineRule="exact"/>
        <w:rPr>
          <w:sz w:val="20"/>
          <w:szCs w:val="20"/>
          <w:color w:val="auto"/>
        </w:rPr>
      </w:pPr>
    </w:p>
    <w:p>
      <w:pPr>
        <w:ind w:left="12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Description of</w:t>
      </w:r>
      <w:r>
        <w:rPr>
          <w:sz w:val="20"/>
          <w:szCs w:val="20"/>
          <w:color w:val="auto"/>
        </w:rPr>
        <w:tab/>
      </w:r>
      <w:r>
        <w:rPr>
          <w:rFonts w:ascii="Times New Roman" w:cs="Times New Roman" w:eastAsia="Times New Roman" w:hAnsi="Times New Roman"/>
          <w:sz w:val="20"/>
          <w:szCs w:val="20"/>
          <w:color w:val="auto"/>
        </w:rPr>
        <w:t>As discussed in Note 2 to the consolidated financial statements, the Company accrues costs for</w:t>
      </w:r>
    </w:p>
    <w:p>
      <w:pPr>
        <w:spacing w:after="0" w:line="28" w:lineRule="exact"/>
        <w:rPr>
          <w:sz w:val="20"/>
          <w:szCs w:val="20"/>
          <w:color w:val="auto"/>
        </w:rPr>
      </w:pPr>
    </w:p>
    <w:p>
      <w:pPr>
        <w:ind w:left="12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the Matter</w:t>
      </w:r>
      <w:r>
        <w:rPr>
          <w:sz w:val="20"/>
          <w:szCs w:val="20"/>
          <w:color w:val="auto"/>
        </w:rPr>
        <w:tab/>
      </w:r>
      <w:r>
        <w:rPr>
          <w:rFonts w:ascii="Times New Roman" w:cs="Times New Roman" w:eastAsia="Times New Roman" w:hAnsi="Times New Roman"/>
          <w:sz w:val="19"/>
          <w:szCs w:val="19"/>
          <w:color w:val="auto"/>
        </w:rPr>
        <w:t>clinical trial activities based upon estimates of the services received and related expenses incurred</w:t>
      </w:r>
    </w:p>
    <w:p>
      <w:pPr>
        <w:ind w:left="1920" w:right="100"/>
        <w:spacing w:after="0" w:line="248" w:lineRule="auto"/>
        <w:rPr>
          <w:sz w:val="20"/>
          <w:szCs w:val="20"/>
          <w:color w:val="auto"/>
        </w:rPr>
      </w:pPr>
      <w:r>
        <w:rPr>
          <w:rFonts w:ascii="Times New Roman" w:cs="Times New Roman" w:eastAsia="Times New Roman" w:hAnsi="Times New Roman"/>
          <w:sz w:val="20"/>
          <w:szCs w:val="20"/>
          <w:color w:val="auto"/>
        </w:rPr>
        <w:t>through the balance sheet date that have yet to be invoiced by the contract research organizations or other clinical trial vendors that perform the activities.</w:t>
      </w:r>
    </w:p>
    <w:p>
      <w:pPr>
        <w:spacing w:after="0" w:line="187" w:lineRule="exact"/>
        <w:rPr>
          <w:sz w:val="20"/>
          <w:szCs w:val="20"/>
          <w:color w:val="auto"/>
        </w:rPr>
      </w:pPr>
    </w:p>
    <w:p>
      <w:pPr>
        <w:ind w:left="1920" w:right="500"/>
        <w:spacing w:after="0" w:line="265" w:lineRule="auto"/>
        <w:rPr>
          <w:sz w:val="20"/>
          <w:szCs w:val="20"/>
          <w:color w:val="auto"/>
        </w:rPr>
      </w:pPr>
      <w:r>
        <w:rPr>
          <w:rFonts w:ascii="Times New Roman" w:cs="Times New Roman" w:eastAsia="Times New Roman" w:hAnsi="Times New Roman"/>
          <w:sz w:val="19"/>
          <w:szCs w:val="19"/>
          <w:color w:val="auto"/>
        </w:rPr>
        <w:t>Auditing the Company’s accruals for clinical trials is challenging due to the fact that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w:t>
      </w:r>
    </w:p>
    <w:p>
      <w:pPr>
        <w:sectPr>
          <w:pgSz w:w="12240" w:h="15840" w:orient="portrait"/>
          <w:cols w:equalWidth="0" w:num="1">
            <w:col w:w="9700"/>
          </w:cols>
          <w:pgMar w:left="1260" w:top="1242"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700"/>
          </w:cols>
          <w:pgMar w:left="1260" w:top="1242" w:right="1280" w:bottom="175" w:gutter="0" w:footer="0" w:header="0"/>
          <w:type w:val="continuous"/>
        </w:sectPr>
      </w:pPr>
    </w:p>
    <w:bookmarkStart w:id="133" w:name="page134"/>
    <w:bookmarkEnd w:id="133"/>
    <w:tbl>
      <w:tblPr>
        <w:tblLayout w:type="fixed"/>
        <w:tblInd w:w="120" w:type="dxa"/>
        <w:tblCellMar>
          <w:top w:w="0" w:type="dxa"/>
          <w:left w:w="0" w:type="dxa"/>
          <w:bottom w:w="0" w:type="dxa"/>
          <w:right w:w="0" w:type="dxa"/>
        </w:tblCellMar>
      </w:tblPr>
      <w:tr>
        <w:trPr>
          <w:trHeight w:val="267"/>
        </w:trPr>
        <w:tc>
          <w:tcPr>
            <w:tcW w:w="1460" w:type="dxa"/>
            <w:vAlign w:val="bottom"/>
          </w:tcPr>
          <w:p>
            <w:pPr>
              <w:spacing w:after="0"/>
              <w:rPr>
                <w:sz w:val="23"/>
                <w:szCs w:val="23"/>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may be delays in invoicing from clinical study sites and other vendors.</w:t>
            </w: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How We</w:t>
            </w: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Addressed the</w:t>
            </w: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internal controls that addressed the identified risks related to the Company’s process for</w:t>
            </w:r>
          </w:p>
        </w:tc>
        <w:tc>
          <w:tcPr>
            <w:tcW w:w="0" w:type="dxa"/>
            <w:vAlign w:val="bottom"/>
          </w:tcPr>
          <w:p>
            <w:pPr>
              <w:spacing w:after="0"/>
              <w:rPr>
                <w:sz w:val="1"/>
                <w:szCs w:val="1"/>
                <w:color w:val="auto"/>
              </w:rPr>
            </w:pPr>
          </w:p>
        </w:tc>
      </w:tr>
      <w:tr>
        <w:trPr>
          <w:trHeight w:val="232"/>
        </w:trPr>
        <w:tc>
          <w:tcPr>
            <w:tcW w:w="14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Matter in Our</w:t>
            </w: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recording accrued clinical expenses.</w:t>
            </w:r>
          </w:p>
        </w:tc>
        <w:tc>
          <w:tcPr>
            <w:tcW w:w="0" w:type="dxa"/>
            <w:vAlign w:val="bottom"/>
          </w:tcPr>
          <w:p>
            <w:pPr>
              <w:spacing w:after="0"/>
              <w:rPr>
                <w:sz w:val="1"/>
                <w:szCs w:val="1"/>
                <w:color w:val="auto"/>
              </w:rPr>
            </w:pPr>
          </w:p>
        </w:tc>
      </w:tr>
      <w:tr>
        <w:trPr>
          <w:trHeight w:val="265"/>
        </w:trPr>
        <w:tc>
          <w:tcPr>
            <w:tcW w:w="14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79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To evaluate the accrual for clinical expenses, our audit procedures included, among others,</w:t>
            </w: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testing the completeness and accuracy of the underlying data used in the estimates and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evaluating the significant assumptions including, but not limited to, expected patient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enrollment, costs per patient, site activation and estimated project duration, that are used by</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management to estimate the recorded accruals. To assess the reasonableness of the significant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assumptions, we corroborated the progress of clinical trials with the Company’s clinical team</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and obtained information directly from third parties related to active patient sites and currently</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enrolled patients. We also tested subsequent invoicing received from such third parties and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inspected the Company’s contracts with third parties and any pending change orders to assess</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the impact to the accrual through the balance sheet date and compared that to the Company’s</w:t>
            </w:r>
          </w:p>
        </w:tc>
        <w:tc>
          <w:tcPr>
            <w:tcW w:w="0" w:type="dxa"/>
            <w:vAlign w:val="bottom"/>
          </w:tcPr>
          <w:p>
            <w:pPr>
              <w:spacing w:after="0"/>
              <w:rPr>
                <w:sz w:val="1"/>
                <w:szCs w:val="1"/>
                <w:color w:val="auto"/>
              </w:rPr>
            </w:pPr>
          </w:p>
        </w:tc>
      </w:tr>
      <w:tr>
        <w:trPr>
          <w:trHeight w:val="267"/>
        </w:trPr>
        <w:tc>
          <w:tcPr>
            <w:tcW w:w="1460" w:type="dxa"/>
            <w:vAlign w:val="bottom"/>
          </w:tcPr>
          <w:p>
            <w:pPr>
              <w:spacing w:after="0"/>
              <w:rPr>
                <w:sz w:val="23"/>
                <w:szCs w:val="23"/>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estimates.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2240" w:h="15840" w:orient="portrait"/>
          <w:cols w:equalWidth="0" w:num="1">
            <w:col w:w="9560"/>
          </w:cols>
          <w:pgMar w:left="1260" w:top="1247" w:right="14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560"/>
          </w:cols>
          <w:pgMar w:left="1260" w:top="1247" w:right="1420" w:bottom="175" w:gutter="0" w:footer="0" w:header="0"/>
          <w:type w:val="continuous"/>
        </w:sectPr>
      </w:pPr>
    </w:p>
    <w:bookmarkStart w:id="134" w:name="page135"/>
    <w:bookmarkEnd w:id="134"/>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440" w:type="dxa"/>
            <w:vAlign w:val="bottom"/>
            <w:vMerge w:val="restart"/>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9"/>
        </w:trPr>
        <w:tc>
          <w:tcPr>
            <w:tcW w:w="7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71,286</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Marketable securities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639,355</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Accounts receivable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Unbilled accounts receivable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Inventory . . . . . .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25"/>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Prepaid expenses and other current assets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33,351</w:t>
            </w:r>
          </w:p>
        </w:tc>
        <w:tc>
          <w:tcPr>
            <w:tcW w:w="0" w:type="dxa"/>
            <w:vAlign w:val="bottom"/>
          </w:tcPr>
          <w:p>
            <w:pPr>
              <w:spacing w:after="0"/>
              <w:rPr>
                <w:sz w:val="1"/>
                <w:szCs w:val="1"/>
                <w:color w:val="auto"/>
              </w:rPr>
            </w:pPr>
          </w:p>
        </w:tc>
      </w:tr>
      <w:tr>
        <w:trPr>
          <w:trHeight w:val="179"/>
        </w:trPr>
        <w:tc>
          <w:tcPr>
            <w:tcW w:w="7440" w:type="dxa"/>
            <w:vAlign w:val="bottom"/>
          </w:tcPr>
          <w:p>
            <w:pPr>
              <w:jc w:val="right"/>
              <w:ind w:right="170"/>
              <w:spacing w:after="0" w:line="17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 . .Totalcurrentassets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742,678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808,393</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Marketable securities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56,530</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Property and equipment, net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Operating lease right-of-use assets, net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Restricted cash . . . . . . . .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Equity investment . .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0" w:type="dxa"/>
            <w:vAlign w:val="bottom"/>
          </w:tcPr>
          <w:p>
            <w:pPr>
              <w:spacing w:after="0"/>
              <w:rPr>
                <w:sz w:val="1"/>
                <w:szCs w:val="1"/>
                <w:color w:val="auto"/>
              </w:rPr>
            </w:pPr>
          </w:p>
        </w:tc>
      </w:tr>
      <w:tr>
        <w:trPr>
          <w:trHeight w:val="225"/>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assets . . . . . .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 . . . . . . . .Totalassets</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1,179,813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1,049,250</w:t>
            </w:r>
          </w:p>
        </w:tc>
        <w:tc>
          <w:tcPr>
            <w:tcW w:w="0" w:type="dxa"/>
            <w:vAlign w:val="bottom"/>
          </w:tcPr>
          <w:p>
            <w:pPr>
              <w:spacing w:after="0"/>
              <w:rPr>
                <w:sz w:val="1"/>
                <w:szCs w:val="1"/>
                <w:color w:val="auto"/>
              </w:rPr>
            </w:pPr>
          </w:p>
        </w:tc>
      </w:tr>
      <w:tr>
        <w:trPr>
          <w:trHeight w:val="189"/>
        </w:trPr>
        <w:tc>
          <w:tcPr>
            <w:tcW w:w="7440" w:type="dxa"/>
            <w:vAlign w:val="bottom"/>
          </w:tcPr>
          <w:p>
            <w:pPr>
              <w:jc w:val="right"/>
              <w:ind w:right="235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Accounts payable . . . . . . .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Accrued expenses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127,992</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Current portion of operating lease liabilities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Current portion of deferred revenue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Current portion of liabilities related to the sale of future royalties and revenues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39,198</w:t>
            </w:r>
          </w:p>
        </w:tc>
        <w:tc>
          <w:tcPr>
            <w:tcW w:w="0" w:type="dxa"/>
            <w:vAlign w:val="bottom"/>
          </w:tcPr>
          <w:p>
            <w:pPr>
              <w:spacing w:after="0"/>
              <w:rPr>
                <w:sz w:val="1"/>
                <w:szCs w:val="1"/>
                <w:color w:val="auto"/>
              </w:rPr>
            </w:pPr>
          </w:p>
        </w:tc>
      </w:tr>
      <w:tr>
        <w:trPr>
          <w:trHeight w:val="22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Current portion of term loan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0" w:type="dxa"/>
            <w:vAlign w:val="bottom"/>
          </w:tcPr>
          <w:p>
            <w:pPr>
              <w:spacing w:after="0"/>
              <w:rPr>
                <w:sz w:val="1"/>
                <w:szCs w:val="1"/>
                <w:color w:val="auto"/>
              </w:rPr>
            </w:pPr>
          </w:p>
        </w:tc>
      </w:tr>
      <w:tr>
        <w:trPr>
          <w:trHeight w:val="179"/>
        </w:trPr>
        <w:tc>
          <w:tcPr>
            <w:tcW w:w="7440" w:type="dxa"/>
            <w:vAlign w:val="bottom"/>
          </w:tcPr>
          <w:p>
            <w:pPr>
              <w:jc w:val="right"/>
              <w:ind w:right="170"/>
              <w:spacing w:after="0" w:line="17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.Totalcurrentliabilities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260,796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214,923</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Operating lease liabilities, net of current portion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81,751</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Deferred revenue, net of current portion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Liabilities related to the sale of future royalties and revenues, net of current portion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402,427</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Term loan, net of current portion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208,535</w:t>
            </w:r>
          </w:p>
        </w:tc>
        <w:tc>
          <w:tcPr>
            <w:tcW w:w="0" w:type="dxa"/>
            <w:vAlign w:val="bottom"/>
          </w:tcPr>
          <w:p>
            <w:pPr>
              <w:spacing w:after="0"/>
              <w:rPr>
                <w:sz w:val="1"/>
                <w:szCs w:val="1"/>
                <w:color w:val="auto"/>
              </w:rPr>
            </w:pPr>
          </w:p>
        </w:tc>
      </w:tr>
      <w:tr>
        <w:trPr>
          <w:trHeight w:val="22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Other long-term liabilities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179"/>
        </w:trPr>
        <w:tc>
          <w:tcPr>
            <w:tcW w:w="7440" w:type="dxa"/>
            <w:vAlign w:val="bottom"/>
          </w:tcPr>
          <w:p>
            <w:pPr>
              <w:jc w:val="right"/>
              <w:ind w:right="170"/>
              <w:spacing w:after="0" w:line="17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 . . . . . .Totalliabilities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881,148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918,641</w:t>
            </w: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120,000,000 shares authorized; 63,712,256 and 61,147,236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shares issued and outstanding at December 31, 2024 and December 31, 2023, respectively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8"/>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Additional paid-in capital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2,473,985</w:t>
            </w:r>
          </w:p>
        </w:tc>
        <w:tc>
          <w:tcPr>
            <w:tcW w:w="0" w:type="dxa"/>
            <w:vAlign w:val="bottom"/>
          </w:tcPr>
          <w:p>
            <w:pPr>
              <w:spacing w:after="0"/>
              <w:rPr>
                <w:sz w:val="1"/>
                <w:szCs w:val="1"/>
                <w:color w:val="auto"/>
              </w:rPr>
            </w:pPr>
          </w:p>
        </w:tc>
      </w:tr>
      <w:tr>
        <w:trPr>
          <w:trHeight w:val="20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Accumulated other comprehensive loss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6"/>
        </w:trPr>
        <w:tc>
          <w:tcPr>
            <w:tcW w:w="7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Accumulated deficit . .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(2,407,031)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(2,339,942)</w:t>
            </w:r>
          </w:p>
        </w:tc>
        <w:tc>
          <w:tcPr>
            <w:tcW w:w="0" w:type="dxa"/>
            <w:vAlign w:val="bottom"/>
          </w:tcPr>
          <w:p>
            <w:pPr>
              <w:spacing w:after="0"/>
              <w:rPr>
                <w:sz w:val="1"/>
                <w:szCs w:val="1"/>
                <w:color w:val="auto"/>
              </w:rPr>
            </w:pPr>
          </w:p>
        </w:tc>
      </w:tr>
      <w:tr>
        <w:trPr>
          <w:trHeight w:val="196"/>
        </w:trPr>
        <w:tc>
          <w:tcPr>
            <w:tcW w:w="744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 . . . . . . . . . . . . . . . . . . . . . . . . . . . . . . . . . . . . . . . . . . . . . . . . . . . . . . . . .Totalstockholders’equity</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298,665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130,609</w:t>
            </w:r>
          </w:p>
        </w:tc>
        <w:tc>
          <w:tcPr>
            <w:tcW w:w="0" w:type="dxa"/>
            <w:vAlign w:val="bottom"/>
          </w:tcPr>
          <w:p>
            <w:pPr>
              <w:spacing w:after="0"/>
              <w:rPr>
                <w:sz w:val="1"/>
                <w:szCs w:val="1"/>
                <w:color w:val="auto"/>
              </w:rPr>
            </w:pPr>
          </w:p>
        </w:tc>
      </w:tr>
      <w:tr>
        <w:trPr>
          <w:trHeight w:val="207"/>
        </w:trPr>
        <w:tc>
          <w:tcPr>
            <w:tcW w:w="744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color w:val="auto"/>
              </w:rPr>
              <w:t>. . . . . . . . . . . . . . . . . . . . . . . . . . . . . . . . . . . . . . . . . . . . . . .Totalliabilitiesandstockholders’equity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1,179,813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1,049,250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640"/>
          </w:cols>
          <w:pgMar w:left="1260" w:top="1242"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640"/>
          </w:cols>
          <w:pgMar w:left="1260" w:top="1242" w:right="1340" w:bottom="175" w:gutter="0" w:footer="0" w:header="0"/>
          <w:type w:val="continuous"/>
        </w:sectPr>
      </w:pPr>
    </w:p>
    <w:bookmarkStart w:id="135" w:name="page136"/>
    <w:bookmarkEnd w:id="135"/>
    <w:p>
      <w:pPr>
        <w:jc w:val="center"/>
        <w:spacing w:after="0" w:line="263" w:lineRule="auto"/>
        <w:rPr>
          <w:sz w:val="20"/>
          <w:szCs w:val="20"/>
          <w:color w:val="auto"/>
        </w:rPr>
      </w:pPr>
      <w:r>
        <w:rPr>
          <w:rFonts w:ascii="Times New Roman" w:cs="Times New Roman" w:eastAsia="Times New Roman" w:hAnsi="Times New Roman"/>
          <w:sz w:val="20"/>
          <w:szCs w:val="20"/>
          <w:b w:val="1"/>
          <w:bCs w:val="1"/>
          <w:color w:val="auto"/>
        </w:rPr>
        <w:t>Blueprint Medicines Corporation Consolidated Statements of Operations and Comprehensive Loss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11"/>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Product revenue, net.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478,950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204,207</w:t>
            </w: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Collaboration, license and other revenue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License revenue - related party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ind w:right="180"/>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.Totalrevenues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508,824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249,380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204,036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Cost and operating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Cost of sales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Collaboration loss sharing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341,433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427,720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359,272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295,141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560" w:type="dxa"/>
            <w:vAlign w:val="bottom"/>
          </w:tcPr>
          <w:p>
            <w:pPr>
              <w:jc w:val="right"/>
              <w:ind w:right="18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.Totalcostandoperatingexpenses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720,868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735,657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741,554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Interest expense, net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income (expense), net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(946)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Debt extinguishment gain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173,676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56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.Totalotherincome(expense)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146,181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(19,739)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6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.Lossbeforeincometaxes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(65,863)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(506,016)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(552,281)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Income tax expense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.Netloss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(67,089)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(506,984)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(557,517)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Unrealized gain (loss) on pension benefit obligations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(2,781)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Unrealized gain (loss) on available-for-sale investments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(7,246)</w:t>
            </w: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Currency translation adjustments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6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.Comprehensiveloss</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(67,145)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(500,036)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(563,827)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.Netlosspershare—basicanddiluted</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Weighted-average number of common shares used in net loss 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share — basic and diluted . . . . . . . . . . . . . . . . . . . . . . . . . . . . . . . . . . . . . . . . . . . .</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62,857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60,558</w:t>
            </w:r>
          </w:p>
        </w:tc>
        <w:tc>
          <w:tcPr>
            <w:tcW w:w="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720"/>
          </w:cols>
          <w:pgMar w:left="1260" w:top="1242" w:right="1260" w:bottom="175"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6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4540" w:type="dxa"/>
            <w:vAlign w:val="bottom"/>
            <w:gridSpan w:val="2"/>
            <w:vMerge w:val="continue"/>
          </w:tcPr>
          <w:p>
            <w:pPr>
              <w:jc w:val="right"/>
              <w:ind w:right="220"/>
              <w:spacing w:after="0" w:line="131" w:lineRule="exact"/>
              <w:rPr>
                <w:sz w:val="20"/>
                <w:szCs w:val="20"/>
                <w:color w:val="auto"/>
              </w:rPr>
            </w:pPr>
            <w:r>
              <w:rPr>
                <w:rFonts w:ascii="Times New Roman" w:cs="Times New Roman" w:eastAsia="Times New Roman" w:hAnsi="Times New Roman"/>
                <w:sz w:val="14"/>
                <w:szCs w:val="14"/>
                <w:color w:val="auto"/>
              </w:rPr>
              <w:t>. . . . . . . . . . . . . . . . . . . . . . . . . . . . . . . .</w:t>
            </w: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59,141,086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59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$ 2,250,250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(4,133)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(1,275,441)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970,735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Issuance of common stock under stock plan and stock purchase plan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817,833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Stock-based compensation expense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99,634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Other comprehensive loss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Net loss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(557,517)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(557,517)</w:t>
            </w:r>
          </w:p>
        </w:tc>
        <w:tc>
          <w:tcPr>
            <w:tcW w:w="0" w:type="dxa"/>
            <w:vAlign w:val="bottom"/>
          </w:tcPr>
          <w:p>
            <w:pPr>
              <w:spacing w:after="0"/>
              <w:rPr>
                <w:sz w:val="1"/>
                <w:szCs w:val="1"/>
                <w:color w:val="auto"/>
              </w:rPr>
            </w:pPr>
          </w:p>
        </w:tc>
      </w:tr>
      <w:tr>
        <w:trPr>
          <w:trHeight w:val="177"/>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 . . . . . . . . . . . . . . . . . . . . . . . . . . . . . .BalanceatDecember31,2022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59,958,919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$ 2,358,018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(1,832,958)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514,677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Issuance of common stock under stock plan and stock purchase plan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22,711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Stock-based compensation expense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93,256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Other comprehensive income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Net loss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(506,984)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 . . . . . . . . . . . . . . . . . . . . . . . . . . . . . .BalanceatDecember31,2023</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61,147,236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$ 2,473,985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(2,339,942)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Issuance of common stock under stock plan and stock purchase plan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2,020,301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76,365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Stock-based compensation expense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109,920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At-the-market offerings, net of issuance costs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48,935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Other comprehensive loss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Other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4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Net loss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Balance at December 31, 2024 . . . . . . . . . . . . . . . . . . . . . . . . . . . . . . . .</w:t>
            </w:r>
          </w:p>
        </w:tc>
        <w:tc>
          <w:tcPr>
            <w:tcW w:w="2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63,712,256</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$ 2,709,183</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(2,407,031)</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720"/>
          </w:cols>
          <w:pgMar w:left="1260" w:top="1242" w:right="1260" w:bottom="175"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10"/>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(67,089)</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(506,984)</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(557,517)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Non-cash lease expense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Non-cash interest expense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Non-cash customer consideration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(27,500)</w:t>
            </w: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Non-cash debt extinguishment gain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(173,676)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Net (accretion of discount) amortization of premium on investments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(22,465)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(17,466)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(982)</w:t>
            </w:r>
          </w:p>
        </w:tc>
        <w:tc>
          <w:tcPr>
            <w:tcW w:w="0" w:type="dxa"/>
            <w:vAlign w:val="bottom"/>
          </w:tcPr>
          <w:p>
            <w:pPr>
              <w:spacing w:after="0"/>
              <w:rPr>
                <w:sz w:val="1"/>
                <w:szCs w:val="1"/>
                <w:color w:val="auto"/>
              </w:rPr>
            </w:pPr>
          </w:p>
        </w:tc>
      </w:tr>
      <w:tr>
        <w:trPr>
          <w:trHeight w:val="226"/>
        </w:trPr>
        <w:tc>
          <w:tcPr>
            <w:tcW w:w="6360" w:type="dxa"/>
            <w:vAlign w:val="bottom"/>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Other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(982)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1,147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60" w:type="dxa"/>
            <w:vAlign w:val="bottom"/>
          </w:tcPr>
          <w:p>
            <w:pPr>
              <w:jc w:val="right"/>
              <w:ind w:right="3260"/>
              <w:spacing w:after="0"/>
              <w:rPr>
                <w:sz w:val="20"/>
                <w:szCs w:val="20"/>
                <w:color w:val="auto"/>
              </w:rPr>
            </w:pPr>
            <w:r>
              <w:rPr>
                <w:rFonts w:ascii="Times New Roman" w:cs="Times New Roman" w:eastAsia="Times New Roman" w:hAnsi="Times New Roman"/>
                <w:sz w:val="20"/>
                <w:szCs w:val="20"/>
                <w:b w:val="1"/>
                <w:bCs w:val="1"/>
                <w:color w:val="auto"/>
              </w:rPr>
              <w:t>Changes in assets and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(20,715)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Unbilled accounts receivable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(3,804)</w:t>
            </w: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(2,630)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(16,938)</w:t>
            </w: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(4,711)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(16,320)</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(5,816)</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long term liabilities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(7,240)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(12,687)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(4,813)</w:t>
            </w:r>
          </w:p>
        </w:tc>
        <w:tc>
          <w:tcPr>
            <w:tcW w:w="0" w:type="dxa"/>
            <w:vAlign w:val="bottom"/>
          </w:tcPr>
          <w:p>
            <w:pPr>
              <w:spacing w:after="0"/>
              <w:rPr>
                <w:sz w:val="1"/>
                <w:szCs w:val="1"/>
                <w:color w:val="auto"/>
              </w:rPr>
            </w:pPr>
          </w:p>
        </w:tc>
      </w:tr>
      <w:tr>
        <w:trPr>
          <w:trHeight w:val="25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(10,631)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(8,096)</w:t>
            </w:r>
          </w:p>
        </w:tc>
        <w:tc>
          <w:tcPr>
            <w:tcW w:w="0" w:type="dxa"/>
            <w:vAlign w:val="bottom"/>
          </w:tcPr>
          <w:p>
            <w:pPr>
              <w:spacing w:after="0"/>
              <w:rPr>
                <w:sz w:val="1"/>
                <w:szCs w:val="1"/>
                <w:color w:val="auto"/>
              </w:rPr>
            </w:pPr>
          </w:p>
        </w:tc>
      </w:tr>
      <w:tr>
        <w:trPr>
          <w:trHeight w:val="197"/>
        </w:trPr>
        <w:tc>
          <w:tcPr>
            <w:tcW w:w="6360" w:type="dxa"/>
            <w:vAlign w:val="bottom"/>
          </w:tcPr>
          <w:p>
            <w:pPr>
              <w:jc w:val="right"/>
              <w:ind w:right="180"/>
              <w:spacing w:after="0" w:line="197" w:lineRule="exact"/>
              <w:rPr>
                <w:sz w:val="20"/>
                <w:szCs w:val="20"/>
                <w:color w:val="auto"/>
              </w:rPr>
            </w:pPr>
            <w:r>
              <w:rPr>
                <w:rFonts w:ascii="Times New Roman" w:cs="Times New Roman" w:eastAsia="Times New Roman" w:hAnsi="Times New Roman"/>
                <w:sz w:val="20"/>
                <w:szCs w:val="20"/>
                <w:color w:val="auto"/>
              </w:rPr>
              <w:t>. . . . . . . . . . . . . . . . . . . . . .Netcashusedinoperatingactivities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(192,586)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(436,847)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(502,277)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Purchases of property and equipment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(16,062)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(8,919)</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Purchases of investments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(966,431)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(766,363)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(489,705)</w:t>
            </w: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Maturities of investments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923,560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1,056,465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197"/>
        </w:trPr>
        <w:tc>
          <w:tcPr>
            <w:tcW w:w="6360" w:type="dxa"/>
            <w:vAlign w:val="bottom"/>
          </w:tcPr>
          <w:p>
            <w:pPr>
              <w:jc w:val="right"/>
              <w:ind w:right="180"/>
              <w:spacing w:after="0" w:line="197" w:lineRule="exact"/>
              <w:rPr>
                <w:sz w:val="20"/>
                <w:szCs w:val="20"/>
                <w:color w:val="auto"/>
              </w:rPr>
            </w:pPr>
            <w:r>
              <w:rPr>
                <w:rFonts w:ascii="Times New Roman" w:cs="Times New Roman" w:eastAsia="Times New Roman" w:hAnsi="Times New Roman"/>
                <w:sz w:val="20"/>
                <w:szCs w:val="20"/>
                <w:color w:val="auto"/>
              </w:rPr>
              <w:t>. . . . . . . . . .Netcashprovidedby(usedin)investingactivities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(47,501)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274,040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(149,541)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Proceeds from at-the-market offerings, net of issuance costs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from stock option exercises and employee stock purchase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5"/>
              </w:rPr>
              <w:t>plan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Net proceeds from term loan facility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Net proceeds from the sale of future royalties and revenues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Principle payments for financing arrangements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(541)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9"/>
        </w:trPr>
        <w:tc>
          <w:tcPr>
            <w:tcW w:w="636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color w:val="auto"/>
              </w:rPr>
              <w:t>. . . . . . . . . . . . . . . . . . .Netcashprovidedbyfinancingactivities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273,111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119,225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561,810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Net increase (decrease) in cash, cash equivalents, and restricted cash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(43,582)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(90,008)</w:t>
            </w: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Cash, cash equivalents and restricted cash at beginning of period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cash equivalents and restricted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5"/>
              </w:rPr>
              <w:t>cash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.Cash,cashequivalentsandrestrictedcashatendofperiod</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113,639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81,524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36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Cash paid for interest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79,852</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38,467</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360" w:type="dxa"/>
            <w:vAlign w:val="bottom"/>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rPr>
              <w:t>. . . . . . . . . . . . . . . . .Propertyandequipmentpurchasesunpaidatperiodend</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556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jc w:val="right"/>
              <w:ind w:right="180"/>
              <w:spacing w:after="0" w:line="222" w:lineRule="exact"/>
              <w:rPr>
                <w:sz w:val="20"/>
                <w:szCs w:val="20"/>
                <w:color w:val="auto"/>
              </w:rPr>
            </w:pPr>
            <w:r>
              <w:rPr>
                <w:rFonts w:ascii="Times New Roman" w:cs="Times New Roman" w:eastAsia="Times New Roman" w:hAnsi="Times New Roman"/>
                <w:sz w:val="20"/>
                <w:szCs w:val="20"/>
                <w:color w:val="auto"/>
              </w:rPr>
              <w:t>. . . . . . . . . . . . . . . . . . . . . . . . . . . .Cashpaid(refundsreceived)fortaxes,net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1,104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(49)</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720"/>
          </w:cols>
          <w:pgMar w:left="1260" w:top="1242" w:right="1260" w:bottom="175" w:gutter="0" w:footer="0" w:header="0"/>
          <w:type w:val="continuous"/>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w:t>
      </w:r>
    </w:p>
    <w:p>
      <w:pPr>
        <w:spacing w:after="0" w:line="243"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spacing w:after="0" w:line="197"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broad pipeline of programs ranging from early science to advanced clinical trials in mast cell diseases including SM and chronic urticaria, breast cancer and other solid tumors.</w:t>
      </w:r>
    </w:p>
    <w:p>
      <w:pPr>
        <w:spacing w:after="0" w:line="200"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The Company is subject to a number of risks similar to those of other commercial-stage companies,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repartner certain of its research and development programs or future commercialization efforts.</w:t>
      </w:r>
    </w:p>
    <w:p>
      <w:pPr>
        <w:spacing w:after="0" w:line="20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2024, the Company had cash, cash equivalents and marketable securities of $863.9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and Recent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0"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Updates (ASU) of the Financial Accounting Standards Board (FASB) and the rules and regulations of the Securities and Exchange Commission (SEC).</w:t>
      </w:r>
    </w:p>
    <w:p>
      <w:pPr>
        <w:spacing w:after="0" w:line="193" w:lineRule="exact"/>
        <w:rPr>
          <w:sz w:val="20"/>
          <w:szCs w:val="20"/>
          <w:color w:val="auto"/>
        </w:rPr>
      </w:pPr>
    </w:p>
    <w:p>
      <w:pPr>
        <w:ind w:right="140" w:firstLine="720"/>
        <w:spacing w:after="0" w:line="265" w:lineRule="auto"/>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debt modification, and income taxes.</w:t>
      </w:r>
    </w:p>
    <w:p>
      <w:pPr>
        <w:sectPr>
          <w:pgSz w:w="12240" w:h="15840" w:orient="portrait"/>
          <w:cols w:equalWidth="0" w:num="1">
            <w:col w:w="9700"/>
          </w:cols>
          <w:pgMar w:left="1260" w:top="1242" w:right="1280" w:bottom="175"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700"/>
          </w:cols>
          <w:pgMar w:left="1260" w:top="1242" w:right="1280" w:bottom="175"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 xml:space="preserve">The Company accounts for contracts with customers in accordance with ASC Topic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Contracts with Customers </w:t>
      </w:r>
      <w:r>
        <w:rPr>
          <w:rFonts w:ascii="Times New Roman" w:cs="Times New Roman" w:eastAsia="Times New Roman" w:hAnsi="Times New Roman"/>
          <w:sz w:val="20"/>
          <w:szCs w:val="20"/>
          <w:color w:val="auto"/>
        </w:rPr>
        <w:t>(ASC 606). The Company recognizes revenue when its customer obtains control of promised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w:t>
      </w:r>
    </w:p>
    <w:p>
      <w:pPr>
        <w:spacing w:after="0" w:line="4" w:lineRule="exact"/>
        <w:rPr>
          <w:sz w:val="20"/>
          <w:szCs w:val="20"/>
          <w:color w:val="auto"/>
        </w:rPr>
      </w:pPr>
    </w:p>
    <w:p>
      <w:pPr>
        <w:ind w:right="80" w:firstLine="7"/>
        <w:spacing w:after="0" w:line="241" w:lineRule="auto"/>
        <w:tabs>
          <w:tab w:leader="none" w:pos="29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4"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if the Company transfer goods or services to a customer before the customer pays consideration and the Company’s right to consideration is unconditional.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23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generated product revenue primarily from sales of </w:t>
      </w:r>
      <w:r>
        <w:rPr>
          <w:rFonts w:ascii="Times New Roman" w:cs="Times New Roman" w:eastAsia="Times New Roman" w:hAnsi="Times New Roman"/>
          <w:sz w:val="20"/>
          <w:szCs w:val="20"/>
          <w:color w:val="auto"/>
          <w:highlight w:val="white"/>
        </w:rPr>
        <w:t>AYVAKIT</w:t>
      </w:r>
      <w:r>
        <w:rPr>
          <w:rFonts w:ascii="Times New Roman" w:cs="Times New Roman" w:eastAsia="Times New Roman" w:hAnsi="Times New Roman"/>
          <w:sz w:val="20"/>
          <w:szCs w:val="20"/>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20"/>
          <w:szCs w:val="20"/>
          <w:color w:val="auto"/>
          <w:highlight w:val="white"/>
        </w:rPr>
        <w:t>its products.</w:t>
      </w:r>
    </w:p>
    <w:p>
      <w:pPr>
        <w:spacing w:after="0" w:line="198"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historical rebate payments for these programs, the Company’s current contractual and statutory requirements, specific known market events and trends, industry data and forecasted customer buying and payment patterns, the percentage of product that are sold via these programs, and the product’s pricing.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201"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Chargebacks: </w:t>
      </w:r>
      <w:r>
        <w:rPr>
          <w:rFonts w:ascii="Times New Roman" w:cs="Times New Roman" w:eastAsia="Times New Roman" w:hAnsi="Times New Roman"/>
          <w:sz w:val="20"/>
          <w:szCs w:val="20"/>
          <w:color w:val="auto"/>
        </w:rPr>
        <w:t>Chargebacks for fees and discounts represent the estimated obligations resulting from contractual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w:t>
      </w:r>
    </w:p>
    <w:p>
      <w:pPr>
        <w:sectPr>
          <w:pgSz w:w="12240" w:h="15840" w:orient="portrait"/>
          <w:cols w:equalWidth="0" w:num="1">
            <w:col w:w="9700"/>
          </w:cols>
          <w:pgMar w:left="1260" w:top="1247" w:right="1280" w:bottom="17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700"/>
          </w:cols>
          <w:pgMar w:left="1260" w:top="1247" w:right="1280" w:bottom="175" w:gutter="0" w:footer="0" w:header="0"/>
          <w:type w:val="continuous"/>
        </w:sectPr>
      </w:pPr>
    </w:p>
    <w:bookmarkStart w:id="140" w:name="page141"/>
    <w:bookmarkEnd w:id="140"/>
    <w:p>
      <w:pPr>
        <w:ind w:right="200"/>
        <w:spacing w:after="0" w:line="259" w:lineRule="auto"/>
        <w:rPr>
          <w:sz w:val="20"/>
          <w:szCs w:val="20"/>
          <w:color w:val="auto"/>
        </w:rPr>
      </w:pPr>
      <w:r>
        <w:rPr>
          <w:rFonts w:ascii="Times New Roman" w:cs="Times New Roman" w:eastAsia="Times New Roman" w:hAnsi="Times New Roman"/>
          <w:sz w:val="20"/>
          <w:szCs w:val="20"/>
          <w:color w:val="auto"/>
        </w:rPr>
        <w:t>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Government rebates: </w:t>
      </w:r>
      <w:r>
        <w:rPr>
          <w:rFonts w:ascii="Times New Roman" w:cs="Times New Roman" w:eastAsia="Times New Roman" w:hAnsi="Times New Roman"/>
          <w:sz w:val="20"/>
          <w:szCs w:val="20"/>
          <w:color w:val="auto"/>
        </w:rPr>
        <w:t>Government rebates consist of Medicare, Tricare and Medicaid rebates, which were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98"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Trade discounts and allowances: </w:t>
      </w:r>
      <w:r>
        <w:rPr>
          <w:rFonts w:ascii="Times New Roman" w:cs="Times New Roman" w:eastAsia="Times New Roman" w:hAnsi="Times New Roman"/>
          <w:sz w:val="20"/>
          <w:szCs w:val="20"/>
          <w:color w:val="auto"/>
        </w:rPr>
        <w:t>The Company provides the customers with discounts that are explicitly stated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93"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Product returns: </w:t>
      </w:r>
      <w:r>
        <w:rPr>
          <w:rFonts w:ascii="Times New Roman" w:cs="Times New Roman" w:eastAsia="Times New Roman" w:hAnsi="Times New Roman"/>
          <w:sz w:val="20"/>
          <w:szCs w:val="20"/>
          <w:color w:val="auto"/>
        </w:rPr>
        <w:t>The Company estimates the amount of its product sales that may be returned by its 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85"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Other deductions: </w:t>
      </w:r>
      <w:r>
        <w:rPr>
          <w:rFonts w:ascii="Times New Roman" w:cs="Times New Roman" w:eastAsia="Times New Roman" w:hAnsi="Times New Roman"/>
          <w:sz w:val="20"/>
          <w:szCs w:val="20"/>
          <w:color w:val="auto"/>
        </w:rPr>
        <w:t>Co-pay assistance relates to financial assistance provided to qualified patients, whereby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license and other revenue</w:t>
      </w:r>
    </w:p>
    <w:p>
      <w:pPr>
        <w:spacing w:after="0" w:line="23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 xml:space="preserve">At contract inception, the Company analyzes its collaboration and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20"/>
          <w:szCs w:val="20"/>
          <w:i w:val="1"/>
          <w:iCs w:val="1"/>
          <w:color w:val="auto"/>
        </w:rPr>
        <w:t>Collaborative Arrangements</w:t>
      </w:r>
      <w:r>
        <w:rPr>
          <w:rFonts w:ascii="Times New Roman" w:cs="Times New Roman" w:eastAsia="Times New Roman" w:hAnsi="Times New Roman"/>
          <w:sz w:val="20"/>
          <w:szCs w:val="20"/>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20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 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loss.</w:t>
      </w:r>
    </w:p>
    <w:p>
      <w:pPr>
        <w:spacing w:after="0" w:line="20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w:t>
      </w:r>
    </w:p>
    <w:p>
      <w:pPr>
        <w:spacing w:after="0" w:line="4" w:lineRule="exact"/>
        <w:rPr>
          <w:sz w:val="20"/>
          <w:szCs w:val="20"/>
          <w:color w:val="auto"/>
        </w:rPr>
      </w:pPr>
    </w:p>
    <w:p>
      <w:pPr>
        <w:ind w:firstLine="7"/>
        <w:spacing w:after="0" w:line="243" w:lineRule="auto"/>
        <w:tabs>
          <w:tab w:leader="none" w:pos="28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700"/>
          </w:cols>
          <w:pgMar w:left="1260" w:top="1246" w:right="1280" w:bottom="187" w:gutter="0" w:footer="0" w:header="0"/>
          <w:type w:val="continuous"/>
        </w:sectPr>
      </w:pPr>
    </w:p>
    <w:bookmarkStart w:id="141" w:name="page142"/>
    <w:bookmarkEnd w:id="141"/>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uses judgment to determine whether milestones or other variable consideration, including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91"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Exclusive Licenses. </w:t>
      </w:r>
      <w:r>
        <w:rPr>
          <w:rFonts w:ascii="Times New Roman" w:cs="Times New Roman" w:eastAsia="Times New Roman" w:hAnsi="Times New Roman"/>
          <w:sz w:val="20"/>
          <w:szCs w:val="20"/>
          <w:color w:val="auto"/>
        </w:rPr>
        <w:t>If the license to the Company’s intellectual property is determined to be distinct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20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Services. </w:t>
      </w:r>
      <w:r>
        <w:rPr>
          <w:rFonts w:ascii="Times New Roman" w:cs="Times New Roman" w:eastAsia="Times New Roman" w:hAnsi="Times New Roman"/>
          <w:sz w:val="20"/>
          <w:szCs w:val="20"/>
          <w:color w:val="auto"/>
        </w:rPr>
        <w:t>The promises under the Company’s collaboration agreements may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Customer Options. </w:t>
      </w:r>
      <w:r>
        <w:rPr>
          <w:rFonts w:ascii="Times New Roman" w:cs="Times New Roman" w:eastAsia="Times New Roman" w:hAnsi="Times New Roman"/>
          <w:sz w:val="20"/>
          <w:szCs w:val="20"/>
          <w:color w:val="auto"/>
        </w:rPr>
        <w:t>If an arrangement is determined to contain customer options that allow the customer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acquire 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20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Milestone Payments. </w:t>
      </w:r>
      <w:r>
        <w:rPr>
          <w:rFonts w:ascii="Times New Roman" w:cs="Times New Roman" w:eastAsia="Times New Roman" w:hAnsi="Times New Roman"/>
          <w:sz w:val="20"/>
          <w:szCs w:val="20"/>
          <w:color w:val="auto"/>
        </w:rPr>
        <w:t>At the inception of each arrangement that includes research or development milestone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06"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Royalties. </w:t>
      </w:r>
      <w:r>
        <w:rPr>
          <w:rFonts w:ascii="Times New Roman" w:cs="Times New Roman" w:eastAsia="Times New Roman" w:hAnsi="Times New Roman"/>
          <w:sz w:val="20"/>
          <w:szCs w:val="20"/>
          <w:color w:val="auto"/>
        </w:rPr>
        <w:t>For license arrangements that include sales-based royalties, including milestone payments upon first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 sales and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700"/>
          </w:cols>
          <w:pgMar w:left="1260" w:top="1246" w:right="1280" w:bottom="187" w:gutter="0" w:footer="0" w:header="0"/>
          <w:type w:val="continuous"/>
        </w:sectPr>
      </w:pPr>
    </w:p>
    <w:bookmarkStart w:id="142" w:name="page143"/>
    <w:bookmarkEnd w:id="142"/>
    <w:p>
      <w:pPr>
        <w:ind w:right="120"/>
        <w:spacing w:after="0" w:line="247" w:lineRule="auto"/>
        <w:rPr>
          <w:sz w:val="20"/>
          <w:szCs w:val="20"/>
          <w:color w:val="auto"/>
        </w:rPr>
      </w:pPr>
      <w:r>
        <w:rPr>
          <w:rFonts w:ascii="Times New Roman" w:cs="Times New Roman" w:eastAsia="Times New Roman" w:hAnsi="Times New Roman"/>
          <w:sz w:val="20"/>
          <w:szCs w:val="20"/>
          <w:color w:val="auto"/>
        </w:rPr>
        <w:t>or all of the royalty has been allocated has been satisfied or partially satisfied. For arrangements involving the sale of intellectual property to customers, the Company estimates and recognizes revenue upon satisfying the related performance obligation, including any royalty payments deemed probable of achievement and not subject to significant subsequent revenue reversal. At the end of each subsequent reporting period, the Company reevaluates the expected royalties and adjusts its estimate of the overall transaction price. Any such adjustments are recorded on a cumulative catch-up basis, which would affect revenues and earnings in the period of adjustment.</w:t>
      </w:r>
    </w:p>
    <w:p>
      <w:pPr>
        <w:spacing w:after="0" w:line="200" w:lineRule="exact"/>
        <w:rPr>
          <w:sz w:val="20"/>
          <w:szCs w:val="20"/>
          <w:color w:val="auto"/>
        </w:rPr>
      </w:pPr>
    </w:p>
    <w:p>
      <w:pPr>
        <w:ind w:right="1020" w:firstLine="720"/>
        <w:spacing w:after="0" w:line="278" w:lineRule="auto"/>
        <w:rPr>
          <w:sz w:val="20"/>
          <w:szCs w:val="20"/>
          <w:color w:val="auto"/>
        </w:rPr>
      </w:pPr>
      <w:r>
        <w:rPr>
          <w:rFonts w:ascii="Times New Roman" w:cs="Times New Roman" w:eastAsia="Times New Roman" w:hAnsi="Times New Roman"/>
          <w:sz w:val="20"/>
          <w:szCs w:val="20"/>
          <w:color w:val="auto"/>
        </w:rPr>
        <w:t xml:space="preserve">For a complete discussion of accounting for collaboration, license and other revenues, see Note 11, </w:t>
      </w:r>
      <w:r>
        <w:rPr>
          <w:rFonts w:ascii="Times New Roman" w:cs="Times New Roman" w:eastAsia="Times New Roman" w:hAnsi="Times New Roman"/>
          <w:sz w:val="20"/>
          <w:szCs w:val="20"/>
          <w:i w:val="1"/>
          <w:iCs w:val="1"/>
          <w:color w:val="auto"/>
        </w:rPr>
        <w:t>Collaboration, License and Other Agreements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net</w:t>
      </w:r>
    </w:p>
    <w:p>
      <w:pPr>
        <w:spacing w:after="0" w:line="237"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Accounts receivable arise from product sales and amounts due from the Company’s collaboration partners. The amount from product sales primarily represents amounts due from specialty distributors and specialty pharmacy providers in the U.S. The Company provides reserves against accounts receivable for current expected credit losses that are estimated based on the composition of its accounts receivable and the financial condition of the counterparty, considering past events, current economic conditions, and reasonable and supportable forecasts about the future economic conditions. The contractual life of our accounts receivable is generally short-term. Amounts determined to be uncollectible are charged or written off against the reserve. For the years ended December 31, 2024, 2023 and 2022, the Company did not record any significant expected credit losses related to outstanding accounts receivable.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23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9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91" w:lineRule="exact"/>
        <w:rPr>
          <w:sz w:val="20"/>
          <w:szCs w:val="20"/>
          <w:color w:val="auto"/>
        </w:rPr>
      </w:pPr>
    </w:p>
    <w:p>
      <w:pPr>
        <w:ind w:right="340" w:firstLine="720"/>
        <w:spacing w:after="0" w:line="247" w:lineRule="auto"/>
        <w:rPr>
          <w:sz w:val="20"/>
          <w:szCs w:val="20"/>
          <w:color w:val="auto"/>
        </w:rPr>
      </w:pPr>
      <w:r>
        <w:rPr>
          <w:rFonts w:ascii="Times New Roman" w:cs="Times New Roman" w:eastAsia="Times New Roman" w:hAnsi="Times New Roman"/>
          <w:sz w:val="20"/>
          <w:szCs w:val="20"/>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238" w:lineRule="exact"/>
        <w:rPr>
          <w:sz w:val="20"/>
          <w:szCs w:val="20"/>
          <w:color w:val="auto"/>
        </w:rPr>
      </w:pPr>
    </w:p>
    <w:p>
      <w:pPr>
        <w:ind w:right="340" w:firstLine="720"/>
        <w:spacing w:after="0" w:line="305" w:lineRule="auto"/>
        <w:rPr>
          <w:sz w:val="20"/>
          <w:szCs w:val="20"/>
          <w:color w:val="auto"/>
        </w:rPr>
      </w:pPr>
      <w:r>
        <w:rPr>
          <w:rFonts w:ascii="Times New Roman" w:cs="Times New Roman" w:eastAsia="Times New Roman" w:hAnsi="Times New Roman"/>
          <w:sz w:val="19"/>
          <w:szCs w:val="19"/>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59" w:lineRule="exact"/>
        <w:rPr>
          <w:sz w:val="20"/>
          <w:szCs w:val="20"/>
          <w:color w:val="auto"/>
        </w:rPr>
      </w:pPr>
    </w:p>
    <w:p>
      <w:pPr>
        <w:ind w:left="1440" w:right="600" w:hanging="353"/>
        <w:spacing w:after="0" w:line="262" w:lineRule="auto"/>
        <w:tabs>
          <w:tab w:leader="none" w:pos="144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1 — Fair values are determined utilizing quoted prices (unadjusted) in active markets for identical assets or liabilities that the Company has the ability to access;</w:t>
      </w:r>
    </w:p>
    <w:p>
      <w:pPr>
        <w:spacing w:after="0" w:line="195" w:lineRule="exact"/>
        <w:rPr>
          <w:rFonts w:ascii="Symbol" w:cs="Symbol" w:eastAsia="Symbol" w:hAnsi="Symbol"/>
          <w:sz w:val="20"/>
          <w:szCs w:val="20"/>
          <w:color w:val="auto"/>
        </w:rPr>
      </w:pPr>
    </w:p>
    <w:p>
      <w:pPr>
        <w:ind w:left="1440" w:right="220" w:hanging="353"/>
        <w:spacing w:after="0" w:line="251" w:lineRule="auto"/>
        <w:tabs>
          <w:tab w:leader="none" w:pos="144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207" w:lineRule="exact"/>
        <w:rPr>
          <w:rFonts w:ascii="Symbol" w:cs="Symbol" w:eastAsia="Symbol" w:hAnsi="Symbol"/>
          <w:sz w:val="20"/>
          <w:szCs w:val="20"/>
          <w:color w:val="auto"/>
        </w:rPr>
      </w:pPr>
    </w:p>
    <w:p>
      <w:pPr>
        <w:ind w:left="1440" w:right="120" w:hanging="353"/>
        <w:spacing w:after="0" w:line="247" w:lineRule="auto"/>
        <w:tabs>
          <w:tab w:leader="none" w:pos="144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9680"/>
          </w:cols>
          <w:pgMar w:left="1260" w:top="1246" w:right="1300" w:bottom="175" w:gutter="0" w:footer="0" w:header="0"/>
        </w:sectPr>
      </w:pPr>
    </w:p>
    <w:bookmarkStart w:id="143" w:name="page144"/>
    <w:bookmarkEnd w:id="143"/>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have been no changes to the valuation methods during the years ended December 31, 2024, 2023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3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original maturities of 90 days or less from the date of purchase to be cash equivalents. As of December 31, 2024 and 2023, the Company’s cash equivalents comprised of money market funds with less than 90 days from the date of purchase. Cash equivalents are reported at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Marketable securities</w:t>
      </w:r>
    </w:p>
    <w:p>
      <w:pPr>
        <w:spacing w:after="0" w:line="23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Company classifies its investments in marketable debt securities as available-for-sale when their original maturities, from the date of purchase, exceed three months. Available-for-sale debt securities with a remaining maturity date greater than one year are classified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Realized losses are recognized only if the Company has the intention to sell the security or it is expecting to be required to sell the security before recovery of its amortized cost basis. The Company also reviews its portfolio of available-for-sale debt securities, using both quantitative and qualitative factors, to determine if declines in fair value below cost have resulted from a credit-related loss. If the decline in fair value is due to credit-related factors, a loss is recognized in other income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Income (Loss)</w:t>
      </w:r>
    </w:p>
    <w:p>
      <w:pPr>
        <w:spacing w:after="0" w:line="23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Expenditures relating to research and development are expensed in the period incurred. Research and development expenses consist of both internal and external costs associated with the development of the Company’s selective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89"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7" w:lineRule="exact"/>
        <w:rPr>
          <w:sz w:val="20"/>
          <w:szCs w:val="20"/>
          <w:color w:val="auto"/>
        </w:rPr>
      </w:pPr>
    </w:p>
    <w:p>
      <w:pPr>
        <w:jc w:val="both"/>
        <w:ind w:right="140" w:firstLine="720"/>
        <w:spacing w:after="0" w:line="278" w:lineRule="auto"/>
        <w:rPr>
          <w:sz w:val="20"/>
          <w:szCs w:val="20"/>
          <w:color w:val="auto"/>
        </w:rPr>
      </w:pPr>
      <w:r>
        <w:rPr>
          <w:rFonts w:ascii="Times New Roman" w:cs="Times New Roman" w:eastAsia="Times New Roman" w:hAnsi="Times New Roman"/>
          <w:sz w:val="20"/>
          <w:szCs w:val="20"/>
          <w:color w:val="auto"/>
        </w:rPr>
        <w:t>Selling, general and administrative expenses are primarily comprised of compensation and benefits associated with sales and marketing, finance, human resources, legal, information technology and other administrative personnel,</w:t>
      </w:r>
    </w:p>
    <w:p>
      <w:pPr>
        <w:sectPr>
          <w:pgSz w:w="12240" w:h="15840" w:orient="portrait"/>
          <w:cols w:equalWidth="0" w:num="1">
            <w:col w:w="9680"/>
          </w:cols>
          <w:pgMar w:left="1260" w:top="1246" w:right="1300" w:bottom="187"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680"/>
          </w:cols>
          <w:pgMar w:left="1260" w:top="1246" w:right="1300" w:bottom="187" w:gutter="0" w:footer="0" w:header="0"/>
          <w:type w:val="continuous"/>
        </w:sectPr>
      </w:pPr>
    </w:p>
    <w:bookmarkStart w:id="144" w:name="page145"/>
    <w:bookmarkEnd w:id="144"/>
    <w:p>
      <w:pPr>
        <w:ind w:right="180"/>
        <w:spacing w:after="0" w:line="259" w:lineRule="auto"/>
        <w:rPr>
          <w:sz w:val="20"/>
          <w:szCs w:val="20"/>
          <w:color w:val="auto"/>
        </w:rPr>
      </w:pPr>
      <w:r>
        <w:rPr>
          <w:rFonts w:ascii="Times New Roman" w:cs="Times New Roman" w:eastAsia="Times New Roman" w:hAnsi="Times New Roman"/>
          <w:sz w:val="20"/>
          <w:szCs w:val="20"/>
          <w:color w:val="auto"/>
        </w:rPr>
        <w:t>business development, advertising and legal expenses and other general and administrative costs. Advertising costs are expensed as incurred. For years ended December 31, 2024, 2023 and 2022, advertising costs totaled $31.1 million, $16.9 million and $18.1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 Net</w:t>
      </w:r>
    </w:p>
    <w:p>
      <w:pPr>
        <w:spacing w:after="0" w:line="23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237"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auto"/>
        </w:rPr>
        <w:t>The Company continually evaluates whether events or circumstances have occurred that indicate that the carrying amount of any of its long-lived assets might not be recoverable and that impairment might exist. If indicators of impairment are present, the Company performs a test for recoverability. The Company has not recognized any significant impairment charges associated with long-lived assets for the years ended December 31, 2024,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Leases are accounted for in accordance with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(ASC 842).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9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9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8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97"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9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700"/>
          </w:cols>
          <w:pgMar w:left="1260" w:top="1246" w:right="1280" w:bottom="187" w:gutter="0" w:footer="0" w:header="0"/>
          <w:type w:val="continuous"/>
        </w:sectPr>
      </w:pPr>
    </w:p>
    <w:bookmarkStart w:id="145" w:name="page146"/>
    <w:bookmarkEnd w:id="145"/>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The Company has made an accounting policy election to not recognize leases with an initial term of 12 months or less within its consolidated balance sheets and to recognize those lease payments on a straight-line basis in its consolidated statements of income over the lease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 Expense</w:t>
      </w:r>
    </w:p>
    <w:p>
      <w:pPr>
        <w:spacing w:after="0" w:line="23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 xml:space="preserve">Stock-based compensation awards are accounted for in accordance with ASC Topic 718, </w:t>
      </w:r>
      <w:r>
        <w:rPr>
          <w:rFonts w:ascii="Times New Roman" w:cs="Times New Roman" w:eastAsia="Times New Roman" w:hAnsi="Times New Roman"/>
          <w:sz w:val="20"/>
          <w:szCs w:val="20"/>
          <w:i w:val="1"/>
          <w:iCs w:val="1"/>
          <w:color w:val="auto"/>
        </w:rPr>
        <w:t>Compensation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Compensation </w:t>
      </w:r>
      <w:r>
        <w:rPr>
          <w:rFonts w:ascii="Times New Roman" w:cs="Times New Roman" w:eastAsia="Times New Roman" w:hAnsi="Times New Roman"/>
          <w:sz w:val="20"/>
          <w:szCs w:val="20"/>
          <w:color w:val="auto"/>
        </w:rPr>
        <w:t>(ASC 718). The Company expenses the fair value of stock awards granted to employees and members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board of directors over the requisite service period, which is typically the vesting period. Compensation cost for stock-based awards issued to employees is measured using the estimated fair value at the grant date and is adjusted to reflect actual forfeitures.</w:t>
      </w:r>
    </w:p>
    <w:p>
      <w:pPr>
        <w:spacing w:after="0" w:line="197"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Fair value of restricted stock awards granted to employees is based upon the quoted closing market price per share on the date of grant. Fair value of options granted to employees at the date of grant are estimated using the Black-Scholes option-pricing model that requires management to apply judgment and make estimates, including:</w:t>
      </w:r>
    </w:p>
    <w:p>
      <w:pPr>
        <w:spacing w:after="0" w:line="200" w:lineRule="exact"/>
        <w:rPr>
          <w:sz w:val="20"/>
          <w:szCs w:val="20"/>
          <w:color w:val="auto"/>
        </w:rPr>
      </w:pPr>
    </w:p>
    <w:p>
      <w:pPr>
        <w:ind w:left="1440" w:hanging="353"/>
        <w:spacing w:after="0" w:line="251" w:lineRule="auto"/>
        <w:tabs>
          <w:tab w:leader="none" w:pos="144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expected volatility, which was calculated using the historical volatility of the Company’s publicly traded stock. The Company computed the historical volatility data using the daily closing prices during the equivalent period of the calculated expected term of its stock-based awards;</w:t>
      </w:r>
    </w:p>
    <w:p>
      <w:pPr>
        <w:spacing w:after="0" w:line="207" w:lineRule="exact"/>
        <w:rPr>
          <w:rFonts w:ascii="Symbol" w:cs="Symbol" w:eastAsia="Symbol" w:hAnsi="Symbol"/>
          <w:sz w:val="20"/>
          <w:szCs w:val="20"/>
          <w:color w:val="auto"/>
        </w:rPr>
      </w:pPr>
    </w:p>
    <w:p>
      <w:pPr>
        <w:ind w:left="1440" w:right="380" w:hanging="353"/>
        <w:spacing w:after="0" w:line="262" w:lineRule="auto"/>
        <w:tabs>
          <w:tab w:leader="none" w:pos="144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risk-free interest rate, which is based on the U.S. Treasury yield curve in effect at the time of grant commensurate with the expected term assumption;</w:t>
      </w:r>
    </w:p>
    <w:p>
      <w:pPr>
        <w:spacing w:after="0" w:line="195" w:lineRule="exact"/>
        <w:rPr>
          <w:rFonts w:ascii="Symbol" w:cs="Symbol" w:eastAsia="Symbol" w:hAnsi="Symbol"/>
          <w:sz w:val="20"/>
          <w:szCs w:val="20"/>
          <w:color w:val="auto"/>
        </w:rPr>
      </w:pPr>
    </w:p>
    <w:p>
      <w:pPr>
        <w:ind w:left="1440" w:hanging="353"/>
        <w:spacing w:after="0" w:line="244" w:lineRule="auto"/>
        <w:tabs>
          <w:tab w:leader="none" w:pos="144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 xml:space="preserve">expected term, which is calculated using the simplified method, as prescribed by the Securities and Exchange Commission Staff Accounting Bulletin No. 107, </w:t>
      </w:r>
      <w:r>
        <w:rPr>
          <w:rFonts w:ascii="Times New Roman" w:cs="Times New Roman" w:eastAsia="Times New Roman" w:hAnsi="Times New Roman"/>
          <w:sz w:val="20"/>
          <w:szCs w:val="20"/>
          <w:i w:val="1"/>
          <w:iCs w:val="1"/>
          <w:color w:val="auto"/>
        </w:rPr>
        <w:t>Share-Based Payment,</w:t>
      </w:r>
      <w:r>
        <w:rPr>
          <w:rFonts w:ascii="Times New Roman" w:cs="Times New Roman" w:eastAsia="Times New Roman" w:hAnsi="Times New Roman"/>
          <w:sz w:val="20"/>
          <w:szCs w:val="20"/>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216" w:lineRule="exact"/>
        <w:rPr>
          <w:rFonts w:ascii="Symbol" w:cs="Symbol" w:eastAsia="Symbol" w:hAnsi="Symbol"/>
          <w:sz w:val="20"/>
          <w:szCs w:val="20"/>
          <w:color w:val="auto"/>
        </w:rPr>
      </w:pPr>
    </w:p>
    <w:p>
      <w:pPr>
        <w:ind w:left="1440" w:right="180" w:hanging="353"/>
        <w:spacing w:after="0" w:line="262" w:lineRule="auto"/>
        <w:tabs>
          <w:tab w:leader="none" w:pos="144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dividend yield, which is zero based on the fact that the Company never paid cash dividends and does not expect to pay any cash dividends in the foreseeable future.</w:t>
      </w:r>
    </w:p>
    <w:p>
      <w:pPr>
        <w:spacing w:after="0" w:line="182"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spacing w:after="0" w:line="19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Stock-based awards issued to non-employees, including directors for non- board-related services, are accounted for based on the fair value of such services received or the fair value of the awards granted on the grant date, whichever is more reliably measured. Stock-based awards subject to service-based vesting conditions are expensed on a straight-line basis over the vesting period.</w:t>
      </w:r>
    </w:p>
    <w:p>
      <w:pPr>
        <w:spacing w:after="0" w:line="19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Investment</w:t>
      </w:r>
    </w:p>
    <w:p>
      <w:pPr>
        <w:spacing w:after="0" w:line="237"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Investments in non-marketable equity securities of privately-held companies that do not have readily determinable fair values are carried at cost, less any impairments, plus or minus changes resulting from observable price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9700"/>
          </w:cols>
          <w:pgMar w:left="1260" w:top="1246" w:right="1280" w:bottom="175" w:gutter="0" w:footer="0" w:header="0"/>
        </w:sectPr>
      </w:pPr>
    </w:p>
    <w:bookmarkStart w:id="146" w:name="page147"/>
    <w:bookmarkEnd w:id="146"/>
    <w:p>
      <w:pPr>
        <w:ind w:right="180"/>
        <w:spacing w:after="0" w:line="247" w:lineRule="auto"/>
        <w:rPr>
          <w:sz w:val="20"/>
          <w:szCs w:val="20"/>
          <w:color w:val="auto"/>
        </w:rPr>
      </w:pPr>
      <w:r>
        <w:rPr>
          <w:rFonts w:ascii="Times New Roman" w:cs="Times New Roman" w:eastAsia="Times New Roman" w:hAnsi="Times New Roman"/>
          <w:sz w:val="20"/>
          <w:szCs w:val="20"/>
          <w:color w:val="auto"/>
        </w:rPr>
        <w:t>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Liabilities related to the sale of future royalties and revenues</w:t>
      </w:r>
    </w:p>
    <w:p>
      <w:pPr>
        <w:spacing w:after="0" w:line="23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 accounts for net proceeds from sales of the Company’s rights to receive future royalty payments and from sales of future revenues as liabilities if the Company has significant continuing involvement in the generation of the related future cash flows. Interest expenses on the liabilities related to the sale of future royalties and revenues are recognized using the effective interest rate method over the life of the related royalty or revenue stream. The liabilities related to the sale of future royalties and revenues and the related interest expenses are based on the Company’s current estimates of future royalties or revenues as well as commercial milestones expected to be achieved and received over the life of the arrangement, which the Company determines by using forecasts of the underlying drug products of the underlying regions. The Company periodically assesses the expected payments and to the extent the amount or timing of the future estimated payments is materially different than previous estimates, the Company accounts for any such change by adjusting the carrying value of the liabilities related to the sale of future royalties and revenues, and prospectively recognizing the related interest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Modification of debt instruments</w:t>
      </w:r>
    </w:p>
    <w:p>
      <w:pPr>
        <w:spacing w:after="0" w:line="23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When the Company’s debt instrument, where the Company is the debtor, is modified or exchanged, the Company analyzes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translation</w:t>
      </w:r>
    </w:p>
    <w:p>
      <w:pPr>
        <w:spacing w:after="0" w:line="23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of Significant Suppliers</w:t>
      </w:r>
    </w:p>
    <w:p>
      <w:pPr>
        <w:spacing w:after="0" w:line="24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The Company has no significant off-balance-sheet risk such as foreign exchange contracts, option contracts, or other foreign hedging arrangements. Financial instruments that potentially expose the Company to concentrations of</w:t>
      </w:r>
    </w:p>
    <w:p>
      <w:pPr>
        <w:sectPr>
          <w:pgSz w:w="12240" w:h="15840" w:orient="portrait"/>
          <w:cols w:equalWidth="0" w:num="1">
            <w:col w:w="9700"/>
          </w:cols>
          <w:pgMar w:left="1260" w:top="1246" w:right="1280" w:bottom="187"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700"/>
          </w:cols>
          <w:pgMar w:left="1260" w:top="1246" w:right="1280" w:bottom="187" w:gutter="0" w:footer="0" w:header="0"/>
          <w:type w:val="continuous"/>
        </w:sectPr>
      </w:pPr>
    </w:p>
    <w:bookmarkStart w:id="147" w:name="page148"/>
    <w:bookmarkEnd w:id="147"/>
    <w:p>
      <w:pPr>
        <w:ind w:right="660"/>
        <w:spacing w:after="0" w:line="278" w:lineRule="auto"/>
        <w:rPr>
          <w:sz w:val="20"/>
          <w:szCs w:val="20"/>
          <w:color w:val="auto"/>
        </w:rPr>
      </w:pPr>
      <w:r>
        <w:rPr>
          <w:rFonts w:ascii="Times New Roman" w:cs="Times New Roman" w:eastAsia="Times New Roman" w:hAnsi="Times New Roman"/>
          <w:sz w:val="20"/>
          <w:szCs w:val="20"/>
          <w:color w:val="auto"/>
        </w:rPr>
        <w:t>credit risk primarily consist of cash and cash equivalents, marketable securities, accounts receivable and unbilled account receivables.</w:t>
      </w:r>
    </w:p>
    <w:p>
      <w:pPr>
        <w:spacing w:after="0" w:line="168"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The Company maintains its cash, cash equivalents and marketable securities in custodian accounts at high quality financial institutions, and as of December 31, 2024 and 2023,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significant credit losses and does not believe it is exposed to any significant credit risk on these funds.</w:t>
      </w:r>
    </w:p>
    <w:p>
      <w:pPr>
        <w:spacing w:after="0" w:line="199"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 The Company has not experienced any credit losses and does not believe it is exposed to any significant credit risk on these funds.</w:t>
      </w:r>
    </w:p>
    <w:p>
      <w:pPr>
        <w:spacing w:after="0" w:line="191"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is dependent on third-party manufacturers to supply products for commercial and research and development activities associated with its drug and drug candidates, as applicable. In particular, the Company relies and expects to continue to rely on a small number of manufacturers to supply it with its requirements for the active pharmaceutical ingredients and formulated drugs related to the Company's drug and drug candidate activities. These activities, including the commercialization of AYVAKIT/AYVAKYT, could be adversely affected by a significant interruption in the supply of active pharmaceutical ingredients and formulated drugs.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and Geographic Information</w:t>
      </w:r>
    </w:p>
    <w:p>
      <w:pPr>
        <w:spacing w:after="0" w:line="239"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 xml:space="preserve">Operating segments are identified as components of an enterprise about which separate discrete financial information is available for evaluation by the chief operating decision maker in making decisions on how to allocate resources and assess performance. The Company’s chief operating decision maker is the chief executive officer. The chief operating decision maker views the Company’s operations and manage its business as one operating segment. The Company operates in the U.S. and Europe. All material long-lived assets of the Company reside in the U.S. For additional information, see Note 18,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Pronouncements</w:t>
      </w:r>
    </w:p>
    <w:p>
      <w:pPr>
        <w:spacing w:after="0" w:line="239" w:lineRule="exact"/>
        <w:rPr>
          <w:sz w:val="20"/>
          <w:szCs w:val="20"/>
          <w:color w:val="auto"/>
        </w:rPr>
      </w:pPr>
    </w:p>
    <w:p>
      <w:pPr>
        <w:jc w:val="both"/>
        <w:ind w:right="240" w:firstLine="720"/>
        <w:spacing w:after="0" w:line="252"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8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2023, the FASB issued </w:t>
      </w:r>
      <w:r>
        <w:rPr>
          <w:rFonts w:ascii="Times New Roman" w:cs="Times New Roman" w:eastAsia="Times New Roman" w:hAnsi="Times New Roman"/>
          <w:sz w:val="20"/>
          <w:szCs w:val="20"/>
          <w:i w:val="1"/>
          <w:iCs w:val="1"/>
          <w:color w:val="auto"/>
        </w:rPr>
        <w:t>ASU 2023-07, Segment Reporting (Topic 280):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Reportable Segment Disclosures</w:t>
      </w:r>
      <w:r>
        <w:rPr>
          <w:rFonts w:ascii="Times New Roman" w:cs="Times New Roman" w:eastAsia="Times New Roman" w:hAnsi="Times New Roman"/>
          <w:sz w:val="20"/>
          <w:szCs w:val="20"/>
          <w:color w:val="auto"/>
        </w:rPr>
        <w:t>, which is intended to improve reportable segment disclosure requirements,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through additional disclosures about significant segment expenses. The standard is effective for fiscal years beginning after December 15, 2023, and interim periods within fiscal years beginning after December 15, 2024, with early adoption permitted. The Company adopted the new standard in fiscal year 2024 for annual and retrospective reporting periods with all interim disclosures to begin in the first quarter of fiscal year 2025. For additional information, see Note 18,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w:t>
      </w:r>
      <w:r>
        <w:rPr>
          <w:rFonts w:ascii="Times New Roman" w:cs="Times New Roman" w:eastAsia="Times New Roman" w:hAnsi="Times New Roman"/>
          <w:sz w:val="20"/>
          <w:szCs w:val="20"/>
          <w:i w:val="1"/>
          <w:iCs w:val="1"/>
          <w:color w:val="auto"/>
        </w:rPr>
        <w:t>ASU 2023-09, Improvements to Income Tax Disclosures</w:t>
      </w:r>
      <w:r>
        <w:rPr>
          <w:rFonts w:ascii="Times New Roman" w:cs="Times New Roman" w:eastAsia="Times New Roman" w:hAnsi="Times New Roman"/>
          <w:sz w:val="20"/>
          <w:szCs w:val="20"/>
          <w:color w:val="auto"/>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fiscal years beginning after December 15, 2024, with early adoption permitted. The Company is currently evaluating the disclosure requirements related to this new standard.</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700"/>
          </w:cols>
          <w:pgMar w:left="1260" w:top="1246" w:right="1280" w:bottom="187" w:gutter="0" w:footer="0" w:header="0"/>
          <w:type w:val="continuous"/>
        </w:sectPr>
      </w:pPr>
    </w:p>
    <w:bookmarkStart w:id="148" w:name="page149"/>
    <w:bookmarkEnd w:id="148"/>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w:t>
      </w:r>
      <w:r>
        <w:rPr>
          <w:rFonts w:ascii="Times New Roman" w:cs="Times New Roman" w:eastAsia="Times New Roman" w:hAnsi="Times New Roman"/>
          <w:sz w:val="20"/>
          <w:szCs w:val="20"/>
          <w:color w:val="auto"/>
        </w:rPr>
        <w:t>, which requires disclosure of additional information about specific expense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w:t>
      </w:r>
    </w:p>
    <w:p>
      <w:pPr>
        <w:spacing w:after="0" w:line="231"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auto"/>
        </w:rPr>
        <w:t>Certain items in the prior year’s consolidated financial statements have been reclassified to conform to the current presentation.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Financing Arrangements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Royalty Pharma Purchase and Sale Agreement</w:t>
      </w:r>
    </w:p>
    <w:p>
      <w:pPr>
        <w:spacing w:after="0" w:line="228"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w:t>
      </w:r>
    </w:p>
    <w:p>
      <w:pPr>
        <w:spacing w:after="0" w:line="18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Despite selling all rights to receive royalties on GAVRETO net sales of the underlying territories to Royalty Pharma, the Company maintained its involvement in the global co-development of pralsetinib with Roche and was therefore involved in the generation of these future royalties. Due to the Company’s significant continued involvement, any royalties and development and commercialization milestones earned pertaining to the underlying territory under the Roche pralsetinib collaboration agreement were recognized as collaboration revenue on the consolidated statements of operations and comprehensive loss throughout the contract term of the Roche pralsetinib collaboration agreement. The net proceeds received from the transaction were recorded as a liability related to sale of future royalties and revenues on the consolidated balance sheet on June 30, 2022.</w:t>
      </w:r>
    </w:p>
    <w:p>
      <w:pPr>
        <w:spacing w:after="0" w:line="192" w:lineRule="exact"/>
        <w:rPr>
          <w:sz w:val="20"/>
          <w:szCs w:val="20"/>
          <w:color w:val="auto"/>
        </w:rPr>
      </w:pPr>
    </w:p>
    <w:p>
      <w:pPr>
        <w:jc w:val="both"/>
        <w:ind w:right="320" w:firstLine="720"/>
        <w:spacing w:after="0" w:line="249" w:lineRule="auto"/>
        <w:rPr>
          <w:sz w:val="20"/>
          <w:szCs w:val="20"/>
          <w:color w:val="auto"/>
        </w:rPr>
      </w:pPr>
      <w:r>
        <w:rPr>
          <w:rFonts w:ascii="Times New Roman" w:cs="Times New Roman" w:eastAsia="Times New Roman" w:hAnsi="Times New Roman"/>
          <w:sz w:val="20"/>
          <w:szCs w:val="20"/>
          <w:color w:val="auto"/>
        </w:rPr>
        <w:t>The Roche pralsetinib collaboration agreement was terminated in February 2024 and the Company regained commercialization and development rights to GAVRETO from Roche worldwide excluding the CStone Territory. In connection with and effective upon the termination of the Roche pralsetinib collaboration agreement, on</w:t>
      </w:r>
    </w:p>
    <w:p>
      <w:pPr>
        <w:spacing w:after="0" w:line="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as of the termination effective date. As of December 31, 2024, the Company had no plan to enter into a new arrangement to commercialize GAVRETO outside of the U.S. and the CStone Territory.</w:t>
      </w:r>
    </w:p>
    <w:p>
      <w:pPr>
        <w:spacing w:after="0" w:line="19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no material outstanding obligations under the Royalty Pharma Termination Agreement and it was accounted for as a debt extinguishment under ASC 470-50 as the terms and conditions of the Royalty Purchase Agreement had undergone a substantial modification and the modified terms are considered substantially different. As a result, during the year ended December 31, 2024, the Company recorded a debt extinguishment gain of $173.7 million as other income in the consolidated statements of operations and comprehensive loss. As of December 31, 2024, the net carrying value of the Company’s liability related to these agreements was $0.7 million, which was determined based on the fair value of the remaining cash flow associated with anticipated future payments outlined in the Royalty Pharma Termination Agreement. The Company subsequently paid the final $0.7 million amount in February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Arrangements with Sixth Street Partners</w:t>
      </w:r>
    </w:p>
    <w:p>
      <w:pPr>
        <w:spacing w:after="0" w:line="22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 July 2022, the Company closed two transactions pursuant to a purchase and sale agreement (Future Revenue Purchase Agreement) and a debt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700"/>
          </w:cols>
          <w:pgMar w:left="1260" w:top="1246" w:right="1280" w:bottom="187" w:gutter="0" w:footer="0" w:header="0"/>
          <w:type w:val="continuous"/>
        </w:sectPr>
      </w:pPr>
    </w:p>
    <w:bookmarkStart w:id="149" w:name="page150"/>
    <w:bookmarkEnd w:id="149"/>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Sixth Street Partners Purchase and Sale Agreement</w:t>
      </w:r>
    </w:p>
    <w:p>
      <w:pPr>
        <w:spacing w:after="0" w:line="22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9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spacing w:after="0" w:line="191"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December 31, 2024, the Company’s estimate of this total interest expense resulted in an effective annual interest rate of 10.3%. These estimates contain assumptions that impact the amount recorded and the interest expense that will be recognized in future periods.</w:t>
      </w:r>
    </w:p>
    <w:p>
      <w:pPr>
        <w:spacing w:after="0" w:line="193"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the net carrying value of the liability related to this arrangement was $254.4 million. The following table shows the activity within the liability account during the years ended December 31, 2024 and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balance at January 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8"/>
        </w:trPr>
        <w:tc>
          <w:tcPr>
            <w:tcW w:w="7160" w:type="dxa"/>
            <w:vAlign w:val="bottom"/>
            <w:gridSpan w:val="2"/>
            <w:vMerge w:val="continue"/>
          </w:tcPr>
          <w:p>
            <w:pPr>
              <w:jc w:val="right"/>
              <w:ind w:right="30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240" w:type="dxa"/>
            <w:vAlign w:val="bottom"/>
          </w:tcPr>
          <w:p>
            <w:pPr>
              <w:jc w:val="right"/>
              <w:ind w:right="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266,670</w:t>
            </w:r>
          </w:p>
        </w:tc>
        <w:tc>
          <w:tcPr>
            <w:tcW w:w="220" w:type="dxa"/>
            <w:vAlign w:val="bottom"/>
          </w:tcPr>
          <w:p>
            <w:pPr>
              <w:spacing w:after="0"/>
              <w:rPr>
                <w:sz w:val="19"/>
                <w:szCs w:val="19"/>
                <w:color w:val="auto"/>
              </w:rPr>
            </w:pPr>
          </w:p>
        </w:tc>
        <w:tc>
          <w:tcPr>
            <w:tcW w:w="260" w:type="dxa"/>
            <w:vAlign w:val="bottom"/>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254,328</w:t>
            </w:r>
          </w:p>
        </w:tc>
        <w:tc>
          <w:tcPr>
            <w:tcW w:w="0" w:type="dxa"/>
            <w:vAlign w:val="bottom"/>
          </w:tcPr>
          <w:p>
            <w:pPr>
              <w:spacing w:after="0"/>
              <w:rPr>
                <w:sz w:val="1"/>
                <w:szCs w:val="1"/>
                <w:color w:val="auto"/>
              </w:rPr>
            </w:pPr>
          </w:p>
        </w:tc>
      </w:tr>
      <w:tr>
        <w:trPr>
          <w:trHeight w:val="245"/>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Interest expense recognized . . . . . . . . . . . . . . . . . . . . . . . . . . . . . . . . . . . . . . . . . . . . . . . .</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28,065</w:t>
            </w:r>
          </w:p>
        </w:tc>
        <w:tc>
          <w:tcPr>
            <w:tcW w:w="0" w:type="dxa"/>
            <w:vAlign w:val="bottom"/>
          </w:tcPr>
          <w:p>
            <w:pPr>
              <w:spacing w:after="0"/>
              <w:rPr>
                <w:sz w:val="1"/>
                <w:szCs w:val="1"/>
                <w:color w:val="auto"/>
              </w:rPr>
            </w:pPr>
          </w:p>
        </w:tc>
      </w:tr>
      <w:tr>
        <w:trPr>
          <w:trHeight w:val="250"/>
        </w:trPr>
        <w:tc>
          <w:tcPr>
            <w:tcW w:w="7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Payments . . . . . . . . . . . . . . . . . . . . . . . . . . . . . . . . . . . . . . . . . . . . . . . . . . . . . . . . . . . . . . .</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(39,368)</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(15,723)</w:t>
            </w:r>
          </w:p>
        </w:tc>
        <w:tc>
          <w:tcPr>
            <w:tcW w:w="0" w:type="dxa"/>
            <w:vAlign w:val="bottom"/>
          </w:tcPr>
          <w:p>
            <w:pPr>
              <w:spacing w:after="0"/>
              <w:rPr>
                <w:sz w:val="1"/>
                <w:szCs w:val="1"/>
                <w:color w:val="auto"/>
              </w:rPr>
            </w:pPr>
          </w:p>
        </w:tc>
      </w:tr>
      <w:tr>
        <w:trPr>
          <w:trHeight w:val="244"/>
        </w:trPr>
        <w:tc>
          <w:tcPr>
            <w:tcW w:w="7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Carrying value at December 31 . . . . . . . . . . . . . . . . . . . . . . . . . . . . . . . . . . . . . . . . . . . . .</w:t>
            </w: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254,436</w:t>
            </w:r>
          </w:p>
        </w:tc>
        <w:tc>
          <w:tcPr>
            <w:tcW w:w="2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266,670</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Sixth Street Partners Term Loan</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Financing Agreement entered into by the parties in connection with the transaction provides for (i) a senior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secured term loan facility of up to $150.0 million and (ii) a senior secured delayed draw term loan facility of up to</w:t>
      </w:r>
    </w:p>
    <w:p>
      <w:pPr>
        <w:spacing w:after="0"/>
        <w:rPr>
          <w:sz w:val="20"/>
          <w:szCs w:val="20"/>
          <w:color w:val="auto"/>
        </w:rPr>
      </w:pPr>
      <w:r>
        <w:rPr>
          <w:rFonts w:ascii="Times New Roman" w:cs="Times New Roman" w:eastAsia="Times New Roman" w:hAnsi="Times New Roman"/>
          <w:sz w:val="20"/>
          <w:szCs w:val="20"/>
          <w:color w:val="auto"/>
        </w:rPr>
        <w:t>$250.0 million to be funded in two tranches at the Company’s choice subject to certain terms and conditions. The term</w:t>
      </w:r>
    </w:p>
    <w:p>
      <w:pPr>
        <w:spacing w:after="0"/>
        <w:rPr>
          <w:sz w:val="20"/>
          <w:szCs w:val="20"/>
          <w:color w:val="auto"/>
        </w:rPr>
      </w:pPr>
      <w:r>
        <w:rPr>
          <w:rFonts w:ascii="Times New Roman" w:cs="Times New Roman" w:eastAsia="Times New Roman" w:hAnsi="Times New Roman"/>
          <w:sz w:val="20"/>
          <w:szCs w:val="20"/>
          <w:color w:val="auto"/>
        </w:rPr>
        <w:t>loans will mature on June 30, 2028 and bear interest at a variable rate equal to either the Secured Overnight Financing</w:t>
      </w:r>
    </w:p>
    <w:p>
      <w:pPr>
        <w:spacing w:after="0"/>
        <w:rPr>
          <w:sz w:val="20"/>
          <w:szCs w:val="20"/>
          <w:color w:val="auto"/>
        </w:rPr>
      </w:pPr>
      <w:r>
        <w:rPr>
          <w:rFonts w:ascii="Times New Roman" w:cs="Times New Roman" w:eastAsia="Times New Roman" w:hAnsi="Times New Roman"/>
          <w:sz w:val="20"/>
          <w:szCs w:val="20"/>
          <w:color w:val="auto"/>
        </w:rPr>
        <w:t>Rate (SOFR) plus 6.50% or the base rate plus 5.50%, subject to a floor of 1% and 2% with respect to the SOFR and base</w:t>
      </w:r>
    </w:p>
    <w:p>
      <w:pPr>
        <w:spacing w:after="0"/>
        <w:rPr>
          <w:sz w:val="20"/>
          <w:szCs w:val="20"/>
          <w:color w:val="auto"/>
        </w:rPr>
      </w:pPr>
      <w:r>
        <w:rPr>
          <w:rFonts w:ascii="Times New Roman" w:cs="Times New Roman" w:eastAsia="Times New Roman" w:hAnsi="Times New Roman"/>
          <w:sz w:val="20"/>
          <w:szCs w:val="20"/>
          <w:color w:val="auto"/>
        </w:rPr>
        <w:t>rate,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9720"/>
          </w:cols>
          <w:pgMar w:left="1260" w:top="1440" w:right="1260" w:bottom="175" w:gutter="0" w:footer="0" w:header="0"/>
        </w:sectPr>
      </w:pPr>
    </w:p>
    <w:bookmarkStart w:id="150" w:name="page151"/>
    <w:bookmarkEnd w:id="150"/>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shows the proceeds the Company has received under the Financing Agreement with Sixth Street Partners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Debt discount/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loan draw</w:t>
            </w:r>
          </w:p>
        </w:tc>
        <w:tc>
          <w:tcPr>
            <w:tcW w:w="160" w:type="dxa"/>
            <w:vAlign w:val="bottom"/>
          </w:tcPr>
          <w:p>
            <w:pPr>
              <w:spacing w:after="0"/>
              <w:rPr>
                <w:sz w:val="17"/>
                <w:szCs w:val="17"/>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Gross proceeds</w:t>
            </w:r>
          </w:p>
        </w:tc>
        <w:tc>
          <w:tcPr>
            <w:tcW w:w="16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Transaction cost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Net proceeds</w:t>
            </w:r>
          </w:p>
        </w:tc>
      </w:tr>
      <w:tr>
        <w:trPr>
          <w:trHeight w:val="201"/>
        </w:trPr>
        <w:tc>
          <w:tcPr>
            <w:tcW w:w="48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99"/>
              </w:rPr>
              <w:t>Senior Secured Term Loan Facility . . . . . . . . . . . . . . . . . . . .</w:t>
            </w: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July 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150,000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12,214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$ 137,786</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1st Senior Secured Delayed Draw Term Loan Facility . . .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August 2023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97,933</w:t>
            </w:r>
          </w:p>
        </w:tc>
      </w:tr>
      <w:tr>
        <w:trPr>
          <w:trHeight w:val="25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2nd Senior Secured Delayed Draw Term Loan Facility. . . .</w:t>
            </w:r>
          </w:p>
        </w:tc>
        <w:tc>
          <w:tcPr>
            <w:tcW w:w="1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May 2024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146,973</w:t>
            </w:r>
          </w:p>
        </w:tc>
      </w:tr>
      <w:tr>
        <w:trPr>
          <w:trHeight w:val="23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400,000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17,308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$ 382,692</w:t>
            </w:r>
          </w:p>
        </w:tc>
      </w:tr>
    </w:tbl>
    <w:p>
      <w:pPr>
        <w:spacing w:after="0" w:line="187" w:lineRule="exact"/>
        <w:rPr>
          <w:sz w:val="20"/>
          <w:szCs w:val="20"/>
          <w:color w:val="auto"/>
        </w:rPr>
      </w:pPr>
    </w:p>
    <w:p>
      <w:pPr>
        <w:ind w:right="180" w:firstLine="720"/>
        <w:spacing w:after="0" w:line="245" w:lineRule="auto"/>
        <w:rPr>
          <w:sz w:val="20"/>
          <w:szCs w:val="20"/>
          <w:color w:val="auto"/>
        </w:rPr>
      </w:pPr>
      <w:r>
        <w:rPr>
          <w:rFonts w:ascii="Times New Roman" w:cs="Times New Roman" w:eastAsia="Times New Roman" w:hAnsi="Times New Roman"/>
          <w:sz w:val="20"/>
          <w:szCs w:val="20"/>
          <w:color w:val="auto"/>
        </w:rPr>
        <w:t>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December 31, 2024, the Company’s estimate of the total interest expense resulted in an effective annual interest rate of 12.0%. The carrying amount of the debt as of December 31, 2024 is subject to variable interest rates, which are based on current market rates, and as such, approximates fair value.</w:t>
      </w:r>
    </w:p>
    <w:p>
      <w:pPr>
        <w:spacing w:after="0" w:line="192"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shows the activity within the liability account during the years ended December 31, 2024 and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balance at January 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8"/>
        </w:trPr>
        <w:tc>
          <w:tcPr>
            <w:tcW w:w="6760" w:type="dxa"/>
            <w:vAlign w:val="bottom"/>
            <w:gridSpan w:val="2"/>
            <w:vMerge w:val="continue"/>
          </w:tcPr>
          <w:p>
            <w:pPr>
              <w:jc w:val="right"/>
              <w:ind w:right="300"/>
              <w:spacing w:after="0" w:line="190"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238,813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139,083</w:t>
            </w:r>
          </w:p>
        </w:tc>
        <w:tc>
          <w:tcPr>
            <w:tcW w:w="0" w:type="dxa"/>
            <w:vAlign w:val="bottom"/>
          </w:tcPr>
          <w:p>
            <w:pPr>
              <w:spacing w:after="0"/>
              <w:rPr>
                <w:sz w:val="1"/>
                <w:szCs w:val="1"/>
                <w:color w:val="auto"/>
              </w:rPr>
            </w:pPr>
          </w:p>
        </w:tc>
      </w:tr>
      <w:tr>
        <w:trPr>
          <w:trHeight w:val="244"/>
        </w:trPr>
        <w:tc>
          <w:tcPr>
            <w:tcW w:w="67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Net proceeds received . . . . . . . . . . . . . . . . . . . . . . . . . . . . . . . . . . . . . . . . . . . . . . . .</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146,973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97,933</w:t>
            </w:r>
          </w:p>
        </w:tc>
        <w:tc>
          <w:tcPr>
            <w:tcW w:w="0" w:type="dxa"/>
            <w:vAlign w:val="bottom"/>
          </w:tcPr>
          <w:p>
            <w:pPr>
              <w:spacing w:after="0"/>
              <w:rPr>
                <w:sz w:val="1"/>
                <w:szCs w:val="1"/>
                <w:color w:val="auto"/>
              </w:rPr>
            </w:pPr>
          </w:p>
        </w:tc>
      </w:tr>
      <w:tr>
        <w:trPr>
          <w:trHeight w:val="245"/>
        </w:trPr>
        <w:tc>
          <w:tcPr>
            <w:tcW w:w="67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Interest expense recognized . . . . . . . . . . . . . . . . . . . . . . . . . . . . . . . . . . . . . . . . . . . .</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23,540</w:t>
            </w:r>
          </w:p>
        </w:tc>
        <w:tc>
          <w:tcPr>
            <w:tcW w:w="0" w:type="dxa"/>
            <w:vAlign w:val="bottom"/>
          </w:tcPr>
          <w:p>
            <w:pPr>
              <w:spacing w:after="0"/>
              <w:rPr>
                <w:sz w:val="1"/>
                <w:szCs w:val="1"/>
                <w:color w:val="auto"/>
              </w:rPr>
            </w:pPr>
          </w:p>
        </w:tc>
      </w:tr>
      <w:tr>
        <w:trPr>
          <w:trHeight w:val="250"/>
        </w:trPr>
        <w:tc>
          <w:tcPr>
            <w:tcW w:w="67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Payments . . . . . . . . . . . . . . . . . . . . . . . . . . . . . . . . . . . . . . . . . . . . . . . . . . . . . . . . . . .</w:t>
            </w:r>
          </w:p>
        </w:tc>
        <w:tc>
          <w:tcPr>
            <w:tcW w:w="34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(40,484)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(21,743)</w:t>
            </w:r>
          </w:p>
        </w:tc>
        <w:tc>
          <w:tcPr>
            <w:tcW w:w="0" w:type="dxa"/>
            <w:vAlign w:val="bottom"/>
          </w:tcPr>
          <w:p>
            <w:pPr>
              <w:spacing w:after="0"/>
              <w:rPr>
                <w:sz w:val="1"/>
                <w:szCs w:val="1"/>
                <w:color w:val="auto"/>
              </w:rPr>
            </w:pPr>
          </w:p>
        </w:tc>
      </w:tr>
      <w:tr>
        <w:trPr>
          <w:trHeight w:val="243"/>
        </w:trPr>
        <w:tc>
          <w:tcPr>
            <w:tcW w:w="6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Carrying value at December 31 . . . . . . . . . . . . . . . . . . . . . . . . . . . . . . . . . . . . . . . . .</w:t>
            </w:r>
          </w:p>
        </w:tc>
        <w:tc>
          <w:tcPr>
            <w:tcW w:w="2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386,970</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238,813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color w:val="auto"/>
        </w:rPr>
        <w:t>The total estimated total gross payments due under the term loan are as follows as of December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0" w:type="dxa"/>
            <w:vAlign w:val="bottom"/>
          </w:tcPr>
          <w:p>
            <w:pPr>
              <w:spacing w:after="0"/>
              <w:rPr>
                <w:sz w:val="1"/>
                <w:szCs w:val="1"/>
                <w:color w:val="auto"/>
              </w:rPr>
            </w:pPr>
          </w:p>
        </w:tc>
      </w:tr>
      <w:tr>
        <w:trPr>
          <w:trHeight w:val="229"/>
        </w:trPr>
        <w:tc>
          <w:tcPr>
            <w:tcW w:w="7800" w:type="dxa"/>
            <w:vAlign w:val="bottom"/>
            <w:vMerge w:val="continue"/>
          </w:tcPr>
          <w:p>
            <w:pPr>
              <w:jc w:val="right"/>
              <w:ind w:right="18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43,917</w:t>
            </w:r>
          </w:p>
        </w:tc>
        <w:tc>
          <w:tcPr>
            <w:tcW w:w="0" w:type="dxa"/>
            <w:vAlign w:val="bottom"/>
          </w:tcPr>
          <w:p>
            <w:pPr>
              <w:spacing w:after="0"/>
              <w:rPr>
                <w:sz w:val="1"/>
                <w:szCs w:val="1"/>
                <w:color w:val="auto"/>
              </w:rPr>
            </w:pPr>
          </w:p>
        </w:tc>
      </w:tr>
      <w:tr>
        <w:trPr>
          <w:trHeight w:val="244"/>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43,917</w:t>
            </w:r>
          </w:p>
        </w:tc>
        <w:tc>
          <w:tcPr>
            <w:tcW w:w="0" w:type="dxa"/>
            <w:vAlign w:val="bottom"/>
          </w:tcPr>
          <w:p>
            <w:pPr>
              <w:spacing w:after="0"/>
              <w:rPr>
                <w:sz w:val="1"/>
                <w:szCs w:val="1"/>
                <w:color w:val="auto"/>
              </w:rPr>
            </w:pPr>
          </w:p>
        </w:tc>
      </w:tr>
      <w:tr>
        <w:trPr>
          <w:trHeight w:val="245"/>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43,917</w:t>
            </w:r>
          </w:p>
        </w:tc>
        <w:tc>
          <w:tcPr>
            <w:tcW w:w="0" w:type="dxa"/>
            <w:vAlign w:val="bottom"/>
          </w:tcPr>
          <w:p>
            <w:pPr>
              <w:spacing w:after="0"/>
              <w:rPr>
                <w:sz w:val="1"/>
                <w:szCs w:val="1"/>
                <w:color w:val="auto"/>
              </w:rPr>
            </w:pPr>
          </w:p>
        </w:tc>
      </w:tr>
      <w:tr>
        <w:trPr>
          <w:trHeight w:val="250"/>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421,897</w:t>
            </w: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553,648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obligations under the Financing Agreement are secured, subject to certain exceptions,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interests in substantially all assets of the Company and certain of its subsidiaries. The Financing Agreement</w:t>
      </w:r>
    </w:p>
    <w:p>
      <w:pPr>
        <w:spacing w:after="0"/>
        <w:rPr>
          <w:sz w:val="20"/>
          <w:szCs w:val="20"/>
          <w:color w:val="auto"/>
        </w:rPr>
      </w:pPr>
      <w:r>
        <w:rPr>
          <w:rFonts w:ascii="Times New Roman" w:cs="Times New Roman" w:eastAsia="Times New Roman" w:hAnsi="Times New Roman"/>
          <w:sz w:val="20"/>
          <w:szCs w:val="20"/>
          <w:color w:val="auto"/>
        </w:rPr>
        <w:t>contains customary negative covenants that, among other things and subject to certain exceptions, could restrict the</w:t>
      </w:r>
    </w:p>
    <w:p>
      <w:pPr>
        <w:spacing w:after="0"/>
        <w:rPr>
          <w:sz w:val="20"/>
          <w:szCs w:val="20"/>
          <w:color w:val="auto"/>
        </w:rPr>
      </w:pPr>
      <w:r>
        <w:rPr>
          <w:rFonts w:ascii="Times New Roman" w:cs="Times New Roman" w:eastAsia="Times New Roman" w:hAnsi="Times New Roman"/>
          <w:sz w:val="20"/>
          <w:szCs w:val="20"/>
          <w:color w:val="auto"/>
        </w:rPr>
        <w:t>Company’s ability to incur additional liens, incur additional indebtedness, make investments, including acquisitions,</w:t>
      </w:r>
    </w:p>
    <w:p>
      <w:pPr>
        <w:spacing w:after="0"/>
        <w:rPr>
          <w:sz w:val="20"/>
          <w:szCs w:val="20"/>
          <w:color w:val="auto"/>
        </w:rPr>
      </w:pPr>
      <w:r>
        <w:rPr>
          <w:rFonts w:ascii="Times New Roman" w:cs="Times New Roman" w:eastAsia="Times New Roman" w:hAnsi="Times New Roman"/>
          <w:sz w:val="20"/>
          <w:szCs w:val="20"/>
          <w:color w:val="auto"/>
        </w:rPr>
        <w:t>engage in fundamental changes, sell or dispose of assets that constitute collateral, including certain intellectual property,</w:t>
      </w:r>
    </w:p>
    <w:p>
      <w:pPr>
        <w:spacing w:after="0"/>
        <w:rPr>
          <w:sz w:val="20"/>
          <w:szCs w:val="20"/>
          <w:color w:val="auto"/>
        </w:rPr>
      </w:pPr>
      <w:r>
        <w:rPr>
          <w:rFonts w:ascii="Times New Roman" w:cs="Times New Roman" w:eastAsia="Times New Roman" w:hAnsi="Times New Roman"/>
          <w:sz w:val="20"/>
          <w:szCs w:val="20"/>
          <w:color w:val="auto"/>
        </w:rPr>
        <w:t>pay dividends or make any distribution or payment on or redeem, retire or purchase any equity interests, amend, modify</w:t>
      </w:r>
    </w:p>
    <w:p>
      <w:pPr>
        <w:spacing w:after="0"/>
        <w:rPr>
          <w:sz w:val="20"/>
          <w:szCs w:val="20"/>
          <w:color w:val="auto"/>
        </w:rPr>
      </w:pPr>
      <w:r>
        <w:rPr>
          <w:rFonts w:ascii="Times New Roman" w:cs="Times New Roman" w:eastAsia="Times New Roman" w:hAnsi="Times New Roman"/>
          <w:sz w:val="20"/>
          <w:szCs w:val="20"/>
          <w:color w:val="auto"/>
        </w:rPr>
        <w:t>or waive certain material agreements or organizational documents and make payments of certain subordinated</w:t>
      </w:r>
    </w:p>
    <w:p>
      <w:pPr>
        <w:spacing w:after="0"/>
        <w:rPr>
          <w:sz w:val="20"/>
          <w:szCs w:val="20"/>
          <w:color w:val="auto"/>
        </w:rPr>
      </w:pPr>
      <w:r>
        <w:rPr>
          <w:rFonts w:ascii="Times New Roman" w:cs="Times New Roman" w:eastAsia="Times New Roman" w:hAnsi="Times New Roman"/>
          <w:sz w:val="20"/>
          <w:szCs w:val="20"/>
          <w:color w:val="auto"/>
        </w:rPr>
        <w:t>indebtedness. The Financing Agreement also requires the Company to maintain a consolidated liquidity of at least</w:t>
      </w:r>
    </w:p>
    <w:p>
      <w:pPr>
        <w:spacing w:after="0"/>
        <w:rPr>
          <w:sz w:val="20"/>
          <w:szCs w:val="20"/>
          <w:color w:val="auto"/>
        </w:rPr>
      </w:pPr>
      <w:r>
        <w:rPr>
          <w:rFonts w:ascii="Times New Roman" w:cs="Times New Roman" w:eastAsia="Times New Roman" w:hAnsi="Times New Roman"/>
          <w:sz w:val="20"/>
          <w:szCs w:val="20"/>
          <w:color w:val="auto"/>
        </w:rPr>
        <w:t>$80.0 million. As of December 31, 2024, the Company was in compliance with the applicable terms and conditions of</w:t>
      </w:r>
    </w:p>
    <w:p>
      <w:pPr>
        <w:spacing w:after="0"/>
        <w:rPr>
          <w:sz w:val="20"/>
          <w:szCs w:val="20"/>
          <w:color w:val="auto"/>
        </w:rPr>
      </w:pPr>
      <w:r>
        <w:rPr>
          <w:rFonts w:ascii="Times New Roman" w:cs="Times New Roman" w:eastAsia="Times New Roman" w:hAnsi="Times New Roman"/>
          <w:sz w:val="20"/>
          <w:szCs w:val="20"/>
          <w:color w:val="auto"/>
        </w:rPr>
        <w:t>the covenants under the Financing Agreement.</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720"/>
          </w:cols>
          <w:pgMar w:left="1260" w:top="1246" w:right="1260" w:bottom="187"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4. Marketable Securities</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Marketable securities consisted of the following at December 31, 2024 and 2023 (in thousands):</w:t>
      </w:r>
    </w:p>
    <w:p>
      <w:pPr>
        <w:spacing w:after="0" w:line="239" w:lineRule="exact"/>
        <w:rPr>
          <w:sz w:val="20"/>
          <w:szCs w:val="20"/>
          <w:color w:val="auto"/>
        </w:rPr>
      </w:pPr>
    </w:p>
    <w:p>
      <w:pPr>
        <w:ind w:left="5920"/>
        <w:spacing w:after="0"/>
        <w:tabs>
          <w:tab w:leader="none" w:pos="6900" w:val="left"/>
          <w:tab w:leader="none" w:pos="7860" w:val="left"/>
          <w:tab w:leader="none" w:pos="9100" w:val="left"/>
        </w:tabs>
        <w:rPr>
          <w:sz w:val="20"/>
          <w:szCs w:val="20"/>
          <w:color w:val="auto"/>
        </w:rPr>
      </w:pPr>
      <w:r>
        <w:rPr>
          <w:rFonts w:ascii="Times New Roman" w:cs="Times New Roman" w:eastAsia="Times New Roman" w:hAnsi="Times New Roman"/>
          <w:sz w:val="16"/>
          <w:szCs w:val="16"/>
          <w:b w:val="1"/>
          <w:bCs w:val="1"/>
          <w:color w:val="auto"/>
        </w:rPr>
        <w:t>Amortized</w:t>
        <w:tab/>
        <w:t>Unrealized</w:t>
        <w:tab/>
        <w:t>Unrealized</w:t>
      </w:r>
      <w:r>
        <w:rPr>
          <w:sz w:val="20"/>
          <w:szCs w:val="20"/>
          <w:color w:val="auto"/>
        </w:rPr>
        <w:tab/>
      </w:r>
      <w:r>
        <w:rPr>
          <w:rFonts w:ascii="Times New Roman" w:cs="Times New Roman" w:eastAsia="Times New Roman" w:hAnsi="Times New Roman"/>
          <w:sz w:val="16"/>
          <w:szCs w:val="16"/>
          <w:b w:val="1"/>
          <w:bCs w:val="1"/>
          <w:color w:val="auto"/>
        </w:rPr>
        <w:t>Fair</w:t>
      </w:r>
    </w:p>
    <w:p>
      <w:pPr>
        <w:spacing w:after="0" w:line="27" w:lineRule="exact"/>
        <w:rPr>
          <w:sz w:val="20"/>
          <w:szCs w:val="20"/>
          <w:color w:val="auto"/>
        </w:rPr>
      </w:pPr>
    </w:p>
    <w:p>
      <w:pPr>
        <w:spacing w:after="0"/>
        <w:tabs>
          <w:tab w:leader="none" w:pos="6120" w:val="left"/>
          <w:tab w:leader="none" w:pos="7100" w:val="left"/>
          <w:tab w:leader="none" w:pos="8020" w:val="left"/>
          <w:tab w:leader="none" w:pos="9040" w:val="left"/>
        </w:tabs>
        <w:rPr>
          <w:sz w:val="20"/>
          <w:szCs w:val="20"/>
          <w:color w:val="auto"/>
        </w:rPr>
      </w:pPr>
      <w:r>
        <w:rPr>
          <w:rFonts w:ascii="Times New Roman" w:cs="Times New Roman" w:eastAsia="Times New Roman" w:hAnsi="Times New Roman"/>
          <w:sz w:val="16"/>
          <w:szCs w:val="16"/>
          <w:b w:val="1"/>
          <w:bCs w:val="1"/>
          <w:color w:val="auto"/>
        </w:rPr>
        <w:t>December 31, 2024</w:t>
      </w:r>
      <w:r>
        <w:rPr>
          <w:sz w:val="20"/>
          <w:szCs w:val="20"/>
          <w:color w:val="auto"/>
        </w:rPr>
        <w:tab/>
      </w:r>
      <w:r>
        <w:rPr>
          <w:rFonts w:ascii="Times New Roman" w:cs="Times New Roman" w:eastAsia="Times New Roman" w:hAnsi="Times New Roman"/>
          <w:sz w:val="16"/>
          <w:szCs w:val="16"/>
          <w:b w:val="1"/>
          <w:bCs w:val="1"/>
          <w:color w:val="auto"/>
        </w:rPr>
        <w:t>Cost</w:t>
      </w:r>
      <w:r>
        <w:rPr>
          <w:sz w:val="20"/>
          <w:szCs w:val="20"/>
          <w:color w:val="auto"/>
        </w:rPr>
        <w:tab/>
      </w:r>
      <w:r>
        <w:rPr>
          <w:rFonts w:ascii="Times New Roman" w:cs="Times New Roman" w:eastAsia="Times New Roman" w:hAnsi="Times New Roman"/>
          <w:sz w:val="16"/>
          <w:szCs w:val="16"/>
          <w:b w:val="1"/>
          <w:bCs w:val="1"/>
          <w:color w:val="auto"/>
        </w:rPr>
        <w:t>Gain</w:t>
      </w:r>
      <w:r>
        <w:rPr>
          <w:sz w:val="20"/>
          <w:szCs w:val="20"/>
          <w:color w:val="auto"/>
        </w:rPr>
        <w:tab/>
      </w:r>
      <w:r>
        <w:rPr>
          <w:rFonts w:ascii="Times New Roman" w:cs="Times New Roman" w:eastAsia="Times New Roman" w:hAnsi="Times New Roman"/>
          <w:sz w:val="16"/>
          <w:szCs w:val="16"/>
          <w:b w:val="1"/>
          <w:bCs w:val="1"/>
          <w:color w:val="auto"/>
        </w:rPr>
        <w:t>Losses</w:t>
      </w:r>
      <w:r>
        <w:rPr>
          <w:sz w:val="20"/>
          <w:szCs w:val="20"/>
          <w:color w:val="auto"/>
        </w:rPr>
        <w:tab/>
      </w: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3709670</wp:posOffset>
                </wp:positionH>
                <wp:positionV relativeFrom="paragraph">
                  <wp:posOffset>-1270</wp:posOffset>
                </wp:positionV>
                <wp:extent cx="5664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4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0.0999pt" to="336.7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4380230</wp:posOffset>
                </wp:positionH>
                <wp:positionV relativeFrom="paragraph">
                  <wp:posOffset>-1270</wp:posOffset>
                </wp:positionV>
                <wp:extent cx="5041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1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9pt,-0.0999pt" to="384.6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4989830</wp:posOffset>
                </wp:positionH>
                <wp:positionV relativeFrom="paragraph">
                  <wp:posOffset>-1270</wp:posOffset>
                </wp:positionV>
                <wp:extent cx="5054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9pt,-0.0999pt" to="432.7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5601335</wp:posOffset>
                </wp:positionH>
                <wp:positionV relativeFrom="paragraph">
                  <wp:posOffset>-1270</wp:posOffset>
                </wp:positionV>
                <wp:extent cx="5657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05pt,-0.0999pt" to="485.6pt,-0.0999pt" o:allowincell="f" strokecolor="#000000" strokeweight="0.4799pt"/>
            </w:pict>
          </mc:Fallback>
        </mc:AlternateContent>
      </w:r>
    </w:p>
    <w:tbl>
      <w:tblPr>
        <w:tblLayout w:type="fixed"/>
        <w:tblInd w:w="0" w:type="dxa"/>
        <w:tblCellMar>
          <w:top w:w="0" w:type="dxa"/>
          <w:left w:w="0" w:type="dxa"/>
          <w:bottom w:w="0" w:type="dxa"/>
          <w:right w:w="0" w:type="dxa"/>
        </w:tblCellMar>
      </w:tblPr>
      <w:tr>
        <w:trPr>
          <w:trHeight w:val="231"/>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Marketable securities, available-for-sale:</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5"/>
        </w:trPr>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U.S. government agency securities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$ 129,897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(230)</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$ 129,785</w:t>
            </w:r>
          </w:p>
        </w:tc>
      </w:tr>
      <w:tr>
        <w:trPr>
          <w:trHeight w:val="250"/>
        </w:trPr>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U.S. treasury obligations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631,514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(401)</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632,138</w:t>
            </w:r>
          </w:p>
        </w:tc>
      </w:tr>
      <w:tr>
        <w:trPr>
          <w:trHeight w:val="244"/>
        </w:trPr>
        <w:tc>
          <w:tcPr>
            <w:tcW w:w="582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5"/>
              </w:rPr>
              <w:t>Total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$ 761,411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$ 761,923</w:t>
            </w:r>
          </w:p>
        </w:tc>
      </w:tr>
      <w:tr>
        <w:trPr>
          <w:trHeight w:val="426"/>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Gain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8"/>
        </w:trPr>
        <w:tc>
          <w:tcPr>
            <w:tcW w:w="584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Marketable securities, available-for-sale:</w:t>
            </w: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45"/>
        </w:trPr>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U.S. government agency securities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$ 170,194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(418)</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$ 169,803</w:t>
            </w:r>
          </w:p>
        </w:tc>
      </w:tr>
      <w:tr>
        <w:trPr>
          <w:trHeight w:val="250"/>
        </w:trPr>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U.S. treasury obligations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525,880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(386)</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526,082</w:t>
            </w:r>
          </w:p>
        </w:tc>
      </w:tr>
      <w:tr>
        <w:trPr>
          <w:trHeight w:val="243"/>
        </w:trPr>
        <w:tc>
          <w:tcPr>
            <w:tcW w:w="582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5"/>
              </w:rPr>
              <w:t>Total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$ 696,074</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$ 695,885</w:t>
            </w:r>
          </w:p>
        </w:tc>
      </w:tr>
    </w:tbl>
    <w:p>
      <w:pPr>
        <w:spacing w:after="0" w:line="211"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amortized cost basis and estimated fair value of the Company’s available-for-sale securities by contractual maturity as of December 31, 2024 and 2023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160" w:type="dxa"/>
            <w:vAlign w:val="bottom"/>
            <w:gridSpan w:val="6"/>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300"/>
              <w:spacing w:after="0" w:line="177" w:lineRule="exact"/>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10"/>
              <w:spacing w:after="0" w:line="177"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04"/>
        </w:trPr>
        <w:tc>
          <w:tcPr>
            <w:tcW w:w="5600" w:type="dxa"/>
            <w:vAlign w:val="bottom"/>
            <w:vMerge w:val="restart"/>
          </w:tcPr>
          <w:p>
            <w:pPr>
              <w:jc w:val="right"/>
              <w:ind w:right="4200"/>
              <w:spacing w:after="0"/>
              <w:rPr>
                <w:sz w:val="20"/>
                <w:szCs w:val="20"/>
                <w:color w:val="auto"/>
              </w:rPr>
            </w:pPr>
            <w:r>
              <w:rPr>
                <w:rFonts w:ascii="Times New Roman" w:cs="Times New Roman" w:eastAsia="Times New Roman" w:hAnsi="Times New Roman"/>
                <w:sz w:val="20"/>
                <w:szCs w:val="20"/>
                <w:color w:val="auto"/>
                <w:w w:val="99"/>
              </w:rPr>
              <w:t>Within one year</w:t>
            </w: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8"/>
        </w:trPr>
        <w:tc>
          <w:tcPr>
            <w:tcW w:w="5600" w:type="dxa"/>
            <w:vAlign w:val="bottom"/>
            <w:vMerge w:val="continue"/>
          </w:tcPr>
          <w:p>
            <w:pPr>
              <w:jc w:val="right"/>
              <w:ind w:right="18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$ 512,515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$ 513,473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$ 639,881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$ 639,355</w:t>
            </w:r>
          </w:p>
        </w:tc>
        <w:tc>
          <w:tcPr>
            <w:tcW w:w="0" w:type="dxa"/>
            <w:vAlign w:val="bottom"/>
          </w:tcPr>
          <w:p>
            <w:pPr>
              <w:spacing w:after="0"/>
              <w:rPr>
                <w:sz w:val="1"/>
                <w:szCs w:val="1"/>
                <w:color w:val="auto"/>
              </w:rPr>
            </w:pPr>
          </w:p>
        </w:tc>
      </w:tr>
      <w:tr>
        <w:trPr>
          <w:trHeight w:val="250"/>
        </w:trPr>
        <w:tc>
          <w:tcPr>
            <w:tcW w:w="56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After one through five years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248,896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248,450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56,193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56,530</w:t>
            </w:r>
          </w:p>
        </w:tc>
        <w:tc>
          <w:tcPr>
            <w:tcW w:w="0" w:type="dxa"/>
            <w:vAlign w:val="bottom"/>
          </w:tcPr>
          <w:p>
            <w:pPr>
              <w:spacing w:after="0"/>
              <w:rPr>
                <w:sz w:val="1"/>
                <w:szCs w:val="1"/>
                <w:color w:val="auto"/>
              </w:rPr>
            </w:pPr>
          </w:p>
        </w:tc>
      </w:tr>
      <w:tr>
        <w:trPr>
          <w:trHeight w:val="244"/>
        </w:trPr>
        <w:tc>
          <w:tcPr>
            <w:tcW w:w="56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.Total</w:t>
            </w: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$ 761,411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$ 761,923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$ 696,074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$ 695,885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2024 and 2023, the Company held 32 and 62 debt securities, respectively, that were in an unrealized loss position. The following table summarizes the estimated fair value and the aggregate unrealized loss of the Company’s available-for-sale securities that are in loss position as of December 31, 2024 and 2023 by the length of time the security has been in loss position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210"/>
              <w:spacing w:after="0" w:line="17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ind w:right="210"/>
              <w:spacing w:after="0" w:line="17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Debt securities in unrealized loss position for 12 months or less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8"/>
        </w:trPr>
        <w:tc>
          <w:tcPr>
            <w:tcW w:w="5840" w:type="dxa"/>
            <w:vAlign w:val="bottom"/>
            <w:gridSpan w:val="2"/>
            <w:vMerge w:val="continue"/>
          </w:tcPr>
          <w:p>
            <w:pPr>
              <w:jc w:val="right"/>
              <w:ind w:right="240"/>
              <w:spacing w:after="0" w:line="191" w:lineRule="exact"/>
              <w:rPr>
                <w:sz w:val="20"/>
                <w:szCs w:val="20"/>
                <w:color w:val="auto"/>
              </w:rPr>
            </w:pPr>
            <w:r>
              <w:rPr>
                <w:rFonts w:ascii="Times New Roman" w:cs="Times New Roman" w:eastAsia="Times New Roman" w:hAnsi="Times New Roman"/>
                <w:sz w:val="20"/>
                <w:szCs w:val="20"/>
                <w:color w:val="auto"/>
              </w:rPr>
              <w:t>. . . . .</w:t>
            </w:r>
          </w:p>
        </w:tc>
        <w:tc>
          <w:tcPr>
            <w:tcW w:w="9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$ 205,910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(631)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$ 267,917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Debt securities in unrealized loss position for more than 12 months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64,659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(254)</w:t>
            </w:r>
          </w:p>
        </w:tc>
        <w:tc>
          <w:tcPr>
            <w:tcW w:w="0" w:type="dxa"/>
            <w:vAlign w:val="bottom"/>
          </w:tcPr>
          <w:p>
            <w:pPr>
              <w:spacing w:after="0"/>
              <w:rPr>
                <w:sz w:val="1"/>
                <w:szCs w:val="1"/>
                <w:color w:val="auto"/>
              </w:rPr>
            </w:pPr>
          </w:p>
        </w:tc>
      </w:tr>
      <w:tr>
        <w:trPr>
          <w:trHeight w:val="244"/>
        </w:trPr>
        <w:tc>
          <w:tcPr>
            <w:tcW w:w="5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Total debt securities in unrealized loss position . . .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$ 205,910</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$ 332,576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The Company has the intent and ability to hold its debt securities until recovery of amortized cost basis. As a result, the Company did not recognize any differences between the fair value and amortized cost basis as a loss in its consolidated statements of operations and comprehensive loss for the years ended December 31, 2024, 2023 and 2022. The Company did not record any credit-related impairments for its available-for-sale securities for the years ended December 31, 2024, 2023 and 2022.</w:t>
      </w:r>
    </w:p>
    <w:p>
      <w:pPr>
        <w:sectPr>
          <w:pgSz w:w="12240" w:h="15840" w:orient="portrait"/>
          <w:cols w:equalWidth="0" w:num="1">
            <w:col w:w="9720"/>
          </w:cols>
          <w:pgMar w:left="1260" w:top="1243"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720"/>
          </w:cols>
          <w:pgMar w:left="1260" w:top="1243" w:right="1260" w:bottom="187" w:gutter="0" w:footer="0" w:header="0"/>
          <w:type w:val="continuous"/>
        </w:sectPr>
      </w:pPr>
    </w:p>
    <w:bookmarkStart w:id="152" w:name="page153"/>
    <w:bookmarkEnd w:id="152"/>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proceeds from maturities of debt securities during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2023 and 2022 (in thousands):</w:t>
      </w:r>
    </w:p>
    <w:p>
      <w:pPr>
        <w:spacing w:after="0" w:line="244"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4135120</wp:posOffset>
                </wp:positionH>
                <wp:positionV relativeFrom="paragraph">
                  <wp:posOffset>15875</wp:posOffset>
                </wp:positionV>
                <wp:extent cx="2032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6pt,1.25pt" to="485.6pt,1.25pt" o:allowincell="f" strokecolor="#000000" strokeweight="0.4799pt"/>
            </w:pict>
          </mc:Fallback>
        </mc:AlternateContent>
      </w:r>
    </w:p>
    <w:p>
      <w:pPr>
        <w:spacing w:after="0" w:line="16" w:lineRule="exact"/>
        <w:rPr>
          <w:sz w:val="20"/>
          <w:szCs w:val="20"/>
          <w:color w:val="auto"/>
        </w:rPr>
      </w:pPr>
    </w:p>
    <w:p>
      <w:pPr>
        <w:jc w:val="both"/>
        <w:ind w:left="6800"/>
        <w:spacing w:after="0"/>
        <w:tabs>
          <w:tab w:leader="none" w:pos="7920" w:val="left"/>
          <w:tab w:leader="none" w:pos="90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4135120</wp:posOffset>
                </wp:positionH>
                <wp:positionV relativeFrom="paragraph">
                  <wp:posOffset>6350</wp:posOffset>
                </wp:positionV>
                <wp:extent cx="5708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6pt,0.5pt" to="370.55pt,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4813300</wp:posOffset>
                </wp:positionH>
                <wp:positionV relativeFrom="paragraph">
                  <wp:posOffset>6350</wp:posOffset>
                </wp:positionV>
                <wp:extent cx="66675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pt,0.5pt" to="431.5pt,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5595620</wp:posOffset>
                </wp:positionH>
                <wp:positionV relativeFrom="paragraph">
                  <wp:posOffset>6350</wp:posOffset>
                </wp:positionV>
                <wp:extent cx="5715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6pt,0.5pt" to="485.6pt,0.5pt" o:allowincell="f" strokecolor="#000000" strokeweight="0.4799pt"/>
            </w:pict>
          </mc:Fallback>
        </mc:AlternateConten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w w:val="99"/>
              </w:rPr>
              <w:t>Proceeds from maturities of debt securities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$ 923,560</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$ 1,056,465</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$ 349,373</w:t>
            </w:r>
          </w:p>
        </w:tc>
      </w:tr>
    </w:tbl>
    <w:p>
      <w:pPr>
        <w:spacing w:after="0" w:line="182" w:lineRule="exact"/>
        <w:rPr>
          <w:sz w:val="20"/>
          <w:szCs w:val="20"/>
          <w:color w:val="auto"/>
        </w:rPr>
      </w:pPr>
    </w:p>
    <w:p>
      <w:pPr>
        <w:ind w:right="820" w:firstLine="720"/>
        <w:spacing w:after="0" w:line="278" w:lineRule="auto"/>
        <w:rPr>
          <w:sz w:val="20"/>
          <w:szCs w:val="20"/>
          <w:color w:val="auto"/>
        </w:rPr>
      </w:pPr>
      <w:r>
        <w:rPr>
          <w:rFonts w:ascii="Times New Roman" w:cs="Times New Roman" w:eastAsia="Times New Roman" w:hAnsi="Times New Roman"/>
          <w:sz w:val="20"/>
          <w:szCs w:val="20"/>
          <w:color w:val="auto"/>
        </w:rPr>
        <w:t>The Company did not realize any gains or losses from maturities of debt securities for the years ended December 31, 2024,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of Financial Instruments</w:t>
      </w:r>
    </w:p>
    <w:p>
      <w:pPr>
        <w:spacing w:after="0" w:line="164"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Company’s cash equivalents and marketable securities measured at fair value on a recurring basis as of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184"/>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01"/>
        </w:trPr>
        <w:tc>
          <w:tcPr>
            <w:tcW w:w="55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Money market funds . . . . . . . . . . . . . . . . . . . . . . . . . . . . . . . . .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69,729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69,729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 available-for-sale: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U.S. government agency securities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129,785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U.S. treasury obligations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632,138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632,138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20" w:type="dxa"/>
            <w:vAlign w:val="bottom"/>
          </w:tcPr>
          <w:p>
            <w:pPr>
              <w:jc w:val="right"/>
              <w:ind w:right="103"/>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831,652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701,867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129,785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ind w:left="560"/>
              <w:spacing w:after="0" w:line="221" w:lineRule="exact"/>
              <w:rPr>
                <w:sz w:val="20"/>
                <w:szCs w:val="20"/>
                <w:color w:val="auto"/>
              </w:rPr>
            </w:pPr>
            <w:r>
              <w:rPr>
                <w:rFonts w:ascii="Times New Roman" w:cs="Times New Roman" w:eastAsia="Times New Roman" w:hAnsi="Times New Roman"/>
                <w:sz w:val="20"/>
                <w:szCs w:val="20"/>
                <w:color w:val="auto"/>
              </w:rPr>
              <w:t>—</w:t>
            </w:r>
          </w:p>
        </w:tc>
      </w:tr>
    </w:tbl>
    <w:p>
      <w:pPr>
        <w:spacing w:after="0" w:line="164"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Company’s cash equivalents and marketable securities measured at fair value on a recurring basis as of 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185"/>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1"/>
        </w:trPr>
        <w:tc>
          <w:tcPr>
            <w:tcW w:w="55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Money market funds . . . . . . . . . . . . . . . . . . . . . . . . . . . . . . . . .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55,412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55,412</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 available-for-sale: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U.S. government agency securities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5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U.S. treasury obligations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526,082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526,082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20" w:type="dxa"/>
            <w:vAlign w:val="bottom"/>
          </w:tcPr>
          <w:p>
            <w:pPr>
              <w:jc w:val="right"/>
              <w:ind w:right="103"/>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751,297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581,494</w:t>
            </w:r>
          </w:p>
        </w:tc>
        <w:tc>
          <w:tcPr>
            <w:tcW w:w="14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169,803</w:t>
            </w:r>
          </w:p>
        </w:tc>
        <w:tc>
          <w:tcPr>
            <w:tcW w:w="140" w:type="dxa"/>
            <w:vAlign w:val="bottom"/>
          </w:tcPr>
          <w:p>
            <w:pPr>
              <w:spacing w:after="0"/>
              <w:rPr>
                <w:sz w:val="20"/>
                <w:szCs w:val="20"/>
                <w:color w:val="auto"/>
              </w:rPr>
            </w:pPr>
          </w:p>
        </w:tc>
        <w:tc>
          <w:tcPr>
            <w:tcW w:w="160" w:type="dxa"/>
            <w:vAlign w:val="bottom"/>
            <w:tcBorders>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ind w:left="540"/>
              <w:spacing w:after="0" w:line="221" w:lineRule="exact"/>
              <w:rPr>
                <w:sz w:val="20"/>
                <w:szCs w:val="20"/>
                <w:color w:val="auto"/>
              </w:rPr>
            </w:pPr>
            <w:r>
              <w:rPr>
                <w:rFonts w:ascii="Times New Roman" w:cs="Times New Roman" w:eastAsia="Times New Roman" w:hAnsi="Times New Roman"/>
                <w:sz w:val="20"/>
                <w:szCs w:val="20"/>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Product Revenue and Related Reserves</w:t>
      </w:r>
    </w:p>
    <w:p>
      <w:pPr>
        <w:spacing w:after="0" w:line="244"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revenue recognized from the sales of AYVAKIT/AYVAKYT for the years ended December 31, 2024, 2023 and 2022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6540" w:type="dxa"/>
            <w:vAlign w:val="bottom"/>
            <w:vMerge w:val="restart"/>
          </w:tcPr>
          <w:p>
            <w:pPr>
              <w:jc w:val="right"/>
              <w:ind w:right="5360"/>
              <w:spacing w:after="0"/>
              <w:rPr>
                <w:sz w:val="20"/>
                <w:szCs w:val="20"/>
                <w:color w:val="auto"/>
              </w:rPr>
            </w:pPr>
            <w:r>
              <w:rPr>
                <w:rFonts w:ascii="Times New Roman" w:cs="Times New Roman" w:eastAsia="Times New Roman" w:hAnsi="Times New Roman"/>
                <w:sz w:val="20"/>
                <w:szCs w:val="20"/>
                <w:color w:val="auto"/>
                <w:w w:val="98"/>
              </w:rPr>
              <w:t>United States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421,837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181,971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97,226</w:t>
            </w: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Rest of World.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57,113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22,236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13,767</w:t>
            </w: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.Totalproductrevenue,net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478,950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204,207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110,993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720"/>
          </w:cols>
          <w:pgMar w:left="1260" w:top="1246" w:right="1260" w:bottom="187" w:gutter="0" w:footer="0" w:header="0"/>
          <w:type w:val="continuous"/>
        </w:sectPr>
      </w:pPr>
    </w:p>
    <w:bookmarkStart w:id="153" w:name="page154"/>
    <w:bookmarkEnd w:id="153"/>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The Company primarily sells AYVAKIT/AYVAKYT through specialty distributors and specialty pharmacies. The following table summarizes the customers that represent 10% or greater of gross product revenue for the years ended December 31, 2024,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20" w:type="dxa"/>
            <w:vAlign w:val="bottom"/>
          </w:tcPr>
          <w:p>
            <w:pPr>
              <w:spacing w:after="0"/>
              <w:rPr>
                <w:sz w:val="17"/>
                <w:szCs w:val="17"/>
                <w:color w:val="auto"/>
              </w:rPr>
            </w:pPr>
          </w:p>
        </w:tc>
        <w:tc>
          <w:tcPr>
            <w:tcW w:w="25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20" w:type="dxa"/>
            <w:vAlign w:val="bottom"/>
            <w:vMerge w:val="restart"/>
          </w:tcPr>
          <w:p>
            <w:pPr>
              <w:jc w:val="right"/>
              <w:ind w:right="5480"/>
              <w:spacing w:after="0"/>
              <w:rPr>
                <w:sz w:val="20"/>
                <w:szCs w:val="20"/>
                <w:color w:val="auto"/>
              </w:rPr>
            </w:pPr>
            <w:r>
              <w:rPr>
                <w:rFonts w:ascii="Times New Roman" w:cs="Times New Roman" w:eastAsia="Times New Roman" w:hAnsi="Times New Roman"/>
                <w:sz w:val="20"/>
                <w:szCs w:val="20"/>
                <w:color w:val="auto"/>
                <w:w w:val="99"/>
              </w:rPr>
              <w:t>Customer 1</w:t>
            </w: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520" w:type="dxa"/>
            <w:vAlign w:val="bottom"/>
            <w:vMerge w:val="continue"/>
          </w:tcPr>
          <w:p>
            <w:pPr>
              <w:jc w:val="right"/>
              <w:ind w:right="1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39 %</w:t>
            </w:r>
          </w:p>
        </w:tc>
        <w:tc>
          <w:tcPr>
            <w:tcW w:w="18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43 %</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45 %</w:t>
            </w:r>
          </w:p>
        </w:tc>
        <w:tc>
          <w:tcPr>
            <w:tcW w:w="0" w:type="dxa"/>
            <w:vAlign w:val="bottom"/>
          </w:tcPr>
          <w:p>
            <w:pPr>
              <w:spacing w:after="0"/>
              <w:rPr>
                <w:sz w:val="1"/>
                <w:szCs w:val="1"/>
                <w:color w:val="auto"/>
              </w:rPr>
            </w:pPr>
          </w:p>
        </w:tc>
      </w:tr>
      <w:tr>
        <w:trPr>
          <w:trHeight w:val="229"/>
        </w:trPr>
        <w:tc>
          <w:tcPr>
            <w:tcW w:w="6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5"/>
              </w:rPr>
              <w:t>Customer 2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7"/>
        </w:trPr>
        <w:tc>
          <w:tcPr>
            <w:tcW w:w="6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5"/>
              </w:rPr>
              <w:t>Customer 3 . . . . . . . . . . . . . . . . . . . . . . .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bl>
    <w:p>
      <w:pPr>
        <w:ind w:left="280" w:hanging="273"/>
        <w:spacing w:after="0"/>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the customer’s share is under 10%.</w:t>
      </w:r>
    </w:p>
    <w:p>
      <w:pPr>
        <w:spacing w:after="0" w:line="212"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customers with amounts due that represent 10% or greater of the accounts receivable associated with the Company’s product sales as of December 31,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spacing w:after="0"/>
              <w:rPr>
                <w:sz w:val="17"/>
                <w:szCs w:val="17"/>
                <w:color w:val="auto"/>
              </w:rPr>
            </w:pPr>
          </w:p>
        </w:tc>
        <w:tc>
          <w:tcPr>
            <w:tcW w:w="23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3"/>
        </w:trPr>
        <w:tc>
          <w:tcPr>
            <w:tcW w:w="7380" w:type="dxa"/>
            <w:vAlign w:val="bottom"/>
            <w:vMerge w:val="restart"/>
          </w:tcPr>
          <w:p>
            <w:pPr>
              <w:jc w:val="right"/>
              <w:ind w:right="6340"/>
              <w:spacing w:after="0"/>
              <w:rPr>
                <w:sz w:val="20"/>
                <w:szCs w:val="20"/>
                <w:color w:val="auto"/>
              </w:rPr>
            </w:pPr>
            <w:r>
              <w:rPr>
                <w:rFonts w:ascii="Times New Roman" w:cs="Times New Roman" w:eastAsia="Times New Roman" w:hAnsi="Times New Roman"/>
                <w:sz w:val="20"/>
                <w:szCs w:val="20"/>
                <w:color w:val="auto"/>
                <w:w w:val="99"/>
              </w:rPr>
              <w:t>Customer 1</w:t>
            </w:r>
          </w:p>
        </w:tc>
        <w:tc>
          <w:tcPr>
            <w:tcW w:w="1060" w:type="dxa"/>
            <w:vAlign w:val="bottom"/>
          </w:tcPr>
          <w:p>
            <w:pPr>
              <w:jc w:val="right"/>
              <w:ind w:right="266"/>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gridSpan w:val="2"/>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738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31 %</w:t>
            </w:r>
          </w:p>
        </w:tc>
        <w:tc>
          <w:tcPr>
            <w:tcW w:w="220" w:type="dxa"/>
            <w:vAlign w:val="bottom"/>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34 %</w:t>
            </w:r>
          </w:p>
        </w:tc>
        <w:tc>
          <w:tcPr>
            <w:tcW w:w="0" w:type="dxa"/>
            <w:vAlign w:val="bottom"/>
          </w:tcPr>
          <w:p>
            <w:pPr>
              <w:spacing w:after="0"/>
              <w:rPr>
                <w:sz w:val="1"/>
                <w:szCs w:val="1"/>
                <w:color w:val="auto"/>
              </w:rPr>
            </w:pPr>
          </w:p>
        </w:tc>
      </w:tr>
      <w:tr>
        <w:trPr>
          <w:trHeight w:val="230"/>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5"/>
              </w:rPr>
              <w:t>Customer 2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9"/>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5"/>
              </w:rPr>
              <w:t>Customer 3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230"/>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5"/>
              </w:rPr>
              <w:t>Customer 4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57"/>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5"/>
              </w:rPr>
              <w:t>Customer 5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bl>
    <w:p>
      <w:pPr>
        <w:ind w:left="280" w:hanging="273"/>
        <w:spacing w:after="0"/>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the customer’s share is under 10%.</w:t>
      </w:r>
    </w:p>
    <w:p>
      <w:pPr>
        <w:spacing w:after="0" w:line="203" w:lineRule="exact"/>
        <w:rPr>
          <w:sz w:val="20"/>
          <w:szCs w:val="20"/>
          <w:color w:val="auto"/>
        </w:rPr>
      </w:pPr>
    </w:p>
    <w:p>
      <w:pPr>
        <w:ind w:right="104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activity in the product revenue allowance and reserve for the years ended December 31, 2024 and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100" w:type="dxa"/>
            <w:vAlign w:val="bottom"/>
            <w:vMerge w:val="restart"/>
          </w:tcPr>
          <w:p>
            <w:pPr>
              <w:jc w:val="right"/>
              <w:ind w:right="4480"/>
              <w:spacing w:after="0"/>
              <w:rPr>
                <w:sz w:val="20"/>
                <w:szCs w:val="20"/>
                <w:color w:val="auto"/>
              </w:rPr>
            </w:pPr>
            <w:r>
              <w:rPr>
                <w:rFonts w:ascii="Times New Roman" w:cs="Times New Roman" w:eastAsia="Times New Roman" w:hAnsi="Times New Roman"/>
                <w:sz w:val="20"/>
                <w:szCs w:val="20"/>
                <w:color w:val="auto"/>
                <w:w w:val="99"/>
              </w:rPr>
              <w:t>Beginning balance at January 1</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6"/>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710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 w:type="dxa"/>
            <w:vAlign w:val="bottom"/>
          </w:tcPr>
          <w:p>
            <w:pPr>
              <w:spacing w:after="0"/>
              <w:rPr>
                <w:sz w:val="17"/>
                <w:szCs w:val="17"/>
                <w:color w:val="auto"/>
              </w:rPr>
            </w:pPr>
          </w:p>
        </w:tc>
        <w:tc>
          <w:tcPr>
            <w:tcW w:w="240" w:type="dxa"/>
            <w:vAlign w:val="bottom"/>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19,274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9,788</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Provision related to sales in the current period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37,281</w:t>
            </w:r>
          </w:p>
        </w:tc>
        <w:tc>
          <w:tcPr>
            <w:tcW w:w="0" w:type="dxa"/>
            <w:vAlign w:val="bottom"/>
          </w:tcPr>
          <w:p>
            <w:pPr>
              <w:spacing w:after="0"/>
              <w:rPr>
                <w:sz w:val="1"/>
                <w:szCs w:val="1"/>
                <w:color w:val="auto"/>
              </w:rPr>
            </w:pPr>
          </w:p>
        </w:tc>
      </w:tr>
      <w:tr>
        <w:trPr>
          <w:trHeight w:val="229"/>
        </w:trPr>
        <w:tc>
          <w:tcPr>
            <w:tcW w:w="71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8"/>
              </w:rPr>
              <w:t>Adjustment related to prior periods sales . . . . . . . . . . . . . . . . . . . . . . . . . . . . . . . . . . .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0" w:type="dxa"/>
            <w:vAlign w:val="bottom"/>
          </w:tcPr>
          <w:p>
            <w:pPr>
              <w:spacing w:after="0"/>
              <w:rPr>
                <w:sz w:val="1"/>
                <w:szCs w:val="1"/>
                <w:color w:val="auto"/>
              </w:rPr>
            </w:pPr>
          </w:p>
        </w:tc>
      </w:tr>
      <w:tr>
        <w:trPr>
          <w:trHeight w:val="250"/>
        </w:trPr>
        <w:tc>
          <w:tcPr>
            <w:tcW w:w="71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Credits and payments made . . . .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(65,776)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(27,095)</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.EndingbalanceatDecember31</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33,779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19,274</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total reserves that are included in the Company’s consolidated balance sheets as of December 31, 2024 and 2023, are summarized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85"/>
        </w:trPr>
        <w:tc>
          <w:tcPr>
            <w:tcW w:w="7100" w:type="dxa"/>
            <w:vAlign w:val="bottom"/>
            <w:vMerge w:val="restart"/>
          </w:tcPr>
          <w:p>
            <w:pPr>
              <w:jc w:val="right"/>
              <w:ind w:right="3980"/>
              <w:spacing w:after="0"/>
              <w:rPr>
                <w:sz w:val="20"/>
                <w:szCs w:val="20"/>
                <w:color w:val="auto"/>
              </w:rPr>
            </w:pPr>
            <w:r>
              <w:rPr>
                <w:rFonts w:ascii="Times New Roman" w:cs="Times New Roman" w:eastAsia="Times New Roman" w:hAnsi="Times New Roman"/>
                <w:sz w:val="20"/>
                <w:szCs w:val="20"/>
                <w:color w:val="auto"/>
                <w:w w:val="99"/>
              </w:rPr>
              <w:t>Reduction of accounts receivable, net</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710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2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2,963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1,809</w:t>
            </w:r>
          </w:p>
        </w:tc>
        <w:tc>
          <w:tcPr>
            <w:tcW w:w="0" w:type="dxa"/>
            <w:vAlign w:val="bottom"/>
          </w:tcPr>
          <w:p>
            <w:pPr>
              <w:spacing w:after="0"/>
              <w:rPr>
                <w:sz w:val="1"/>
                <w:szCs w:val="1"/>
                <w:color w:val="auto"/>
              </w:rPr>
            </w:pPr>
          </w:p>
        </w:tc>
      </w:tr>
      <w:tr>
        <w:trPr>
          <w:trHeight w:val="250"/>
        </w:trPr>
        <w:tc>
          <w:tcPr>
            <w:tcW w:w="71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Component of accrued expenses . . . . . . . . . . . . . . . . . . . . . . . . . . . . . . . . . . . . . . . . . . .</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17,465</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.Totalrevenue-relatedreserves</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33,779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720"/>
          </w:cols>
          <w:pgMar w:left="1260" w:top="1246" w:right="1260" w:bottom="187"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7. Inventory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Capitalized inventory consists of the following as of December 31, 2024 and 2023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7"/>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5780" w:type="dxa"/>
            <w:vAlign w:val="bottom"/>
            <w:vMerge w:val="continue"/>
          </w:tcPr>
          <w:p>
            <w:pPr>
              <w:jc w:val="right"/>
              <w:ind w:right="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7"/>
                <w:szCs w:val="17"/>
                <w:color w:val="auto"/>
              </w:rPr>
            </w:pPr>
          </w:p>
        </w:tc>
        <w:tc>
          <w:tcPr>
            <w:tcW w:w="1240" w:type="dxa"/>
            <w:vAlign w:val="bottom"/>
          </w:tcPr>
          <w:p>
            <w:pPr>
              <w:jc w:val="right"/>
              <w:ind w:right="1047"/>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3,147</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w w:val="99"/>
              </w:rPr>
              <w:t>Work in process . . . . . . . . . . . . . . . . . . . . . . . . . . . . . . . . . . . . . . . . . . . . .</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29,132</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w w:val="99"/>
              </w:rPr>
              <w:t>Finished goods . . . . . . . . . . . . . . . . . . . . . . . . . . . . . . . . . . . . . . . . . . . . . .</w:t>
            </w:r>
          </w:p>
        </w:tc>
        <w:tc>
          <w:tcPr>
            <w:tcW w:w="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8,975</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4,823</w:t>
            </w:r>
          </w:p>
        </w:tc>
        <w:tc>
          <w:tcPr>
            <w:tcW w:w="0" w:type="dxa"/>
            <w:vAlign w:val="bottom"/>
          </w:tcPr>
          <w:p>
            <w:pPr>
              <w:spacing w:after="0"/>
              <w:rPr>
                <w:sz w:val="1"/>
                <w:szCs w:val="1"/>
                <w:color w:val="auto"/>
              </w:rPr>
            </w:pPr>
          </w:p>
        </w:tc>
      </w:tr>
      <w:tr>
        <w:trPr>
          <w:trHeight w:val="229"/>
        </w:trPr>
        <w:tc>
          <w:tcPr>
            <w:tcW w:w="57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.Total</w:t>
            </w: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39,275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37,102</w:t>
            </w:r>
          </w:p>
        </w:tc>
        <w:tc>
          <w:tcPr>
            <w:tcW w:w="0" w:type="dxa"/>
            <w:vAlign w:val="bottom"/>
          </w:tcPr>
          <w:p>
            <w:pPr>
              <w:spacing w:after="0"/>
              <w:rPr>
                <w:sz w:val="1"/>
                <w:szCs w:val="1"/>
                <w:color w:val="auto"/>
              </w:rPr>
            </w:pPr>
          </w:p>
        </w:tc>
      </w:tr>
      <w:tr>
        <w:trPr>
          <w:trHeight w:val="478"/>
        </w:trPr>
        <w:tc>
          <w:tcPr>
            <w:tcW w:w="57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Balance sheet classification</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Inventory</w:t>
            </w:r>
          </w:p>
        </w:tc>
        <w:tc>
          <w:tcPr>
            <w:tcW w:w="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5780" w:type="dxa"/>
            <w:vAlign w:val="bottom"/>
            <w:vMerge w:val="continue"/>
          </w:tcPr>
          <w:p>
            <w:pPr>
              <w:jc w:val="right"/>
              <w:ind w:right="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20" w:type="dxa"/>
            <w:vAlign w:val="bottom"/>
          </w:tcPr>
          <w:p>
            <w:pPr>
              <w:spacing w:after="0"/>
              <w:rPr>
                <w:sz w:val="17"/>
                <w:szCs w:val="17"/>
                <w:color w:val="auto"/>
              </w:rPr>
            </w:pPr>
          </w:p>
        </w:tc>
        <w:tc>
          <w:tcPr>
            <w:tcW w:w="1240" w:type="dxa"/>
            <w:vAlign w:val="bottom"/>
          </w:tcPr>
          <w:p>
            <w:pPr>
              <w:jc w:val="right"/>
              <w:ind w:right="1047"/>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13,611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21,223</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w w:val="99"/>
              </w:rPr>
              <w:t>Other assets . . . . . . . . . . . . . . . . . . . . . . . . . . . . . . . . . . . . . . . . . . . . . . . .</w:t>
            </w:r>
          </w:p>
        </w:tc>
        <w:tc>
          <w:tcPr>
            <w:tcW w:w="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15,879</w:t>
            </w:r>
          </w:p>
        </w:tc>
        <w:tc>
          <w:tcPr>
            <w:tcW w:w="0" w:type="dxa"/>
            <w:vAlign w:val="bottom"/>
          </w:tcPr>
          <w:p>
            <w:pPr>
              <w:spacing w:after="0"/>
              <w:rPr>
                <w:sz w:val="1"/>
                <w:szCs w:val="1"/>
                <w:color w:val="auto"/>
              </w:rPr>
            </w:pPr>
          </w:p>
        </w:tc>
      </w:tr>
      <w:tr>
        <w:trPr>
          <w:trHeight w:val="230"/>
        </w:trPr>
        <w:tc>
          <w:tcPr>
            <w:tcW w:w="57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4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39,275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37,102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Inventory amounts written down as a result of excess, obsolescence, unmarketability or other reasons are charged to cost of sales. For the years ended December 31, 2024, 2023 and 2022, the Company recognized write-downs of $0.4 million, $0.7 million and $2.1 million, respectively. Long-term inventory, which primarily consists of work in process is included in other assets in the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Restricted Cash</w:t>
      </w:r>
    </w:p>
    <w:p>
      <w:pPr>
        <w:spacing w:after="0" w:line="244"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Company’s consolidated balance sheets that sum to the total of the same such amounts shown in the consolidated statements of cash flows for the years ended December 31, 2024, 2023 and 2022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59"/>
        </w:trPr>
        <w:tc>
          <w:tcPr>
            <w:tcW w:w="6740" w:type="dxa"/>
            <w:vAlign w:val="bottom"/>
            <w:gridSpan w:val="2"/>
            <w:vMerge w:val="continue"/>
          </w:tcPr>
          <w:p>
            <w:pPr>
              <w:jc w:val="right"/>
              <w:ind w:right="300"/>
              <w:spacing w:after="0" w:line="140" w:lineRule="exact"/>
              <w:rPr>
                <w:sz w:val="20"/>
                <w:szCs w:val="20"/>
                <w:color w:val="auto"/>
              </w:rPr>
            </w:pPr>
            <w:r>
              <w:rPr>
                <w:rFonts w:ascii="Times New Roman" w:cs="Times New Roman" w:eastAsia="Times New Roman" w:hAnsi="Times New Roman"/>
                <w:sz w:val="16"/>
                <w:szCs w:val="16"/>
                <w:color w:val="auto"/>
              </w:rPr>
              <w:t>. . . . . . . . . . . . . . . . . . . . . . . . . . . . . . . . . . . . . . . . . . . . . . . . . . . . . . . .</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102,014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71,286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119,709</w:t>
            </w:r>
          </w:p>
        </w:tc>
        <w:tc>
          <w:tcPr>
            <w:tcW w:w="0" w:type="dxa"/>
            <w:vAlign w:val="bottom"/>
          </w:tcPr>
          <w:p>
            <w:pPr>
              <w:spacing w:after="0"/>
              <w:rPr>
                <w:sz w:val="1"/>
                <w:szCs w:val="1"/>
                <w:color w:val="auto"/>
              </w:rPr>
            </w:pPr>
          </w:p>
        </w:tc>
      </w:tr>
      <w:tr>
        <w:trPr>
          <w:trHeight w:val="199"/>
        </w:trPr>
        <w:tc>
          <w:tcPr>
            <w:tcW w:w="6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Restricted cash . . . . . . . . . . . . . . . . . . . . . . . . . . . . . . . . . . . . . . . . . . . . . . . . . . . . . . . . . . . . . . . .</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0" w:type="dxa"/>
            <w:vAlign w:val="bottom"/>
          </w:tcPr>
          <w:p>
            <w:pPr>
              <w:spacing w:after="0"/>
              <w:rPr>
                <w:sz w:val="1"/>
                <w:szCs w:val="1"/>
                <w:color w:val="auto"/>
              </w:rPr>
            </w:pPr>
          </w:p>
        </w:tc>
      </w:tr>
      <w:tr>
        <w:trPr>
          <w:trHeight w:val="184"/>
        </w:trPr>
        <w:tc>
          <w:tcPr>
            <w:tcW w:w="6720" w:type="dxa"/>
            <w:vAlign w:val="bottom"/>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w w:val="99"/>
              </w:rPr>
              <w:t>Total cash, cash equivalents, and restricted cash shown in consolidated statements of cash flows . . . .</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113,639</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81,524</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124,904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500" w:firstLine="720"/>
        <w:spacing w:after="0" w:line="253" w:lineRule="auto"/>
        <w:rPr>
          <w:sz w:val="20"/>
          <w:szCs w:val="20"/>
          <w:color w:val="auto"/>
        </w:rPr>
      </w:pPr>
      <w:r>
        <w:rPr>
          <w:rFonts w:ascii="Times New Roman" w:cs="Times New Roman" w:eastAsia="Times New Roman" w:hAnsi="Times New Roman"/>
          <w:sz w:val="20"/>
          <w:szCs w:val="20"/>
          <w:color w:val="auto"/>
        </w:rPr>
        <w:t xml:space="preserve">At December 31, 2024 and 2023, $11.6 million and $10.2 million, respectively, of the Company’s cash is restricted by a financial institution primarily related to funds held to satisfy the requirements of certain government agreements and the security deposits for the lease agreements for the Company’s office and laboratory spaces. For additional information, see Note 16,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w:t>
      </w:r>
    </w:p>
    <w:p>
      <w:pPr>
        <w:sectPr>
          <w:pgSz w:w="12240" w:h="15840" w:orient="portrait"/>
          <w:cols w:equalWidth="0" w:num="1">
            <w:col w:w="9720"/>
          </w:cols>
          <w:pgMar w:left="1260" w:top="1243"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720"/>
          </w:cols>
          <w:pgMar w:left="1260" w:top="1243" w:right="1260" w:bottom="187" w:gutter="0" w:footer="0" w:header="0"/>
          <w:type w:val="continuous"/>
        </w:sectPr>
      </w:pPr>
    </w:p>
    <w:bookmarkStart w:id="155" w:name="page156"/>
    <w:bookmarkEnd w:id="155"/>
    <w:p>
      <w:pPr>
        <w:ind w:left="20"/>
        <w:spacing w:after="0"/>
        <w:rPr>
          <w:sz w:val="20"/>
          <w:szCs w:val="20"/>
          <w:color w:val="auto"/>
        </w:rPr>
      </w:pPr>
      <w:r>
        <w:rPr>
          <w:rFonts w:ascii="Times New Roman" w:cs="Times New Roman" w:eastAsia="Times New Roman" w:hAnsi="Times New Roman"/>
          <w:sz w:val="20"/>
          <w:szCs w:val="20"/>
          <w:b w:val="1"/>
          <w:bCs w:val="1"/>
          <w:color w:val="auto"/>
        </w:rPr>
        <w:t>9. Property and Equipment, Net</w:t>
      </w:r>
    </w:p>
    <w:p>
      <w:pPr>
        <w:spacing w:after="0" w:line="243" w:lineRule="exact"/>
        <w:rPr>
          <w:sz w:val="20"/>
          <w:szCs w:val="20"/>
          <w:color w:val="auto"/>
        </w:rPr>
      </w:pPr>
    </w:p>
    <w:p>
      <w:pPr>
        <w:ind w:left="20" w:right="60" w:firstLine="720"/>
        <w:spacing w:after="0" w:line="278" w:lineRule="auto"/>
        <w:rPr>
          <w:sz w:val="20"/>
          <w:szCs w:val="20"/>
          <w:color w:val="auto"/>
        </w:rPr>
      </w:pPr>
      <w:r>
        <w:rPr>
          <w:rFonts w:ascii="Times New Roman" w:cs="Times New Roman" w:eastAsia="Times New Roman" w:hAnsi="Times New Roman"/>
          <w:sz w:val="20"/>
          <w:szCs w:val="20"/>
          <w:color w:val="auto"/>
        </w:rPr>
        <w:t>Property and equipment and related accumulated depreciation as of December 31, 2024 and 2023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85"/>
        </w:trPr>
        <w:tc>
          <w:tcPr>
            <w:tcW w:w="6360" w:type="dxa"/>
            <w:vAlign w:val="bottom"/>
            <w:vMerge w:val="restart"/>
          </w:tcPr>
          <w:p>
            <w:pPr>
              <w:jc w:val="right"/>
              <w:ind w:right="5060"/>
              <w:spacing w:after="0"/>
              <w:rPr>
                <w:sz w:val="20"/>
                <w:szCs w:val="20"/>
                <w:color w:val="auto"/>
              </w:rPr>
            </w:pPr>
            <w:r>
              <w:rPr>
                <w:rFonts w:ascii="Times New Roman" w:cs="Times New Roman" w:eastAsia="Times New Roman" w:hAnsi="Times New Roman"/>
                <w:sz w:val="20"/>
                <w:szCs w:val="20"/>
                <w:color w:val="auto"/>
                <w:w w:val="97"/>
              </w:rPr>
              <w:t>Lab equipment</w:t>
            </w:r>
          </w:p>
        </w:tc>
        <w:tc>
          <w:tcPr>
            <w:tcW w:w="18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636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w:t>
            </w:r>
          </w:p>
        </w:tc>
        <w:tc>
          <w:tcPr>
            <w:tcW w:w="180" w:type="dxa"/>
            <w:vAlign w:val="bottom"/>
          </w:tcPr>
          <w:p>
            <w:pPr>
              <w:spacing w:after="0"/>
              <w:rPr>
                <w:sz w:val="17"/>
                <w:szCs w:val="17"/>
                <w:color w:val="auto"/>
              </w:rPr>
            </w:pPr>
          </w:p>
        </w:tc>
        <w:tc>
          <w:tcPr>
            <w:tcW w:w="1100" w:type="dxa"/>
            <w:vAlign w:val="bottom"/>
            <w:tcBorders>
              <w:top w:val="single" w:sz="8" w:color="auto"/>
            </w:tcBorders>
          </w:tcPr>
          <w:p>
            <w:pPr>
              <w:jc w:val="right"/>
              <w:ind w:right="375"/>
              <w:spacing w:after="0" w:line="201" w:lineRule="exact"/>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25,720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21,311</w:t>
            </w:r>
          </w:p>
        </w:tc>
        <w:tc>
          <w:tcPr>
            <w:tcW w:w="0" w:type="dxa"/>
            <w:vAlign w:val="bottom"/>
          </w:tcPr>
          <w:p>
            <w:pPr>
              <w:spacing w:after="0"/>
              <w:rPr>
                <w:sz w:val="1"/>
                <w:szCs w:val="1"/>
                <w:color w:val="auto"/>
              </w:rPr>
            </w:pPr>
          </w:p>
        </w:tc>
      </w:tr>
      <w:tr>
        <w:trPr>
          <w:trHeight w:val="229"/>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Furniture and fixtures . . . . . . . . . . . . . . . . . . . . . . . . . . . . . . . . . . . . . . . . . . . . . .</w:t>
            </w:r>
          </w:p>
        </w:tc>
        <w:tc>
          <w:tcPr>
            <w:tcW w:w="128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w:t>
            </w:r>
          </w:p>
        </w:tc>
        <w:tc>
          <w:tcPr>
            <w:tcW w:w="0" w:type="dxa"/>
            <w:vAlign w:val="bottom"/>
          </w:tcPr>
          <w:p>
            <w:pPr>
              <w:spacing w:after="0"/>
              <w:rPr>
                <w:sz w:val="1"/>
                <w:szCs w:val="1"/>
                <w:color w:val="auto"/>
              </w:rPr>
            </w:pPr>
          </w:p>
        </w:tc>
      </w:tr>
      <w:tr>
        <w:trPr>
          <w:trHeight w:val="230"/>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Computer equipment . . . . . . . . . . . . . . . . . . . . . . . . . . . . . . . . . . . . . . . . . . . . . . .</w:t>
            </w:r>
          </w:p>
        </w:tc>
        <w:tc>
          <w:tcPr>
            <w:tcW w:w="128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0" w:type="dxa"/>
            <w:vAlign w:val="bottom"/>
          </w:tcPr>
          <w:p>
            <w:pPr>
              <w:spacing w:after="0"/>
              <w:rPr>
                <w:sz w:val="1"/>
                <w:szCs w:val="1"/>
                <w:color w:val="auto"/>
              </w:rPr>
            </w:pPr>
          </w:p>
        </w:tc>
      </w:tr>
      <w:tr>
        <w:trPr>
          <w:trHeight w:val="230"/>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Leasehold improvements . . . . . . . . . . . . . . . . . . . . . . . . . . . . . . . . . . . . . . . . . . . .</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Term of lease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42,301</w:t>
            </w:r>
          </w:p>
        </w:tc>
        <w:tc>
          <w:tcPr>
            <w:tcW w:w="0" w:type="dxa"/>
            <w:vAlign w:val="bottom"/>
          </w:tcPr>
          <w:p>
            <w:pPr>
              <w:spacing w:after="0"/>
              <w:rPr>
                <w:sz w:val="1"/>
                <w:szCs w:val="1"/>
                <w:color w:val="auto"/>
              </w:rPr>
            </w:pPr>
          </w:p>
        </w:tc>
      </w:tr>
      <w:tr>
        <w:trPr>
          <w:trHeight w:val="229"/>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Software . . . . . . . . . . . . . . . . . . . . . . . . . . . . . . . . . . . . . . . . . . . . . . . . . . . . . . . . .</w:t>
            </w:r>
          </w:p>
        </w:tc>
        <w:tc>
          <w:tcPr>
            <w:tcW w:w="128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0" w:type="dxa"/>
            <w:vAlign w:val="bottom"/>
          </w:tcPr>
          <w:p>
            <w:pPr>
              <w:spacing w:after="0"/>
              <w:rPr>
                <w:sz w:val="1"/>
                <w:szCs w:val="1"/>
                <w:color w:val="auto"/>
              </w:rPr>
            </w:pPr>
          </w:p>
        </w:tc>
      </w:tr>
      <w:tr>
        <w:trPr>
          <w:trHeight w:val="250"/>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Construction-in-progress . . . . . . . . . . . . . . . . . . . . . . . . . . . . . . . . . . . . . . . . . . . .</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9,512</w:t>
            </w:r>
          </w:p>
        </w:tc>
        <w:tc>
          <w:tcPr>
            <w:tcW w:w="0" w:type="dxa"/>
            <w:vAlign w:val="bottom"/>
          </w:tcPr>
          <w:p>
            <w:pPr>
              <w:spacing w:after="0"/>
              <w:rPr>
                <w:sz w:val="1"/>
                <w:szCs w:val="1"/>
                <w:color w:val="auto"/>
              </w:rPr>
            </w:pPr>
          </w:p>
        </w:tc>
      </w:tr>
      <w:tr>
        <w:trPr>
          <w:trHeight w:val="201"/>
        </w:trPr>
        <w:tc>
          <w:tcPr>
            <w:tcW w:w="636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.Totalcost</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84,348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80,453</w:t>
            </w:r>
          </w:p>
        </w:tc>
        <w:tc>
          <w:tcPr>
            <w:tcW w:w="0" w:type="dxa"/>
            <w:vAlign w:val="bottom"/>
          </w:tcPr>
          <w:p>
            <w:pPr>
              <w:spacing w:after="0"/>
              <w:rPr>
                <w:sz w:val="1"/>
                <w:szCs w:val="1"/>
                <w:color w:val="auto"/>
              </w:rPr>
            </w:pPr>
          </w:p>
        </w:tc>
      </w:tr>
      <w:tr>
        <w:trPr>
          <w:trHeight w:val="250"/>
        </w:trPr>
        <w:tc>
          <w:tcPr>
            <w:tcW w:w="6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Less: accumulated depreciation and amortization . . . . . . . . . . . . . . . . . . . . . . . .</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(47,755)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(38,494)</w:t>
            </w:r>
          </w:p>
        </w:tc>
        <w:tc>
          <w:tcPr>
            <w:tcW w:w="0" w:type="dxa"/>
            <w:vAlign w:val="bottom"/>
          </w:tcPr>
          <w:p>
            <w:pPr>
              <w:spacing w:after="0"/>
              <w:rPr>
                <w:sz w:val="1"/>
                <w:szCs w:val="1"/>
                <w:color w:val="auto"/>
              </w:rPr>
            </w:pPr>
          </w:p>
        </w:tc>
      </w:tr>
      <w:tr>
        <w:trPr>
          <w:trHeight w:val="230"/>
        </w:trPr>
        <w:tc>
          <w:tcPr>
            <w:tcW w:w="6360" w:type="dxa"/>
            <w:vAlign w:val="bottom"/>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.Total</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36,593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41,959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 w:right="400" w:firstLine="720"/>
        <w:spacing w:after="0" w:line="259" w:lineRule="auto"/>
        <w:rPr>
          <w:sz w:val="20"/>
          <w:szCs w:val="20"/>
          <w:color w:val="auto"/>
        </w:rPr>
      </w:pPr>
      <w:r>
        <w:rPr>
          <w:rFonts w:ascii="Times New Roman" w:cs="Times New Roman" w:eastAsia="Times New Roman" w:hAnsi="Times New Roman"/>
          <w:sz w:val="20"/>
          <w:szCs w:val="20"/>
          <w:color w:val="auto"/>
        </w:rPr>
        <w:t>Property, plant and equipment are recorded at historical cost, net of accumulated depreciation. Depreciation expense for the years ended December 31, 2024, 2023 and 2022 was $9.7 million, $7.7 million and $6.5 million, respectively.</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10. Accrued Expenses</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Accrued expenses as of December 31, 2024 and 2023 consist of the following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4"/>
        </w:trPr>
        <w:tc>
          <w:tcPr>
            <w:tcW w:w="7380" w:type="dxa"/>
            <w:vAlign w:val="bottom"/>
            <w:vMerge w:val="restart"/>
          </w:tcPr>
          <w:p>
            <w:pPr>
              <w:jc w:val="right"/>
              <w:ind w:right="2920"/>
              <w:spacing w:after="0"/>
              <w:rPr>
                <w:sz w:val="20"/>
                <w:szCs w:val="20"/>
                <w:color w:val="auto"/>
              </w:rPr>
            </w:pPr>
            <w:r>
              <w:rPr>
                <w:rFonts w:ascii="Times New Roman" w:cs="Times New Roman" w:eastAsia="Times New Roman" w:hAnsi="Times New Roman"/>
                <w:sz w:val="20"/>
                <w:szCs w:val="20"/>
                <w:color w:val="auto"/>
                <w:w w:val="99"/>
              </w:rPr>
              <w:t>Research, development and commercial contract costs</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738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18"/>
                <w:szCs w:val="18"/>
                <w:color w:val="auto"/>
              </w:rPr>
            </w:pPr>
          </w:p>
        </w:tc>
        <w:tc>
          <w:tcPr>
            <w:tcW w:w="220" w:type="dxa"/>
            <w:vAlign w:val="bottom"/>
          </w:tcPr>
          <w:p>
            <w:pPr>
              <w:jc w:val="right"/>
              <w:ind w:right="27"/>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33,957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49,354</w:t>
            </w:r>
          </w:p>
        </w:tc>
        <w:tc>
          <w:tcPr>
            <w:tcW w:w="0" w:type="dxa"/>
            <w:vAlign w:val="bottom"/>
          </w:tcPr>
          <w:p>
            <w:pPr>
              <w:spacing w:after="0"/>
              <w:rPr>
                <w:sz w:val="1"/>
                <w:szCs w:val="1"/>
                <w:color w:val="auto"/>
              </w:rPr>
            </w:pPr>
          </w:p>
        </w:tc>
      </w:tr>
      <w:tr>
        <w:trPr>
          <w:trHeight w:val="230"/>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Employee compensation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43,434</w:t>
            </w:r>
          </w:p>
        </w:tc>
        <w:tc>
          <w:tcPr>
            <w:tcW w:w="0" w:type="dxa"/>
            <w:vAlign w:val="bottom"/>
          </w:tcPr>
          <w:p>
            <w:pPr>
              <w:spacing w:after="0"/>
              <w:rPr>
                <w:sz w:val="1"/>
                <w:szCs w:val="1"/>
                <w:color w:val="auto"/>
              </w:rPr>
            </w:pPr>
          </w:p>
        </w:tc>
      </w:tr>
      <w:tr>
        <w:trPr>
          <w:trHeight w:val="229"/>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Accrued professional fees . . . . . . . . . . . . . .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12,522</w:t>
            </w:r>
          </w:p>
        </w:tc>
        <w:tc>
          <w:tcPr>
            <w:tcW w:w="0" w:type="dxa"/>
            <w:vAlign w:val="bottom"/>
          </w:tcPr>
          <w:p>
            <w:pPr>
              <w:spacing w:after="0"/>
              <w:rPr>
                <w:sz w:val="1"/>
                <w:szCs w:val="1"/>
                <w:color w:val="auto"/>
              </w:rPr>
            </w:pPr>
          </w:p>
        </w:tc>
      </w:tr>
      <w:tr>
        <w:trPr>
          <w:trHeight w:val="230"/>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Revenue-related reserves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17,465</w:t>
            </w:r>
          </w:p>
        </w:tc>
        <w:tc>
          <w:tcPr>
            <w:tcW w:w="0" w:type="dxa"/>
            <w:vAlign w:val="bottom"/>
          </w:tcPr>
          <w:p>
            <w:pPr>
              <w:spacing w:after="0"/>
              <w:rPr>
                <w:sz w:val="1"/>
                <w:szCs w:val="1"/>
                <w:color w:val="auto"/>
              </w:rPr>
            </w:pPr>
          </w:p>
        </w:tc>
      </w:tr>
      <w:tr>
        <w:trPr>
          <w:trHeight w:val="250"/>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0" w:type="dxa"/>
            <w:vAlign w:val="bottom"/>
          </w:tcPr>
          <w:p>
            <w:pPr>
              <w:spacing w:after="0"/>
              <w:rPr>
                <w:sz w:val="1"/>
                <w:szCs w:val="1"/>
                <w:color w:val="auto"/>
              </w:rPr>
            </w:pPr>
          </w:p>
        </w:tc>
      </w:tr>
      <w:tr>
        <w:trPr>
          <w:trHeight w:val="230"/>
        </w:trPr>
        <w:tc>
          <w:tcPr>
            <w:tcW w:w="738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133,088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127,992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11. Collaboration, License and Other Agreements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Rigel</w:t>
      </w:r>
    </w:p>
    <w:p>
      <w:pPr>
        <w:spacing w:after="0" w:line="240" w:lineRule="exact"/>
        <w:rPr>
          <w:sz w:val="20"/>
          <w:szCs w:val="20"/>
          <w:color w:val="auto"/>
        </w:rPr>
      </w:pPr>
    </w:p>
    <w:p>
      <w:pPr>
        <w:ind w:left="20" w:right="80" w:firstLine="720"/>
        <w:spacing w:after="0" w:line="245" w:lineRule="auto"/>
        <w:rPr>
          <w:sz w:val="20"/>
          <w:szCs w:val="20"/>
          <w:color w:val="auto"/>
        </w:rPr>
      </w:pPr>
      <w:r>
        <w:rPr>
          <w:rFonts w:ascii="Times New Roman" w:cs="Times New Roman" w:eastAsia="Times New Roman" w:hAnsi="Times New Roman"/>
          <w:sz w:val="20"/>
          <w:szCs w:val="20"/>
          <w:color w:val="auto"/>
        </w:rPr>
        <w:t>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the Company transitioned certain inventory and regulatory and distribution responsibilities for pralsetinib to Rigel.</w:t>
      </w:r>
    </w:p>
    <w:p>
      <w:pPr>
        <w:spacing w:after="0" w:line="201" w:lineRule="exact"/>
        <w:rPr>
          <w:sz w:val="20"/>
          <w:szCs w:val="20"/>
          <w:color w:val="auto"/>
        </w:rPr>
      </w:pPr>
    </w:p>
    <w:p>
      <w:pPr>
        <w:ind w:left="20" w:right="120" w:firstLine="720"/>
        <w:spacing w:after="0" w:line="246" w:lineRule="auto"/>
        <w:rPr>
          <w:sz w:val="20"/>
          <w:szCs w:val="20"/>
          <w:color w:val="auto"/>
        </w:rPr>
      </w:pPr>
      <w:r>
        <w:rPr>
          <w:rFonts w:ascii="Times New Roman" w:cs="Times New Roman" w:eastAsia="Times New Roman" w:hAnsi="Times New Roman"/>
          <w:sz w:val="20"/>
          <w:szCs w:val="20"/>
          <w:color w:val="auto"/>
        </w:rPr>
        <w:t>Under the terms of the Rigel Agreement, the Company has the right to receive a purchase price of $15.0 million, with $10.0 million paid upon first commercial sale of GAVRETO by Rigel and an additional $5.0 million as a delayed purchase price payable on the later of (i) the first anniversary of the closing date of the transaction, or (ii) the completion of certain transition activities. The Company is also eligible to receive up to $ 102.5 million in contingent specified regulatory and commercial milestone payments, in addition to tiered percentage royalties ranging from 10 percent to 30 percent on annual net sales of GAVRETO in the U.S. The royalties will be payable until the later of (i) the expiration of the royalty term, as defined in the agreement, which begins on the date of the first commercial sale of</w:t>
      </w:r>
    </w:p>
    <w:p>
      <w:pPr>
        <w:sectPr>
          <w:pgSz w:w="12240" w:h="15840" w:orient="portrait"/>
          <w:cols w:equalWidth="0" w:num="1">
            <w:col w:w="9760"/>
          </w:cols>
          <w:pgMar w:left="1240" w:top="1243" w:right="12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760"/>
          </w:cols>
          <w:pgMar w:left="1240" w:top="1243" w:right="1240" w:bottom="187" w:gutter="0" w:footer="0" w:header="0"/>
          <w:type w:val="continuous"/>
        </w:sectPr>
      </w:pPr>
    </w:p>
    <w:bookmarkStart w:id="156" w:name="page157"/>
    <w:bookmarkEnd w:id="156"/>
    <w:p>
      <w:pPr>
        <w:ind w:right="460"/>
        <w:spacing w:after="0" w:line="278" w:lineRule="auto"/>
        <w:rPr>
          <w:sz w:val="20"/>
          <w:szCs w:val="20"/>
          <w:color w:val="auto"/>
        </w:rPr>
      </w:pPr>
      <w:r>
        <w:rPr>
          <w:rFonts w:ascii="Times New Roman" w:cs="Times New Roman" w:eastAsia="Times New Roman" w:hAnsi="Times New Roman"/>
          <w:sz w:val="20"/>
          <w:szCs w:val="20"/>
          <w:color w:val="auto"/>
        </w:rPr>
        <w:t>GAVRETO in the U.S., (ii) the date of expiration of the last valid patent claim within the Company’s IP that covers GAVRETO in the U.S., and (iii) the expiration of the last regulatory exclusivity for GAVRETO in the U.S.</w:t>
      </w:r>
    </w:p>
    <w:p>
      <w:pPr>
        <w:spacing w:after="0" w:line="16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Company determined that the Rigel Agreement is a transaction with a customer and therefore accounted for the transaction in accordance with ASC 606. As of the effective date, the Company determined that the agreement includes three performance obligations: the delivery of (1) the U.S. rights to GAVRETO; (2) additional pralsetinib clinical data; and (3) GAVRETO product to be purchased from Genentech.</w:t>
      </w:r>
    </w:p>
    <w:p>
      <w:pPr>
        <w:spacing w:after="0" w:line="193"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The transaction price under ASC 606 was fully constrained at the inception of the Rigel Agreement due to the pending completion of key transition activities stipulated in the agreement, including the transfer of the new drug application (NDA). These key transition activities, including the transfer of the NDA, related patents, and GAVRETO product, were completed in the second quarter of 2024. The performance obligations related to the U.S. rights to GAVRETO and the delivery of GAVRETO product were satisfied at a point in time upon the completion of these key transition activities. The transaction price was determined to be $27.7 million, which consisted of $6.5 million consideration for the GAVRETO product, $10.0 million upfront purchase price payment, and $11.2 million in the milestone and royalty payments that were considered probable of achievement and not subject to significant subsequent reversal of revenue. The transaction price was allocated to the three performance obligations on a relative stand-alone selling price basis.</w:t>
      </w:r>
    </w:p>
    <w:p>
      <w:pPr>
        <w:spacing w:after="0" w:line="202"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total revenue of $24.3 million which is primarily comprised of GAVRETO product consideration of $6.5 million and the transaction price allocated to the U.S. rights to GAVRETO performance obligation of $ 17.6 million. The additional clinical data performance obligation will be satisfied at a point in time once the transfer of such data to Rigel is completed, and the allocated transaction price of $3.6 million was recorded as deferred revenue on the consolidated financial statements as of December 31, 2024.</w:t>
      </w:r>
    </w:p>
    <w:p>
      <w:pPr>
        <w:spacing w:after="0" w:line="197"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94"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assets and liabilities under the Rigel agreements as of December 31, 2024 (in thousands):</w:t>
      </w:r>
    </w:p>
    <w:p>
      <w:pPr>
        <w:spacing w:after="0" w:line="19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3992880</wp:posOffset>
                </wp:positionH>
                <wp:positionV relativeFrom="paragraph">
                  <wp:posOffset>14605</wp:posOffset>
                </wp:positionV>
                <wp:extent cx="217424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42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4pt,1.15pt" to="485.6pt,1.15pt" o:allowincell="f" strokecolor="#000000" strokeweight="0.48pt"/>
            </w:pict>
          </mc:Fallback>
        </mc:AlternateContent>
      </w:r>
    </w:p>
    <w:p>
      <w:pPr>
        <w:spacing w:after="0" w:line="16" w:lineRule="exact"/>
        <w:rPr>
          <w:sz w:val="20"/>
          <w:szCs w:val="20"/>
          <w:color w:val="auto"/>
        </w:rPr>
      </w:pPr>
    </w:p>
    <w:p>
      <w:pPr>
        <w:ind w:left="6520"/>
        <w:spacing w:after="0"/>
        <w:tabs>
          <w:tab w:leader="none" w:pos="7580" w:val="left"/>
          <w:tab w:leader="none" w:pos="9000" w:val="left"/>
        </w:tabs>
        <w:rPr>
          <w:sz w:val="20"/>
          <w:szCs w:val="20"/>
          <w:color w:val="auto"/>
        </w:rPr>
      </w:pPr>
      <w:r>
        <w:rPr>
          <w:rFonts w:ascii="Times New Roman" w:cs="Times New Roman" w:eastAsia="Times New Roman" w:hAnsi="Times New Roman"/>
          <w:sz w:val="16"/>
          <w:szCs w:val="16"/>
          <w:b w:val="1"/>
          <w:bCs w:val="1"/>
          <w:color w:val="auto"/>
        </w:rPr>
        <w:t>Current</w:t>
      </w:r>
      <w:r>
        <w:rPr>
          <w:sz w:val="20"/>
          <w:szCs w:val="20"/>
          <w:color w:val="auto"/>
        </w:rPr>
        <w:tab/>
      </w:r>
      <w:r>
        <w:rPr>
          <w:rFonts w:ascii="Times New Roman" w:cs="Times New Roman" w:eastAsia="Times New Roman" w:hAnsi="Times New Roman"/>
          <w:sz w:val="16"/>
          <w:szCs w:val="16"/>
          <w:b w:val="1"/>
          <w:bCs w:val="1"/>
          <w:u w:val="single" w:color="auto"/>
          <w:color w:val="auto"/>
        </w:rPr>
        <w:t>Noncurrent</w:t>
      </w:r>
      <w:r>
        <w:rPr>
          <w:sz w:val="20"/>
          <w:szCs w:val="20"/>
          <w:color w:val="auto"/>
        </w:rPr>
        <w:tab/>
      </w: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3992880</wp:posOffset>
                </wp:positionH>
                <wp:positionV relativeFrom="paragraph">
                  <wp:posOffset>5080</wp:posOffset>
                </wp:positionV>
                <wp:extent cx="64452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4pt,0.4pt" to="365.15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5525770</wp:posOffset>
                </wp:positionH>
                <wp:positionV relativeFrom="paragraph">
                  <wp:posOffset>5080</wp:posOffset>
                </wp:positionV>
                <wp:extent cx="6413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1pt,0.4pt" to="485.6pt,0.4pt" o:allowincell="f" strokecolor="#000000" strokeweight="0.48pt"/>
            </w:pict>
          </mc:Fallback>
        </mc:AlternateConten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Contract assets . . . . . . . . . . . . . . . . . . . . . . . . . . . . . . . . . . . . . . . . . . . . . . . . . .</w:t>
            </w: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2,939</w:t>
            </w:r>
          </w:p>
        </w:tc>
        <w:tc>
          <w:tcPr>
            <w:tcW w:w="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7,380</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10,319</w:t>
            </w:r>
          </w:p>
        </w:tc>
      </w:tr>
      <w:tr>
        <w:trPr>
          <w:trHeight w:val="26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Contract liabilities . . . . . . . . . . . . . . . . . . . . . . . . . . . . . . . . . . . . . . . . . . . . . . .</w:t>
            </w: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3,562</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IDRx</w:t>
      </w:r>
    </w:p>
    <w:p>
      <w:pPr>
        <w:spacing w:after="0" w:line="239"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In August 2022, the Company entered into 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among IDRx’s founders are Alexis Borisy, George Demetri, M.D., and Nicholas Lydon, Ph.D., who were each a member of the Company’s board of directors at the time. Due to these relationships, the transaction with IDRx is a related party transaction.</w:t>
      </w:r>
    </w:p>
    <w:p>
      <w:pPr>
        <w:spacing w:after="0" w:line="200"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 The shares are restricted from reselling unless IDRx subsequently proposes a resale registered under the Securities Act or if an exemption from registration is otherwise available.</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720"/>
          </w:cols>
          <w:pgMar w:left="1260" w:top="1246" w:right="1260" w:bottom="187" w:gutter="0" w:footer="0" w:header="0"/>
          <w:type w:val="continuous"/>
        </w:sectPr>
      </w:pPr>
    </w:p>
    <w:bookmarkStart w:id="157" w:name="page158"/>
    <w:bookmarkEnd w:id="157"/>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pacing w:after="0" w:line="191" w:lineRule="exact"/>
        <w:rPr>
          <w:sz w:val="20"/>
          <w:szCs w:val="20"/>
          <w:color w:val="auto"/>
        </w:rPr>
      </w:pPr>
    </w:p>
    <w:p>
      <w:pPr>
        <w:jc w:val="both"/>
        <w:ind w:right="40" w:firstLine="720"/>
        <w:spacing w:after="0" w:line="244" w:lineRule="auto"/>
        <w:rPr>
          <w:sz w:val="20"/>
          <w:szCs w:val="20"/>
          <w:color w:val="auto"/>
        </w:rPr>
      </w:pPr>
      <w:r>
        <w:rPr>
          <w:rFonts w:ascii="Times New Roman" w:cs="Times New Roman" w:eastAsia="Times New Roman" w:hAnsi="Times New Roman"/>
          <w:sz w:val="19"/>
          <w:szCs w:val="19"/>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the first commercial sale of such licensed product in such country.</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Following the end of the term for any such licensed product and in such region by expiration, the license granted to IDRx will become exclusive, perpetual, irrevocable, fully paid-up and royalty -free.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204"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spacing w:after="0" w:line="19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201"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For the purposes of ASC 606, the transaction price of the IDRx License Agreement at the contract inception was determined to be $27.5 million and recorded as license revenue-related party on the consolidated statements of operations and comprehensive loss in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202"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 traded and does not have a readily determinable fair value. Therefore, the preferred stock investment was accounted for under the measurement alternative for equity investments that do not have a readily determinable fair value, at cost of $27.8 million including transaction costs of $0.3 million. If observable price changes in orderly transactions for the identical or similar investment are identified, the Company will adjust the carrying value of the investment to its fair value as of the transaction date. During the year ended December 31, 2024, IDRx completed a Series B preferred stock financing and accordingly, the Company adjusted the carrying value of its investment in IDRx to $28.7 million. The $0.9 million investment gain was recorded as other income on the Company’s consolidated</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700"/>
          </w:cols>
          <w:pgMar w:left="1260" w:top="1246" w:right="1280" w:bottom="187" w:gutter="0" w:footer="0" w:header="0"/>
          <w:type w:val="continuous"/>
        </w:sectPr>
      </w:pPr>
    </w:p>
    <w:bookmarkStart w:id="158" w:name="page159"/>
    <w:bookmarkEnd w:id="158"/>
    <w:p>
      <w:pPr>
        <w:ind w:right="200"/>
        <w:spacing w:after="0" w:line="278" w:lineRule="auto"/>
        <w:rPr>
          <w:sz w:val="20"/>
          <w:szCs w:val="20"/>
          <w:color w:val="auto"/>
        </w:rPr>
      </w:pPr>
      <w:r>
        <w:rPr>
          <w:rFonts w:ascii="Times New Roman" w:cs="Times New Roman" w:eastAsia="Times New Roman" w:hAnsi="Times New Roman"/>
          <w:sz w:val="20"/>
          <w:szCs w:val="20"/>
          <w:color w:val="auto"/>
        </w:rPr>
        <w:t>statements of operations and comprehensive loss. No revenue was recorded under the IDRx License Agreement during the years ended December 31, 2024 and 2023.</w:t>
      </w:r>
    </w:p>
    <w:p>
      <w:pPr>
        <w:spacing w:after="0" w:line="168"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VantAI</w:t>
      </w:r>
    </w:p>
    <w:p>
      <w:pPr>
        <w:spacing w:after="0" w:line="23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provides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w:t>
      </w:r>
    </w:p>
    <w:p>
      <w:pPr>
        <w:spacing w:after="0" w:line="202"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Under the A&amp;R Agreement, VantAI is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ranging from the mid-single digits on annual net sales of each licensed product in the applicable territory, subject to adjustment in specified circumstances.</w:t>
      </w:r>
    </w:p>
    <w:p>
      <w:pPr>
        <w:spacing w:after="0" w:line="197"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year ended December 31, 2024, the Company recorded research and development expense of $7.5 million under the A&amp;R Agreement. During the years ended December 31, 2023 and 2022, research and development expense recorded under the 2022 Agreement was $4.0 million and $4.4 million, respectively. The following table summarizes the prepaid assets associated with the A&amp;R Agreement as of December 31, 2024 and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60" w:type="dxa"/>
            <w:vAlign w:val="bottom"/>
            <w:vMerge w:val="restart"/>
          </w:tcPr>
          <w:p>
            <w:pPr>
              <w:jc w:val="right"/>
              <w:ind w:right="2420"/>
              <w:spacing w:after="0"/>
              <w:rPr>
                <w:sz w:val="20"/>
                <w:szCs w:val="20"/>
                <w:color w:val="auto"/>
              </w:rPr>
            </w:pPr>
            <w:r>
              <w:rPr>
                <w:rFonts w:ascii="Times New Roman" w:cs="Times New Roman" w:eastAsia="Times New Roman" w:hAnsi="Times New Roman"/>
                <w:sz w:val="20"/>
                <w:szCs w:val="20"/>
                <w:color w:val="auto"/>
                <w:w w:val="99"/>
              </w:rPr>
              <w:t>Prepaid assets</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Noncurrent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Noncurrent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3660" w:type="dxa"/>
            <w:vAlign w:val="bottom"/>
            <w:vMerge w:val="continue"/>
          </w:tcPr>
          <w:p>
            <w:pPr>
              <w:jc w:val="right"/>
              <w:ind w:right="160"/>
              <w:spacing w:after="0" w:line="191" w:lineRule="exact"/>
              <w:rPr>
                <w:sz w:val="20"/>
                <w:szCs w:val="20"/>
                <w:color w:val="auto"/>
              </w:rPr>
            </w:pPr>
            <w:r>
              <w:rPr>
                <w:rFonts w:ascii="Times New Roman" w:cs="Times New Roman" w:eastAsia="Times New Roman" w:hAnsi="Times New Roman"/>
                <w:sz w:val="20"/>
                <w:szCs w:val="20"/>
                <w:color w:val="auto"/>
              </w:rPr>
              <w:t>.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4,971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  2,666</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7,637</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6,581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  6,581</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13,162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The Company reevaluates the expected research period at the end of each reporting period and prospectively adjusts the amortization of the asset for changes in the expected research period. Each research and development milestone payment is accrued and expensed when probable.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Zai Lab</w:t>
      </w:r>
    </w:p>
    <w:p>
      <w:pPr>
        <w:spacing w:after="0" w:line="239"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which currently include BLU-945 and BLU-525. In January 2024, the Company decided to discontinue further investment in the early clinical-stage therapies for EGFR-mutant NSCLC globally. Zai Lab retains its rights to BLU-945 and BLU-525 under the agreement. The Company retains exclusive rights to the licensed products outside the</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720"/>
          </w:cols>
          <w:pgMar w:left="1260" w:top="1246" w:right="1260" w:bottom="187" w:gutter="0" w:footer="0" w:header="0"/>
          <w:type w:val="continuous"/>
        </w:sectPr>
      </w:pPr>
    </w:p>
    <w:bookmarkStart w:id="159" w:name="page160"/>
    <w:bookmarkEnd w:id="159"/>
    <w:p>
      <w:pPr>
        <w:ind w:right="740"/>
        <w:spacing w:after="0" w:line="278" w:lineRule="auto"/>
        <w:rPr>
          <w:sz w:val="20"/>
          <w:szCs w:val="20"/>
          <w:color w:val="auto"/>
        </w:rPr>
      </w:pPr>
      <w:r>
        <w:rPr>
          <w:rFonts w:ascii="Times New Roman" w:cs="Times New Roman" w:eastAsia="Times New Roman" w:hAnsi="Times New Roman"/>
          <w:sz w:val="20"/>
          <w:szCs w:val="20"/>
          <w:color w:val="auto"/>
        </w:rPr>
        <w:t>Zai Lab Territory. The decision to deprioritize the licensed products does not have an impact on the Company’s accounting treatment related to the Zai Lab agreement.</w:t>
      </w:r>
    </w:p>
    <w:p>
      <w:pPr>
        <w:spacing w:after="0" w:line="16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 Zai Lab is responsible for conducting all development and commercialization activities in the Zai Lab Territory related to the licensed drug candidates.</w:t>
      </w:r>
    </w:p>
    <w:p>
      <w:pPr>
        <w:spacing w:after="0" w:line="201"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Zai Lab agreement will continue on a licensed product-by-product and region-by-region basis until the later of (i) the 12th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 at least 12 months after the date of notice, in the event such notice is given after the first commercial sale of a licensed product in the Zai Lab Territory or</w:t>
      </w:r>
    </w:p>
    <w:p>
      <w:pPr>
        <w:spacing w:after="0" w:line="5" w:lineRule="exact"/>
        <w:rPr>
          <w:sz w:val="20"/>
          <w:szCs w:val="20"/>
          <w:color w:val="auto"/>
        </w:rPr>
      </w:pPr>
    </w:p>
    <w:p>
      <w:pPr>
        <w:jc w:val="both"/>
        <w:ind w:firstLine="7"/>
        <w:spacing w:after="0" w:line="243" w:lineRule="auto"/>
        <w:tabs>
          <w:tab w:leader="none" w:pos="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200"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The Company concluded that the Zai Lab agreement is a collaborative agreement under ASC 808. The Company determined that the Zai Lab agreement contained two material components: (i) licenses granted to Zai Lab to exploit and develop each licensed product in the Zai Lab Territory and related activities in the Zai Lab Territory, including manufacturing, and (ii) global development of the licensed products. The Company concluded that Zai Lab is the Company’s customer for the licenses and related activities in the Zai Lab Territory under ASC 606, whereas payments received by the Company for global development activities, including manufacturing, are accounted for as a reduction of related expenses. The Company did not record significant net reductions of expenses under the Zai Lab agreement during the years ended December 31, 2024, 2023 and 2022.</w:t>
      </w:r>
    </w:p>
    <w:p>
      <w:pPr>
        <w:spacing w:after="0" w:line="203"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The Company evaluated the Zai Lab Territory specific licenses and related activities under ASC 606 and identified one performance obligation, which consists of the licenses and their initial know -how transfer at the outset of the arrangement. The manufacturing activities were excluded as performance obligation at the outset of the arrangement because it represented a customer option that was not a material right.</w:t>
      </w:r>
    </w:p>
    <w:p>
      <w:pPr>
        <w:spacing w:after="0" w:line="19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Company determined that the license is a functional intellectual property license as Zai Lab benefited from the license along with the initial know-how transfer at the time of grant, and therefore the related performance obligation is satisfied at a point in time. The transaction price of the Zai Lab agreement at the outset of the arrangement was determined to be $25.0 million and the Company satisfied the performance obligation upon delivery of the licenses and initial know-how transfer and accordingly, the upfront payment of $25.0 million was recognized as revenue in 2021. All milestone and royalty payments that the Company is eligible to receive were excluded from the transaction price, as all amounts were fully constrained based on the probability of achievement. The Company reevaluates the transaction price at the end of each reporting period and as uncertain events are resolved or other changes in circumstances occur. Costs that are incurred associated with Zai Lab Territory specific activities are reimbursable from Zai Lab and are recognized as revenue. The Company did not record any revenue under the Zai Lab agreement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the revenue recorded during the years ended December 31, 2023 and 2022 was not significant.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 Pralsetinib Collaboration</w:t>
      </w:r>
    </w:p>
    <w:p>
      <w:pPr>
        <w:spacing w:after="0" w:line="23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The Roche pralsetinib collaboration agreement was terminated on February 22, 2024 (the collaboration termination effective date), at which time the Company regained commercialization</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700"/>
          </w:cols>
          <w:pgMar w:left="1260" w:top="1246" w:right="1280" w:bottom="187" w:gutter="0" w:footer="0" w:header="0"/>
          <w:type w:val="continuous"/>
        </w:sectPr>
      </w:pPr>
    </w:p>
    <w:bookmarkStart w:id="160" w:name="page161"/>
    <w:bookmarkEnd w:id="160"/>
    <w:p>
      <w:pPr>
        <w:ind w:right="20"/>
        <w:spacing w:after="0" w:line="249" w:lineRule="auto"/>
        <w:rPr>
          <w:sz w:val="20"/>
          <w:szCs w:val="20"/>
          <w:color w:val="auto"/>
        </w:rPr>
      </w:pPr>
      <w:r>
        <w:rPr>
          <w:rFonts w:ascii="Times New Roman" w:cs="Times New Roman" w:eastAsia="Times New Roman" w:hAnsi="Times New Roman"/>
          <w:sz w:val="20"/>
          <w:szCs w:val="20"/>
          <w:color w:val="auto"/>
        </w:rPr>
        <w:t>and development rights to GAVRETO from Roche worldwide excluding the CStone Territory. The Company and Roche continued to perform their respective obligations under the Roche pralsetinib collaboration agreement through the collaboration termination effective date. On February 22, 2024, the Company and Roche entered into a transition agreement (the Roche transition agreement) in connection with the termination of the Roche pralsetinib collaboration agreement.</w:t>
      </w:r>
    </w:p>
    <w:p>
      <w:pPr>
        <w:spacing w:after="0" w:line="19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Under the Roche pralsetinib collaboration agreement, the Company received an upfront cash payment of $675.0 million and Roche Holdings, Inc. (Roche Holdings) purchased 1,035,519 shares of the Company’s common stock at a purchase price of $96.57 per share for consideration of $100.0 million under a stock purchase agreement entered into in July 2020 in connection with the agreement. The fair market value of the common stock issued to Roche Holdings was $79.3 million on the date of issuance and the premium of $20.7 million was attributed to the transaction price of the Roche pralsetinib collaboration agreement.</w:t>
      </w:r>
    </w:p>
    <w:p>
      <w:pPr>
        <w:spacing w:after="0" w:line="20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In the U.S., the Company and Roche co-commercialized pralsetinib and shared profits and losses equally. In addition, the Company received tiered royalties on annual net sales of pralsetinib outside the U.S., excluding the CStone Territory (the Roche Territory). The Company and Roche shared global development costs for pralsetinib at a rate of 45 percent for the Company and 55 percent for Roche.</w:t>
      </w:r>
    </w:p>
    <w:p>
      <w:pPr>
        <w:spacing w:after="0" w:line="193"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Company concluded that the Roche pralsetinib collaboration agreement contained two material promises within the scope of ASC 606, pralsetinib license and the Roche Territory activities. The Company evaluated the Roche pralsetinib license under ASC 606 and concluded that the pralsetinib license was a functional intellectual property license and a distinct performance obligation. The Company determined that Roche benefited from the pralsetinib license at the time of grant, and therefore the related performance obligation was satisfied at a point in time.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transaction price of the Roche pralsetinib collaboration agreement at the outset of the arrangement was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determined to be $695.7 million, which consisted of the upfront cash payment of $675.0 million and the $20.7 million</w:t>
      </w:r>
    </w:p>
    <w:p>
      <w:pPr>
        <w:spacing w:after="0"/>
        <w:rPr>
          <w:sz w:val="20"/>
          <w:szCs w:val="20"/>
          <w:color w:val="auto"/>
        </w:rPr>
      </w:pPr>
      <w:r>
        <w:rPr>
          <w:rFonts w:ascii="Times New Roman" w:cs="Times New Roman" w:eastAsia="Times New Roman" w:hAnsi="Times New Roman"/>
          <w:sz w:val="20"/>
          <w:szCs w:val="20"/>
          <w:color w:val="auto"/>
        </w:rPr>
        <w:t>premium on the sale of common stock to Roche Holdings, which was allocated to the performance obligation related to</w:t>
      </w:r>
    </w:p>
    <w:p>
      <w:pPr>
        <w:spacing w:after="0"/>
        <w:rPr>
          <w:sz w:val="20"/>
          <w:szCs w:val="20"/>
          <w:color w:val="auto"/>
        </w:rPr>
      </w:pPr>
      <w:r>
        <w:rPr>
          <w:rFonts w:ascii="Times New Roman" w:cs="Times New Roman" w:eastAsia="Times New Roman" w:hAnsi="Times New Roman"/>
          <w:sz w:val="20"/>
          <w:szCs w:val="20"/>
          <w:color w:val="auto"/>
        </w:rPr>
        <w:t>the pralsetinib licenses. Through the collaboration termination effective date, the Company achieved an aggregate of</w:t>
      </w:r>
    </w:p>
    <w:p>
      <w:pPr>
        <w:spacing w:after="0"/>
        <w:rPr>
          <w:sz w:val="20"/>
          <w:szCs w:val="20"/>
          <w:color w:val="auto"/>
        </w:rPr>
      </w:pPr>
      <w:r>
        <w:rPr>
          <w:rFonts w:ascii="Times New Roman" w:cs="Times New Roman" w:eastAsia="Times New Roman" w:hAnsi="Times New Roman"/>
          <w:sz w:val="20"/>
          <w:szCs w:val="20"/>
          <w:color w:val="auto"/>
        </w:rPr>
        <w:t>$105.0 million in specified regulatory and commercialization milestones, which were added to the estimated transaction</w:t>
      </w:r>
    </w:p>
    <w:p>
      <w:pPr>
        <w:spacing w:after="0"/>
        <w:rPr>
          <w:sz w:val="20"/>
          <w:szCs w:val="20"/>
          <w:color w:val="auto"/>
        </w:rPr>
      </w:pPr>
      <w:r>
        <w:rPr>
          <w:rFonts w:ascii="Times New Roman" w:cs="Times New Roman" w:eastAsia="Times New Roman" w:hAnsi="Times New Roman"/>
          <w:sz w:val="20"/>
          <w:szCs w:val="20"/>
          <w:color w:val="auto"/>
        </w:rPr>
        <w:t>price of the Roche pralsetinib collaboration agreement and recorded as revenue in the respective periods when they were</w:t>
      </w:r>
    </w:p>
    <w:p>
      <w:pPr>
        <w:spacing w:after="0"/>
        <w:rPr>
          <w:sz w:val="20"/>
          <w:szCs w:val="20"/>
          <w:color w:val="auto"/>
        </w:rPr>
      </w:pPr>
      <w:r>
        <w:rPr>
          <w:rFonts w:ascii="Times New Roman" w:cs="Times New Roman" w:eastAsia="Times New Roman" w:hAnsi="Times New Roman"/>
          <w:sz w:val="20"/>
          <w:szCs w:val="20"/>
          <w:color w:val="auto"/>
        </w:rPr>
        <w:t>achieved.</w:t>
      </w:r>
    </w:p>
    <w:p>
      <w:pPr>
        <w:spacing w:after="0" w:line="211"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For the parties’ participation in global development for pralsetinib and the U.S. commercialization activities for GAVRETO, the Company concluded that those activities and cost-sharing payments related to such activities were within the scope of ASC 808, as both parties were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were accounted for either as an increase or reduction of research and development expenses.</w:t>
      </w:r>
    </w:p>
    <w:p>
      <w:pPr>
        <w:spacing w:after="0" w:line="20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No operating expenses were recorded under the Roche pralsetinib collaboration since June 30, 2024. The following table summarizes the amounts recognized as reductions to selling, general and administrative expenses related to the commercialization of GAVRETO in the U.S., and reductions to (increases in) research and development expenses related to global development activities for pralsetinib under the Roche pralsetinib collaboration during the years ended December 31, 2024, 2023 and 2022 (in thousands):</w:t>
      </w:r>
    </w:p>
    <w:p>
      <w:pPr>
        <w:spacing w:after="0" w:line="21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4076700</wp:posOffset>
                </wp:positionH>
                <wp:positionV relativeFrom="paragraph">
                  <wp:posOffset>15875</wp:posOffset>
                </wp:positionV>
                <wp:extent cx="209042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04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1.25pt" to="485.6pt,1.25pt" o:allowincell="f" strokecolor="#000000" strokeweight="0.48pt"/>
            </w:pict>
          </mc:Fallback>
        </mc:AlternateContent>
      </w:r>
    </w:p>
    <w:p>
      <w:pPr>
        <w:spacing w:after="0" w:line="16" w:lineRule="exact"/>
        <w:rPr>
          <w:sz w:val="20"/>
          <w:szCs w:val="20"/>
          <w:color w:val="auto"/>
        </w:rPr>
      </w:pPr>
    </w:p>
    <w:p>
      <w:pPr>
        <w:ind w:left="6740"/>
        <w:spacing w:after="0"/>
        <w:tabs>
          <w:tab w:leader="none" w:pos="7880" w:val="left"/>
          <w:tab w:leader="none" w:pos="90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4076700</wp:posOffset>
                </wp:positionH>
                <wp:positionV relativeFrom="paragraph">
                  <wp:posOffset>6350</wp:posOffset>
                </wp:positionV>
                <wp:extent cx="61785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0.5pt" to="369.65pt,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4818380</wp:posOffset>
                </wp:positionH>
                <wp:positionV relativeFrom="paragraph">
                  <wp:posOffset>6350</wp:posOffset>
                </wp:positionV>
                <wp:extent cx="6121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4pt,0.5pt" to="427.6pt,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6350</wp:posOffset>
                </wp:positionV>
                <wp:extent cx="6121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0.5pt" to="485.6pt,0.5pt" o:allowincell="f" strokecolor="#000000" strokeweight="0.48pt"/>
            </w:pict>
          </mc:Fallback>
        </mc:AlternateConten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Reductions to selling, general and administrative expenses . . . . . . . . . . . . . .</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980</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10,982</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16,600</w:t>
            </w:r>
          </w:p>
        </w:tc>
      </w:tr>
      <w:tr>
        <w:trPr>
          <w:trHeight w:val="267"/>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Increases in research and development expenses  . . . . . . . . . . . . . . . . . . . . . .</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1,103</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24,915</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19,297</w:t>
            </w:r>
          </w:p>
        </w:tc>
      </w:tr>
    </w:tbl>
    <w:p>
      <w:pPr>
        <w:spacing w:after="0" w:line="19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Roche was the principal for recording product sales to customers in the U.S., and the Company recognized a portion of the profit as revenue and losses as collaboration loss sharing in its consolidated statements of operations and comprehensive loss. During the year ended December 31, 2024, the Company recorded revenue of $1.4 million derived from profit sharing on Roche sales of GAVRETO in the U.S. During the years ended December 31, 2023 and 2022, the Company recorded a collaboration loss sharing expense of $4.3 million and $8.9 million on Roche’s sales of GAVRETO in the U.S., respectively. Costs incurred associated with the Roche Territory activities were reimbursable from Roche and were recognized as revenue</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700"/>
          </w:cols>
          <w:pgMar w:left="1260" w:top="1246" w:right="1280" w:bottom="187" w:gutter="0" w:footer="0" w:header="0"/>
          <w:type w:val="continuous"/>
        </w:sectPr>
      </w:pPr>
    </w:p>
    <w:bookmarkStart w:id="161" w:name="page162"/>
    <w:bookmarkEnd w:id="161"/>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revenue recognized under the Roche pralsetinib collaboration during the years ended December 31, 2024, 2023 and 2022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Manufacturing and research and development services related to</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Roche Territory-specific activities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40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460" w:type="dxa"/>
            <w:vAlign w:val="bottom"/>
            <w:gridSpan w:val="3"/>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w:t>
            </w:r>
          </w:p>
        </w:tc>
        <w:tc>
          <w:tcPr>
            <w:tcW w:w="0" w:type="dxa"/>
            <w:vAlign w:val="bottom"/>
          </w:tcPr>
          <w:p>
            <w:pPr>
              <w:spacing w:after="0"/>
              <w:rPr>
                <w:sz w:val="1"/>
                <w:szCs w:val="1"/>
                <w:color w:val="auto"/>
              </w:rPr>
            </w:pPr>
          </w:p>
        </w:tc>
      </w:tr>
      <w:tr>
        <w:trPr>
          <w:trHeight w:val="244"/>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Royalty revenue . . . . . . . . . . . . . . . . . . . . . . . . . . . . . . . . . . . . . . . . . . . . . . . . .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0" w:type="dxa"/>
            <w:vAlign w:val="bottom"/>
          </w:tcPr>
          <w:p>
            <w:pPr>
              <w:spacing w:after="0"/>
              <w:rPr>
                <w:sz w:val="1"/>
                <w:szCs w:val="1"/>
                <w:color w:val="auto"/>
              </w:rPr>
            </w:pPr>
          </w:p>
        </w:tc>
      </w:tr>
      <w:tr>
        <w:trPr>
          <w:trHeight w:val="25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Profit sharing revenue . . . . . . . . . . . . . . . . . . . . . . . . . . . . . . . . . . . . . . . . . . . . .</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Total Roche pralsetinib collaboration revenue . . . . . . . . . . . . . . . . . . . . . . . . .</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60" w:firstLine="720"/>
        <w:spacing w:after="0" w:line="259" w:lineRule="auto"/>
        <w:rPr>
          <w:sz w:val="20"/>
          <w:szCs w:val="20"/>
          <w:color w:val="auto"/>
        </w:rPr>
      </w:pPr>
      <w:r>
        <w:rPr>
          <w:rFonts w:ascii="Times New Roman" w:cs="Times New Roman" w:eastAsia="Times New Roman" w:hAnsi="Times New Roman"/>
          <w:sz w:val="20"/>
          <w:szCs w:val="20"/>
          <w:color w:val="auto"/>
        </w:rPr>
        <w:t>Upon termination of the Roche pralsetinib collaboration agreement, the Company chose not to assume responsibility for any ongoing pralsetinib clinical trials, and under the terms of the Roche pralsetinib collaboration agreement, Roche bears sole responsibility for all costs associated with the wind-down of these trials.</w:t>
      </w:r>
    </w:p>
    <w:p>
      <w:pPr>
        <w:spacing w:after="0" w:line="185"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is exposed to significant risks and awards associated with those activities. The Company records those wind-down costs and the net amount of U.S. transition costs reimbursable to Roche as selling, general, and administrative expenses when they are incurred. During the year ended December 31, 2024, the Company recorded a total of $5.7 million in such costs.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assets and liabilities associated with the Roche pralsetinib agreements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120" w:type="dxa"/>
            <w:vAlign w:val="bottom"/>
            <w:vMerge w:val="restart"/>
          </w:tcPr>
          <w:p>
            <w:pPr>
              <w:jc w:val="right"/>
              <w:ind w:right="4700"/>
              <w:spacing w:after="0"/>
              <w:rPr>
                <w:sz w:val="20"/>
                <w:szCs w:val="20"/>
                <w:color w:val="auto"/>
              </w:rPr>
            </w:pPr>
            <w:r>
              <w:rPr>
                <w:rFonts w:ascii="Times New Roman" w:cs="Times New Roman" w:eastAsia="Times New Roman" w:hAnsi="Times New Roman"/>
                <w:sz w:val="20"/>
                <w:szCs w:val="20"/>
                <w:color w:val="auto"/>
                <w:w w:val="99"/>
              </w:rPr>
              <w:t>Unbilled accounts receivable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7120" w:type="dxa"/>
            <w:vAlign w:val="bottom"/>
            <w:vMerge w:val="continue"/>
          </w:tcPr>
          <w:p>
            <w:pPr>
              <w:jc w:val="right"/>
              <w:ind w:right="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16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361</w:t>
            </w:r>
          </w:p>
        </w:tc>
        <w:tc>
          <w:tcPr>
            <w:tcW w:w="0" w:type="dxa"/>
            <w:vAlign w:val="bottom"/>
          </w:tcPr>
          <w:p>
            <w:pPr>
              <w:spacing w:after="0"/>
              <w:rPr>
                <w:sz w:val="1"/>
                <w:szCs w:val="1"/>
                <w:color w:val="auto"/>
              </w:rPr>
            </w:pPr>
          </w:p>
        </w:tc>
      </w:tr>
      <w:tr>
        <w:trPr>
          <w:trHeight w:val="267"/>
        </w:trPr>
        <w:tc>
          <w:tcPr>
            <w:tcW w:w="71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6"/>
              </w:rPr>
              <w:t>Accrued expenses . . . . . . . . . . . . . . . . . . . . . . . . . . . . . . . . . . . . . . . . . . . . . . . . . . . . . . . . .</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7,388</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Clementia</w:t>
      </w:r>
    </w:p>
    <w:p>
      <w:pPr>
        <w:spacing w:after="0" w:line="239"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In October 2019, the Company entered into a license agreement (the Clementia agreement) with Clementia Pharmaceuticals, Inc. (Clementia), a wholly -owned subsidiary of Ipsen S.A. Under the Clementia agreement, the Company granted an exclusive, worldwide, royalty-bearing license to Clementia to develop and commercialize BLU-782, the Company’s oral, highly selective investigational ALK2 inhibitor in clinical development for the treatment of fibrodysplasia ossificans progressiva (FOP), now referred to as fidrisertib, as well as specified other compounds related to the BLU-782 program.</w:t>
      </w:r>
    </w:p>
    <w:p>
      <w:pPr>
        <w:spacing w:after="0" w:line="190"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Under the Clementia agreement, the Company received an upfront cash payment of $25.0 million and through December 31, 2024, the Company has received an aggregate of $50.0 million in cash milestone payments. Subject to the terms of the Clementia agreement, in addition to the upfront and milestone payments received through December 31, 2024,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low-to mid-teens, subject to adjustment in specified circumstances under the Clementia agreement, and Clementia purchased specified manufacturing inventory from the Company for a total of $1.5 million.</w:t>
      </w:r>
    </w:p>
    <w:p>
      <w:pPr>
        <w:spacing w:after="0" w:line="201"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720"/>
          </w:cols>
          <w:pgMar w:left="1260" w:top="1246" w:right="1260" w:bottom="187" w:gutter="0" w:footer="0" w:header="0"/>
          <w:type w:val="continuous"/>
        </w:sectPr>
      </w:pPr>
    </w:p>
    <w:bookmarkStart w:id="162" w:name="page163"/>
    <w:bookmarkEnd w:id="162"/>
    <w:p>
      <w:pPr>
        <w:ind w:right="320"/>
        <w:spacing w:after="0" w:line="278" w:lineRule="auto"/>
        <w:rPr>
          <w:sz w:val="20"/>
          <w:szCs w:val="20"/>
          <w:color w:val="auto"/>
        </w:rPr>
      </w:pPr>
      <w:r>
        <w:rPr>
          <w:rFonts w:ascii="Times New Roman" w:cs="Times New Roman" w:eastAsia="Times New Roman" w:hAnsi="Times New Roman"/>
          <w:sz w:val="20"/>
          <w:szCs w:val="20"/>
          <w:color w:val="auto"/>
        </w:rPr>
        <w:t>certain other circumstances agreed to by the parties. In certain termination circumstances, the Company is entitled to retain specified licenses to be able to continue to exploit the Clementia licensed products.</w:t>
      </w:r>
    </w:p>
    <w:p>
      <w:pPr>
        <w:spacing w:after="0" w:line="16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206"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Company determined that the transaction price at the outset of the arrangement was $ 46.5 million, which was allocated to the three performance obligations on a relative stand-alone selling price basis, and was recognized as revenue in prior years.</w:t>
      </w:r>
    </w:p>
    <w:p>
      <w:pPr>
        <w:spacing w:after="0" w:line="18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 did not recognize revenue under the Clementia agreement during the years ended December 31, 2024 and 2023. During the year ended December 31, 2022, cash consideration associated with an achieved development milestone of $30.0 million was added to the estimated transaction price for the Clementia agreement and recognized as revenue.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204" w:lineRule="exact"/>
        <w:rPr>
          <w:sz w:val="20"/>
          <w:szCs w:val="20"/>
          <w:color w:val="auto"/>
        </w:rPr>
      </w:pPr>
    </w:p>
    <w:p>
      <w:pPr>
        <w:ind w:right="980" w:firstLine="720"/>
        <w:spacing w:after="0" w:line="278" w:lineRule="auto"/>
        <w:rPr>
          <w:sz w:val="20"/>
          <w:szCs w:val="20"/>
          <w:color w:val="auto"/>
        </w:rPr>
      </w:pPr>
      <w:r>
        <w:rPr>
          <w:rFonts w:ascii="Times New Roman" w:cs="Times New Roman" w:eastAsia="Times New Roman" w:hAnsi="Times New Roman"/>
          <w:sz w:val="20"/>
          <w:szCs w:val="20"/>
          <w:color w:val="auto"/>
        </w:rPr>
        <w:t>There was no revenue deferred as a contract liability associated with the Clementia agreement as of December 31, 2024 and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CStone Pharmaceuticals</w:t>
      </w:r>
    </w:p>
    <w:p>
      <w:pPr>
        <w:spacing w:after="0" w:line="239"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w:t>
      </w:r>
    </w:p>
    <w:p>
      <w:pPr>
        <w:spacing w:after="0" w:line="19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received an upfront cash payment of $40.0 million, and through December 31, 2024, the Company has achieved an aggregate of $38.5 million in milestones under this collaboration. Subject to the terms of the CStone agreement, in addition to the upfront payments received and milestones achieved through December 31, 2024,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 -teens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w:t>
      </w:r>
    </w:p>
    <w:p>
      <w:pPr>
        <w:spacing w:after="0" w:line="201"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ectPr>
          <w:pgSz w:w="12240" w:h="15840" w:orient="portrait"/>
          <w:cols w:equalWidth="0" w:num="1">
            <w:col w:w="9660"/>
          </w:cols>
          <w:pgMar w:left="1260" w:top="1246" w:right="1320" w:bottom="187"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660"/>
          </w:cols>
          <w:pgMar w:left="1260" w:top="1246" w:right="1320" w:bottom="187" w:gutter="0" w:footer="0" w:header="0"/>
          <w:type w:val="continuous"/>
        </w:sectPr>
      </w:pPr>
    </w:p>
    <w:bookmarkStart w:id="163" w:name="page164"/>
    <w:bookmarkEnd w:id="163"/>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 -licensed product basis on annual net sales of such licensed product in the CStone Territory, subject to a cap and other specified exceptions.</w:t>
      </w:r>
    </w:p>
    <w:p>
      <w:pPr>
        <w:spacing w:after="0" w:line="209" w:lineRule="exact"/>
        <w:rPr>
          <w:sz w:val="20"/>
          <w:szCs w:val="20"/>
          <w:color w:val="auto"/>
        </w:rPr>
      </w:pPr>
    </w:p>
    <w:p>
      <w:pPr>
        <w:ind w:right="380" w:firstLine="720"/>
        <w:spacing w:after="0" w:line="254" w:lineRule="auto"/>
        <w:rPr>
          <w:sz w:val="20"/>
          <w:szCs w:val="20"/>
          <w:color w:val="auto"/>
        </w:rPr>
      </w:pPr>
      <w:r>
        <w:rPr>
          <w:rFonts w:ascii="Times New Roman" w:cs="Times New Roman" w:eastAsia="Times New Roman" w:hAnsi="Times New Roman"/>
          <w:sz w:val="20"/>
          <w:szCs w:val="20"/>
          <w:color w:val="auto"/>
        </w:rPr>
        <w:t>The Company evaluated the CStone agreement to determine whether it is a collaborative arrangement for purposes of ASC 808. The Company determined that there were two material components of the CStone agreement:</w:t>
      </w:r>
    </w:p>
    <w:p>
      <w:pPr>
        <w:spacing w:after="0" w:line="1" w:lineRule="exact"/>
        <w:rPr>
          <w:sz w:val="20"/>
          <w:szCs w:val="20"/>
          <w:color w:val="auto"/>
        </w:rPr>
      </w:pPr>
    </w:p>
    <w:p>
      <w:pPr>
        <w:ind w:firstLine="7"/>
        <w:spacing w:after="0"/>
        <w:tabs>
          <w:tab w:leader="none" w:pos="23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w:t>
      </w:r>
    </w:p>
    <w:p>
      <w:pPr>
        <w:spacing w:after="0" w:line="212" w:lineRule="exact"/>
        <w:rPr>
          <w:sz w:val="20"/>
          <w:szCs w:val="20"/>
          <w:color w:val="auto"/>
        </w:rPr>
      </w:pPr>
    </w:p>
    <w:p>
      <w:pPr>
        <w:ind w:right="420" w:firstLine="720"/>
        <w:spacing w:after="0" w:line="252" w:lineRule="auto"/>
        <w:rPr>
          <w:sz w:val="20"/>
          <w:szCs w:val="20"/>
          <w:color w:val="auto"/>
        </w:rPr>
      </w:pPr>
      <w:r>
        <w:rPr>
          <w:rFonts w:ascii="Times New Roman" w:cs="Times New Roman" w:eastAsia="Times New Roman" w:hAnsi="Times New Roman"/>
          <w:sz w:val="20"/>
          <w:szCs w:val="20"/>
          <w:color w:val="auto"/>
        </w:rPr>
        <w:t>The Company did not have significant manufacturing and research and development services related to the global development activities during the years ended December 31, 2024 and 2023. During the year ended December 31, 2022, the Company recorded $1.7 million in reduction of related expenses from manufacturing and research and development services related to global development activities, net of expenses payable to CStone.</w:t>
      </w:r>
    </w:p>
    <w:p>
      <w:pPr>
        <w:spacing w:after="0" w:line="19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w:t>
      </w:r>
    </w:p>
    <w:p>
      <w:pPr>
        <w:ind w:right="40" w:firstLine="7"/>
        <w:spacing w:after="0" w:line="241" w:lineRule="auto"/>
        <w:tabs>
          <w:tab w:leader="none" w:pos="28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203"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700"/>
          </w:cols>
          <w:pgMar w:left="1260" w:top="1246" w:right="1280" w:bottom="187" w:gutter="0" w:footer="0" w:header="0"/>
          <w:type w:val="continuous"/>
        </w:sectPr>
      </w:pPr>
    </w:p>
    <w:bookmarkStart w:id="164" w:name="page165"/>
    <w:bookmarkEnd w:id="164"/>
    <w:p>
      <w:pPr>
        <w:jc w:val="both"/>
        <w:ind w:right="80" w:firstLine="720"/>
        <w:spacing w:after="0" w:line="259" w:lineRule="auto"/>
        <w:rPr>
          <w:sz w:val="20"/>
          <w:szCs w:val="20"/>
          <w:color w:val="auto"/>
        </w:rPr>
      </w:pPr>
      <w:r>
        <w:rPr>
          <w:rFonts w:ascii="Times New Roman" w:cs="Times New Roman" w:eastAsia="Times New Roman" w:hAnsi="Times New Roman"/>
          <w:sz w:val="20"/>
          <w:szCs w:val="20"/>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5"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did not achieve any milestones under the CStone agreement during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During the years ended December 31, 2023, and 2022, cash consideration associated with achieved</w:t>
      </w:r>
    </w:p>
    <w:p>
      <w:pPr>
        <w:spacing w:after="0"/>
        <w:rPr>
          <w:sz w:val="20"/>
          <w:szCs w:val="20"/>
          <w:color w:val="auto"/>
        </w:rPr>
      </w:pPr>
      <w:r>
        <w:rPr>
          <w:rFonts w:ascii="Times New Roman" w:cs="Times New Roman" w:eastAsia="Times New Roman" w:hAnsi="Times New Roman"/>
          <w:sz w:val="20"/>
          <w:szCs w:val="20"/>
          <w:color w:val="auto"/>
        </w:rPr>
        <w:t>development and sales-based milestones of $9.0 million and $6.5 million, respectively, were added to the estimated</w:t>
      </w:r>
    </w:p>
    <w:p>
      <w:pPr>
        <w:spacing w:after="0"/>
        <w:rPr>
          <w:sz w:val="20"/>
          <w:szCs w:val="20"/>
          <w:color w:val="auto"/>
        </w:rPr>
      </w:pPr>
      <w:r>
        <w:rPr>
          <w:rFonts w:ascii="Times New Roman" w:cs="Times New Roman" w:eastAsia="Times New Roman" w:hAnsi="Times New Roman"/>
          <w:sz w:val="20"/>
          <w:szCs w:val="20"/>
          <w:color w:val="auto"/>
        </w:rPr>
        <w:t>transaction price for the CStone agreement and recognized as revenue in such periods. The Company reevaluates the</w:t>
      </w:r>
    </w:p>
    <w:p>
      <w:pPr>
        <w:spacing w:after="0"/>
        <w:rPr>
          <w:sz w:val="20"/>
          <w:szCs w:val="20"/>
          <w:color w:val="auto"/>
        </w:rPr>
      </w:pPr>
      <w:r>
        <w:rPr>
          <w:rFonts w:ascii="Times New Roman" w:cs="Times New Roman" w:eastAsia="Times New Roman" w:hAnsi="Times New Roman"/>
          <w:sz w:val="20"/>
          <w:szCs w:val="20"/>
          <w:color w:val="auto"/>
        </w:rPr>
        <w:t>transaction price at the end of each reporting period and as uncertain events are resolved or other changes in</w:t>
      </w:r>
    </w:p>
    <w:p>
      <w:pPr>
        <w:spacing w:after="0"/>
        <w:rPr>
          <w:sz w:val="20"/>
          <w:szCs w:val="20"/>
          <w:color w:val="auto"/>
        </w:rPr>
      </w:pPr>
      <w:r>
        <w:rPr>
          <w:rFonts w:ascii="Times New Roman" w:cs="Times New Roman" w:eastAsia="Times New Roman" w:hAnsi="Times New Roman"/>
          <w:sz w:val="20"/>
          <w:szCs w:val="20"/>
          <w:color w:val="auto"/>
        </w:rPr>
        <w:t>circumstances occur, and if necessary, the Company adjusts its estimate of the transaction price, and any addition to the</w:t>
      </w:r>
    </w:p>
    <w:p>
      <w:pPr>
        <w:spacing w:after="0"/>
        <w:rPr>
          <w:sz w:val="20"/>
          <w:szCs w:val="20"/>
          <w:color w:val="auto"/>
        </w:rPr>
      </w:pPr>
      <w:r>
        <w:rPr>
          <w:rFonts w:ascii="Times New Roman" w:cs="Times New Roman" w:eastAsia="Times New Roman" w:hAnsi="Times New Roman"/>
          <w:sz w:val="20"/>
          <w:szCs w:val="20"/>
          <w:color w:val="auto"/>
        </w:rPr>
        <w:t>transaction price would be recognized as revenue when it becomes probable that inclusion would not lead to a significant</w:t>
      </w:r>
    </w:p>
    <w:p>
      <w:pPr>
        <w:spacing w:after="0"/>
        <w:rPr>
          <w:sz w:val="20"/>
          <w:szCs w:val="20"/>
          <w:color w:val="auto"/>
        </w:rPr>
      </w:pPr>
      <w:r>
        <w:rPr>
          <w:rFonts w:ascii="Times New Roman" w:cs="Times New Roman" w:eastAsia="Times New Roman" w:hAnsi="Times New Roman"/>
          <w:sz w:val="20"/>
          <w:szCs w:val="20"/>
          <w:color w:val="auto"/>
        </w:rPr>
        <w:t>revenue reversal.</w:t>
      </w:r>
    </w:p>
    <w:p>
      <w:pPr>
        <w:spacing w:after="0" w:line="211"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Subsequent to the CStone agreement, the Company entered into various commercial supply and manufacturing technology transfer agreements for avapritinib and pralsetinib related to supply of active pharmaceutical ingredient (API),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supply to CStone. Considerations payable to CStone related to the Company’s obligations in connection with commercial supply of pralsetinib for the CStone Territory was recognized as a reduction of collaboration revenue.</w:t>
      </w:r>
    </w:p>
    <w:p>
      <w:pPr>
        <w:spacing w:after="0" w:line="200"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A summary of revenue recognized under the CStone agreement during the years ended December 31, 2024, 2023 and 2022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9"/>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License milestone revenue</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86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6,500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services and royalty revenue related to CStone Territory-specific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5"/>
              </w:rPr>
              <w:t>activities . . . . . . . . . . . . . . . . . . . . . . . . .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17,794</w:t>
            </w:r>
          </w:p>
        </w:tc>
        <w:tc>
          <w:tcPr>
            <w:tcW w:w="0" w:type="dxa"/>
            <w:vAlign w:val="bottom"/>
          </w:tcPr>
          <w:p>
            <w:pPr>
              <w:spacing w:after="0"/>
              <w:rPr>
                <w:sz w:val="1"/>
                <w:szCs w:val="1"/>
                <w:color w:val="auto"/>
              </w:rPr>
            </w:pPr>
          </w:p>
        </w:tc>
      </w:tr>
      <w:tr>
        <w:trPr>
          <w:trHeight w:val="244"/>
        </w:trPr>
        <w:tc>
          <w:tcPr>
            <w:tcW w:w="6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.TotalCStonecollaborationrevenue</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17,312</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24,294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The Company did not have any contract assets related to the CStone collaboration as of December 31, 2024 and 2023. The following table presents the contract liabilities associated with the CStone collaboration as of December 31, 2024 and 2023 (in thousands):</w:t>
      </w:r>
    </w:p>
    <w:p>
      <w:pPr>
        <w:spacing w:after="0" w:line="21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4883150</wp:posOffset>
                </wp:positionH>
                <wp:positionV relativeFrom="paragraph">
                  <wp:posOffset>14605</wp:posOffset>
                </wp:positionV>
                <wp:extent cx="128397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39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5pt,1.15pt" to="485.6pt,1.15pt" o:allowincell="f" strokecolor="#000000" strokeweight="0.48pt"/>
            </w:pict>
          </mc:Fallback>
        </mc:AlternateContent>
      </w:r>
    </w:p>
    <w:p>
      <w:pPr>
        <w:spacing w:after="0" w:line="16" w:lineRule="exact"/>
        <w:rPr>
          <w:sz w:val="20"/>
          <w:szCs w:val="20"/>
          <w:color w:val="auto"/>
        </w:rPr>
      </w:pPr>
    </w:p>
    <w:p>
      <w:pPr>
        <w:ind w:left="7980"/>
        <w:spacing w:after="0"/>
        <w:tabs>
          <w:tab w:leader="none" w:pos="910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4883150</wp:posOffset>
                </wp:positionH>
                <wp:positionV relativeFrom="paragraph">
                  <wp:posOffset>5080</wp:posOffset>
                </wp:positionV>
                <wp:extent cx="57531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5pt,0.4pt" to="429.8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5608320</wp:posOffset>
                </wp:positionH>
                <wp:positionV relativeFrom="paragraph">
                  <wp:posOffset>5080</wp:posOffset>
                </wp:positionV>
                <wp:extent cx="5588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6pt,0.4pt" to="485.6pt,0.4pt" o:allowincell="f" strokecolor="#000000" strokeweight="0.48pt"/>
            </w:pict>
          </mc:Fallback>
        </mc:AlternateConten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Contract liabilities . . . . . . . . . . . . . . . . . . . . . . . . . . . . . . . . . . . . . . . . . . . . . . . . . . . . . . . . . . . . .</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r>
      <w:tr>
        <w:trPr>
          <w:trHeight w:val="26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w w:val="99"/>
              </w:rPr>
              <w:t>Accrued expenses . . . . . . . . . . . . . . . . . . . . . . . . . . . . . . . . . . . . . . . . . . . . . . . . . . . . . . . . . . . . .</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w:t>
            </w:r>
          </w:p>
        </w:tc>
      </w:tr>
    </w:tbl>
    <w:p>
      <w:pPr>
        <w:spacing w:after="0" w:line="194" w:lineRule="exact"/>
        <w:rPr>
          <w:sz w:val="20"/>
          <w:szCs w:val="20"/>
          <w:color w:val="auto"/>
        </w:rPr>
      </w:pPr>
    </w:p>
    <w:p>
      <w:pPr>
        <w:jc w:val="both"/>
        <w:ind w:right="60" w:firstLine="720"/>
        <w:spacing w:after="0" w:line="278" w:lineRule="auto"/>
        <w:rPr>
          <w:sz w:val="20"/>
          <w:szCs w:val="20"/>
          <w:color w:val="auto"/>
        </w:rPr>
      </w:pPr>
      <w:r>
        <w:rPr>
          <w:rFonts w:ascii="Times New Roman" w:cs="Times New Roman" w:eastAsia="Times New Roman" w:hAnsi="Times New Roman"/>
          <w:sz w:val="20"/>
          <w:szCs w:val="20"/>
          <w:color w:val="auto"/>
        </w:rPr>
        <w:t>The Company’s liabilities associated with the CStone collaboration as of December 31, 2024 and 2023 resulted primarily from the Company’s obligations in connection with commercial supply of pralsetinib for the CStone Territory.</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720"/>
          </w:cols>
          <w:pgMar w:left="1260" w:top="1246" w:right="1260" w:bottom="187"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i w:val="1"/>
          <w:iCs w:val="1"/>
          <w:color w:val="auto"/>
        </w:rPr>
        <w:t>Roche – Immunotherapy Collaboration</w:t>
      </w:r>
    </w:p>
    <w:p>
      <w:pPr>
        <w:spacing w:after="0" w:line="23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w:t>
      </w:r>
    </w:p>
    <w:p>
      <w:pPr>
        <w:spacing w:after="0" w:line="194"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On April 30, 2023, the Company and Roche entered into a mutual termination agreement to terminate the Roche immunotherapy agreement. Certain licenses granted by Roche to the Company survived and became exclusive, worldwide, perpetual, royalty-free and irrevocable and the Company retained ownership of all the targets developed under the collaboration.</w:t>
      </w:r>
    </w:p>
    <w:p>
      <w:pPr>
        <w:spacing w:after="0" w:line="193" w:lineRule="exact"/>
        <w:rPr>
          <w:sz w:val="20"/>
          <w:szCs w:val="20"/>
          <w:color w:val="auto"/>
        </w:rPr>
      </w:pPr>
    </w:p>
    <w:p>
      <w:pPr>
        <w:jc w:val="both"/>
        <w:ind w:right="580" w:firstLine="720"/>
        <w:spacing w:after="0" w:line="253" w:lineRule="auto"/>
        <w:rPr>
          <w:sz w:val="20"/>
          <w:szCs w:val="20"/>
          <w:color w:val="auto"/>
        </w:rPr>
      </w:pPr>
      <w:r>
        <w:rPr>
          <w:rFonts w:ascii="Times New Roman" w:cs="Times New Roman" w:eastAsia="Times New Roman" w:hAnsi="Times New Roman"/>
          <w:sz w:val="20"/>
          <w:szCs w:val="20"/>
          <w:color w:val="auto"/>
        </w:rPr>
        <w:t>The Roche immunotherapy agreement represented a vendor-customer relationship under ASC 606 as the Company performed its one performance obligation at the outset of the Roche immunotherapy agreement, which consisted of: (1) the non-exclusive license; (2) the research and development activities through Phase 1; and (3) regulatory responsibilities under Phase 1 clinical trials.</w:t>
      </w:r>
    </w:p>
    <w:p>
      <w:pPr>
        <w:spacing w:after="0" w:line="191"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aggregate net transaction price of the Roche immunotherapy agreement was $64.7 million. The Company recognized revenue associated with the performance obligation using an input method, based on the costs incurred for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 and no revenue was recognized thereafter for this agreement. During the years ended December 31, 2023 and 2022, the Company recognized research and development services revenue of</w:t>
      </w:r>
    </w:p>
    <w:p>
      <w:pPr>
        <w:spacing w:after="0" w:line="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$25.7 million and $2.3 million, respectively, under the Roche immunotherapy agreement, of which $16.0 million and $4.4 million, respectively, resulted from changes in contract liability balances at the beginning of the period. There was no revenue deferred as a contract liability associated with the Roche immunotherapy agreement as of December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Stockholders’ Equity</w:t>
      </w:r>
    </w:p>
    <w:p>
      <w:pPr>
        <w:spacing w:after="0" w:line="22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In February 2022, the Company entered into an at-the-market (ATM) Facility with Cowen and Company, LLC (Cowen), pursuant to which the Company may offer and sell, from time to time at its sole discretion, shares of its common stock having an aggregate offering price of up to $300.0 million through Cowen as sales agent. During the year ended December 31, 2024, the Company issued and sold 544,719 shares of its common stock under the ATM Facility and received net proceeds of $48.9 million. The Company did not issue any shares under the ATM Facility during the years ended December 31, 2023 and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Plans</w:t>
      </w:r>
    </w:p>
    <w:p>
      <w:pPr>
        <w:spacing w:after="0" w:line="24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provided that the number of shares reserved and available for issuance under the 2015 Plan would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Plan was increased by 2,445,889 shares.</w:t>
      </w:r>
    </w:p>
    <w:p>
      <w:pPr>
        <w:spacing w:after="0" w:line="201"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w:t>
      </w:r>
    </w:p>
    <w:p>
      <w:pPr>
        <w:sectPr>
          <w:pgSz w:w="12240" w:h="15840" w:orient="portrait"/>
          <w:cols w:equalWidth="0" w:num="1">
            <w:col w:w="9700"/>
          </w:cols>
          <w:pgMar w:left="1260" w:top="1247" w:right="1280" w:bottom="187"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700"/>
          </w:cols>
          <w:pgMar w:left="1260" w:top="1247" w:right="1280" w:bottom="187" w:gutter="0" w:footer="0" w:header="0"/>
          <w:type w:val="continuous"/>
        </w:sectPr>
      </w:pPr>
    </w:p>
    <w:bookmarkStart w:id="166" w:name="page167"/>
    <w:bookmarkEnd w:id="166"/>
    <w:p>
      <w:pPr>
        <w:ind w:right="820"/>
        <w:spacing w:after="0" w:line="259" w:lineRule="auto"/>
        <w:rPr>
          <w:sz w:val="20"/>
          <w:szCs w:val="20"/>
          <w:color w:val="auto"/>
        </w:rPr>
      </w:pPr>
      <w:r>
        <w:rPr>
          <w:rFonts w:ascii="Times New Roman" w:cs="Times New Roman" w:eastAsia="Times New Roman" w:hAnsi="Times New Roman"/>
          <w:sz w:val="20"/>
          <w:szCs w:val="20"/>
          <w:color w:val="auto"/>
        </w:rPr>
        <w:t>Company initially reserved a total of 1,000,000 shares of common stock for the issuance of awards under the Inducement Plan and in June 2022, the Company’s board of directors approved the reservation of an additional 1,500,000 shares of common stock for the issuance of awards under the Inducement Plan.</w:t>
      </w:r>
    </w:p>
    <w:p>
      <w:pPr>
        <w:spacing w:after="0" w:line="1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At the Company’s annual meeting of stockholders held on June 12, 2024, the Company’s stockholders approved the 2024 Stock Incentive Plan (the 2024 Plan), which replaced the Company’s 2015 Plan and the Inducement Plan. As of December 31, 2024, there were 7,832,847 and 724,176 shares underlying awards outstanding under the 2015 Plan and the Inducement Plan, respectively. No further shares will be granted under the 2015 Plan and the Inducement Plan after the effective date of the 2024 Plan. The 2024 Plan provides for the granting of incentive stock options, nonstatutory stock options, stock appreciation rights, restricted stock, restricted stock units, performance-based restricted stock units, unrestricted stock and cash-based awards. The 2024 Plan provides for the issuance of up to 9,200,000 shares. 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As of December 31, 2024, there were 9,116,614 shares available for future grant under the 2024 Plan.</w:t>
      </w:r>
    </w:p>
    <w:p>
      <w:pPr>
        <w:spacing w:after="0" w:line="206"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On November 22, 2024, the Company learned that the record date for its 2024 annual meeting was 61 days prior to the meeting, exceeding the 60-day limit under Section 213(a) of the Delaware General Corporation Law (DGCL). On December 2, 2024, the Company petitioned the Delaware Court of Chancery under Section 205 of the DGCL to validate the actions taken at the 2024 annual meeting, including the adoption of the 2024 Plan. The Court granted the Company’s petition on January 23, 2025, ratifying these actions as of the meeting date. During the year ended December 31, 2024, the Company granted 247,987 shares under the 2024 Plan. For more information, see “</w:t>
      </w:r>
      <w:r>
        <w:rPr>
          <w:rFonts w:ascii="Times New Roman" w:cs="Times New Roman" w:eastAsia="Times New Roman" w:hAnsi="Times New Roman"/>
          <w:sz w:val="20"/>
          <w:szCs w:val="20"/>
          <w:i w:val="1"/>
          <w:iCs w:val="1"/>
          <w:color w:val="auto"/>
        </w:rPr>
        <w:t>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Proceedings</w:t>
      </w:r>
      <w:r>
        <w:rPr>
          <w:rFonts w:ascii="Times New Roman" w:cs="Times New Roman" w:eastAsia="Times New Roman" w:hAnsi="Times New Roman"/>
          <w:sz w:val="20"/>
          <w:szCs w:val="20"/>
          <w:color w:val="auto"/>
        </w:rPr>
        <w:t>” in Note 19,</w:t>
      </w:r>
      <w:r>
        <w:rPr>
          <w:rFonts w:ascii="Times New Roman" w:cs="Times New Roman" w:eastAsia="Times New Roman" w:hAnsi="Times New Roman"/>
          <w:sz w:val="20"/>
          <w:szCs w:val="20"/>
          <w:i w:val="1"/>
          <w:iCs w:val="1"/>
          <w:color w:val="auto"/>
        </w:rPr>
        <w:t xml:space="preserve"> Commitments and Contingencies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2015 Employee Stock Purchase Plan</w:t>
      </w:r>
    </w:p>
    <w:p>
      <w:pPr>
        <w:spacing w:after="0" w:line="23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2015, the Company’s board of directors and stockholders approved the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years beginning January 1, 2024 and 2025, the number of shares reserved for issuance under the 2015 ESPP was increased by 611,472 and 637,122 shares, respectively. As of December 31, 2024, there were 4,196,701 shares available for issuance under the 2015 ESPP. The Company issued 65,813, 96,290, and 80,717 shares under the ESPP during the years ended December 31, 2024, 2023, and 2022 respectively.</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700"/>
          </w:cols>
          <w:pgMar w:left="1260" w:top="1246" w:right="1280" w:bottom="187"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39"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Company recognized stock-based compensation expense totaling $108.9 million, $92.7 million and $99.0 million for the years ended December 31, 2024, 2023 and 2022, respectively. Stock-based compensation expense by award type included within the consolidated statements of operations and comprehensive loss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8"/>
        </w:trPr>
        <w:tc>
          <w:tcPr>
            <w:tcW w:w="6640" w:type="dxa"/>
            <w:vAlign w:val="bottom"/>
            <w:gridSpan w:val="2"/>
            <w:vMerge w:val="continue"/>
          </w:tcPr>
          <w:p>
            <w:pPr>
              <w:jc w:val="right"/>
              <w:ind w:right="260"/>
              <w:spacing w:after="0" w:line="190"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42,031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40,560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52,931</w:t>
            </w:r>
          </w:p>
        </w:tc>
        <w:tc>
          <w:tcPr>
            <w:tcW w:w="0" w:type="dxa"/>
            <w:vAlign w:val="bottom"/>
          </w:tcPr>
          <w:p>
            <w:pPr>
              <w:spacing w:after="0"/>
              <w:rPr>
                <w:sz w:val="1"/>
                <w:szCs w:val="1"/>
                <w:color w:val="auto"/>
              </w:rPr>
            </w:pPr>
          </w:p>
        </w:tc>
      </w:tr>
      <w:tr>
        <w:trPr>
          <w:trHeight w:val="244"/>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Restricted stock units . . . . . . . . . . . . . . . . . . . . . . . . . . . . . . . . . . . . . . . . . . . . . . . .</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50,095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45,285</w:t>
            </w:r>
          </w:p>
        </w:tc>
        <w:tc>
          <w:tcPr>
            <w:tcW w:w="0" w:type="dxa"/>
            <w:vAlign w:val="bottom"/>
          </w:tcPr>
          <w:p>
            <w:pPr>
              <w:spacing w:after="0"/>
              <w:rPr>
                <w:sz w:val="1"/>
                <w:szCs w:val="1"/>
                <w:color w:val="auto"/>
              </w:rPr>
            </w:pPr>
          </w:p>
        </w:tc>
      </w:tr>
      <w:tr>
        <w:trPr>
          <w:trHeight w:val="245"/>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Performance-based restricted stock units . . . . . . . . . . . . . . . . . . . . . . . . . . . . . . . .</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Employee stock purchase plan . . . . . . . . . . . . . . . . . . . . . . . . . . . . . . . . . . . . . . . . .</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0" w:type="dxa"/>
            <w:vAlign w:val="bottom"/>
          </w:tcPr>
          <w:p>
            <w:pPr>
              <w:spacing w:after="0"/>
              <w:rPr>
                <w:sz w:val="1"/>
                <w:szCs w:val="1"/>
                <w:color w:val="auto"/>
              </w:rPr>
            </w:pPr>
          </w:p>
        </w:tc>
      </w:tr>
      <w:tr>
        <w:trPr>
          <w:trHeight w:val="228"/>
        </w:trPr>
        <w:tc>
          <w:tcPr>
            <w:tcW w:w="66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 . . . . . . . . . . . . . . . . . . . . . . . . . . . . . . . . . . . . . . . . . . . . . . . . . . . . . . .Subtotal</w:t>
            </w:r>
          </w:p>
        </w:tc>
        <w:tc>
          <w:tcPr>
            <w:tcW w:w="16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109,920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93,256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99,634</w:t>
            </w:r>
          </w:p>
        </w:tc>
        <w:tc>
          <w:tcPr>
            <w:tcW w:w="0" w:type="dxa"/>
            <w:vAlign w:val="bottom"/>
          </w:tcPr>
          <w:p>
            <w:pPr>
              <w:spacing w:after="0"/>
              <w:rPr>
                <w:sz w:val="1"/>
                <w:szCs w:val="1"/>
                <w:color w:val="auto"/>
              </w:rPr>
            </w:pPr>
          </w:p>
        </w:tc>
      </w:tr>
      <w:tr>
        <w:trPr>
          <w:trHeight w:val="250"/>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Capitalized stock-based compensation costs . . . . . . . . . . . . . . . . . . . . . . . . . . . . . .</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(1,009)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(584)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0" w:type="dxa"/>
            <w:vAlign w:val="bottom"/>
          </w:tcPr>
          <w:p>
            <w:pPr>
              <w:spacing w:after="0"/>
              <w:rPr>
                <w:sz w:val="1"/>
                <w:szCs w:val="1"/>
                <w:color w:val="auto"/>
              </w:rPr>
            </w:pPr>
          </w:p>
        </w:tc>
      </w:tr>
      <w:tr>
        <w:trPr>
          <w:trHeight w:val="201"/>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Stock-based compensation expense included in total cost and operating</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expenses . . . . . . . . . . . . . . . . . . . . . . . . . . . . . . . . . . . . . . . . . . . . . . . . . . . . . . . . . . .</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108,911</w:t>
            </w:r>
          </w:p>
        </w:tc>
        <w:tc>
          <w:tcPr>
            <w:tcW w:w="1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92,672</w:t>
            </w:r>
          </w:p>
        </w:tc>
        <w:tc>
          <w:tcPr>
            <w:tcW w:w="18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98,971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presents stock-based compensation expense that is included in operating expenses by classification within the consolidated statements of operations and comprehensive loss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9"/>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6680" w:type="dxa"/>
            <w:vAlign w:val="bottom"/>
            <w:vMerge w:val="restart"/>
          </w:tcPr>
          <w:p>
            <w:pPr>
              <w:jc w:val="right"/>
              <w:ind w:right="4420"/>
              <w:spacing w:after="0"/>
              <w:rPr>
                <w:sz w:val="20"/>
                <w:szCs w:val="20"/>
                <w:color w:val="auto"/>
              </w:rPr>
            </w:pPr>
            <w:r>
              <w:rPr>
                <w:rFonts w:ascii="Times New Roman" w:cs="Times New Roman" w:eastAsia="Times New Roman" w:hAnsi="Times New Roman"/>
                <w:sz w:val="20"/>
                <w:szCs w:val="20"/>
                <w:color w:val="auto"/>
                <w:w w:val="99"/>
              </w:rPr>
              <w:t>Research and development</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47,455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41,534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40,302</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Selling, general and administrative .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61,456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51,138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58,669</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.Totalstock-basedcompensationexpenseincludedinoperatingexpenses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108,911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92,672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98,971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720"/>
        <w:spacing w:after="0" w:line="278" w:lineRule="auto"/>
        <w:rPr>
          <w:sz w:val="20"/>
          <w:szCs w:val="20"/>
          <w:color w:val="auto"/>
        </w:rPr>
      </w:pPr>
      <w:r>
        <w:rPr>
          <w:rFonts w:ascii="Times New Roman" w:cs="Times New Roman" w:eastAsia="Times New Roman" w:hAnsi="Times New Roman"/>
          <w:sz w:val="20"/>
          <w:szCs w:val="20"/>
          <w:color w:val="auto"/>
        </w:rPr>
        <w:t>At December 31, 2024, there was $207.6 million of total unrecognized compensation cost related to non-vested stock awards, which is expected to be recognized over a weighted-average period of 2.4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4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4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40" w:type="dxa"/>
            <w:vAlign w:val="bottom"/>
            <w:vMerge w:val="restart"/>
          </w:tcPr>
          <w:p>
            <w:pPr>
              <w:jc w:val="right"/>
              <w:ind w:right="4700"/>
              <w:spacing w:after="0"/>
              <w:rPr>
                <w:sz w:val="20"/>
                <w:szCs w:val="20"/>
                <w:color w:val="auto"/>
              </w:rPr>
            </w:pPr>
            <w:r>
              <w:rPr>
                <w:rFonts w:ascii="Times New Roman" w:cs="Times New Roman" w:eastAsia="Times New Roman" w:hAnsi="Times New Roman"/>
                <w:sz w:val="20"/>
                <w:szCs w:val="20"/>
                <w:color w:val="auto"/>
                <w:w w:val="99"/>
              </w:rPr>
              <w:t>Risk-free interest rate</w:t>
            </w:r>
          </w:p>
        </w:tc>
        <w:tc>
          <w:tcPr>
            <w:tcW w:w="7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w w:val="95"/>
              </w:rPr>
              <w:t>%</w:t>
            </w: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w w:val="83"/>
              </w:rPr>
              <w:t>%</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4.26</w:t>
            </w:r>
          </w:p>
        </w:tc>
        <w:tc>
          <w:tcPr>
            <w:tcW w:w="400" w:type="dxa"/>
            <w:vAlign w:val="bottom"/>
            <w:vMerge w:val="continue"/>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4.13</w:t>
            </w: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2.27</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Expected dividend yield . . . . . . . . . . . . . . . . . . . . . . . . . . . . . . . . . . . . . . . . . . . . .</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Expected term (years)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Expected stock price volatility . . . . . . . . . . . . . . . . . . . . . . . . . . . . . . . . . . . . . . . .</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55.54 %</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56.01 %</w:t>
            </w: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7"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720"/>
          </w:cols>
          <w:pgMar w:left="1260" w:top="1247" w:right="1260" w:bottom="187" w:gutter="0" w:footer="0" w:header="0"/>
          <w:type w:val="continuous"/>
        </w:sectPr>
      </w:pPr>
    </w:p>
    <w:bookmarkStart w:id="168" w:name="page169"/>
    <w:bookmarkEnd w:id="168"/>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stock option activity for the year ended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980" w:type="dxa"/>
            <w:vAlign w:val="bottom"/>
            <w:gridSpan w:val="2"/>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0" w:type="dxa"/>
            <w:vAlign w:val="bottom"/>
          </w:tcPr>
          <w:p>
            <w:pPr>
              <w:spacing w:after="0"/>
              <w:rPr>
                <w:sz w:val="1"/>
                <w:szCs w:val="1"/>
                <w:color w:val="auto"/>
              </w:rPr>
            </w:pPr>
          </w:p>
        </w:tc>
      </w:tr>
      <w:tr>
        <w:trPr>
          <w:trHeight w:val="204"/>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22"/>
        </w:trPr>
        <w:tc>
          <w:tcPr>
            <w:tcW w:w="572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w:t>
            </w:r>
          </w:p>
        </w:tc>
        <w:tc>
          <w:tcPr>
            <w:tcW w:w="100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6,658,444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2"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66.48</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6.39</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178,581</w:t>
            </w:r>
          </w:p>
        </w:tc>
        <w:tc>
          <w:tcPr>
            <w:tcW w:w="0" w:type="dxa"/>
            <w:vAlign w:val="bottom"/>
          </w:tcPr>
          <w:p>
            <w:pPr>
              <w:spacing w:after="0"/>
              <w:rPr>
                <w:sz w:val="1"/>
                <w:szCs w:val="1"/>
                <w:color w:val="auto"/>
              </w:rPr>
            </w:pPr>
          </w:p>
        </w:tc>
      </w:tr>
      <w:tr>
        <w:trPr>
          <w:trHeight w:val="230"/>
        </w:trPr>
        <w:tc>
          <w:tcPr>
            <w:tcW w:w="5720" w:type="dxa"/>
            <w:vAlign w:val="bottom"/>
            <w:gridSpan w:val="2"/>
          </w:tcPr>
          <w:p>
            <w:pPr>
              <w:jc w:val="right"/>
              <w:ind w:right="300"/>
              <w:spacing w:after="0" w:line="230" w:lineRule="exact"/>
              <w:rPr>
                <w:sz w:val="20"/>
                <w:szCs w:val="20"/>
                <w:color w:val="auto"/>
              </w:rPr>
            </w:pPr>
            <w:r>
              <w:rPr>
                <w:rFonts w:ascii="Times New Roman" w:cs="Times New Roman" w:eastAsia="Times New Roman" w:hAnsi="Times New Roman"/>
                <w:sz w:val="20"/>
                <w:szCs w:val="20"/>
                <w:color w:val="auto"/>
              </w:rPr>
              <w:t xml:space="preserve">Granted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1,075,799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95.77</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Exercised . . . . . . . . . . . . . . . . . . . . . . . . . . . . . . . . . . . . . . . . . . . .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(1,159,269)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Canceled . . . . . . . . . . . . . . . . . . . . . . . . . . . . . . . . . . . . . . . . . . . .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(205,250)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75.42</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 . . . . . . . . . . . . . . . . . . . . . . . . . .OutstandingatDecember31,2024</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6,369,724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72.09</w:t>
            </w:r>
          </w:p>
        </w:tc>
        <w:tc>
          <w:tcPr>
            <w:tcW w:w="9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6.14</w:t>
            </w:r>
          </w:p>
        </w:tc>
        <w:tc>
          <w:tcPr>
            <w:tcW w:w="280" w:type="dxa"/>
            <w:vAlign w:val="bottom"/>
            <w:gridSpan w:val="2"/>
          </w:tcPr>
          <w:p>
            <w:pPr>
              <w:ind w:left="16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115,874</w:t>
            </w:r>
          </w:p>
        </w:tc>
        <w:tc>
          <w:tcPr>
            <w:tcW w:w="0" w:type="dxa"/>
            <w:vAlign w:val="bottom"/>
          </w:tcPr>
          <w:p>
            <w:pPr>
              <w:spacing w:after="0"/>
              <w:rPr>
                <w:sz w:val="1"/>
                <w:szCs w:val="1"/>
                <w:color w:val="auto"/>
              </w:rPr>
            </w:pPr>
          </w:p>
        </w:tc>
      </w:tr>
      <w:tr>
        <w:trPr>
          <w:trHeight w:val="240"/>
        </w:trPr>
        <w:tc>
          <w:tcPr>
            <w:tcW w:w="57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Exercisable at December 31, 2024 . . . . . . . . . . . . . . . . . . . . . . . . . . . .</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4,514,741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2" w:lineRule="exact"/>
        <w:rPr>
          <w:sz w:val="20"/>
          <w:szCs w:val="20"/>
          <w:color w:val="auto"/>
        </w:rPr>
      </w:pPr>
    </w:p>
    <w:p>
      <w:pPr>
        <w:ind w:left="720" w:right="280" w:hanging="713"/>
        <w:spacing w:after="0" w:line="255"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Intrinsic value represents the amount by which the fair market value as of December 31, 2024 of the underlying common stock exceeds the exercise price of the option.</w:t>
      </w:r>
    </w:p>
    <w:p>
      <w:pPr>
        <w:ind w:left="720" w:hanging="713"/>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stock options granted in 2024, 55,119 stock options were granted under the 2024 Plan.</w:t>
      </w:r>
    </w:p>
    <w:p>
      <w:pPr>
        <w:spacing w:after="0" w:line="216"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weighted average grant date fair value of options granted in the years ended December 31, 2024, 2023 and 2022 was $54.15, $25.81 and $32.30, respectively. The total intrinsic value of options exercised in the years ended December 31, 2024, 2023, and 2022 was $45.1 million, $11.6 million, and $11.8 million, respectively.</w:t>
      </w:r>
    </w:p>
    <w:p>
      <w:pPr>
        <w:spacing w:after="0" w:line="187"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At December 31, 2024, the total unrecognized compensation expense related to unvested stock option awards was $71.4 million, which is expected to be recognized over a weighted-average period of approximately 2.4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312" w:lineRule="exact"/>
        <w:rPr>
          <w:sz w:val="20"/>
          <w:szCs w:val="20"/>
          <w:color w:val="auto"/>
        </w:rPr>
      </w:pPr>
    </w:p>
    <w:p>
      <w:pPr>
        <w:ind w:right="540" w:firstLine="720"/>
        <w:spacing w:after="0" w:line="278" w:lineRule="auto"/>
        <w:rPr>
          <w:sz w:val="20"/>
          <w:szCs w:val="20"/>
          <w:color w:val="auto"/>
        </w:rPr>
      </w:pPr>
      <w:r>
        <w:rPr>
          <w:rFonts w:ascii="Times New Roman" w:cs="Times New Roman" w:eastAsia="Times New Roman" w:hAnsi="Times New Roman"/>
          <w:sz w:val="20"/>
          <w:szCs w:val="20"/>
          <w:color w:val="auto"/>
        </w:rPr>
        <w:t>Restricted stock units granted by the Company generally vest ratably over four years. The following table summarizes the restricted stock units activity for the year ended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4"/>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shares at December 31, 2023</w:t>
            </w: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684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2,107,026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27"/>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60.33</w:t>
            </w:r>
          </w:p>
        </w:tc>
        <w:tc>
          <w:tcPr>
            <w:tcW w:w="0" w:type="dxa"/>
            <w:vAlign w:val="bottom"/>
          </w:tcPr>
          <w:p>
            <w:pPr>
              <w:spacing w:after="0"/>
              <w:rPr>
                <w:sz w:val="1"/>
                <w:szCs w:val="1"/>
                <w:color w:val="auto"/>
              </w:rPr>
            </w:pPr>
          </w:p>
        </w:tc>
      </w:tr>
      <w:tr>
        <w:trPr>
          <w:trHeight w:val="230"/>
        </w:trPr>
        <w:tc>
          <w:tcPr>
            <w:tcW w:w="6840" w:type="dxa"/>
            <w:vAlign w:val="bottom"/>
            <w:gridSpan w:val="2"/>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w w:val="99"/>
              </w:rPr>
              <w:t xml:space="preserve">Granted </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1,130,316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95.24</w:t>
            </w:r>
          </w:p>
        </w:tc>
        <w:tc>
          <w:tcPr>
            <w:tcW w:w="0" w:type="dxa"/>
            <w:vAlign w:val="bottom"/>
          </w:tcPr>
          <w:p>
            <w:pPr>
              <w:spacing w:after="0"/>
              <w:rPr>
                <w:sz w:val="1"/>
                <w:szCs w:val="1"/>
                <w:color w:val="auto"/>
              </w:rPr>
            </w:pPr>
          </w:p>
        </w:tc>
      </w:tr>
      <w:tr>
        <w:trPr>
          <w:trHeight w:val="229"/>
        </w:trPr>
        <w:tc>
          <w:tcPr>
            <w:tcW w:w="68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(795,219)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64.77</w:t>
            </w:r>
          </w:p>
        </w:tc>
        <w:tc>
          <w:tcPr>
            <w:tcW w:w="0" w:type="dxa"/>
            <w:vAlign w:val="bottom"/>
          </w:tcPr>
          <w:p>
            <w:pPr>
              <w:spacing w:after="0"/>
              <w:rPr>
                <w:sz w:val="1"/>
                <w:szCs w:val="1"/>
                <w:color w:val="auto"/>
              </w:rPr>
            </w:pPr>
          </w:p>
        </w:tc>
      </w:tr>
      <w:tr>
        <w:trPr>
          <w:trHeight w:val="250"/>
        </w:trPr>
        <w:tc>
          <w:tcPr>
            <w:tcW w:w="68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(151,192)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70.34</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7"/>
              </w:rPr>
              <w:t>Unvested shares at December 31, 2024 . . . . . . . . . . . . . . . . . . . . . . . . . . . . . . . . . . . .</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2,290,931</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Out of restricted stock units granted in 2024, 192,868 restricted stock units were granted under the 2024 Plan.</w:t>
      </w:r>
    </w:p>
    <w:p>
      <w:pPr>
        <w:spacing w:after="0" w:line="20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The total fair value of restricted stock units vested during the years ended December 31, 2024, 2023 and 2022 was $75.8 million, $31.6 million and $29.4 million, respectively. As of December 31, 2024, the total unrecognized compensation expense related to unvested restricted stock units was $126.2 million, which is expected to be recognized over a weighted-average period of approximately 2.4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restricted stock units</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2023, the Company began granting performance-based restricted stock units (PSUs)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 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sectPr>
          <w:pgSz w:w="12240" w:h="15840" w:orient="portrait"/>
          <w:cols w:equalWidth="0" w:num="1">
            <w:col w:w="9720"/>
          </w:cols>
          <w:pgMar w:left="1260" w:top="1247"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720"/>
          </w:cols>
          <w:pgMar w:left="1260" w:top="1247" w:right="1260" w:bottom="187" w:gutter="0" w:footer="0" w:header="0"/>
          <w:type w:val="continuous"/>
        </w:sectPr>
      </w:pPr>
    </w:p>
    <w:bookmarkStart w:id="169" w:name="page170"/>
    <w:bookmarkEnd w:id="169"/>
    <w:p>
      <w:pPr>
        <w:ind w:left="760"/>
        <w:spacing w:after="0"/>
        <w:rPr>
          <w:sz w:val="20"/>
          <w:szCs w:val="20"/>
          <w:color w:val="auto"/>
        </w:rPr>
      </w:pPr>
      <w:r>
        <w:rPr>
          <w:rFonts w:ascii="Times New Roman" w:cs="Times New Roman" w:eastAsia="Times New Roman" w:hAnsi="Times New Roman"/>
          <w:sz w:val="20"/>
          <w:szCs w:val="20"/>
          <w:color w:val="auto"/>
        </w:rPr>
        <w:t>The following table summarizes the PSU activity for year ended December 31,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3"/>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shares at December 31, 2023</w:t>
            </w: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742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8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52,500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59.32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 . . . . . . .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 . . . . .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Forfeited . . . . . . . . . . . . . . . . . . . . . . . . . . . . . . . . . . . . . . . . . . . . . . . . . . . . . . . . . . . . . . .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4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7"/>
              </w:rPr>
              <w:t>Unvested shares at December 31, 2024 . . . . . . . . . . . . . . . . . . . . . . . . . . . . . . . . . . . . . . . . . .</w:t>
            </w:r>
          </w:p>
        </w:tc>
        <w:tc>
          <w:tcPr>
            <w:tcW w:w="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142,500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107.65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80" w:firstLine="720"/>
        <w:spacing w:after="0" w:line="278" w:lineRule="auto"/>
        <w:rPr>
          <w:sz w:val="20"/>
          <w:szCs w:val="20"/>
          <w:color w:val="auto"/>
        </w:rPr>
      </w:pPr>
      <w:r>
        <w:rPr>
          <w:rFonts w:ascii="Times New Roman" w:cs="Times New Roman" w:eastAsia="Times New Roman" w:hAnsi="Times New Roman"/>
          <w:sz w:val="20"/>
          <w:szCs w:val="20"/>
          <w:color w:val="auto"/>
        </w:rPr>
        <w:t>As of December 31, 2024, the total unrecognized compensation expense related to unvested PSUs was $10.0 million, which is expected to be recognized over a weighted-average period of approximately 1.8 years.</w:t>
      </w:r>
    </w:p>
    <w:p>
      <w:pPr>
        <w:spacing w:after="0" w:line="127" w:lineRule="exact"/>
        <w:rPr>
          <w:sz w:val="20"/>
          <w:szCs w:val="20"/>
          <w:color w:val="auto"/>
        </w:rPr>
      </w:pPr>
    </w:p>
    <w:p>
      <w:pPr>
        <w:ind w:left="40" w:right="20" w:firstLine="720"/>
        <w:spacing w:after="0" w:line="247" w:lineRule="auto"/>
        <w:rPr>
          <w:sz w:val="20"/>
          <w:szCs w:val="20"/>
          <w:color w:val="auto"/>
        </w:rPr>
      </w:pPr>
      <w:r>
        <w:rPr>
          <w:rFonts w:ascii="Times New Roman" w:cs="Times New Roman" w:eastAsia="Times New Roman" w:hAnsi="Times New Roman"/>
          <w:sz w:val="20"/>
          <w:szCs w:val="20"/>
          <w:color w:val="auto"/>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244" w:lineRule="exact"/>
        <w:rPr>
          <w:sz w:val="20"/>
          <w:szCs w:val="20"/>
          <w:color w:val="auto"/>
        </w:rPr>
      </w:pPr>
    </w:p>
    <w:p>
      <w:pPr>
        <w:ind w:left="40" w:right="40" w:firstLine="720"/>
        <w:spacing w:after="0" w:line="246" w:lineRule="auto"/>
        <w:rPr>
          <w:sz w:val="20"/>
          <w:szCs w:val="20"/>
          <w:color w:val="auto"/>
        </w:rPr>
      </w:pPr>
      <w:r>
        <w:rPr>
          <w:rFonts w:ascii="Times New Roman" w:cs="Times New Roman" w:eastAsia="Times New Roman" w:hAnsi="Times New Roman"/>
          <w:sz w:val="20"/>
          <w:szCs w:val="20"/>
          <w:color w:val="auto"/>
        </w:rPr>
        <w:t>Basic net loss per share is calculated by dividing net loss by the weighted average shares of common stock outstanding during the period, without consideration for common stock equivalents. Diluted net loss per share is calculated by adjusting weighted average shares outstanding for the dilutive effect of common stock equivalents outstanding for the period. For purposes of the diluted net loss per share calculation, stock options, unvested restricted stock units, PSUs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9" w:lineRule="exact"/>
        <w:rPr>
          <w:sz w:val="20"/>
          <w:szCs w:val="20"/>
          <w:color w:val="auto"/>
        </w:rPr>
      </w:pPr>
    </w:p>
    <w:p>
      <w:pPr>
        <w:jc w:val="both"/>
        <w:ind w:left="40" w:right="260" w:firstLine="720"/>
        <w:spacing w:after="0" w:line="259" w:lineRule="auto"/>
        <w:rPr>
          <w:sz w:val="20"/>
          <w:szCs w:val="20"/>
          <w:color w:val="auto"/>
        </w:rPr>
      </w:pPr>
      <w:r>
        <w:rPr>
          <w:rFonts w:ascii="Times New Roman" w:cs="Times New Roman" w:eastAsia="Times New Roman" w:hAnsi="Times New Roman"/>
          <w:sz w:val="20"/>
          <w:szCs w:val="20"/>
          <w:color w:val="auto"/>
        </w:rPr>
        <w:t>The following common stock equivalents were excluded from the calculation of diluted net loss per share for the years ended December 31, 2024, 2023 and 2022 because including them would have had an anti-dilutive effect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780" w:type="dxa"/>
            <w:vAlign w:val="bottom"/>
          </w:tcPr>
          <w:p>
            <w:pPr>
              <w:jc w:val="right"/>
              <w:ind w:right="146"/>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3"/>
          </w:tcPr>
          <w:p>
            <w:pPr>
              <w:jc w:val="right"/>
              <w:ind w:right="12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gridSpan w:val="3"/>
          </w:tcPr>
          <w:p>
            <w:pPr>
              <w:jc w:val="right"/>
              <w:ind w:right="12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94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6,370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6,658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6,233</w:t>
            </w:r>
          </w:p>
        </w:tc>
        <w:tc>
          <w:tcPr>
            <w:tcW w:w="0" w:type="dxa"/>
            <w:vAlign w:val="bottom"/>
          </w:tcPr>
          <w:p>
            <w:pPr>
              <w:spacing w:after="0"/>
              <w:rPr>
                <w:sz w:val="1"/>
                <w:szCs w:val="1"/>
                <w:color w:val="auto"/>
              </w:rPr>
            </w:pPr>
          </w:p>
        </w:tc>
      </w:tr>
      <w:tr>
        <w:trPr>
          <w:trHeight w:val="230"/>
        </w:trPr>
        <w:tc>
          <w:tcPr>
            <w:tcW w:w="69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Restricted stock units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0" w:type="dxa"/>
            <w:vAlign w:val="bottom"/>
          </w:tcPr>
          <w:p>
            <w:pPr>
              <w:spacing w:after="0"/>
              <w:rPr>
                <w:sz w:val="1"/>
                <w:szCs w:val="1"/>
                <w:color w:val="auto"/>
              </w:rPr>
            </w:pPr>
          </w:p>
        </w:tc>
      </w:tr>
      <w:tr>
        <w:trPr>
          <w:trHeight w:val="229"/>
        </w:trPr>
        <w:tc>
          <w:tcPr>
            <w:tcW w:w="69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Performance-based restricted stock units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9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ESPP shares . . . . . . .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30"/>
        </w:trPr>
        <w:tc>
          <w:tcPr>
            <w:tcW w:w="692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6"/>
              </w:rPr>
              <w:t>Total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8,832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8,857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60"/>
          </w:cols>
          <w:pgMar w:left="1220" w:top="1247"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760"/>
          </w:cols>
          <w:pgMar w:left="1220" w:top="1247" w:right="1260" w:bottom="187"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243"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The Company recorded an income tax provision of $1.2 million for the year ended December 31, 2024 due to state income taxes and taxable income from the jurisdictions in which the Company is subject to tax.</w:t>
      </w:r>
    </w:p>
    <w:p>
      <w:pPr>
        <w:spacing w:after="0" w:line="167"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A reconciliation of the U.S. statutory income tax rate to the Company’s effective tax rate is as follows for the years ended December 31, 2024,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gridSpan w:val="1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Federal income tax (benefit) at statutory rate</w:t>
            </w:r>
          </w:p>
        </w:tc>
        <w:tc>
          <w:tcPr>
            <w:tcW w:w="620" w:type="dxa"/>
            <w:vAlign w:val="bottom"/>
            <w:tcBorders>
              <w:top w:val="single" w:sz="8" w:color="auto"/>
            </w:tcBorders>
            <w:gridSpan w:val="3"/>
          </w:tcPr>
          <w:p>
            <w:pPr>
              <w:jc w:val="right"/>
              <w:ind w:right="2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80" w:type="dxa"/>
            <w:vAlign w:val="bottom"/>
            <w:tcBorders>
              <w:top w:val="single" w:sz="8" w:color="auto"/>
            </w:tcBorders>
            <w:gridSpan w:val="4"/>
          </w:tcPr>
          <w:p>
            <w:pPr>
              <w:jc w:val="right"/>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61"/>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7020" w:type="dxa"/>
            <w:vAlign w:val="bottom"/>
            <w:gridSpan w:val="2"/>
            <w:vMerge w:val="continue"/>
          </w:tcPr>
          <w:p>
            <w:pPr>
              <w:ind w:left="36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w:t>
            </w:r>
          </w:p>
        </w:tc>
        <w:tc>
          <w:tcPr>
            <w:tcW w:w="660" w:type="dxa"/>
            <w:vAlign w:val="bottom"/>
            <w:tcBorders>
              <w:top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auto"/>
              </w:rPr>
              <w:t>21.00</w:t>
            </w:r>
          </w:p>
        </w:tc>
        <w:tc>
          <w:tcPr>
            <w:tcW w:w="180" w:type="dxa"/>
            <w:vAlign w:val="bottom"/>
            <w:tcBorders>
              <w:top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21.00</w:t>
            </w:r>
          </w:p>
        </w:tc>
        <w:tc>
          <w:tcPr>
            <w:tcW w:w="320" w:type="dxa"/>
            <w:vAlign w:val="bottom"/>
            <w:tcBorders>
              <w:top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21.00</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Permanent differences . . . . . . . . . . . . . . . . . . . . . . . . . . . . . . . . . . . . . . . . . . . . . . . . . .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6"/>
          </w:tcPr>
          <w:p>
            <w:pPr>
              <w:jc w:val="right"/>
              <w:ind w:right="167"/>
              <w:spacing w:after="0"/>
              <w:rPr>
                <w:sz w:val="20"/>
                <w:szCs w:val="20"/>
                <w:color w:val="auto"/>
              </w:rPr>
            </w:pPr>
            <w:r>
              <w:rPr>
                <w:rFonts w:ascii="Times New Roman" w:cs="Times New Roman" w:eastAsia="Times New Roman" w:hAnsi="Times New Roman"/>
                <w:sz w:val="20"/>
                <w:szCs w:val="20"/>
                <w:color w:val="auto"/>
              </w:rPr>
              <w:t>(0.42)</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U.S. Tax on foreign earnings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5"/>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Federal research and development credits . . . . . . . . . . . . . . . . . . . . . . . . . . . . . . . . . .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Federal orphan drug credits . . . . . . . . . . . . . . . . . . . . . . . . . . . . . . . . . . . . . . . . . . . . .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18.41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State income tax, net of federal benefit . . . . . . . . . . . . . . . . . . . . . . . . . . . . . . . . . . . .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Foreign rate differential . . . . . . . . . . . . . . . . . . . . . . . . . . . . . . . . . . . . . . . . . . . . . . . . .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180" w:type="dxa"/>
            <w:vAlign w:val="bottom"/>
          </w:tcPr>
          <w:p>
            <w:pPr>
              <w:spacing w:after="0"/>
              <w:rPr>
                <w:sz w:val="20"/>
                <w:szCs w:val="20"/>
                <w:color w:val="auto"/>
              </w:rPr>
            </w:pPr>
          </w:p>
        </w:tc>
        <w:tc>
          <w:tcPr>
            <w:tcW w:w="1020" w:type="dxa"/>
            <w:vAlign w:val="bottom"/>
            <w:gridSpan w:val="6"/>
          </w:tcPr>
          <w:p>
            <w:pPr>
              <w:jc w:val="right"/>
              <w:ind w:right="167"/>
              <w:spacing w:after="0"/>
              <w:rPr>
                <w:sz w:val="20"/>
                <w:szCs w:val="20"/>
                <w:color w:val="auto"/>
              </w:rPr>
            </w:pPr>
            <w:r>
              <w:rPr>
                <w:rFonts w:ascii="Times New Roman" w:cs="Times New Roman" w:eastAsia="Times New Roman" w:hAnsi="Times New Roman"/>
                <w:sz w:val="20"/>
                <w:szCs w:val="20"/>
                <w:color w:val="auto"/>
              </w:rPr>
              <w:t>(0.41)</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Deferred rate change . . . . . . . . . . . . . . . . . . . . . . . . . . . . . . . . . . . . . . . . . . . . . . . . . . . .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18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Foreign tax credit . . . .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5"/>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Stock Based Compensation . . . . . . . . . . . . . . . . . . . . . . . . . . . . . . . . . . . . . . . . . . . . . .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180" w:type="dxa"/>
            <w:vAlign w:val="bottom"/>
          </w:tcPr>
          <w:p>
            <w:pPr>
              <w:spacing w:after="0"/>
              <w:rPr>
                <w:sz w:val="20"/>
                <w:szCs w:val="20"/>
                <w:color w:val="auto"/>
              </w:rPr>
            </w:pPr>
          </w:p>
        </w:tc>
        <w:tc>
          <w:tcPr>
            <w:tcW w:w="1020" w:type="dxa"/>
            <w:vAlign w:val="bottom"/>
            <w:gridSpan w:val="6"/>
          </w:tcPr>
          <w:p>
            <w:pPr>
              <w:jc w:val="right"/>
              <w:ind w:right="167"/>
              <w:spacing w:after="0"/>
              <w:rPr>
                <w:sz w:val="20"/>
                <w:szCs w:val="20"/>
                <w:color w:val="auto"/>
              </w:rPr>
            </w:pPr>
            <w:r>
              <w:rPr>
                <w:rFonts w:ascii="Times New Roman" w:cs="Times New Roman" w:eastAsia="Times New Roman" w:hAnsi="Times New Roman"/>
                <w:sz w:val="20"/>
                <w:szCs w:val="20"/>
                <w:color w:val="auto"/>
              </w:rPr>
              <w:t>(0.76)</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 . . . . . .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18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Change in valuation allowance . . . . . . . . . . . . . . . . . . . . . . . . . . . . . . . . . . . . . . . . . . . . . .</w:t>
            </w: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(36.</w:t>
            </w:r>
            <w:r>
              <w:rPr>
                <w:rFonts w:ascii="Times New Roman" w:cs="Times New Roman" w:eastAsia="Times New Roman" w:hAnsi="Times New Roman"/>
                <w:sz w:val="20"/>
                <w:szCs w:val="20"/>
                <w:u w:val="single" w:color="auto"/>
                <w:color w:val="auto"/>
              </w:rPr>
              <w:t>17)</w:t>
            </w:r>
          </w:p>
        </w:tc>
        <w:tc>
          <w:tcPr>
            <w:tcW w:w="18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(29.65)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0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w w:val="99"/>
              </w:rPr>
              <w:t>Effective income tax rate . . . . . . . . . . . . . . . . . . . . . . . . . . . . . . . . . . . . . . . . . . . . . . . . . .</w:t>
            </w:r>
          </w:p>
        </w:tc>
        <w:tc>
          <w:tcPr>
            <w:tcW w:w="20" w:type="dxa"/>
            <w:vAlign w:val="bottom"/>
          </w:tcPr>
          <w:p>
            <w:pPr>
              <w:spacing w:after="0"/>
              <w:rPr>
                <w:sz w:val="19"/>
                <w:szCs w:val="19"/>
                <w:color w:val="auto"/>
              </w:rPr>
            </w:pPr>
          </w:p>
        </w:tc>
        <w:tc>
          <w:tcPr>
            <w:tcW w:w="840" w:type="dxa"/>
            <w:vAlign w:val="bottom"/>
            <w:gridSpan w:val="5"/>
          </w:tcPr>
          <w:p>
            <w:pPr>
              <w:jc w:val="right"/>
              <w:spacing w:after="0" w:line="221" w:lineRule="exact"/>
              <w:rPr>
                <w:sz w:val="20"/>
                <w:szCs w:val="20"/>
                <w:color w:val="auto"/>
              </w:rPr>
            </w:pPr>
            <w:r>
              <w:rPr>
                <w:rFonts w:ascii="Times New Roman" w:cs="Times New Roman" w:eastAsia="Times New Roman" w:hAnsi="Times New Roman"/>
                <w:sz w:val="20"/>
                <w:szCs w:val="20"/>
                <w:color w:val="auto"/>
              </w:rPr>
              <w:t>(1.88)%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7"/>
              <w:spacing w:after="0" w:line="221" w:lineRule="exact"/>
              <w:rPr>
                <w:sz w:val="20"/>
                <w:szCs w:val="20"/>
                <w:color w:val="auto"/>
              </w:rPr>
            </w:pPr>
            <w:r>
              <w:rPr>
                <w:rFonts w:ascii="Times New Roman" w:cs="Times New Roman" w:eastAsia="Times New Roman" w:hAnsi="Times New Roman"/>
                <w:sz w:val="20"/>
                <w:szCs w:val="20"/>
                <w:color w:val="auto"/>
              </w:rPr>
              <w:t>(0.19)%</w:t>
            </w:r>
          </w:p>
        </w:tc>
        <w:tc>
          <w:tcPr>
            <w:tcW w:w="2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(0.95)</w:t>
            </w:r>
          </w:p>
        </w:tc>
        <w:tc>
          <w:tcPr>
            <w:tcW w:w="20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gridSpan w:val="2"/>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4"/>
        </w:trPr>
        <w:tc>
          <w:tcPr>
            <w:tcW w:w="9740" w:type="dxa"/>
            <w:vAlign w:val="bottom"/>
            <w:gridSpan w:val="17"/>
          </w:tcPr>
          <w:p>
            <w:pPr>
              <w:ind w:left="720"/>
              <w:spacing w:after="0"/>
              <w:rPr>
                <w:sz w:val="20"/>
                <w:szCs w:val="20"/>
                <w:color w:val="auto"/>
              </w:rPr>
            </w:pPr>
            <w:r>
              <w:rPr>
                <w:rFonts w:ascii="Times New Roman" w:cs="Times New Roman" w:eastAsia="Times New Roman" w:hAnsi="Times New Roman"/>
                <w:sz w:val="20"/>
                <w:szCs w:val="20"/>
                <w:color w:val="auto"/>
              </w:rPr>
              <w:t>The Company’s deferred tax assets and liabilities consist of the following (in thousands) as of December 31,</w:t>
            </w:r>
          </w:p>
        </w:tc>
        <w:tc>
          <w:tcPr>
            <w:tcW w:w="0" w:type="dxa"/>
            <w:vAlign w:val="bottom"/>
          </w:tcPr>
          <w:p>
            <w:pPr>
              <w:spacing w:after="0"/>
              <w:rPr>
                <w:sz w:val="1"/>
                <w:szCs w:val="1"/>
                <w:color w:val="auto"/>
              </w:rPr>
            </w:pPr>
          </w:p>
        </w:tc>
      </w:tr>
      <w:tr>
        <w:trPr>
          <w:trHeight w:val="267"/>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2024 and 2023: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3"/>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5"/>
          </w:tcPr>
          <w:p>
            <w:pPr>
              <w:jc w:val="right"/>
              <w:ind w:right="320"/>
              <w:spacing w:after="0" w:line="173"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4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Net operating loss carryforwards . . . . . . . . . . . . . . . . . . . . . . . . . . . . . . . . . . . . . . . . . .</w:t>
            </w:r>
          </w:p>
        </w:tc>
        <w:tc>
          <w:tcPr>
            <w:tcW w:w="620" w:type="dxa"/>
            <w:vAlign w:val="bottom"/>
            <w:gridSpan w:val="3"/>
          </w:tcPr>
          <w:p>
            <w:pPr>
              <w:jc w:val="right"/>
              <w:ind w:right="20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244,189</w:t>
            </w:r>
          </w:p>
        </w:tc>
        <w:tc>
          <w:tcPr>
            <w:tcW w:w="160" w:type="dxa"/>
            <w:vAlign w:val="bottom"/>
          </w:tcPr>
          <w:p>
            <w:pPr>
              <w:spacing w:after="0"/>
              <w:rPr>
                <w:sz w:val="19"/>
                <w:szCs w:val="19"/>
                <w:color w:val="auto"/>
              </w:rPr>
            </w:pPr>
          </w:p>
        </w:tc>
        <w:tc>
          <w:tcPr>
            <w:tcW w:w="340" w:type="dxa"/>
            <w:vAlign w:val="bottom"/>
            <w:gridSpan w:val="2"/>
          </w:tcPr>
          <w:p>
            <w:pPr>
              <w:jc w:val="right"/>
              <w:ind w:right="147"/>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Research and development credit carryforwards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67,592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Orphan drug credit carryforwards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168,799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expenses and other . . . . . . . . . . . . . . . . . . . . . . . . . . . . . . . . . . . . . . . . . . . . .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62,187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Royalty Pharma milestones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R&amp;D capitalization . .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190,040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153,836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Financing arrangements . . . . . . . . . . . . . . . . . . . . . . . . . . . . . . . . . . . . . . . . . . . . . . . . .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63,424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Deferred rent . . . . . . .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19,040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w w:val="97"/>
              </w:rPr>
              <w:t>3,785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02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 . . .Totalgrossdeferredtaxasset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5"/>
          </w:tcPr>
          <w:p>
            <w:pPr>
              <w:jc w:val="right"/>
              <w:spacing w:after="0" w:line="201" w:lineRule="exact"/>
              <w:rPr>
                <w:sz w:val="20"/>
                <w:szCs w:val="20"/>
                <w:color w:val="auto"/>
              </w:rPr>
            </w:pPr>
            <w:r>
              <w:rPr>
                <w:rFonts w:ascii="Times New Roman" w:cs="Times New Roman" w:eastAsia="Times New Roman" w:hAnsi="Times New Roman"/>
                <w:sz w:val="20"/>
                <w:szCs w:val="20"/>
                <w:color w:val="auto"/>
              </w:rPr>
              <w:t>819,056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800,364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Depreciation . . . . . . .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6"/>
          </w:tcPr>
          <w:p>
            <w:pPr>
              <w:jc w:val="right"/>
              <w:ind w:right="160"/>
              <w:spacing w:after="0"/>
              <w:rPr>
                <w:sz w:val="20"/>
                <w:szCs w:val="20"/>
                <w:color w:val="auto"/>
              </w:rPr>
            </w:pPr>
            <w:r>
              <w:rPr>
                <w:rFonts w:ascii="Times New Roman" w:cs="Times New Roman" w:eastAsia="Times New Roman" w:hAnsi="Times New Roman"/>
                <w:sz w:val="20"/>
                <w:szCs w:val="20"/>
                <w:color w:val="auto"/>
              </w:rPr>
              <w:t>(6,123)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(6,107)</w:t>
            </w: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Right of use assets . .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(14,837)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(2,068)</w:t>
            </w:r>
          </w:p>
        </w:tc>
        <w:tc>
          <w:tcPr>
            <w:tcW w:w="0" w:type="dxa"/>
            <w:vAlign w:val="bottom"/>
          </w:tcPr>
          <w:p>
            <w:pPr>
              <w:spacing w:after="0"/>
              <w:rPr>
                <w:sz w:val="1"/>
                <w:szCs w:val="1"/>
                <w:color w:val="auto"/>
              </w:rPr>
            </w:pPr>
          </w:p>
        </w:tc>
      </w:tr>
      <w:tr>
        <w:trPr>
          <w:trHeight w:val="250"/>
        </w:trPr>
        <w:tc>
          <w:tcPr>
            <w:tcW w:w="7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Valuation allowance . . . . . . . . . . . . . . . . . . . . . . . . . . . . . . . . . . . . . . . . . . . . . . . . . . . . .</w:t>
            </w:r>
          </w:p>
        </w:tc>
        <w:tc>
          <w:tcPr>
            <w:tcW w:w="1520" w:type="dxa"/>
            <w:vAlign w:val="bottom"/>
            <w:gridSpan w:val="9"/>
          </w:tcPr>
          <w:p>
            <w:pPr>
              <w:jc w:val="right"/>
              <w:ind w:right="160"/>
              <w:spacing w:after="0"/>
              <w:rPr>
                <w:sz w:val="20"/>
                <w:szCs w:val="20"/>
                <w:color w:val="auto"/>
              </w:rPr>
            </w:pPr>
            <w:r>
              <w:rPr>
                <w:rFonts w:ascii="Times New Roman" w:cs="Times New Roman" w:eastAsia="Times New Roman" w:hAnsi="Times New Roman"/>
                <w:sz w:val="20"/>
                <w:szCs w:val="20"/>
                <w:color w:val="auto"/>
              </w:rPr>
              <w:t>(798,096)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(774,766)</w:t>
            </w:r>
          </w:p>
        </w:tc>
        <w:tc>
          <w:tcPr>
            <w:tcW w:w="0" w:type="dxa"/>
            <w:vAlign w:val="bottom"/>
          </w:tcPr>
          <w:p>
            <w:pPr>
              <w:spacing w:after="0"/>
              <w:rPr>
                <w:sz w:val="1"/>
                <w:szCs w:val="1"/>
                <w:color w:val="auto"/>
              </w:rPr>
            </w:pPr>
          </w:p>
        </w:tc>
      </w:tr>
      <w:tr>
        <w:trPr>
          <w:trHeight w:val="230"/>
        </w:trPr>
        <w:tc>
          <w:tcPr>
            <w:tcW w:w="7020" w:type="dxa"/>
            <w:vAlign w:val="bottom"/>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.Netdeferredtaxasset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25"/>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$798.1 million and $ 774.8 million has been established at December 31, 2024 and 2023, respectively. The change in the valuation allowance was $23.3 million and $149.7 million for the years ended December 31, 2024 and 2023, respectively. The increase of deferred tax asset between December 31, 2024 and 2023 is primarily driven by the generation of federal and state net operating losses and the generation of research and development and orphan drug credits, as well as the capitalization and amortization of all Sec. 174 costs associated with research and development costs.</w:t>
      </w:r>
    </w:p>
    <w:p>
      <w:pPr>
        <w:sectPr>
          <w:pgSz w:w="12240" w:h="15840" w:orient="portrait"/>
          <w:cols w:equalWidth="0" w:num="1">
            <w:col w:w="9720"/>
          </w:cols>
          <w:pgMar w:left="1260" w:top="1243"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720"/>
          </w:cols>
          <w:pgMar w:left="1260" w:top="1243" w:right="1260" w:bottom="187" w:gutter="0" w:footer="0" w:header="0"/>
          <w:type w:val="continuous"/>
        </w:sectPr>
      </w:pPr>
    </w:p>
    <w:bookmarkStart w:id="171" w:name="page172"/>
    <w:bookmarkEnd w:id="171"/>
    <w:p>
      <w:pPr>
        <w:ind w:left="720"/>
        <w:spacing w:after="0"/>
        <w:rPr>
          <w:sz w:val="20"/>
          <w:szCs w:val="20"/>
          <w:color w:val="auto"/>
        </w:rPr>
      </w:pPr>
      <w:r>
        <w:rPr>
          <w:rFonts w:ascii="Times New Roman" w:cs="Times New Roman" w:eastAsia="Times New Roman" w:hAnsi="Times New Roman"/>
          <w:sz w:val="20"/>
          <w:szCs w:val="20"/>
          <w:color w:val="auto"/>
        </w:rPr>
        <w:t>The Company has incurred net operating losses (NOL) since inception with the exception of years 2020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 As of December 31, 2024, the Company had federal and state NOL carryforwards of $859.2 million and</w:t>
      </w:r>
    </w:p>
    <w:p>
      <w:pPr>
        <w:spacing w:after="0"/>
        <w:rPr>
          <w:sz w:val="20"/>
          <w:szCs w:val="20"/>
          <w:color w:val="auto"/>
        </w:rPr>
      </w:pPr>
      <w:r>
        <w:rPr>
          <w:rFonts w:ascii="Times New Roman" w:cs="Times New Roman" w:eastAsia="Times New Roman" w:hAnsi="Times New Roman"/>
          <w:sz w:val="20"/>
          <w:szCs w:val="20"/>
          <w:color w:val="auto"/>
        </w:rPr>
        <w:t>$1,077.3 million, respectively, which begin to expire in 2030, and of which $843.3 million of the Company’s federal</w:t>
      </w:r>
    </w:p>
    <w:p>
      <w:pPr>
        <w:spacing w:after="0"/>
        <w:rPr>
          <w:sz w:val="20"/>
          <w:szCs w:val="20"/>
          <w:color w:val="auto"/>
        </w:rPr>
      </w:pPr>
      <w:r>
        <w:rPr>
          <w:rFonts w:ascii="Times New Roman" w:cs="Times New Roman" w:eastAsia="Times New Roman" w:hAnsi="Times New Roman"/>
          <w:sz w:val="20"/>
          <w:szCs w:val="20"/>
          <w:color w:val="auto"/>
        </w:rPr>
        <w:t>NOL is post 2017 NOL that will be carried forward indefinitely. As of December 31, 2024, the Company had federal</w:t>
      </w:r>
    </w:p>
    <w:p>
      <w:pPr>
        <w:spacing w:after="0"/>
        <w:rPr>
          <w:sz w:val="20"/>
          <w:szCs w:val="20"/>
          <w:color w:val="auto"/>
        </w:rPr>
      </w:pPr>
      <w:r>
        <w:rPr>
          <w:rFonts w:ascii="Times New Roman" w:cs="Times New Roman" w:eastAsia="Times New Roman" w:hAnsi="Times New Roman"/>
          <w:sz w:val="20"/>
          <w:szCs w:val="20"/>
          <w:color w:val="auto"/>
        </w:rPr>
        <w:t>and state research and development tax credit carryforwards of $39.9 million and $31.0 million, respectively, which</w:t>
      </w:r>
    </w:p>
    <w:p>
      <w:pPr>
        <w:spacing w:after="0"/>
        <w:rPr>
          <w:sz w:val="20"/>
          <w:szCs w:val="20"/>
          <w:color w:val="auto"/>
        </w:rPr>
      </w:pPr>
      <w:r>
        <w:rPr>
          <w:rFonts w:ascii="Times New Roman" w:cs="Times New Roman" w:eastAsia="Times New Roman" w:hAnsi="Times New Roman"/>
          <w:sz w:val="20"/>
          <w:szCs w:val="20"/>
          <w:color w:val="auto"/>
        </w:rPr>
        <w:t>begin to expire in 2039 and 2028 respectively. As of December 31, 2024, the Company had federal orphan drug credits</w:t>
      </w:r>
    </w:p>
    <w:p>
      <w:pPr>
        <w:spacing w:after="0"/>
        <w:rPr>
          <w:sz w:val="20"/>
          <w:szCs w:val="20"/>
          <w:color w:val="auto"/>
        </w:rPr>
      </w:pPr>
      <w:r>
        <w:rPr>
          <w:rFonts w:ascii="Times New Roman" w:cs="Times New Roman" w:eastAsia="Times New Roman" w:hAnsi="Times New Roman"/>
          <w:sz w:val="20"/>
          <w:szCs w:val="20"/>
          <w:color w:val="auto"/>
        </w:rPr>
        <w:t>of $168.8 million, which begin to expire in 2035 and state investment tax credits of $0.9 million, which have begun to</w:t>
      </w:r>
    </w:p>
    <w:p>
      <w:pPr>
        <w:spacing w:after="0"/>
        <w:rPr>
          <w:sz w:val="20"/>
          <w:szCs w:val="20"/>
          <w:color w:val="auto"/>
        </w:rPr>
      </w:pPr>
      <w:r>
        <w:rPr>
          <w:rFonts w:ascii="Times New Roman" w:cs="Times New Roman" w:eastAsia="Times New Roman" w:hAnsi="Times New Roman"/>
          <w:sz w:val="20"/>
          <w:szCs w:val="20"/>
          <w:color w:val="auto"/>
        </w:rPr>
        <w:t>expire in 2024. As of December 31, 2024, the Company has foreign tax credits of $2.5 million which will expire in</w:t>
      </w:r>
    </w:p>
    <w:p>
      <w:pPr>
        <w:spacing w:after="0"/>
        <w:rPr>
          <w:sz w:val="20"/>
          <w:szCs w:val="20"/>
          <w:color w:val="auto"/>
        </w:rPr>
      </w:pPr>
      <w:r>
        <w:rPr>
          <w:rFonts w:ascii="Times New Roman" w:cs="Times New Roman" w:eastAsia="Times New Roman" w:hAnsi="Times New Roman"/>
          <w:sz w:val="20"/>
          <w:szCs w:val="20"/>
          <w:color w:val="auto"/>
        </w:rPr>
        <w:t>2031.</w:t>
      </w:r>
    </w:p>
    <w:p>
      <w:pPr>
        <w:spacing w:after="0" w:line="211"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The Company has analyzed and validated its research and development tax credits as well as its orphan drug credits for 2011-2023. The Company generated research credits in 2024 but has not conducted a formal study to document its qualified activities. This study may result in an adjustment to the Company’s research and development credit carryforwards. No amounts are being presented as an uncertain tax position as of December 31, 2024 until such study is completed and the adjustment is known.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Internal Revenue Code of 1986, as amended (the Code), provides for a limitation of the annual use of NOL and other tax attributes (such as research and development tax credit carryforwards) following certain ownership changes (as defined by the Code) that could limit the Company’s ability to utilize these carryforwards. The Company may have experienced such ownership changes in the past, and may experience ownership changes in the future as a result of shifts in its stock ownership, some of which are outside the Company’s control. Approximately $2.0 million of the Company’s NOL carryforwards may not be available for utilization within their applicable carryforward periods based on the Section 382 study in 2021. In addition, U.S. tax laws limit the time during which these carryforwards may be applied against future taxes. Therefore, the Company may not be able to take full advantage of these carryforwards for federal or state income tax purposes.</w:t>
      </w:r>
    </w:p>
    <w:p>
      <w:pPr>
        <w:spacing w:after="0" w:line="206"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Interest and penalty charges, if any, related to unrecognized tax benefits would be classified as income tax expense in the accompanying statements of operations and comprehensive income (loss). As of December 31, 2024, the Company did not have any gross unrecognized tax benefit, excluding interest and penalties. As of December 31, 2024,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9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Effective January 1, 2022, a provision of the Tax Cuts and Jobs Act (TCJA) took effect creating a significant change to the treatment of research and experimental (R&amp;E) expenditures under Section 174 of the Code (Sec. 174 expenses). Historically, businesses have had the option of deducting Sec. 174 expenses in the year incurred or capitalizing and amortizing the costs over five years. The TCJA provision, however, eliminates this option and requires Sec. 174 expenses associated with research conducted in the U.S to be capitalized and amortized over a five-year period. For expenses associated with research outside of the United States, Sec. 174 expenses are capitalized and amortized over a 15-year period. The Company has included the tax impact of capitalizing and amortizing these costs over the required periods for the calendar year ended December 31, 2024.</w:t>
      </w:r>
    </w:p>
    <w:p>
      <w:pPr>
        <w:spacing w:after="0" w:line="20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July 2022 upon the transactions closing. The total cash consideration of $425.0 million, in its entirety, was considered taxable income for calendar year ended December 31, 2022. In connection with and effective upon the termination of the Roche collaboration agreement, on February 22, 2024, Royalty Pharma and the Company entered into the Royalty Pharma Termination Agreement to terminate the Royalty Purchase Agreement. The Company accounted for the Royalty Pharma Termination Agreement as a debt extinguishment. As a result, during the year ended December 31, 2024 the Company recorded $173.7 million as a debt extinguishment gain in its consolidated financial statements. For additional information, see Note 3, </w:t>
      </w:r>
      <w:r>
        <w:rPr>
          <w:rFonts w:ascii="Times New Roman" w:cs="Times New Roman" w:eastAsia="Times New Roman" w:hAnsi="Times New Roman"/>
          <w:sz w:val="20"/>
          <w:szCs w:val="20"/>
          <w:i w:val="1"/>
          <w:iCs w:val="1"/>
          <w:color w:val="auto"/>
        </w:rPr>
        <w:t>Financing Arrangements</w:t>
      </w:r>
      <w:r>
        <w:rPr>
          <w:rFonts w:ascii="Times New Roman" w:cs="Times New Roman" w:eastAsia="Times New Roman" w:hAnsi="Times New Roman"/>
          <w:sz w:val="20"/>
          <w:szCs w:val="20"/>
          <w:color w:val="auto"/>
        </w:rPr>
        <w:t>. For tax purposes, the debt extinguishment gain was excluded from the December 31, 2024 estimated taxable income calculation since it was previously included in taxable income during the year ended December 31, 2022.</w:t>
      </w:r>
    </w:p>
    <w:p>
      <w:pPr>
        <w:sectPr>
          <w:pgSz w:w="12240" w:h="15840" w:orient="portrait"/>
          <w:cols w:equalWidth="0" w:num="1">
            <w:col w:w="9700"/>
          </w:cols>
          <w:pgMar w:left="1260" w:top="1246" w:right="1280" w:bottom="187"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9700"/>
          </w:cols>
          <w:pgMar w:left="1260" w:top="1246" w:right="1280" w:bottom="187" w:gutter="0" w:footer="0" w:header="0"/>
          <w:type w:val="continuous"/>
        </w:sectPr>
      </w:pPr>
    </w:p>
    <w:bookmarkStart w:id="172" w:name="page173"/>
    <w:bookmarkEnd w:id="172"/>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August 1, 2022, the Company entered into the IDRx License Agreement and IDRx Stock Purchase Agreement. Pursuant to these agreements, the Company licensed its internally discovered KIT exon 13 inhibitor to IDRx in exchange for a 4,509,105 shares of IDRx’s Series A preferred stock and the eligibility to receive future milestones and tiered royalty payments. For book and tax purposes, the value of the equity totaling $27.5 million was included in the taxable income for the year ended December 31, 2022.</w:t>
      </w:r>
    </w:p>
    <w:p>
      <w:pPr>
        <w:spacing w:after="0" w:line="198"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the Company did not have any gross unrecognized tax benefits, excluding interest and penalties due to an audit settlement. The following table provides the reconciliation of the total amounts of the Company’s unrecognized tax benefits for the years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auto"/>
            </w:tcBorders>
            <w:gridSpan w:val="5"/>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balance at January 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gridSpan w:val="2"/>
            <w:vMerge w:val="continue"/>
          </w:tcPr>
          <w:p>
            <w:pPr>
              <w:jc w:val="right"/>
              <w:ind w:right="320"/>
              <w:spacing w:after="0" w:line="190"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920" w:type="dxa"/>
            <w:vAlign w:val="bottom"/>
          </w:tcPr>
          <w:p>
            <w:pPr>
              <w:jc w:val="right"/>
              <w:ind w:right="73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747"/>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7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Gross Increases - tax positions in prior periods . . . . . . . . . . . . . . . . . . . . . . . . . .</w:t>
            </w:r>
          </w:p>
        </w:tc>
        <w:tc>
          <w:tcPr>
            <w:tcW w:w="920" w:type="dxa"/>
            <w:vAlign w:val="bottom"/>
          </w:tcPr>
          <w:p>
            <w:pPr>
              <w:spacing w:after="0"/>
              <w:rPr>
                <w:sz w:val="21"/>
                <w:szCs w:val="21"/>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45"/>
        </w:trPr>
        <w:tc>
          <w:tcPr>
            <w:tcW w:w="67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Gross Increases - current period tax positions . . . . . . . . . . . . . . . . . . . . . . . . . . .</w:t>
            </w:r>
          </w:p>
        </w:tc>
        <w:tc>
          <w:tcPr>
            <w:tcW w:w="920" w:type="dxa"/>
            <w:vAlign w:val="bottom"/>
          </w:tcPr>
          <w:p>
            <w:pPr>
              <w:spacing w:after="0"/>
              <w:rPr>
                <w:sz w:val="21"/>
                <w:szCs w:val="21"/>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7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Settlements . . . . . . . . . . . . . . . . . . . . . . . . . . . . . . . . . . . . . . . . . . . . . . . . . . . . . . .</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(211)</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7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Lapse of statutes . . . . . . . . . . . . . . . . . . . . . . . . . . . . . . . . . . . . . . . . . . . . . . . . . . .</w:t>
            </w:r>
          </w:p>
        </w:tc>
        <w:tc>
          <w:tcPr>
            <w:tcW w:w="920" w:type="dxa"/>
            <w:vAlign w:val="bottom"/>
          </w:tcPr>
          <w:p>
            <w:pPr>
              <w:spacing w:after="0"/>
              <w:rPr>
                <w:sz w:val="21"/>
                <w:szCs w:val="21"/>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Ending balance at December 31 . . . . . . . . . . . . . . . . . . . . . . . . . . . . . . . . . . . . . . . .</w:t>
            </w:r>
          </w:p>
        </w:tc>
        <w:tc>
          <w:tcPr>
            <w:tcW w:w="2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243"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December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38 Sidney Street</w:t>
      </w:r>
    </w:p>
    <w:p>
      <w:pPr>
        <w:spacing w:after="0" w:line="237"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In February 2015, the Company entered into a lease for approximately 39,000 rentable square feet of office and laboratory space at 38 Sidney Street in Cambridge, Massachusetts, which was extended in December 2021. The extended lease term will expire on November 30, 2029. The Company agreed to pay an initial annual base rent of approximately $4.5 million, which rises annually until it reaches approximately $5.5 million. The lease extension provided the Company with an allowance for leasehold improvements of $0.8 million improvements to be made to the premises. A security deposit of $0.9 million was recorded as restricted cash on the Company’s consolidated balance sheet as of December 31, 2024. The Company’s sublease agreements for the 38 Sidney Street property expired in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45 Sidney Street</w:t>
      </w:r>
    </w:p>
    <w:p>
      <w:pPr>
        <w:spacing w:after="0" w:line="237"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In April 2017, the Company entered into a lease agreement for approximately 99,833 rentable square feet of office and laboratory space located at 45 Sidney Street in Cambridge, Massachusetts. In September 2018, the Company entered into an amendment to the lease agreement to expand the rentable square footage to approximately 139,216 square feet. The initial term of the lease agreement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20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Company has agreed to pay for the 99,833 rentable square feet an initial annual base rent of approximately $7.7 million, which increases annually until it reaches approximately $10.6 million in the last year of the initial term. The Company has also agreed to pay an initial annual base rent of approximately $3.2 million for the expansion premises, which increases annually until it reaches approximately $4.2 million in the last year of the initial term for the expansion premises. The amended lease provided the Company with a total tenant improvement allowance of approximately $17.4 million for improvements to be made to the premises. A security deposit of $3.3 million was recorded as restricted cash on the Company’s consolidated balance sheet as of December 31, 2024.</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9720"/>
          </w:cols>
          <w:pgMar w:left="1260" w:top="1246" w:right="1260" w:bottom="187" w:gutter="0" w:footer="0" w:header="0"/>
          <w:type w:val="continuous"/>
        </w:sectPr>
      </w:pPr>
    </w:p>
    <w:bookmarkStart w:id="173" w:name="page174"/>
    <w:bookmarkEnd w:id="173"/>
    <w:p>
      <w:pPr>
        <w:ind w:left="40" w:right="300" w:firstLine="720"/>
        <w:spacing w:after="0" w:line="278" w:lineRule="auto"/>
        <w:rPr>
          <w:sz w:val="20"/>
          <w:szCs w:val="20"/>
          <w:color w:val="auto"/>
        </w:rPr>
      </w:pPr>
      <w:r>
        <w:rPr>
          <w:rFonts w:ascii="Times New Roman" w:cs="Times New Roman" w:eastAsia="Times New Roman" w:hAnsi="Times New Roman"/>
          <w:sz w:val="20"/>
          <w:szCs w:val="20"/>
          <w:color w:val="auto"/>
        </w:rPr>
        <w:t>The lease agreements do not contain residual value guarantees and the components of lease cost for the years ended December 31, 2024, 2023 and 2022 were as follows (in thousands):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40" w:type="dxa"/>
            <w:vAlign w:val="bottom"/>
            <w:vMerge w:val="restart"/>
          </w:tcPr>
          <w:p>
            <w:pPr>
              <w:jc w:val="right"/>
              <w:ind w:right="5325"/>
              <w:spacing w:after="0"/>
              <w:rPr>
                <w:sz w:val="20"/>
                <w:szCs w:val="20"/>
                <w:color w:val="auto"/>
              </w:rPr>
            </w:pPr>
            <w:r>
              <w:rPr>
                <w:rFonts w:ascii="Times New Roman" w:cs="Times New Roman" w:eastAsia="Times New Roman" w:hAnsi="Times New Roman"/>
                <w:sz w:val="16"/>
                <w:szCs w:val="16"/>
                <w:color w:val="auto"/>
                <w:w w:val="99"/>
              </w:rPr>
              <w:t>Operating leases: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540" w:type="dxa"/>
            <w:vAlign w:val="bottom"/>
          </w:tcPr>
          <w:p>
            <w:pPr>
              <w:jc w:val="right"/>
              <w:ind w:right="165"/>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.Leasecost</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23,238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23,190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21,830</w:t>
            </w:r>
          </w:p>
        </w:tc>
        <w:tc>
          <w:tcPr>
            <w:tcW w:w="0" w:type="dxa"/>
            <w:vAlign w:val="bottom"/>
          </w:tcPr>
          <w:p>
            <w:pPr>
              <w:spacing w:after="0"/>
              <w:rPr>
                <w:sz w:val="1"/>
                <w:szCs w:val="1"/>
                <w:color w:val="auto"/>
              </w:rPr>
            </w:pPr>
          </w:p>
        </w:tc>
      </w:tr>
      <w:tr>
        <w:trPr>
          <w:trHeight w:val="250"/>
        </w:trPr>
        <w:tc>
          <w:tcPr>
            <w:tcW w:w="654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w w:val="97"/>
              </w:rPr>
              <w:t>Sublease income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w:t>
            </w:r>
          </w:p>
        </w:tc>
        <w:tc>
          <w:tcPr>
            <w:tcW w:w="0" w:type="dxa"/>
            <w:vAlign w:val="bottom"/>
          </w:tcPr>
          <w:p>
            <w:pPr>
              <w:spacing w:after="0"/>
              <w:rPr>
                <w:sz w:val="1"/>
                <w:szCs w:val="1"/>
                <w:color w:val="auto"/>
              </w:rPr>
            </w:pPr>
          </w:p>
        </w:tc>
      </w:tr>
      <w:tr>
        <w:trPr>
          <w:trHeight w:val="230"/>
        </w:trPr>
        <w:tc>
          <w:tcPr>
            <w:tcW w:w="6540" w:type="dxa"/>
            <w:vAlign w:val="bottom"/>
          </w:tcPr>
          <w:p>
            <w:pPr>
              <w:jc w:val="right"/>
              <w:ind w:right="165"/>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.Netleasecost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23,238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23,190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19,698</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has not entered into any material short-term leases or financing leases as of December 31, 2024.</w:t>
      </w:r>
    </w:p>
    <w:p>
      <w:pPr>
        <w:spacing w:after="0" w:line="239" w:lineRule="exact"/>
        <w:rPr>
          <w:sz w:val="20"/>
          <w:szCs w:val="20"/>
          <w:color w:val="auto"/>
        </w:rPr>
      </w:pPr>
    </w:p>
    <w:p>
      <w:pPr>
        <w:ind w:left="40" w:right="300" w:firstLine="720"/>
        <w:spacing w:after="0" w:line="278" w:lineRule="auto"/>
        <w:rPr>
          <w:sz w:val="20"/>
          <w:szCs w:val="20"/>
          <w:color w:val="auto"/>
        </w:rPr>
      </w:pPr>
      <w:r>
        <w:rPr>
          <w:rFonts w:ascii="Times New Roman" w:cs="Times New Roman" w:eastAsia="Times New Roman" w:hAnsi="Times New Roman"/>
          <w:sz w:val="20"/>
          <w:szCs w:val="20"/>
          <w:color w:val="auto"/>
        </w:rPr>
        <w:t>Supplemental cash flow information related to leases for the years ended December 31, 2024, 2023 and 2022 was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40" w:type="dxa"/>
            <w:vAlign w:val="bottom"/>
            <w:vMerge w:val="continue"/>
          </w:tcPr>
          <w:p>
            <w:pPr>
              <w:ind w:left="5680"/>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17"/>
                <w:szCs w:val="17"/>
                <w:color w:val="auto"/>
              </w:rPr>
            </w:pPr>
          </w:p>
        </w:tc>
        <w:tc>
          <w:tcPr>
            <w:tcW w:w="300" w:type="dxa"/>
            <w:vAlign w:val="bottom"/>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18,284</w:t>
            </w:r>
          </w:p>
        </w:tc>
        <w:tc>
          <w:tcPr>
            <w:tcW w:w="200" w:type="dxa"/>
            <w:vAlign w:val="bottom"/>
          </w:tcPr>
          <w:p>
            <w:pPr>
              <w:spacing w:after="0"/>
              <w:rPr>
                <w:sz w:val="17"/>
                <w:szCs w:val="17"/>
                <w:color w:val="auto"/>
              </w:rPr>
            </w:pPr>
          </w:p>
        </w:tc>
        <w:tc>
          <w:tcPr>
            <w:tcW w:w="26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17,741</w:t>
            </w:r>
          </w:p>
        </w:tc>
        <w:tc>
          <w:tcPr>
            <w:tcW w:w="200" w:type="dxa"/>
            <w:vAlign w:val="bottom"/>
          </w:tcPr>
          <w:p>
            <w:pPr>
              <w:spacing w:after="0"/>
              <w:rPr>
                <w:sz w:val="17"/>
                <w:szCs w:val="17"/>
                <w:color w:val="auto"/>
              </w:rPr>
            </w:pPr>
          </w:p>
        </w:tc>
        <w:tc>
          <w:tcPr>
            <w:tcW w:w="28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15,891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arising from obtaining right-of-use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leases . . . . . . . . . . . . . . . . . . . . . . . . . . . . . . . . . . . . . . . . . . . . . . . . . . . .</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9800" w:type="dxa"/>
            <w:vAlign w:val="bottom"/>
            <w:gridSpan w:val="12"/>
          </w:tcPr>
          <w:p>
            <w:pPr>
              <w:jc w:val="right"/>
              <w:ind w:right="320"/>
              <w:spacing w:after="0"/>
              <w:rPr>
                <w:sz w:val="20"/>
                <w:szCs w:val="20"/>
                <w:color w:val="auto"/>
              </w:rPr>
            </w:pPr>
            <w:r>
              <w:rPr>
                <w:rFonts w:ascii="Times New Roman" w:cs="Times New Roman" w:eastAsia="Times New Roman" w:hAnsi="Times New Roman"/>
                <w:sz w:val="20"/>
                <w:szCs w:val="20"/>
                <w:color w:val="auto"/>
              </w:rPr>
              <w:t>The weighted average remaining lease term and weighted average discount rate of the operating leases are as</w:t>
            </w:r>
          </w:p>
        </w:tc>
        <w:tc>
          <w:tcPr>
            <w:tcW w:w="0" w:type="dxa"/>
            <w:vAlign w:val="bottom"/>
          </w:tcPr>
          <w:p>
            <w:pPr>
              <w:spacing w:after="0"/>
              <w:rPr>
                <w:sz w:val="1"/>
                <w:szCs w:val="1"/>
                <w:color w:val="auto"/>
              </w:rPr>
            </w:pPr>
          </w:p>
        </w:tc>
      </w:tr>
      <w:tr>
        <w:trPr>
          <w:trHeight w:val="267"/>
        </w:trPr>
        <w:tc>
          <w:tcPr>
            <w:tcW w:w="6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follows: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0" w:type="dxa"/>
            <w:vAlign w:val="bottom"/>
          </w:tcPr>
          <w:p>
            <w:pPr>
              <w:spacing w:after="0"/>
              <w:rPr>
                <w:sz w:val="1"/>
                <w:szCs w:val="1"/>
                <w:color w:val="auto"/>
              </w:rPr>
            </w:pPr>
          </w:p>
        </w:tc>
      </w:tr>
      <w:tr>
        <w:trPr>
          <w:trHeight w:val="201"/>
        </w:trPr>
        <w:tc>
          <w:tcPr>
            <w:tcW w:w="6540" w:type="dxa"/>
            <w:vAlign w:val="bottom"/>
            <w:vMerge w:val="continue"/>
          </w:tcPr>
          <w:p>
            <w:pPr>
              <w:ind w:left="3960"/>
              <w:spacing w:after="0" w:line="177" w:lineRule="exact"/>
              <w:rPr>
                <w:sz w:val="20"/>
                <w:szCs w:val="20"/>
                <w:color w:val="auto"/>
              </w:rPr>
            </w:pPr>
            <w:r>
              <w:rPr>
                <w:rFonts w:ascii="Times New Roman" w:cs="Times New Roman" w:eastAsia="Times New Roman" w:hAnsi="Times New Roman"/>
                <w:sz w:val="20"/>
                <w:szCs w:val="20"/>
                <w:color w:val="auto"/>
                <w:w w:val="96"/>
              </w:rPr>
              <w:t>. . . . . . . . . . . . . . . . . . . . . . . . . . .</w:t>
            </w:r>
          </w:p>
        </w:tc>
        <w:tc>
          <w:tcPr>
            <w:tcW w:w="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3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 . .</w:t>
            </w:r>
          </w:p>
        </w:tc>
        <w:tc>
          <w:tcPr>
            <w:tcW w:w="11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 . . . . . . . . . .</w:t>
            </w:r>
          </w:p>
        </w:tc>
        <w:tc>
          <w:tcPr>
            <w:tcW w:w="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5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7"/>
              </w:rPr>
              <w:t>Weighted average discount rate . . . . . . . . . . . . . . . . . . . . . . . . . . . . . . . . . . . . . . . . .</w:t>
            </w:r>
          </w:p>
        </w:tc>
        <w:tc>
          <w:tcPr>
            <w:tcW w:w="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 . . . . . . . . . .</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right="440" w:firstLine="720"/>
        <w:spacing w:after="0" w:line="277" w:lineRule="auto"/>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2024 were as follows (in thousands):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2025 . . . . . . . . . . . . . . . . . . . . . . . . . . . . . . . . . . . . . . . . . . . . . . . . . . . . . . . . . . . . . . . . . . . . . . . . . . . . . . . . . . .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18,757</w:t>
            </w:r>
          </w:p>
        </w:tc>
      </w:tr>
      <w:tr>
        <w:trPr>
          <w:trHeight w:val="230"/>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19,318</w:t>
            </w:r>
          </w:p>
        </w:tc>
      </w:tr>
      <w:tr>
        <w:trPr>
          <w:trHeight w:val="229"/>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19,876</w:t>
            </w:r>
          </w:p>
        </w:tc>
      </w:tr>
      <w:tr>
        <w:trPr>
          <w:trHeight w:val="230"/>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20,451</w:t>
            </w:r>
          </w:p>
        </w:tc>
      </w:tr>
      <w:tr>
        <w:trPr>
          <w:trHeight w:val="229"/>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19,268</w:t>
            </w:r>
          </w:p>
        </w:tc>
      </w:tr>
      <w:tr>
        <w:trPr>
          <w:trHeight w:val="250"/>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Thereafter. . . . . . . . . . . . . . . . . . . . . . . . . . . . . . . . . . . . . . . . . . . . . . . . . . . . . . . . . . . . . . . . . . . . . . . . . . . . . . .</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01"/>
        </w:trPr>
        <w:tc>
          <w:tcPr>
            <w:tcW w:w="8600" w:type="dxa"/>
            <w:vAlign w:val="bottom"/>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.Totalfutureminimumleasepayments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97,754</w:t>
            </w:r>
          </w:p>
        </w:tc>
      </w:tr>
      <w:tr>
        <w:trPr>
          <w:trHeight w:val="250"/>
        </w:trPr>
        <w:tc>
          <w:tcPr>
            <w:tcW w:w="8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Less imputed interest . . . . . . . . . . . . . . . . . . . . . . . . . . . . . . . . . . . . . . . . . . . . . . . . . . . . . . . . . . . . . . . . . . . . .</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(15,618)</w:t>
            </w:r>
          </w:p>
        </w:tc>
      </w:tr>
      <w:tr>
        <w:trPr>
          <w:trHeight w:val="230"/>
        </w:trPr>
        <w:tc>
          <w:tcPr>
            <w:tcW w:w="860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82,136</w:t>
            </w: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17. Employee Benefit Plans</w:t>
      </w:r>
    </w:p>
    <w:p>
      <w:pPr>
        <w:spacing w:after="0" w:line="243" w:lineRule="exact"/>
        <w:rPr>
          <w:sz w:val="20"/>
          <w:szCs w:val="20"/>
          <w:color w:val="auto"/>
        </w:rPr>
      </w:pPr>
    </w:p>
    <w:p>
      <w:pPr>
        <w:ind w:left="40" w:right="80" w:firstLine="720"/>
        <w:spacing w:after="0" w:line="259" w:lineRule="auto"/>
        <w:rPr>
          <w:sz w:val="20"/>
          <w:szCs w:val="20"/>
          <w:color w:val="auto"/>
        </w:rPr>
      </w:pPr>
      <w:r>
        <w:rPr>
          <w:rFonts w:ascii="Times New Roman" w:cs="Times New Roman" w:eastAsia="Times New Roman" w:hAnsi="Times New Roman"/>
          <w:sz w:val="20"/>
          <w:szCs w:val="20"/>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401(k) Savings Plan</w:t>
      </w:r>
    </w:p>
    <w:p>
      <w:pPr>
        <w:spacing w:after="0" w:line="244" w:lineRule="exact"/>
        <w:rPr>
          <w:sz w:val="20"/>
          <w:szCs w:val="20"/>
          <w:color w:val="auto"/>
        </w:rPr>
      </w:pPr>
    </w:p>
    <w:p>
      <w:pPr>
        <w:ind w:left="40" w:right="100" w:firstLine="720"/>
        <w:spacing w:after="0" w:line="263" w:lineRule="auto"/>
        <w:rPr>
          <w:sz w:val="20"/>
          <w:szCs w:val="20"/>
          <w:color w:val="auto"/>
        </w:rPr>
      </w:pPr>
      <w:r>
        <w:rPr>
          <w:rFonts w:ascii="Times New Roman" w:cs="Times New Roman" w:eastAsia="Times New Roman" w:hAnsi="Times New Roman"/>
          <w:sz w:val="19"/>
          <w:szCs w:val="19"/>
          <w:color w:val="auto"/>
        </w:rPr>
        <w:t>The Company maintains a 401(k) plan for employees (the 401(k) Plan). The 401(k) Plan is intended to qualify under Section 401(k) of the Code, so that contributions to the 401(k) Plan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w:t>
      </w:r>
    </w:p>
    <w:p>
      <w:pPr>
        <w:sectPr>
          <w:pgSz w:w="12240" w:h="15840" w:orient="portrait"/>
          <w:cols w:equalWidth="0" w:num="1">
            <w:col w:w="9800"/>
          </w:cols>
          <w:pgMar w:left="1220" w:top="1246" w:right="12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9800"/>
          </w:cols>
          <w:pgMar w:left="1220" w:top="1246" w:right="1220" w:bottom="187" w:gutter="0" w:footer="0" w:header="0"/>
          <w:type w:val="continuous"/>
        </w:sectPr>
      </w:pPr>
    </w:p>
    <w:bookmarkStart w:id="174" w:name="page175"/>
    <w:bookmarkEnd w:id="174"/>
    <w:p>
      <w:pPr>
        <w:ind w:right="100"/>
        <w:spacing w:after="0" w:line="259" w:lineRule="auto"/>
        <w:rPr>
          <w:sz w:val="20"/>
          <w:szCs w:val="20"/>
          <w:color w:val="auto"/>
        </w:rPr>
      </w:pPr>
      <w:r>
        <w:rPr>
          <w:rFonts w:ascii="Times New Roman" w:cs="Times New Roman" w:eastAsia="Times New Roman" w:hAnsi="Times New Roman"/>
          <w:sz w:val="20"/>
          <w:szCs w:val="20"/>
          <w:color w:val="auto"/>
        </w:rPr>
        <w:t>law on behalf of all eligible employees. The expense related to the 401(k) Plan primarily consists of the Company’s matching contributions. The expenses related to the 401(k) Plan for the years ended December 31, 2024, 2023 and 2022 were $4.7 million, $4.6 million and $3.7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Switzerland Defined Benefit Plan</w:t>
      </w:r>
    </w:p>
    <w:p>
      <w:pPr>
        <w:spacing w:after="0" w:line="20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plan balances as of December 31,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400" w:type="dxa"/>
            <w:vAlign w:val="bottom"/>
            <w:vMerge w:val="restart"/>
          </w:tcPr>
          <w:p>
            <w:pPr>
              <w:jc w:val="right"/>
              <w:ind w:right="5360"/>
              <w:spacing w:after="0"/>
              <w:rPr>
                <w:sz w:val="20"/>
                <w:szCs w:val="20"/>
                <w:color w:val="auto"/>
              </w:rPr>
            </w:pPr>
            <w:r>
              <w:rPr>
                <w:rFonts w:ascii="Times New Roman" w:cs="Times New Roman" w:eastAsia="Times New Roman" w:hAnsi="Times New Roman"/>
                <w:sz w:val="20"/>
                <w:szCs w:val="20"/>
                <w:color w:val="auto"/>
                <w:w w:val="99"/>
              </w:rPr>
              <w:t>Fair value of plan assets</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p>
        </w:tc>
        <w:tc>
          <w:tcPr>
            <w:tcW w:w="20" w:type="dxa"/>
            <w:vAlign w:val="bottom"/>
          </w:tcPr>
          <w:p>
            <w:pPr>
              <w:spacing w:after="0"/>
              <w:rPr>
                <w:sz w:val="17"/>
                <w:szCs w:val="17"/>
                <w:color w:val="auto"/>
              </w:rPr>
            </w:pPr>
          </w:p>
        </w:tc>
        <w:tc>
          <w:tcPr>
            <w:tcW w:w="240" w:type="dxa"/>
            <w:vAlign w:val="bottom"/>
          </w:tcPr>
          <w:p>
            <w:pPr>
              <w:jc w:val="right"/>
              <w:ind w:right="47"/>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9,241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47"/>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Projected benefit obligation . . . . . . . .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(14,632)</w:t>
            </w:r>
          </w:p>
        </w:tc>
        <w:tc>
          <w:tcPr>
            <w:tcW w:w="0" w:type="dxa"/>
            <w:vAlign w:val="bottom"/>
          </w:tcPr>
          <w:p>
            <w:pPr>
              <w:spacing w:after="0"/>
              <w:rPr>
                <w:sz w:val="1"/>
                <w:szCs w:val="1"/>
                <w:color w:val="auto"/>
              </w:rPr>
            </w:pPr>
          </w:p>
        </w:tc>
      </w:tr>
      <w:tr>
        <w:trPr>
          <w:trHeight w:val="230"/>
        </w:trPr>
        <w:tc>
          <w:tcPr>
            <w:tcW w:w="74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.Unfundedstatusrecordedasotherlong-termliabilities</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(6,824)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.Accumulatedbenefitobligation</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80" w:firstLine="720"/>
        <w:spacing w:after="0" w:line="258" w:lineRule="auto"/>
        <w:rPr>
          <w:sz w:val="20"/>
          <w:szCs w:val="20"/>
          <w:color w:val="auto"/>
        </w:rPr>
      </w:pPr>
      <w:r>
        <w:rPr>
          <w:rFonts w:ascii="Times New Roman" w:cs="Times New Roman" w:eastAsia="Times New Roman" w:hAnsi="Times New Roman"/>
          <w:sz w:val="20"/>
          <w:szCs w:val="20"/>
          <w:color w:val="auto"/>
        </w:rPr>
        <w:t>The Company’s net periodic benefit cost for the years ended December 31, 2024, 2023 and 2022 was $1.4 million, $1.0 million and $1.2 million, respectively. The contributions to the Swiss Plan for the years ended December 31, 2024, 2023 and 2022 were $1.1 million, $1.0 million, and $0.8 million.</w:t>
      </w:r>
    </w:p>
    <w:p>
      <w:pPr>
        <w:spacing w:after="0" w:line="148"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benefits expected to be paid by the Company in each of the next five years and in aggregate for the five years thereafter as of December 31, 2024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0" w:type="dxa"/>
            <w:vAlign w:val="bottom"/>
          </w:tcPr>
          <w:p>
            <w:pPr>
              <w:spacing w:after="0"/>
              <w:rPr>
                <w:sz w:val="1"/>
                <w:szCs w:val="1"/>
                <w:color w:val="auto"/>
              </w:rPr>
            </w:pPr>
          </w:p>
        </w:tc>
      </w:tr>
      <w:tr>
        <w:trPr>
          <w:trHeight w:val="205"/>
        </w:trPr>
        <w:tc>
          <w:tcPr>
            <w:tcW w:w="8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8320" w:type="dxa"/>
            <w:vAlign w:val="bottom"/>
            <w:vMerge w:val="continue"/>
          </w:tcPr>
          <w:p>
            <w:pPr>
              <w:jc w:val="right"/>
              <w:ind w:right="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 . . . . . .</w:t>
            </w:r>
          </w:p>
        </w:tc>
        <w:tc>
          <w:tcPr>
            <w:tcW w:w="10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466</w:t>
            </w:r>
          </w:p>
        </w:tc>
        <w:tc>
          <w:tcPr>
            <w:tcW w:w="0" w:type="dxa"/>
            <w:vAlign w:val="bottom"/>
          </w:tcPr>
          <w:p>
            <w:pPr>
              <w:spacing w:after="0"/>
              <w:rPr>
                <w:sz w:val="1"/>
                <w:szCs w:val="1"/>
                <w:color w:val="auto"/>
              </w:rPr>
            </w:pPr>
          </w:p>
        </w:tc>
      </w:tr>
      <w:tr>
        <w:trPr>
          <w:trHeight w:val="232"/>
        </w:trPr>
        <w:tc>
          <w:tcPr>
            <w:tcW w:w="8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0" w:type="dxa"/>
            <w:vAlign w:val="bottom"/>
          </w:tcPr>
          <w:p>
            <w:pPr>
              <w:spacing w:after="0"/>
              <w:rPr>
                <w:sz w:val="1"/>
                <w:szCs w:val="1"/>
                <w:color w:val="auto"/>
              </w:rPr>
            </w:pPr>
          </w:p>
        </w:tc>
      </w:tr>
      <w:tr>
        <w:trPr>
          <w:trHeight w:val="230"/>
        </w:trPr>
        <w:tc>
          <w:tcPr>
            <w:tcW w:w="8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0" w:type="dxa"/>
            <w:vAlign w:val="bottom"/>
          </w:tcPr>
          <w:p>
            <w:pPr>
              <w:spacing w:after="0"/>
              <w:rPr>
                <w:sz w:val="1"/>
                <w:szCs w:val="1"/>
                <w:color w:val="auto"/>
              </w:rPr>
            </w:pPr>
          </w:p>
        </w:tc>
      </w:tr>
      <w:tr>
        <w:trPr>
          <w:trHeight w:val="232"/>
        </w:trPr>
        <w:tc>
          <w:tcPr>
            <w:tcW w:w="8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0" w:type="dxa"/>
            <w:vAlign w:val="bottom"/>
          </w:tcPr>
          <w:p>
            <w:pPr>
              <w:spacing w:after="0"/>
              <w:rPr>
                <w:sz w:val="1"/>
                <w:szCs w:val="1"/>
                <w:color w:val="auto"/>
              </w:rPr>
            </w:pPr>
          </w:p>
        </w:tc>
      </w:tr>
      <w:tr>
        <w:trPr>
          <w:trHeight w:val="230"/>
        </w:trPr>
        <w:tc>
          <w:tcPr>
            <w:tcW w:w="8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0" w:type="dxa"/>
            <w:vAlign w:val="bottom"/>
          </w:tcPr>
          <w:p>
            <w:pPr>
              <w:spacing w:after="0"/>
              <w:rPr>
                <w:sz w:val="1"/>
                <w:szCs w:val="1"/>
                <w:color w:val="auto"/>
              </w:rPr>
            </w:pPr>
          </w:p>
        </w:tc>
      </w:tr>
      <w:tr>
        <w:trPr>
          <w:trHeight w:val="267"/>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8"/>
              </w:rPr>
              <w:t>2030 to 2034 . . . . . . . . . . . . . . . . . . . . . . . . . . . . . . . . . . . . . . . . . . . . . . . . . . . . . . . . . . . . . . . . . . . . . . . . .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Segment Information</w:t>
      </w:r>
    </w:p>
    <w:p>
      <w:pPr>
        <w:spacing w:after="0" w:line="20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 operates as one operating segment, focused on discovering, developing and delivering therapies for allergy/immunology and oncology/hematology. The determination of a single business segment is consistent with the consolidated financial information regularly provided to the Company’s chief operating decision maker (“CODM”). The Company’s CEO, as the chief operating decision maker (CODM), uses consolidated, single- segment financial information for purposes of evaluating performance, making operating decisions, allocating resources, and planning and forecasting for future periods.</w:t>
      </w:r>
    </w:p>
    <w:p>
      <w:pPr>
        <w:spacing w:after="0" w:line="159" w:lineRule="exact"/>
        <w:rPr>
          <w:sz w:val="20"/>
          <w:szCs w:val="20"/>
          <w:color w:val="auto"/>
        </w:rPr>
      </w:pPr>
    </w:p>
    <w:p>
      <w:pPr>
        <w:ind w:right="460" w:firstLine="720"/>
        <w:spacing w:after="0" w:line="305" w:lineRule="auto"/>
        <w:rPr>
          <w:sz w:val="20"/>
          <w:szCs w:val="20"/>
          <w:color w:val="auto"/>
        </w:rPr>
      </w:pPr>
      <w:r>
        <w:rPr>
          <w:rFonts w:ascii="Times New Roman" w:cs="Times New Roman" w:eastAsia="Times New Roman" w:hAnsi="Times New Roman"/>
          <w:sz w:val="19"/>
          <w:szCs w:val="19"/>
          <w:color w:val="auto"/>
        </w:rPr>
        <w:t>The CODM assesses performance and decides how to allocate resources based on consolidated net income (loss). This measure is used to monitor budget versus actual results to evaluate the performance of the segment.</w:t>
      </w:r>
    </w:p>
    <w:p>
      <w:pPr>
        <w:spacing w:after="0" w:line="105"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CODM reviews cash, cash equivalents and marketable securities as a measure of segment assets. As of December 31, 2024 and 2023, the Company’s cash, cash equivalents and marketable securities were $863.9 million and $767.2 million, respectively.</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9720"/>
          </w:cols>
          <w:pgMar w:left="1260" w:top="1246" w:right="1260" w:bottom="187" w:gutter="0" w:footer="0" w:header="0"/>
          <w:type w:val="continuous"/>
        </w:sectPr>
      </w:pPr>
    </w:p>
    <w:bookmarkStart w:id="175" w:name="page176"/>
    <w:bookmarkEnd w:id="175"/>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tables illustrates information about segment revenue, significant segment expenses and segment operating loss for the years ended December 31, 2024, 2023 and 2022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9"/>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5"/>
        </w:trPr>
        <w:tc>
          <w:tcPr>
            <w:tcW w:w="6560" w:type="dxa"/>
            <w:vAlign w:val="bottom"/>
            <w:vMerge w:val="continue"/>
          </w:tcPr>
          <w:p>
            <w:pPr>
              <w:jc w:val="right"/>
              <w:ind w:right="18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508,824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249,380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204,036</w:t>
            </w:r>
          </w:p>
        </w:tc>
        <w:tc>
          <w:tcPr>
            <w:tcW w:w="0" w:type="dxa"/>
            <w:vAlign w:val="bottom"/>
          </w:tcPr>
          <w:p>
            <w:pPr>
              <w:spacing w:after="0"/>
              <w:rPr>
                <w:sz w:val="1"/>
                <w:szCs w:val="1"/>
                <w:color w:val="auto"/>
              </w:rPr>
            </w:pPr>
          </w:p>
        </w:tc>
      </w:tr>
      <w:tr>
        <w:trPr>
          <w:trHeight w:val="232"/>
        </w:trPr>
        <w:tc>
          <w:tcPr>
            <w:tcW w:w="656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17,813</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Cost of sales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tcPr>
          <w:p>
            <w:pPr>
              <w:ind w:left="120"/>
              <w:spacing w:after="0" w:line="232" w:lineRule="exact"/>
              <w:rPr>
                <w:sz w:val="20"/>
                <w:szCs w:val="20"/>
                <w:color w:val="auto"/>
              </w:rPr>
            </w:pPr>
            <w:r>
              <w:rPr>
                <w:rFonts w:ascii="Times New Roman" w:cs="Times New Roman" w:eastAsia="Times New Roman" w:hAnsi="Times New Roman"/>
                <w:sz w:val="20"/>
                <w:szCs w:val="20"/>
                <w:color w:val="auto"/>
              </w:rPr>
              <w:t>Research and development expense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114,861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110,740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96,625</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Compensation and related expenses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Early drug discovery and platform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70,383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75,542</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Clinical and manufacturing related activities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198,317</w:t>
            </w:r>
          </w:p>
        </w:tc>
        <w:tc>
          <w:tcPr>
            <w:tcW w:w="0" w:type="dxa"/>
            <w:vAlign w:val="bottom"/>
          </w:tcPr>
          <w:p>
            <w:pPr>
              <w:spacing w:after="0"/>
              <w:rPr>
                <w:sz w:val="1"/>
                <w:szCs w:val="1"/>
                <w:color w:val="auto"/>
              </w:rPr>
            </w:pPr>
          </w:p>
        </w:tc>
      </w:tr>
      <w:tr>
        <w:trPr>
          <w:trHeight w:val="232"/>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Facilities and IT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33,783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28,917</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Consulting and professional services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33,033</w:t>
            </w:r>
          </w:p>
        </w:tc>
        <w:tc>
          <w:tcPr>
            <w:tcW w:w="0" w:type="dxa"/>
            <w:vAlign w:val="bottom"/>
          </w:tcPr>
          <w:p>
            <w:pPr>
              <w:spacing w:after="0"/>
              <w:rPr>
                <w:sz w:val="1"/>
                <w:szCs w:val="1"/>
                <w:color w:val="auto"/>
              </w:rPr>
            </w:pPr>
          </w:p>
        </w:tc>
      </w:tr>
      <w:tr>
        <w:trPr>
          <w:trHeight w:val="251"/>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research and development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4,683</w:t>
            </w:r>
          </w:p>
        </w:tc>
        <w:tc>
          <w:tcPr>
            <w:tcW w:w="0" w:type="dxa"/>
            <w:vAlign w:val="bottom"/>
          </w:tcPr>
          <w:p>
            <w:pPr>
              <w:spacing w:after="0"/>
              <w:rPr>
                <w:sz w:val="1"/>
                <w:szCs w:val="1"/>
                <w:color w:val="auto"/>
              </w:rPr>
            </w:pPr>
          </w:p>
        </w:tc>
      </w:tr>
      <w:tr>
        <w:trPr>
          <w:trHeight w:val="201"/>
        </w:trPr>
        <w:tc>
          <w:tcPr>
            <w:tcW w:w="6560" w:type="dxa"/>
            <w:vAlign w:val="bottom"/>
          </w:tcPr>
          <w:p>
            <w:pPr>
              <w:jc w:val="right"/>
              <w:ind w:right="180"/>
              <w:spacing w:after="0" w:line="201" w:lineRule="exact"/>
              <w:rPr>
                <w:sz w:val="20"/>
                <w:szCs w:val="20"/>
                <w:color w:val="auto"/>
              </w:rPr>
            </w:pPr>
            <w:r>
              <w:rPr>
                <w:rFonts w:ascii="Times New Roman" w:cs="Times New Roman" w:eastAsia="Times New Roman" w:hAnsi="Times New Roman"/>
                <w:sz w:val="19"/>
                <w:szCs w:val="19"/>
                <w:color w:val="auto"/>
              </w:rPr>
              <w:t>. . . . . . . . . . . . . . . . . . . . . . . . . . . . .Totalresearchanddevelopmentexpense</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293,978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386,186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437,117</w:t>
            </w:r>
          </w:p>
        </w:tc>
        <w:tc>
          <w:tcPr>
            <w:tcW w:w="0" w:type="dxa"/>
            <w:vAlign w:val="bottom"/>
          </w:tcPr>
          <w:p>
            <w:pPr>
              <w:spacing w:after="0"/>
              <w:rPr>
                <w:sz w:val="1"/>
                <w:szCs w:val="1"/>
                <w:color w:val="auto"/>
              </w:rPr>
            </w:pPr>
          </w:p>
        </w:tc>
      </w:tr>
      <w:tr>
        <w:trPr>
          <w:trHeight w:val="232"/>
        </w:trPr>
        <w:tc>
          <w:tcPr>
            <w:tcW w:w="6560" w:type="dxa"/>
            <w:vAlign w:val="bottom"/>
          </w:tcPr>
          <w:p>
            <w:pPr>
              <w:ind w:left="120"/>
              <w:spacing w:after="0" w:line="232" w:lineRule="exact"/>
              <w:rPr>
                <w:sz w:val="20"/>
                <w:szCs w:val="20"/>
                <w:color w:val="auto"/>
              </w:rPr>
            </w:pPr>
            <w:r>
              <w:rPr>
                <w:rFonts w:ascii="Times New Roman" w:cs="Times New Roman" w:eastAsia="Times New Roman" w:hAnsi="Times New Roman"/>
                <w:sz w:val="20"/>
                <w:szCs w:val="20"/>
                <w:color w:val="auto"/>
              </w:rPr>
              <w:t>Selling, general and administrative expense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127,286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120,756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84,324</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Compensation and related expenses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Commercial and related expenses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33,334</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Consulting and professional services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36,264</w:t>
            </w:r>
          </w:p>
        </w:tc>
        <w:tc>
          <w:tcPr>
            <w:tcW w:w="0" w:type="dxa"/>
            <w:vAlign w:val="bottom"/>
          </w:tcPr>
          <w:p>
            <w:pPr>
              <w:spacing w:after="0"/>
              <w:rPr>
                <w:sz w:val="1"/>
                <w:szCs w:val="1"/>
                <w:color w:val="auto"/>
              </w:rPr>
            </w:pPr>
          </w:p>
        </w:tc>
      </w:tr>
      <w:tr>
        <w:trPr>
          <w:trHeight w:val="232"/>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Facilities and IT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11,431</w:t>
            </w:r>
          </w:p>
        </w:tc>
        <w:tc>
          <w:tcPr>
            <w:tcW w:w="0" w:type="dxa"/>
            <w:vAlign w:val="bottom"/>
          </w:tcPr>
          <w:p>
            <w:pPr>
              <w:spacing w:after="0"/>
              <w:rPr>
                <w:sz w:val="1"/>
                <w:szCs w:val="1"/>
                <w:color w:val="auto"/>
              </w:rPr>
            </w:pPr>
          </w:p>
        </w:tc>
      </w:tr>
      <w:tr>
        <w:trPr>
          <w:trHeight w:val="25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Other selling, general and administrative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14,666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13,352</w:t>
            </w:r>
          </w:p>
        </w:tc>
        <w:tc>
          <w:tcPr>
            <w:tcW w:w="0" w:type="dxa"/>
            <w:vAlign w:val="bottom"/>
          </w:tcPr>
          <w:p>
            <w:pPr>
              <w:spacing w:after="0"/>
              <w:rPr>
                <w:sz w:val="1"/>
                <w:szCs w:val="1"/>
                <w:color w:val="auto"/>
              </w:rPr>
            </w:pPr>
          </w:p>
        </w:tc>
      </w:tr>
      <w:tr>
        <w:trPr>
          <w:trHeight w:val="202"/>
        </w:trPr>
        <w:tc>
          <w:tcPr>
            <w:tcW w:w="6560" w:type="dxa"/>
            <w:vAlign w:val="bottom"/>
          </w:tcPr>
          <w:p>
            <w:pPr>
              <w:jc w:val="right"/>
              <w:ind w:right="180"/>
              <w:spacing w:after="0" w:line="202" w:lineRule="exact"/>
              <w:rPr>
                <w:sz w:val="20"/>
                <w:szCs w:val="20"/>
                <w:color w:val="auto"/>
              </w:rPr>
            </w:pPr>
            <w:r>
              <w:rPr>
                <w:rFonts w:ascii="Times New Roman" w:cs="Times New Roman" w:eastAsia="Times New Roman" w:hAnsi="Times New Roman"/>
                <w:sz w:val="19"/>
                <w:szCs w:val="19"/>
                <w:color w:val="auto"/>
              </w:rPr>
              <w:t>. . . . . . . . . . . . . . . . . . . . . . .Totalselling,generalandadministrativeexpense</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297,816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244,003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178,705</w:t>
            </w:r>
          </w:p>
        </w:tc>
        <w:tc>
          <w:tcPr>
            <w:tcW w:w="0" w:type="dxa"/>
            <w:vAlign w:val="bottom"/>
          </w:tcPr>
          <w:p>
            <w:pPr>
              <w:spacing w:after="0"/>
              <w:rPr>
                <w:sz w:val="1"/>
                <w:szCs w:val="1"/>
                <w:color w:val="auto"/>
              </w:rPr>
            </w:pPr>
          </w:p>
        </w:tc>
      </w:tr>
      <w:tr>
        <w:trPr>
          <w:trHeight w:val="232"/>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Collaboration loss sharing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8,948</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Stock-based compensation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98,971</w:t>
            </w:r>
          </w:p>
        </w:tc>
        <w:tc>
          <w:tcPr>
            <w:tcW w:w="0" w:type="dxa"/>
            <w:vAlign w:val="bottom"/>
          </w:tcPr>
          <w:p>
            <w:pPr>
              <w:spacing w:after="0"/>
              <w:rPr>
                <w:sz w:val="1"/>
                <w:szCs w:val="1"/>
                <w:color w:val="auto"/>
              </w:rPr>
            </w:pPr>
          </w:p>
        </w:tc>
      </w:tr>
      <w:tr>
        <w:trPr>
          <w:trHeight w:val="251"/>
        </w:trPr>
        <w:tc>
          <w:tcPr>
            <w:tcW w:w="6560" w:type="dxa"/>
            <w:vAlign w:val="bottom"/>
          </w:tcPr>
          <w:p>
            <w:pPr>
              <w:jc w:val="right"/>
              <w:ind w:right="180"/>
              <w:spacing w:after="0" w:line="251" w:lineRule="exact"/>
              <w:rPr>
                <w:sz w:val="20"/>
                <w:szCs w:val="20"/>
                <w:color w:val="auto"/>
              </w:rPr>
            </w:pPr>
            <w:r>
              <w:rPr>
                <w:rFonts w:ascii="Times New Roman" w:cs="Times New Roman" w:eastAsia="Times New Roman" w:hAnsi="Times New Roman"/>
                <w:sz w:val="20"/>
                <w:szCs w:val="20"/>
                <w:color w:val="auto"/>
                <w:w w:val="97"/>
              </w:rPr>
              <w:t>Other segment items</w:t>
            </w:r>
            <w:r>
              <w:rPr>
                <w:rFonts w:ascii="Times New Roman" w:cs="Times New Roman" w:eastAsia="Times New Roman" w:hAnsi="Times New Roman"/>
                <w:sz w:val="25"/>
                <w:szCs w:val="25"/>
                <w:color w:val="auto"/>
                <w:w w:val="97"/>
                <w:vertAlign w:val="superscript"/>
              </w:rPr>
              <w:t>4</w:t>
            </w:r>
            <w:r>
              <w:rPr>
                <w:rFonts w:ascii="Times New Roman" w:cs="Times New Roman" w:eastAsia="Times New Roman" w:hAnsi="Times New Roman"/>
                <w:sz w:val="20"/>
                <w:szCs w:val="20"/>
                <w:color w:val="auto"/>
                <w:w w:val="97"/>
              </w:rPr>
              <w:t xml:space="preserve"> . . .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144,955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(20,707)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(19,999)</w:t>
            </w:r>
          </w:p>
        </w:tc>
        <w:tc>
          <w:tcPr>
            <w:tcW w:w="0" w:type="dxa"/>
            <w:vAlign w:val="bottom"/>
          </w:tcPr>
          <w:p>
            <w:pPr>
              <w:spacing w:after="0"/>
              <w:rPr>
                <w:sz w:val="1"/>
                <w:szCs w:val="1"/>
                <w:color w:val="auto"/>
              </w:rPr>
            </w:pPr>
          </w:p>
        </w:tc>
      </w:tr>
      <w:tr>
        <w:trPr>
          <w:trHeight w:val="230"/>
        </w:trPr>
        <w:tc>
          <w:tcPr>
            <w:tcW w:w="656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.Netloss</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(67,089)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(506,984)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(557,517)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right="540" w:hanging="353"/>
        <w:spacing w:after="0" w:line="254"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significant expense categories and amounts align with the segment-level information that is regularly provided to the chief operating decision maker.</w:t>
      </w:r>
    </w:p>
    <w:p>
      <w:pPr>
        <w:ind w:left="720" w:right="480" w:hanging="353"/>
        <w:spacing w:after="0" w:line="239"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 for the years ended December 31, 2024, 2023 and 2022 exclude $47.5 million, $41.5 million, and $40.3 million of stock-based compensation expense, respectively.</w:t>
      </w:r>
    </w:p>
    <w:p>
      <w:pPr>
        <w:spacing w:after="0" w:line="1" w:lineRule="exact"/>
        <w:rPr>
          <w:rFonts w:ascii="Times New Roman" w:cs="Times New Roman" w:eastAsia="Times New Roman" w:hAnsi="Times New Roman"/>
          <w:sz w:val="20"/>
          <w:szCs w:val="20"/>
          <w:color w:val="auto"/>
        </w:rPr>
      </w:pPr>
    </w:p>
    <w:p>
      <w:pPr>
        <w:ind w:left="720" w:right="340" w:hanging="353"/>
        <w:spacing w:after="0"/>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general and administrative expense for the years ended December 31, 2024, 2023 and 2022 exclude $61.5 million, $51.1 million, and $58.7 million of stock-based compensation expense, respectively.</w:t>
      </w:r>
    </w:p>
    <w:p>
      <w:pPr>
        <w:ind w:left="720" w:right="180" w:hanging="353"/>
        <w:spacing w:after="0" w:line="248"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items include interest expense, net, other income (expense), net, debt extinguishment gain, and income tax expense.</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operates in the U.S. and Europe. All material long-lived assets of the Company reside in the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geographic information about the Company’s product revenues, see Note 6, </w:t>
      </w:r>
      <w:r>
        <w:rPr>
          <w:rFonts w:ascii="Times New Roman" w:cs="Times New Roman" w:eastAsia="Times New Roman" w:hAnsi="Times New Roman"/>
          <w:sz w:val="20"/>
          <w:szCs w:val="20"/>
          <w:i w:val="1"/>
          <w:iCs w:val="1"/>
          <w:color w:val="auto"/>
        </w:rPr>
        <w:t>Product Revenue and Related Reserves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Commitments and Contingencies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 Associated with Clinical and Commercial Supply Agreements</w:t>
      </w:r>
    </w:p>
    <w:p>
      <w:pPr>
        <w:spacing w:after="0" w:line="200"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In connection with the commercialization of AYVAKIT/AYVAKYT, the Company has negotiated manufacturing agreements with certain vendors that require the Company to meet minimum purchase obligations on an annual basis. The aggregate amount of future unconditional purchase obligations under these manufacturing agreements over the period of next five years is approximately $2.0 million as of December 31, 2024.</w:t>
      </w:r>
    </w:p>
    <w:p>
      <w:pPr>
        <w:sectPr>
          <w:pgSz w:w="12240" w:h="15840" w:orient="portrait"/>
          <w:cols w:equalWidth="0" w:num="1">
            <w:col w:w="9720"/>
          </w:cols>
          <w:pgMar w:left="1260" w:top="1246" w:right="12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9720"/>
          </w:cols>
          <w:pgMar w:left="1260" w:top="1246" w:right="1260" w:bottom="187" w:gutter="0" w:footer="0" w:header="0"/>
          <w:type w:val="continuous"/>
        </w:sectPr>
      </w:pPr>
    </w:p>
    <w:bookmarkStart w:id="176" w:name="page177"/>
    <w:bookmarkEnd w:id="176"/>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0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 The Company expenses the costs related to its legal proceedings as they are incurred. As of December 31, 2024, the Company has not recorded any significant accruals for loss contingencies.</w:t>
      </w:r>
    </w:p>
    <w:p>
      <w:pPr>
        <w:spacing w:after="0" w:line="161"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On June 7, 2024, a purported stockholder filed a putative class action lawsuit against the Company in the Court of Chancery of the State of Delaware, with the caption Johnson v. Blueprint Medicines Corporation, Case</w:t>
      </w:r>
    </w:p>
    <w:p>
      <w:pPr>
        <w:spacing w:after="0" w:line="1"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20"/>
          <w:szCs w:val="20"/>
          <w:color w:val="auto"/>
        </w:rPr>
        <w:t>No. 2024-0625. Plaintiff claims in the complaint that a “Proxy Access” provision in the Company’s Amended and Restated Bylaws, effective November 30, 2022, is invalid under Delaware law because it allegedly usurps the right of stockholders to select the members of the board of directors, and plaintiff seeks declaratory relief invalidating that provision, as well as attorneys’ fees and costs. On October 7, 2024, the lawsuit was consolidated with twelve other lawsuits against companies with similar bylaw provisions under the caption In re Irrevocable Resignation Bylaw Litigation, Consolidated C.A. No. 2024-0538-JTL. On October 11, 2024, the Company, together with the other companies in the consolidated action, filed an opening brief in support of a motion to dismiss the complaint. Plaintiff filed an answering brief on November 25, 2024, and the Company filed a reply brief on December 20, 2024. The Company does not believe the outcome of this matter will have a material effect on its financial position, results of operations, or liquidity.</w:t>
      </w:r>
    </w:p>
    <w:p>
      <w:pPr>
        <w:spacing w:after="0" w:line="162"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 xml:space="preserve">On November 22, 2024, a purported stockholder filed a putative class action against the Company, the members of the board of directors and certain executive officers of the Company, as well as a derivative action against the members of the board of directors and certain executive officers of the Company, in the Court of Chancery of the State of Delaware in an action captioned </w:t>
      </w:r>
      <w:r>
        <w:rPr>
          <w:rFonts w:ascii="Times New Roman" w:cs="Times New Roman" w:eastAsia="Times New Roman" w:hAnsi="Times New Roman"/>
          <w:sz w:val="20"/>
          <w:szCs w:val="20"/>
          <w:i w:val="1"/>
          <w:iCs w:val="1"/>
          <w:color w:val="auto"/>
        </w:rPr>
        <w:t>Taylor v. Haviland, et al.</w:t>
      </w:r>
      <w:r>
        <w:rPr>
          <w:rFonts w:ascii="Times New Roman" w:cs="Times New Roman" w:eastAsia="Times New Roman" w:hAnsi="Times New Roman"/>
          <w:sz w:val="20"/>
          <w:szCs w:val="20"/>
          <w:color w:val="auto"/>
        </w:rPr>
        <w:t>, C.A. No. 2024-1203-JTL (the “</w:t>
      </w:r>
      <w:r>
        <w:rPr>
          <w:rFonts w:ascii="Times New Roman" w:cs="Times New Roman" w:eastAsia="Times New Roman" w:hAnsi="Times New Roman"/>
          <w:sz w:val="20"/>
          <w:szCs w:val="20"/>
          <w:i w:val="1"/>
          <w:iCs w:val="1"/>
          <w:color w:val="auto"/>
        </w:rPr>
        <w:t>Taylor</w:t>
      </w:r>
      <w:r>
        <w:rPr>
          <w:rFonts w:ascii="Times New Roman" w:cs="Times New Roman" w:eastAsia="Times New Roman" w:hAnsi="Times New Roman"/>
          <w:sz w:val="20"/>
          <w:szCs w:val="20"/>
          <w:color w:val="auto"/>
        </w:rPr>
        <w:t xml:space="preserve"> Action”). Plaintiff in the </w:t>
      </w:r>
      <w:r>
        <w:rPr>
          <w:rFonts w:ascii="Times New Roman" w:cs="Times New Roman" w:eastAsia="Times New Roman" w:hAnsi="Times New Roman"/>
          <w:sz w:val="20"/>
          <w:szCs w:val="20"/>
          <w:i w:val="1"/>
          <w:iCs w:val="1"/>
          <w:color w:val="auto"/>
        </w:rPr>
        <w:t>Taylor</w:t>
      </w:r>
      <w:r>
        <w:rPr>
          <w:rFonts w:ascii="Times New Roman" w:cs="Times New Roman" w:eastAsia="Times New Roman" w:hAnsi="Times New Roman"/>
          <w:sz w:val="20"/>
          <w:szCs w:val="20"/>
          <w:color w:val="auto"/>
        </w:rPr>
        <w:t xml:space="preserve"> Action claims that the record date for the Company’s 2024 annual meeting of stockholders, which was the close of business on Friday, April 12, 2024, did not comply with the 60-day maximum under Section 213(a) of the DGCL, because it was 61 days before the date of the 2024 annual meeting. Plaintiff brings direct claims for violation of Section 213(a) of the DGCL and breach of fiduciary duty, and derivative claims for breach of fiduciary duty and unjust enrichment, and seeks a declaration that certain actions taken in connection with the Company’s annual meeting of stockholders are void, as well as attorneys’ fees and costs.</w:t>
      </w:r>
    </w:p>
    <w:p>
      <w:pPr>
        <w:spacing w:after="0" w:line="16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On December 2, 2024, the Company filed a petition pursuant to Section 205 of the DGCL seeking the validation of the certain actions taken in connection with the Company’s 2024 annual meeting of stockholders, retroactive to the date of the 2024 annual meeting, in the Court of Chancery of the State of Delaware in an action captioned In re Blueprint Medicines Corporation, C.A. No. 2024-1234-JTL (the “Section 205 Action”). On December 4, 2024, plaintiff in the </w:t>
      </w:r>
      <w:r>
        <w:rPr>
          <w:rFonts w:ascii="Times New Roman" w:cs="Times New Roman" w:eastAsia="Times New Roman" w:hAnsi="Times New Roman"/>
          <w:sz w:val="20"/>
          <w:szCs w:val="20"/>
          <w:i w:val="1"/>
          <w:iCs w:val="1"/>
          <w:color w:val="auto"/>
        </w:rPr>
        <w:t>Taylor</w:t>
      </w:r>
      <w:r>
        <w:rPr>
          <w:rFonts w:ascii="Times New Roman" w:cs="Times New Roman" w:eastAsia="Times New Roman" w:hAnsi="Times New Roman"/>
          <w:sz w:val="20"/>
          <w:szCs w:val="20"/>
          <w:color w:val="auto"/>
        </w:rPr>
        <w:t xml:space="preserve"> Action agreed to hold the defendants’ answer in abeyance pending resolution of the Section 205 Action. Following the Company’s brief in support of its petition in the Section 205 Action on December 20, 2024, and the lack of any objection, the Court granted the petition on January 23, 2025, such that the stockholder proposals that were presented to and approved by the Company’s stockholders at the 2024 annual meeting, and all actions taken in reliance on the stockholder votes at the annual meeting, were hereby declared valid and effective as of the date of the 2024 annual meeting.</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00"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w:t>
      </w:r>
    </w:p>
    <w:p>
      <w:pPr>
        <w:sectPr>
          <w:pgSz w:w="12240" w:h="15840" w:orient="portrait"/>
          <w:cols w:equalWidth="0" w:num="1">
            <w:col w:w="9720"/>
          </w:cols>
          <w:pgMar w:left="1260" w:top="1247" w:right="1260" w:bottom="187"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9720"/>
          </w:cols>
          <w:pgMar w:left="1260" w:top="1247" w:right="1260" w:bottom="187" w:gutter="0" w:footer="0" w:header="0"/>
          <w:type w:val="continuous"/>
        </w:sectPr>
      </w:pPr>
    </w:p>
    <w:bookmarkStart w:id="177" w:name="page178"/>
    <w:bookmarkEnd w:id="177"/>
    <w:p>
      <w:pPr>
        <w:ind w:right="40"/>
        <w:spacing w:after="0" w:line="278" w:lineRule="auto"/>
        <w:rPr>
          <w:sz w:val="20"/>
          <w:szCs w:val="20"/>
          <w:color w:val="auto"/>
        </w:rPr>
      </w:pPr>
      <w:r>
        <w:rPr>
          <w:rFonts w:ascii="Times New Roman" w:cs="Times New Roman" w:eastAsia="Times New Roman" w:hAnsi="Times New Roman"/>
          <w:sz w:val="20"/>
          <w:szCs w:val="20"/>
          <w:color w:val="auto"/>
        </w:rPr>
        <w:t>is not aware of any material claims under indemnification arrangements, and it has not accrued any liabilities related to such obligations in its consolidated financial statements as of December 31, 2024 or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20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 Consequently, the Company will recognize an investment gain based on its ownership in IDRx.</w:t>
      </w:r>
    </w:p>
    <w:p>
      <w:pPr>
        <w:sectPr>
          <w:pgSz w:w="12240" w:h="15840" w:orient="portrait"/>
          <w:cols w:equalWidth="0" w:num="1">
            <w:col w:w="9560"/>
          </w:cols>
          <w:pgMar w:left="1260" w:top="1246" w:right="14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9560"/>
          </w:cols>
          <w:pgMar w:left="1260" w:top="1246" w:right="1420" w:bottom="187" w:gutter="0" w:footer="0" w:header="0"/>
          <w:type w:val="continuous"/>
        </w:sectPr>
      </w:pPr>
    </w:p>
    <w:bookmarkStart w:id="178" w:name="page179"/>
    <w:bookmarkEnd w:id="178"/>
    <w:p>
      <w:pPr>
        <w:spacing w:after="0" w:line="124" w:lineRule="exact"/>
        <w:rPr>
          <w:sz w:val="20"/>
          <w:szCs w:val="20"/>
          <w:color w:val="auto"/>
        </w:rPr>
      </w:pPr>
    </w:p>
    <w:tbl>
      <w:tblPr>
        <w:tblLayout w:type="fixed"/>
        <w:tblInd w:w="264" w:type="dxa"/>
        <w:tblCellMar>
          <w:top w:w="0" w:type="dxa"/>
          <w:left w:w="0" w:type="dxa"/>
          <w:bottom w:w="0" w:type="dxa"/>
          <w:right w:w="0" w:type="dxa"/>
        </w:tblCellMar>
      </w:tblPr>
      <w:tr>
        <w:trPr>
          <w:trHeight w:val="580"/>
        </w:trPr>
        <w:tc>
          <w:tcPr>
            <w:tcW w:w="149" w:type="dxa"/>
            <w:vAlign w:val="bottom"/>
            <w:textDirection w:val="btLr"/>
          </w:tcPr>
          <w:p>
            <w:pPr>
              <w:spacing w:after="0"/>
              <w:rPr>
                <w:sz w:val="20"/>
                <w:szCs w:val="20"/>
                <w:color w:val="auto"/>
              </w:rPr>
            </w:pPr>
            <w:r>
              <w:rPr>
                <w:rFonts w:ascii="Arial" w:cs="Arial" w:eastAsia="Arial" w:hAnsi="Arial"/>
                <w:sz w:val="13"/>
                <w:szCs w:val="13"/>
                <w:color w:val="auto"/>
              </w:rPr>
              <w:t>REPORT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6E96"/>
        </w:rPr>
        <w:t>Governance and Other Information</w:t>
      </w:r>
    </w:p>
    <w:p>
      <w:pPr>
        <w:spacing w:after="0" w:line="341" w:lineRule="exact"/>
        <w:rPr>
          <w:sz w:val="20"/>
          <w:szCs w:val="20"/>
          <w:color w:val="auto"/>
        </w:rPr>
      </w:pPr>
    </w:p>
    <w:p>
      <w:pPr>
        <w:sectPr>
          <w:pgSz w:w="12240" w:h="15840" w:orient="portrait"/>
          <w:cols w:equalWidth="0" w:num="2">
            <w:col w:w="414" w:space="306"/>
            <w:col w:w="10800"/>
          </w:cols>
          <w:pgMar w:left="360" w:top="955" w:right="360" w:bottom="0" w:gutter="0" w:footer="0" w:header="0"/>
        </w:sectPr>
      </w:pPr>
    </w:p>
    <w:p>
      <w:pPr>
        <w:spacing w:after="0" w:line="9" w:lineRule="exact"/>
        <w:rPr>
          <w:sz w:val="20"/>
          <w:szCs w:val="20"/>
          <w:color w:val="auto"/>
        </w:rPr>
      </w:pPr>
    </w:p>
    <w:tbl>
      <w:tblPr>
        <w:tblLayout w:type="fixed"/>
        <w:tblInd w:w="253" w:type="dxa"/>
        <w:tblCellMar>
          <w:top w:w="0" w:type="dxa"/>
          <w:left w:w="0" w:type="dxa"/>
          <w:bottom w:w="0" w:type="dxa"/>
          <w:right w:w="0" w:type="dxa"/>
        </w:tblCellMar>
      </w:tblPr>
      <w:tr>
        <w:trPr>
          <w:trHeight w:val="2720"/>
        </w:trPr>
        <w:tc>
          <w:tcPr>
            <w:tcW w:w="161" w:type="dxa"/>
            <w:vAlign w:val="bottom"/>
            <w:textDirection w:val="btLr"/>
          </w:tcPr>
          <w:p>
            <w:pPr>
              <w:spacing w:after="0"/>
              <w:rPr>
                <w:sz w:val="20"/>
                <w:szCs w:val="20"/>
                <w:color w:val="auto"/>
              </w:rPr>
            </w:pPr>
            <w:r>
              <w:rPr>
                <w:rFonts w:ascii="Arial" w:cs="Arial" w:eastAsia="Arial" w:hAnsi="Arial"/>
                <w:sz w:val="14"/>
                <w:szCs w:val="14"/>
                <w:color w:val="auto"/>
              </w:rPr>
              <w:t>BLUEPRINT MEDICINES 2024 ANNUAL</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006E96"/>
        </w:rPr>
        <w:t>Leadership: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55565A"/>
        </w:rPr>
        <w:t>Kathryn Haviland, M.B.A.</w:t>
      </w:r>
    </w:p>
    <w:p>
      <w:pPr>
        <w:ind w:right="700"/>
        <w:spacing w:after="0" w:line="310" w:lineRule="auto"/>
        <w:rPr>
          <w:sz w:val="20"/>
          <w:szCs w:val="20"/>
          <w:color w:val="auto"/>
        </w:rPr>
      </w:pPr>
      <w:r>
        <w:rPr>
          <w:rFonts w:ascii="Arial" w:cs="Arial" w:eastAsia="Arial" w:hAnsi="Arial"/>
          <w:sz w:val="15"/>
          <w:szCs w:val="15"/>
          <w:color w:val="55565A"/>
        </w:rPr>
        <w:t>President, Chief Executive Officer and Director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55565A"/>
        </w:rPr>
        <w:t>Percy H. Carter, M.B.A., Ph.D.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Scientific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55565A"/>
        </w:rPr>
        <w:t>Debra Durso-Bumpus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People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55565A"/>
        </w:rPr>
        <w:t>Becker Hewes, M.D.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Medical Officer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5565A"/>
        </w:rPr>
        <w:t>Ariel Hurley</w:t>
      </w:r>
    </w:p>
    <w:p>
      <w:pPr>
        <w:ind w:right="260"/>
        <w:spacing w:after="0" w:line="276" w:lineRule="auto"/>
        <w:rPr>
          <w:sz w:val="20"/>
          <w:szCs w:val="20"/>
          <w:color w:val="auto"/>
        </w:rPr>
      </w:pPr>
      <w:r>
        <w:rPr>
          <w:rFonts w:ascii="Arial" w:cs="Arial" w:eastAsia="Arial" w:hAnsi="Arial"/>
          <w:sz w:val="16"/>
          <w:szCs w:val="16"/>
          <w:color w:val="55565A"/>
        </w:rPr>
        <w:t>Senior Vice President, Finance and Principal Accounting Officer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55565A"/>
        </w:rPr>
        <w:t>Michael Landsittel, M.B.A.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Financial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55565A"/>
        </w:rPr>
        <w:t>Philina Lee, Ph.D.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Commercial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55565A"/>
        </w:rPr>
        <w:t>Tracey L. McCain, Esq.</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55565A"/>
        </w:rPr>
        <w:t>Chief Legal and Compliance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55565A"/>
        </w:rPr>
        <w:t>Fouad Namouni, M.D.</w:t>
      </w:r>
    </w:p>
    <w:p>
      <w:pPr>
        <w:spacing w:after="0"/>
        <w:rPr>
          <w:sz w:val="20"/>
          <w:szCs w:val="20"/>
          <w:color w:val="auto"/>
        </w:rPr>
      </w:pPr>
      <w:r>
        <w:rPr>
          <w:rFonts w:ascii="Arial" w:cs="Arial" w:eastAsia="Arial" w:hAnsi="Arial"/>
          <w:sz w:val="16"/>
          <w:szCs w:val="16"/>
          <w:color w:val="55565A"/>
        </w:rPr>
        <w:t>President, Research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55565A"/>
        </w:rPr>
        <w:t>and Development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55565A"/>
        </w:rPr>
        <w:t>Christina Rossi, M.B.A.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55565A"/>
        </w:rPr>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006E96"/>
        </w:rPr>
        <w:t>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55565A"/>
        </w:rPr>
        <w:t>Jeffrey W. Albers, M.B.A.</w:t>
      </w:r>
    </w:p>
    <w:p>
      <w:pPr>
        <w:ind w:right="260"/>
        <w:spacing w:after="0" w:line="258" w:lineRule="auto"/>
        <w:rPr>
          <w:sz w:val="20"/>
          <w:szCs w:val="20"/>
          <w:color w:val="auto"/>
        </w:rPr>
      </w:pPr>
      <w:r>
        <w:rPr>
          <w:rFonts w:ascii="Arial" w:cs="Arial" w:eastAsia="Arial" w:hAnsi="Arial"/>
          <w:sz w:val="16"/>
          <w:szCs w:val="16"/>
          <w:color w:val="55565A"/>
        </w:rPr>
        <w:t>Chairperson of the Board of Directors, Blueprint Medicines Corporation and Venture Partner, Atlas Venture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55565A"/>
        </w:rPr>
        <w:t>Daniella Beckman</w:t>
      </w:r>
    </w:p>
    <w:p>
      <w:pPr>
        <w:spacing w:after="0"/>
        <w:rPr>
          <w:sz w:val="20"/>
          <w:szCs w:val="20"/>
          <w:color w:val="auto"/>
        </w:rPr>
      </w:pPr>
      <w:r>
        <w:rPr>
          <w:rFonts w:ascii="Arial" w:cs="Arial" w:eastAsia="Arial" w:hAnsi="Arial"/>
          <w:sz w:val="16"/>
          <w:szCs w:val="16"/>
          <w:color w:val="55565A"/>
        </w:rPr>
        <w:t>Chief Financial Officer, Tango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5565A"/>
        </w:rPr>
        <w:t>Therapeutics,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5565A"/>
        </w:rPr>
        <w:t>Alexis Borisy</w:t>
      </w:r>
    </w:p>
    <w:p>
      <w:pPr>
        <w:ind w:right="340"/>
        <w:spacing w:after="0" w:line="276" w:lineRule="auto"/>
        <w:rPr>
          <w:sz w:val="20"/>
          <w:szCs w:val="20"/>
          <w:color w:val="auto"/>
        </w:rPr>
      </w:pPr>
      <w:r>
        <w:rPr>
          <w:rFonts w:ascii="Arial" w:cs="Arial" w:eastAsia="Arial" w:hAnsi="Arial"/>
          <w:sz w:val="16"/>
          <w:szCs w:val="16"/>
          <w:color w:val="55565A"/>
        </w:rPr>
        <w:t>Co-founder and Operating Chairman, Curie.Bio,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55565A"/>
        </w:rPr>
        <w:t>Lonnel Coats</w:t>
      </w:r>
    </w:p>
    <w:p>
      <w:pPr>
        <w:ind w:right="780"/>
        <w:spacing w:after="0" w:line="284" w:lineRule="auto"/>
        <w:rPr>
          <w:sz w:val="20"/>
          <w:szCs w:val="20"/>
          <w:color w:val="auto"/>
        </w:rPr>
      </w:pPr>
      <w:r>
        <w:rPr>
          <w:rFonts w:ascii="Arial" w:cs="Arial" w:eastAsia="Arial" w:hAnsi="Arial"/>
          <w:sz w:val="15"/>
          <w:szCs w:val="15"/>
          <w:color w:val="55565A"/>
        </w:rPr>
        <w:t>Former Chief Executive Officer, President and Board Director, Lexicon Pharmaceuticals, Inc.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55565A"/>
        </w:rPr>
        <w:t>Habib Dable, M.B.A.</w:t>
      </w:r>
    </w:p>
    <w:p>
      <w:pPr>
        <w:ind w:right="320"/>
        <w:spacing w:after="0" w:line="276" w:lineRule="auto"/>
        <w:rPr>
          <w:sz w:val="20"/>
          <w:szCs w:val="20"/>
          <w:color w:val="auto"/>
        </w:rPr>
      </w:pPr>
      <w:r>
        <w:rPr>
          <w:rFonts w:ascii="Arial" w:cs="Arial" w:eastAsia="Arial" w:hAnsi="Arial"/>
          <w:sz w:val="16"/>
          <w:szCs w:val="16"/>
          <w:color w:val="55565A"/>
        </w:rPr>
        <w:t>Part-time Venture Partner, RA Capital Management, L.P.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55565A"/>
        </w:rPr>
        <w:t>Mark Goldberg, M.D.</w:t>
      </w:r>
    </w:p>
    <w:p>
      <w:pPr>
        <w:ind w:right="40"/>
        <w:spacing w:after="0" w:line="278" w:lineRule="auto"/>
        <w:rPr>
          <w:sz w:val="20"/>
          <w:szCs w:val="20"/>
          <w:color w:val="auto"/>
        </w:rPr>
      </w:pPr>
      <w:r>
        <w:rPr>
          <w:rFonts w:ascii="Arial" w:cs="Arial" w:eastAsia="Arial" w:hAnsi="Arial"/>
          <w:sz w:val="15"/>
          <w:szCs w:val="15"/>
          <w:color w:val="55565A"/>
        </w:rPr>
        <w:t>Lecturer in Medicine, Harvard Medical School and Faculty Member, Hematology</w:t>
      </w:r>
    </w:p>
    <w:p>
      <w:pPr>
        <w:spacing w:after="0"/>
        <w:rPr>
          <w:sz w:val="20"/>
          <w:szCs w:val="20"/>
          <w:color w:val="auto"/>
        </w:rPr>
      </w:pPr>
      <w:r>
        <w:rPr>
          <w:rFonts w:ascii="Arial" w:cs="Arial" w:eastAsia="Arial" w:hAnsi="Arial"/>
          <w:sz w:val="16"/>
          <w:szCs w:val="16"/>
          <w:color w:val="55565A"/>
        </w:rPr>
        <w:t>Division, Brigham and Women’s Hospital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5565A"/>
        </w:rPr>
        <w:t>Nicholas Lydon, Ph.D., F.R.S.</w:t>
      </w:r>
    </w:p>
    <w:p>
      <w:pPr>
        <w:spacing w:after="0"/>
        <w:rPr>
          <w:sz w:val="20"/>
          <w:szCs w:val="20"/>
          <w:color w:val="auto"/>
        </w:rPr>
      </w:pPr>
      <w:r>
        <w:rPr>
          <w:rFonts w:ascii="Arial" w:cs="Arial" w:eastAsia="Arial" w:hAnsi="Arial"/>
          <w:sz w:val="16"/>
          <w:szCs w:val="16"/>
          <w:color w:val="55565A"/>
        </w:rPr>
        <w:t>Scientific Founder, Blueprint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5565A"/>
        </w:rPr>
        <w:t>Medicines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5565A"/>
        </w:rPr>
        <w:t>Lynn Seely, M.D.</w:t>
      </w:r>
    </w:p>
    <w:p>
      <w:pPr>
        <w:spacing w:after="0" w:line="271" w:lineRule="auto"/>
        <w:rPr>
          <w:sz w:val="20"/>
          <w:szCs w:val="20"/>
          <w:color w:val="auto"/>
        </w:rPr>
      </w:pPr>
      <w:r>
        <w:rPr>
          <w:rFonts w:ascii="Arial" w:cs="Arial" w:eastAsia="Arial" w:hAnsi="Arial"/>
          <w:sz w:val="15"/>
          <w:szCs w:val="15"/>
          <w:color w:val="55565A"/>
        </w:rPr>
        <w:t>President, Chief Executive Officer and Director, Lyell Immunopharma and Lead Independent Director, Blueprint Medicines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5565A"/>
        </w:rPr>
        <w:t>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5565A"/>
        </w:rPr>
        <w:t>John Tsai, M.D.</w:t>
      </w:r>
    </w:p>
    <w:p>
      <w:pPr>
        <w:ind w:right="580"/>
        <w:spacing w:after="0" w:line="276" w:lineRule="auto"/>
        <w:rPr>
          <w:sz w:val="20"/>
          <w:szCs w:val="20"/>
          <w:color w:val="auto"/>
        </w:rPr>
      </w:pPr>
      <w:r>
        <w:rPr>
          <w:rFonts w:ascii="Arial" w:cs="Arial" w:eastAsia="Arial" w:hAnsi="Arial"/>
          <w:sz w:val="16"/>
          <w:szCs w:val="16"/>
          <w:color w:val="55565A"/>
        </w:rPr>
        <w:t>Chief Executive Officer, Forcefield Therapeutics, Ltd.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-2755265</wp:posOffset>
                </wp:positionH>
                <wp:positionV relativeFrom="paragraph">
                  <wp:posOffset>892175</wp:posOffset>
                </wp:positionV>
                <wp:extent cx="7771765" cy="322516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765" cy="3225165"/>
                        </a:xfrm>
                        <a:prstGeom prst="rect">
                          <a:avLst/>
                        </a:prstGeom>
                        <a:solidFill>
                          <a:srgbClr val="F1EFEB"/>
                        </a:solidFill>
                      </wps:spPr>
                      <wps:bodyPr/>
                    </wps:wsp>
                  </a:graphicData>
                </a:graphic>
              </wp:anchor>
            </w:drawing>
          </mc:Choice>
          <mc:Fallback>
            <w:pict>
              <v:rect id="Shape 48" o:spid="_x0000_s1073" style="position:absolute;margin-left:-216.9499pt;margin-top:70.25pt;width:611.95pt;height:25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EFEB" stroked="f"/>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006E96"/>
        </w:rPr>
        <w:t>Annual Meeting</w:t>
      </w:r>
    </w:p>
    <w:p>
      <w:pPr>
        <w:spacing w:after="0"/>
        <w:rPr>
          <w:sz w:val="20"/>
          <w:szCs w:val="20"/>
          <w:color w:val="auto"/>
        </w:rPr>
      </w:pPr>
      <w:r>
        <w:rPr>
          <w:rFonts w:ascii="Arial" w:cs="Arial" w:eastAsia="Arial" w:hAnsi="Arial"/>
          <w:sz w:val="22"/>
          <w:szCs w:val="22"/>
          <w:color w:val="006E96"/>
        </w:rPr>
        <w:t>of Shareholders</w:t>
      </w:r>
    </w:p>
    <w:p>
      <w:pPr>
        <w:spacing w:after="0" w:line="55" w:lineRule="exact"/>
        <w:rPr>
          <w:sz w:val="20"/>
          <w:szCs w:val="20"/>
          <w:color w:val="auto"/>
        </w:rPr>
      </w:pPr>
    </w:p>
    <w:p>
      <w:pPr>
        <w:ind w:right="900"/>
        <w:spacing w:after="0" w:line="253" w:lineRule="auto"/>
        <w:rPr>
          <w:sz w:val="20"/>
          <w:szCs w:val="20"/>
          <w:color w:val="auto"/>
        </w:rPr>
      </w:pPr>
      <w:r>
        <w:rPr>
          <w:rFonts w:ascii="Arial" w:cs="Arial" w:eastAsia="Arial" w:hAnsi="Arial"/>
          <w:sz w:val="16"/>
          <w:szCs w:val="16"/>
          <w:color w:val="55565A"/>
        </w:rPr>
        <w:t>The 2025 annual meeting of stockholders will be held on Wednesday, June 18, 2025 at 3:00 p.m. ET online at http://www. virtualshareholdermeeting.com/BPMC2025.</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006E96"/>
        </w:rPr>
        <w:t>Stock Listing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000E4D"/>
        </w:rPr>
        <w:t>Nasdaq: BPMC</w:t>
      </w:r>
    </w:p>
    <w:p>
      <w:pPr>
        <w:spacing w:after="0" w:line="113" w:lineRule="exact"/>
        <w:rPr>
          <w:sz w:val="20"/>
          <w:szCs w:val="20"/>
          <w:color w:val="auto"/>
        </w:rPr>
      </w:pPr>
    </w:p>
    <w:p>
      <w:pPr>
        <w:ind w:right="1300"/>
        <w:spacing w:after="0" w:line="260" w:lineRule="auto"/>
        <w:rPr>
          <w:sz w:val="20"/>
          <w:szCs w:val="20"/>
          <w:color w:val="auto"/>
        </w:rPr>
      </w:pPr>
      <w:r>
        <w:rPr>
          <w:rFonts w:ascii="Arial" w:cs="Arial" w:eastAsia="Arial" w:hAnsi="Arial"/>
          <w:sz w:val="22"/>
          <w:szCs w:val="22"/>
          <w:color w:val="006E96"/>
        </w:rPr>
        <w:t>Independent Registered Public Accounting Firms</w:t>
      </w:r>
    </w:p>
    <w:p>
      <w:pPr>
        <w:spacing w:after="0"/>
        <w:rPr>
          <w:sz w:val="20"/>
          <w:szCs w:val="20"/>
          <w:color w:val="auto"/>
        </w:rPr>
      </w:pPr>
      <w:r>
        <w:rPr>
          <w:rFonts w:ascii="Arial" w:cs="Arial" w:eastAsia="Arial" w:hAnsi="Arial"/>
          <w:sz w:val="16"/>
          <w:szCs w:val="16"/>
          <w:color w:val="55565A"/>
        </w:rPr>
        <w:t>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5565A"/>
        </w:rPr>
        <w:t>200 Clarendon Street,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5565A"/>
        </w:rPr>
        <w:t>Boston 02116</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006E96"/>
        </w:rPr>
        <w:t>Investor Relations</w:t>
      </w:r>
    </w:p>
    <w:p>
      <w:pPr>
        <w:spacing w:after="0" w:line="55" w:lineRule="exact"/>
        <w:rPr>
          <w:sz w:val="20"/>
          <w:szCs w:val="20"/>
          <w:color w:val="auto"/>
        </w:rPr>
      </w:pPr>
    </w:p>
    <w:p>
      <w:pPr>
        <w:ind w:right="800"/>
        <w:spacing w:after="0" w:line="245" w:lineRule="auto"/>
        <w:rPr>
          <w:sz w:val="20"/>
          <w:szCs w:val="20"/>
          <w:color w:val="auto"/>
        </w:rPr>
      </w:pPr>
      <w:r>
        <w:rPr>
          <w:rFonts w:ascii="Arial" w:cs="Arial" w:eastAsia="Arial" w:hAnsi="Arial"/>
          <w:sz w:val="16"/>
          <w:szCs w:val="16"/>
          <w:color w:val="55565A"/>
        </w:rPr>
        <w:t>A copy of the Blueprint Medicines Corporation’s Annual Report on Form 10-K as filed with the Securities and Exchange Commission is available free of charge from the company’s Investor Relations Department by calling (617) 374-7580, emailing ir@ blueprintmedicines.com or sending a written request to: Investor Relations, Blueprint Medicines Corporation, 45 Sidney Street, Cambridge, MA 02139.</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006E96"/>
        </w:rPr>
        <w:t>Transfer Agent</w:t>
      </w:r>
    </w:p>
    <w:p>
      <w:pPr>
        <w:spacing w:after="0" w:line="55" w:lineRule="exact"/>
        <w:rPr>
          <w:sz w:val="20"/>
          <w:szCs w:val="20"/>
          <w:color w:val="auto"/>
        </w:rPr>
      </w:pPr>
    </w:p>
    <w:p>
      <w:pPr>
        <w:ind w:right="740"/>
        <w:spacing w:after="0" w:line="244" w:lineRule="auto"/>
        <w:rPr>
          <w:sz w:val="20"/>
          <w:szCs w:val="20"/>
          <w:color w:val="auto"/>
        </w:rPr>
      </w:pPr>
      <w:r>
        <w:rPr>
          <w:rFonts w:ascii="Arial" w:cs="Arial" w:eastAsia="Arial" w:hAnsi="Arial"/>
          <w:sz w:val="16"/>
          <w:szCs w:val="16"/>
          <w:color w:val="55565A"/>
        </w:rPr>
        <w:t>The transfer agent is responsible, among other things, for handling stockholder questions regarding lost stock certificates, address changes, including duplicate mailings, and changes in ownership or name in which shares are held. These requests may be directed to the transfer agent at the following address: Computershare Investor Services, P.O. Box 505005, Louisville, KY 40233-5005, or by overnight mail to – Computershare Investor Services, 462 South 4th Street, Suite 1600, Louisville, KY 40202, https://www-us. computershare.com/Investor/#Contact/ Enquiry.</w:t>
      </w:r>
    </w:p>
    <w:p>
      <w:pPr>
        <w:spacing w:after="0" w:line="200" w:lineRule="exact"/>
        <w:rPr>
          <w:sz w:val="20"/>
          <w:szCs w:val="20"/>
          <w:color w:val="auto"/>
        </w:rPr>
      </w:pPr>
    </w:p>
    <w:p>
      <w:pPr>
        <w:sectPr>
          <w:pgSz w:w="12240" w:h="15840" w:orient="portrait"/>
          <w:cols w:equalWidth="0" w:num="4">
            <w:col w:w="414" w:space="306"/>
            <w:col w:w="2540" w:space="720"/>
            <w:col w:w="2960" w:space="540"/>
            <w:col w:w="4040"/>
          </w:cols>
          <w:pgMar w:left="360" w:top="955" w:right="3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006E96"/>
        </w:rPr>
        <w:t>Cautionary Note Regarding Forward-Looking Statements</w:t>
      </w:r>
    </w:p>
    <w:p>
      <w:pPr>
        <w:spacing w:after="0" w:line="59"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55565A"/>
        </w:rPr>
        <w:t>This annual report contains forward-looking statements as defined in the Private Securities Litigation Reform Act of 1995, as amended, including, without limitation, statements regarding Blueprint Medicines' views with respect to 2025 revenue guidance, its estimated annual revenue goal by 2030, the estimated peak systemic mastocytosis franchise revenue opportunity; the prevalence of systemic mastocytosis, planned commercial investments and its future business growth; the advancement of BLU-808 and its potential to benefit patients with allergic and inflammatory diseases; the potential benefits of any of the Blueprint Medicines' current or future approved drugs or drug candidates in treating patients; the anticipated benefits of the design of the HARBOR trial; the timing of its pre-clinical and clinical trials; and Blueprint Medicines' financial performance, strategy, including its planned investment allocation; projected cash burn, goals and anticipated milestones, business plans and focus. While we believe the forward-looking statements contained in this annual report are accurate, these forward-looking statements represent our beliefs only as of the date of this annual report and there are a number of risks and uncertainties that could cause actual events or results to differ materially from those indicated by such forward-looking statements. Any forward-looking statements in this annual report are based on management's current expectations and beliefs and are subject</w:t>
      </w:r>
    </w:p>
    <w:p>
      <w:pPr>
        <w:spacing w:after="0" w:line="4" w:lineRule="exact"/>
        <w:rPr>
          <w:sz w:val="20"/>
          <w:szCs w:val="20"/>
          <w:color w:val="auto"/>
        </w:rPr>
      </w:pPr>
    </w:p>
    <w:p>
      <w:pPr>
        <w:spacing w:after="0" w:line="241" w:lineRule="auto"/>
        <w:rPr>
          <w:sz w:val="20"/>
          <w:szCs w:val="20"/>
          <w:color w:val="auto"/>
        </w:rPr>
      </w:pPr>
      <w:r>
        <w:rPr>
          <w:rFonts w:ascii="Arial" w:cs="Arial" w:eastAsia="Arial" w:hAnsi="Arial"/>
          <w:sz w:val="14"/>
          <w:szCs w:val="14"/>
          <w:color w:val="55565A"/>
        </w:rPr>
        <w:t>to a number of risks, uncertainties and important factors that may cause actual events or results to differ materially from those expressed or implied by any forward-looking statements contained in this annual report, including, without limitation, risks and uncertainties related to our ability and plans in continuing to expand a commercial infrastructure, and successfully launching, marketing and selling current or future approved products; our ability to obtain marketing approval for AYVAKIT/AYVAKYT in additional geographies in the future; the rate and degree of market acceptance of AYVAKIT/AYVAKYT and any future drug candidates for which we receive marketing approval; the delay of any current or planned clinical trials or the development of our current or future drug candidates; our advancement of multiple early-stage efforts; our ability to successfully demonstrate the safety and efficacy of our drug candidates and gain approval of our drug candidates on a timely basis, if at all; the preclinical and clinical results for our drug candidates, which may not support further development of such drug candidates either as monotherapies or in combination with other agents or may impact the anticipated timing of data or regulatory submissions; actions of regulatory agencies, which may affect the initiation, timing and progress of clinical trials; our ability to obtain, maintain and enforce patent and other intellectual property protection for its products or any drug candidates we are developing; our ability to successfully expand our research platform and the costs thereof; the success of our current and future collaborations, partnerships or licensing arrangements; and the accuracy of our estimates of revenues, expenses and capital requirements. These and other risks and uncertainties are described in greater detail in the section entitled “Risk Factors” in our filings with the SEC, including our Annual Report on Form 10-K for the year ended December 31, 2024, as filed with the SEC on February 13, 2025, and any other filings that we have made or may make with the SEC in the future. Any forward-looking statements contained in this annual report represent our views only as of April 24, 2025 and should not be relied upon as representing its views as of any subsequent date. Except as required by law, we assume no obligation to update or revise these forward-looking statements for any reason, even if new information becomes available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55565A"/>
        </w:rPr>
        <w:t>Trademarks</w:t>
      </w:r>
    </w:p>
    <w:p>
      <w:pPr>
        <w:spacing w:after="0"/>
        <w:rPr>
          <w:sz w:val="20"/>
          <w:szCs w:val="20"/>
          <w:color w:val="auto"/>
        </w:rPr>
      </w:pPr>
      <w:r>
        <w:rPr>
          <w:rFonts w:ascii="Arial" w:cs="Arial" w:eastAsia="Arial" w:hAnsi="Arial"/>
          <w:sz w:val="14"/>
          <w:szCs w:val="14"/>
          <w:color w:val="55565A"/>
        </w:rPr>
        <w:t>Blueprint Medicines, AYVAKIT, AYVAKYT and associated logos are trademarks of Blueprint Medicines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55565A"/>
        </w:rPr>
        <w:t>© Blueprint Medicines Corporation April 24, 2025</w:t>
      </w:r>
    </w:p>
    <w:p>
      <w:pPr>
        <w:sectPr>
          <w:pgSz w:w="12240" w:h="15840" w:orient="portrait"/>
          <w:cols w:equalWidth="0" w:num="1">
            <w:col w:w="11520"/>
          </w:cols>
          <w:pgMar w:left="360" w:top="955" w:right="360" w:bottom="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3360"/>
        </w:trPr>
        <w:tc>
          <w:tcPr>
            <w:tcW w:w="161" w:type="dxa"/>
            <w:vAlign w:val="bottom"/>
            <w:textDirection w:val="btLr"/>
          </w:tcPr>
          <w:p>
            <w:pPr>
              <w:spacing w:after="0"/>
              <w:rPr>
                <w:sz w:val="20"/>
                <w:szCs w:val="20"/>
                <w:color w:val="auto"/>
              </w:rPr>
            </w:pPr>
            <w:r>
              <w:rPr>
                <w:rFonts w:ascii="Arial" w:cs="Arial" w:eastAsia="Arial" w:hAnsi="Arial"/>
                <w:sz w:val="14"/>
                <w:szCs w:val="14"/>
                <w:color w:val="auto"/>
              </w:rPr>
              <w:t>BLUEPRINT MEDICINES 2024 ANNUAL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1504950</wp:posOffset>
            </wp:positionV>
            <wp:extent cx="3775075" cy="4274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extLst>
                    </a:blip>
                    <a:srcRect/>
                    <a:stretch>
                      <a:fillRect/>
                    </a:stretch>
                  </pic:blipFill>
                  <pic:spPr bwMode="auto">
                    <a:xfrm>
                      <a:off x="0" y="0"/>
                      <a:ext cx="3775075" cy="4274185"/>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-2076450</wp:posOffset>
            </wp:positionV>
            <wp:extent cx="1914525" cy="646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extLst>
                        <a:ext uri="{28A0092B-C50C-407E-A947-70E740481C1C}"/>
                      </a:extLst>
                    </a:blip>
                    <a:srcRect/>
                    <a:stretch>
                      <a:fillRect/>
                    </a:stretch>
                  </pic:blipFill>
                  <pic:spPr bwMode="auto">
                    <a:xfrm>
                      <a:off x="0" y="0"/>
                      <a:ext cx="1914525" cy="64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27" w:right="200"/>
        <w:spacing w:after="0" w:line="288" w:lineRule="auto"/>
        <w:rPr>
          <w:sz w:val="20"/>
          <w:szCs w:val="20"/>
          <w:color w:val="auto"/>
        </w:rPr>
      </w:pPr>
      <w:r>
        <w:rPr>
          <w:rFonts w:ascii="Arial" w:cs="Arial" w:eastAsia="Arial" w:hAnsi="Arial"/>
          <w:sz w:val="28"/>
          <w:szCs w:val="28"/>
          <w:b w:val="1"/>
          <w:bCs w:val="1"/>
          <w:color w:val="006E96"/>
        </w:rPr>
        <w:t>Blueprint Medicines Global Headquarters</w:t>
      </w:r>
    </w:p>
    <w:p>
      <w:pPr>
        <w:spacing w:after="0" w:line="27"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45 Sidney Street</w:t>
      </w:r>
    </w:p>
    <w:p>
      <w:pPr>
        <w:spacing w:after="0" w:line="1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Cambridge, MA 02139</w:t>
      </w:r>
    </w:p>
    <w:p>
      <w:pPr>
        <w:spacing w:after="0" w:line="1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USA</w:t>
      </w:r>
    </w:p>
    <w:p>
      <w:pPr>
        <w:spacing w:after="0" w:line="200" w:lineRule="exact"/>
        <w:rPr>
          <w:sz w:val="20"/>
          <w:szCs w:val="20"/>
          <w:color w:val="auto"/>
        </w:rPr>
      </w:pPr>
    </w:p>
    <w:p>
      <w:pPr>
        <w:spacing w:after="0" w:line="298" w:lineRule="exact"/>
        <w:rPr>
          <w:sz w:val="20"/>
          <w:szCs w:val="20"/>
          <w:color w:val="auto"/>
        </w:rPr>
      </w:pPr>
    </w:p>
    <w:p>
      <w:pPr>
        <w:ind w:left="6427"/>
        <w:spacing w:after="0"/>
        <w:rPr>
          <w:sz w:val="20"/>
          <w:szCs w:val="20"/>
          <w:color w:val="auto"/>
        </w:rPr>
      </w:pPr>
      <w:r>
        <w:rPr>
          <w:rFonts w:ascii="Arial" w:cs="Arial" w:eastAsia="Arial" w:hAnsi="Arial"/>
          <w:sz w:val="28"/>
          <w:szCs w:val="28"/>
          <w:b w:val="1"/>
          <w:bCs w:val="1"/>
          <w:color w:val="006E96"/>
        </w:rPr>
        <w:t>Blueprint Medicines</w:t>
      </w:r>
    </w:p>
    <w:p>
      <w:pPr>
        <w:spacing w:after="0" w:line="18" w:lineRule="exact"/>
        <w:rPr>
          <w:sz w:val="20"/>
          <w:szCs w:val="20"/>
          <w:color w:val="auto"/>
        </w:rPr>
      </w:pPr>
    </w:p>
    <w:p>
      <w:pPr>
        <w:ind w:left="6427"/>
        <w:spacing w:after="0"/>
        <w:rPr>
          <w:sz w:val="20"/>
          <w:szCs w:val="20"/>
          <w:color w:val="auto"/>
        </w:rPr>
      </w:pPr>
      <w:r>
        <w:rPr>
          <w:rFonts w:ascii="Arial" w:cs="Arial" w:eastAsia="Arial" w:hAnsi="Arial"/>
          <w:sz w:val="28"/>
          <w:szCs w:val="28"/>
          <w:b w:val="1"/>
          <w:bCs w:val="1"/>
          <w:color w:val="006E96"/>
        </w:rPr>
        <w:t>(Switzerland) GmbH</w:t>
      </w:r>
    </w:p>
    <w:p>
      <w:pPr>
        <w:spacing w:after="0" w:line="13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Baarerstrasse 8</w:t>
      </w:r>
    </w:p>
    <w:p>
      <w:pPr>
        <w:spacing w:after="0" w:line="1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6300 Zug</w:t>
      </w:r>
    </w:p>
    <w:p>
      <w:pPr>
        <w:spacing w:after="0" w:line="1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Switzerland</w:t>
      </w:r>
    </w:p>
    <w:p>
      <w:pPr>
        <w:spacing w:after="0" w:line="200" w:lineRule="exact"/>
        <w:rPr>
          <w:sz w:val="20"/>
          <w:szCs w:val="20"/>
          <w:color w:val="auto"/>
        </w:rPr>
      </w:pPr>
    </w:p>
    <w:p>
      <w:pPr>
        <w:spacing w:after="0" w:line="298" w:lineRule="exact"/>
        <w:rPr>
          <w:sz w:val="20"/>
          <w:szCs w:val="20"/>
          <w:color w:val="auto"/>
        </w:rPr>
      </w:pPr>
    </w:p>
    <w:p>
      <w:pPr>
        <w:ind w:left="6427"/>
        <w:spacing w:after="0"/>
        <w:rPr>
          <w:sz w:val="20"/>
          <w:szCs w:val="20"/>
          <w:color w:val="auto"/>
        </w:rPr>
      </w:pPr>
      <w:r>
        <w:rPr>
          <w:rFonts w:ascii="Arial" w:cs="Arial" w:eastAsia="Arial" w:hAnsi="Arial"/>
          <w:sz w:val="28"/>
          <w:szCs w:val="28"/>
          <w:b w:val="1"/>
          <w:bCs w:val="1"/>
          <w:color w:val="006E96"/>
        </w:rPr>
        <w:t>blueprintmedicines.com</w:t>
      </w:r>
    </w:p>
    <w:p>
      <w:pPr>
        <w:spacing w:after="0" w:line="138" w:lineRule="exact"/>
        <w:rPr>
          <w:sz w:val="20"/>
          <w:szCs w:val="20"/>
          <w:color w:val="auto"/>
        </w:rPr>
      </w:pPr>
    </w:p>
    <w:p>
      <w:pPr>
        <w:ind w:left="6427"/>
        <w:spacing w:after="0"/>
        <w:rPr>
          <w:sz w:val="20"/>
          <w:szCs w:val="20"/>
          <w:color w:val="auto"/>
        </w:rPr>
      </w:pPr>
      <w:r>
        <w:rPr>
          <w:rFonts w:ascii="Arial" w:cs="Arial" w:eastAsia="Arial" w:hAnsi="Arial"/>
          <w:sz w:val="28"/>
          <w:szCs w:val="28"/>
          <w:color w:val="55565A"/>
        </w:rPr>
        <w:t>Nasdaq: BPMC</w:t>
      </w:r>
    </w:p>
    <w:p>
      <w:pPr>
        <w:sectPr>
          <w:pgSz w:w="12240" w:h="15840" w:orient="portrait"/>
          <w:cols w:equalWidth="0" w:num="1">
            <w:col w:w="10187"/>
          </w:cols>
          <w:pgMar w:left="613" w:top="10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7"/>
        <w:spacing w:after="0"/>
        <w:rPr>
          <w:sz w:val="20"/>
          <w:szCs w:val="20"/>
          <w:color w:val="auto"/>
        </w:rPr>
      </w:pPr>
      <w:r>
        <w:rPr>
          <w:rFonts w:ascii="Arial" w:cs="Arial" w:eastAsia="Arial" w:hAnsi="Arial"/>
          <w:sz w:val="17"/>
          <w:szCs w:val="17"/>
          <w:b w:val="1"/>
          <w:bCs w:val="1"/>
          <w:color w:val="006E96"/>
        </w:rPr>
        <w:t>8</w:t>
      </w:r>
    </w:p>
    <w:sectPr>
      <w:pgSz w:w="12240" w:h="15840" w:orient="portrait"/>
      <w:cols w:equalWidth="0" w:num="1">
        <w:col w:w="10187"/>
      </w:cols>
      <w:pgMar w:left="613" w:top="108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A"/>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emdash "/>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lowerRoman"/>
      <w:start w:val="2"/>
    </w:lvl>
  </w:abstractNum>
  <w:abstractNum w:abstractNumId="14">
    <w:nsid w:val="1D4ED43B"/>
    <w:multiLevelType w:val="hybridMultilevel"/>
    <w:lvl w:ilvl="0">
      <w:lvlJc w:val="left"/>
      <w:lvlText w:val="(%1)"/>
      <w:numFmt w:val="lowerRoman"/>
      <w:start w:val="2"/>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2"/>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lowerRoman"/>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3"/>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Roman"/>
      <w:start w:val="2"/>
    </w:lvl>
  </w:abstractNum>
  <w:abstractNum w:abstractNumId="62">
    <w:nsid w:val="1381823A"/>
    <w:multiLevelType w:val="hybridMultilevel"/>
    <w:lvl w:ilvl="0">
      <w:lvlJc w:val="left"/>
      <w:lvlText w:val="(%1)"/>
      <w:numFmt w:val="lowerRoman"/>
      <w:start w:val="5"/>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lowerLetter"/>
      <w:start w:val="2"/>
    </w:lvl>
  </w:abstractNum>
  <w:abstractNum w:abstractNumId="68">
    <w:nsid w:val="98A3148"/>
    <w:multiLevelType w:val="hybridMultilevel"/>
    <w:lvl w:ilvl="0">
      <w:lvlJc w:val="left"/>
      <w:lvlText w:val="(%1)"/>
      <w:numFmt w:val="lowerRoman"/>
      <w:start w:val="1"/>
    </w:lvl>
  </w:abstractNum>
  <w:abstractNum w:abstractNumId="69">
    <w:nsid w:val="799D0247"/>
    <w:multiLevelType w:val="hybridMultilevel"/>
    <w:lvl w:ilvl="0">
      <w:lvlJc w:val="left"/>
      <w:lvlText w:val="(%1)"/>
      <w:numFmt w:val="decimal"/>
      <w:start w:val="3"/>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2025-04-25T21:22:03Z</dcterms:created>
  <dcterms:modified xsi:type="dcterms:W3CDTF">2025-04-25T21:22:03Z</dcterms:modified>
</cp:coreProperties>
</file>