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66">
        <w:r>
          <w:rPr>
            <w:rFonts w:ascii="Arial" w:cs="Arial" w:eastAsia="Arial" w:hAnsi="Arial"/>
            <w:sz w:val="21"/>
            <w:szCs w:val="21"/>
            <w:u w:val="single" w:color="auto"/>
            <w:color w:val="0000EE"/>
          </w:rPr>
          <w:t>Blueprint Medicines Corporation Index to Consolidated Financial Statements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333-202938</w:t>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8,145,834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135255</wp:posOffset>
            </wp:positionV>
            <wp:extent cx="3846195" cy="607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6195" cy="6076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Blueprint Medicines Corporation</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135255</wp:posOffset>
            </wp:positionV>
            <wp:extent cx="1390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right="180" w:firstLine="470"/>
        <w:spacing w:after="0" w:line="252" w:lineRule="auto"/>
        <w:rPr>
          <w:sz w:val="20"/>
          <w:szCs w:val="20"/>
          <w:color w:val="auto"/>
        </w:rPr>
      </w:pPr>
      <w:r>
        <w:rPr>
          <w:rFonts w:ascii="Arial" w:cs="Arial" w:eastAsia="Arial" w:hAnsi="Arial"/>
          <w:sz w:val="17"/>
          <w:szCs w:val="17"/>
          <w:color w:val="auto"/>
        </w:rPr>
        <w:t>This is an initial public offering of shares of common stock of Blueprint Medicines Corporation. All of the 8,145,834 shares of common stock are being sold by the Company.</w:t>
      </w:r>
    </w:p>
    <w:p>
      <w:pPr>
        <w:spacing w:after="0" w:line="193" w:lineRule="exact"/>
        <w:rPr>
          <w:sz w:val="24"/>
          <w:szCs w:val="24"/>
          <w:color w:val="auto"/>
        </w:rPr>
      </w:pPr>
    </w:p>
    <w:p>
      <w:pPr>
        <w:ind w:right="680" w:firstLine="474"/>
        <w:spacing w:after="0" w:line="252" w:lineRule="auto"/>
        <w:rPr>
          <w:sz w:val="20"/>
          <w:szCs w:val="20"/>
          <w:color w:val="auto"/>
        </w:rPr>
      </w:pPr>
      <w:r>
        <w:rPr>
          <w:rFonts w:ascii="Arial" w:cs="Arial" w:eastAsia="Arial" w:hAnsi="Arial"/>
          <w:sz w:val="17"/>
          <w:szCs w:val="17"/>
          <w:color w:val="auto"/>
        </w:rPr>
        <w:t>Prior to this offering, there has been no public market for the common stock. The initial public offering price per share will be $18.00. Our common stock has been approved for listing on The NASDAQ Global Select Market under the symbol "BPMC."</w:t>
      </w:r>
    </w:p>
    <w:p>
      <w:pPr>
        <w:spacing w:after="0" w:line="175" w:lineRule="exact"/>
        <w:rPr>
          <w:sz w:val="24"/>
          <w:szCs w:val="24"/>
          <w:color w:val="auto"/>
        </w:rPr>
      </w:pPr>
    </w:p>
    <w:p>
      <w:pPr>
        <w:ind w:left="480"/>
        <w:spacing w:after="0"/>
        <w:rPr>
          <w:sz w:val="20"/>
          <w:szCs w:val="20"/>
          <w:color w:val="auto"/>
        </w:rPr>
      </w:pPr>
      <w:r>
        <w:rPr>
          <w:rFonts w:ascii="Arial" w:cs="Arial" w:eastAsia="Arial" w:hAnsi="Arial"/>
          <w:sz w:val="17"/>
          <w:szCs w:val="17"/>
          <w:i w:val="1"/>
          <w:iCs w:val="1"/>
          <w:color w:val="auto"/>
        </w:rPr>
        <w:t>See "Risk Factors" on page 12 to read about factors you should consider before buying shares of the common stock.</w:t>
      </w:r>
    </w:p>
    <w:p>
      <w:pPr>
        <w:spacing w:after="0" w:line="209" w:lineRule="exact"/>
        <w:rPr>
          <w:sz w:val="24"/>
          <w:szCs w:val="24"/>
          <w:color w:val="auto"/>
        </w:rPr>
      </w:pPr>
    </w:p>
    <w:p>
      <w:pPr>
        <w:ind w:right="240" w:firstLine="473"/>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107950</wp:posOffset>
            </wp:positionV>
            <wp:extent cx="1390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Per Share</w:t>
            </w: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Total</w:t>
            </w:r>
          </w:p>
        </w:tc>
      </w:tr>
      <w:tr>
        <w:trPr>
          <w:trHeight w:val="202"/>
        </w:trPr>
        <w:tc>
          <w:tcPr>
            <w:tcW w:w="116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12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18.00</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146,625,012</w:t>
            </w:r>
          </w:p>
        </w:tc>
      </w:tr>
      <w:tr>
        <w:trPr>
          <w:trHeight w:val="236"/>
        </w:trPr>
        <w:tc>
          <w:tcPr>
            <w:tcW w:w="1160" w:type="dxa"/>
            <w:vAlign w:val="bottom"/>
          </w:tcPr>
          <w:p>
            <w:pPr>
              <w:spacing w:after="0"/>
              <w:rPr>
                <w:sz w:val="20"/>
                <w:szCs w:val="20"/>
                <w:color w:val="auto"/>
              </w:rPr>
            </w:pPr>
          </w:p>
        </w:tc>
        <w:tc>
          <w:tcPr>
            <w:tcW w:w="5660" w:type="dxa"/>
            <w:vAlign w:val="bottom"/>
          </w:tcPr>
          <w:p>
            <w:pPr>
              <w:spacing w:after="0" w:line="236"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7"/>
                <w:szCs w:val="27"/>
                <w:color w:val="auto"/>
                <w:vertAlign w:val="superscript"/>
              </w:rPr>
              <w:t>(1)</w:t>
            </w:r>
          </w:p>
        </w:tc>
        <w:tc>
          <w:tcPr>
            <w:tcW w:w="12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1.26</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10,263,751</w:t>
            </w:r>
          </w:p>
        </w:tc>
      </w:tr>
      <w:tr>
        <w:trPr>
          <w:trHeight w:val="204"/>
        </w:trPr>
        <w:tc>
          <w:tcPr>
            <w:tcW w:w="116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Proceeds, before expenses, to Blueprint Medicines Corporation</w:t>
            </w:r>
          </w:p>
        </w:tc>
        <w:tc>
          <w:tcPr>
            <w:tcW w:w="12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16.74</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136,361,261</w:t>
            </w:r>
          </w:p>
        </w:tc>
      </w:tr>
      <w:tr>
        <w:trPr>
          <w:trHeight w:val="94"/>
        </w:trPr>
        <w:tc>
          <w:tcPr>
            <w:tcW w:w="116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5264150</wp:posOffset>
            </wp:positionH>
            <wp:positionV relativeFrom="paragraph">
              <wp:posOffset>-481965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93" w:lineRule="exact"/>
        <w:rPr>
          <w:sz w:val="24"/>
          <w:szCs w:val="24"/>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refer you to "Underwriting" beginning on page 157 of this prospectus for additional information regarding underwriting compensation.</w:t>
      </w:r>
    </w:p>
    <w:p>
      <w:pPr>
        <w:spacing w:after="0" w:line="211" w:lineRule="exact"/>
        <w:rPr>
          <w:sz w:val="24"/>
          <w:szCs w:val="24"/>
          <w:color w:val="auto"/>
        </w:rPr>
      </w:pPr>
    </w:p>
    <w:p>
      <w:pPr>
        <w:ind w:right="420" w:firstLine="470"/>
        <w:spacing w:after="0" w:line="252" w:lineRule="auto"/>
        <w:rPr>
          <w:sz w:val="20"/>
          <w:szCs w:val="20"/>
          <w:color w:val="auto"/>
        </w:rPr>
      </w:pPr>
      <w:r>
        <w:rPr>
          <w:rFonts w:ascii="Arial" w:cs="Arial" w:eastAsia="Arial" w:hAnsi="Arial"/>
          <w:sz w:val="17"/>
          <w:szCs w:val="17"/>
          <w:color w:val="auto"/>
        </w:rPr>
        <w:t>To the extent that the underwriters sell more than 8,145,834 shares of common stock, the underwriters have the option to purchase up to an additional 1,221,874 shares from Blueprint Medicines Corporation at the initial price to public less the underwriting discount.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120015</wp:posOffset>
            </wp:positionV>
            <wp:extent cx="1390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480"/>
        <w:spacing w:after="0"/>
        <w:rPr>
          <w:sz w:val="20"/>
          <w:szCs w:val="20"/>
          <w:color w:val="auto"/>
        </w:rPr>
      </w:pPr>
      <w:r>
        <w:rPr>
          <w:rFonts w:ascii="Arial" w:cs="Arial" w:eastAsia="Arial" w:hAnsi="Arial"/>
          <w:sz w:val="17"/>
          <w:szCs w:val="17"/>
          <w:color w:val="auto"/>
        </w:rPr>
        <w:t>The underwriters expect to deliver the shares against payment in New York, New York on May 5, 2015.</w:t>
      </w:r>
    </w:p>
    <w:p>
      <w:pPr>
        <w:spacing w:after="0" w:line="174" w:lineRule="exact"/>
        <w:rPr>
          <w:sz w:val="24"/>
          <w:szCs w:val="24"/>
          <w:color w:val="auto"/>
        </w:rPr>
      </w:pPr>
    </w:p>
    <w:p>
      <w:pPr>
        <w:spacing w:after="0"/>
        <w:tabs>
          <w:tab w:leader="none" w:pos="900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3"/>
          <w:szCs w:val="23"/>
          <w:b w:val="1"/>
          <w:bCs w:val="1"/>
          <w:color w:val="auto"/>
        </w:rPr>
        <w:t>Cowen and Company</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JMP Securities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Wedbush PacGrow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154305</wp:posOffset>
            </wp:positionV>
            <wp:extent cx="1390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Prospectus dated April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840" w:type="dxa"/>
            <w:vAlign w:val="bottom"/>
            <w:gridSpan w:val="22"/>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20"/>
        </w:trPr>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6"/>
          </w:tcPr>
          <w:p>
            <w:pPr>
              <w:jc w:val="center"/>
              <w:ind w:right="3080"/>
              <w:spacing w:after="0"/>
              <w:rPr>
                <w:sz w:val="20"/>
                <w:szCs w:val="20"/>
                <w:color w:val="auto"/>
              </w:rPr>
            </w:pPr>
            <w:r>
              <w:rPr>
                <w:rFonts w:ascii="Arial" w:cs="Arial" w:eastAsia="Arial" w:hAnsi="Arial"/>
                <w:sz w:val="17"/>
                <w:szCs w:val="17"/>
                <w:b w:val="1"/>
                <w:bCs w:val="1"/>
                <w:color w:val="auto"/>
                <w:w w:val="99"/>
              </w:rPr>
              <w:t>TABLE OF CONTENTS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gridSpan w:val="5"/>
          </w:tcPr>
          <w:p>
            <w:pPr>
              <w:jc w:val="center"/>
              <w:ind w:right="3620"/>
              <w:spacing w:after="0"/>
              <w:rPr>
                <w:sz w:val="20"/>
                <w:szCs w:val="20"/>
                <w:color w:val="auto"/>
              </w:rPr>
            </w:pPr>
            <w:r>
              <w:rPr>
                <w:rFonts w:ascii="Arial" w:cs="Arial" w:eastAsia="Arial" w:hAnsi="Arial"/>
                <w:sz w:val="17"/>
                <w:szCs w:val="17"/>
                <w:color w:val="auto"/>
              </w:rPr>
              <w:t>Prospectus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6"/>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8"/>
              </w:rPr>
              <w:t>Page</w:t>
            </w:r>
          </w:p>
        </w:tc>
        <w:tc>
          <w:tcPr>
            <w:tcW w:w="20" w:type="dxa"/>
            <w:vAlign w:val="bottom"/>
          </w:tcPr>
          <w:p>
            <w:pPr>
              <w:spacing w:after="0"/>
              <w:rPr>
                <w:sz w:val="24"/>
                <w:szCs w:val="24"/>
                <w:color w:val="auto"/>
              </w:rPr>
            </w:pPr>
          </w:p>
        </w:tc>
      </w:tr>
      <w:tr>
        <w:trPr>
          <w:trHeight w:val="164"/>
        </w:trPr>
        <w:tc>
          <w:tcPr>
            <w:tcW w:w="1160" w:type="dxa"/>
            <w:vAlign w:val="bottom"/>
          </w:tcPr>
          <w:p>
            <w:pPr>
              <w:spacing w:after="0"/>
              <w:rPr>
                <w:sz w:val="14"/>
                <w:szCs w:val="14"/>
                <w:color w:val="auto"/>
              </w:rPr>
            </w:pPr>
          </w:p>
        </w:tc>
        <w:tc>
          <w:tcPr>
            <w:tcW w:w="8680" w:type="dxa"/>
            <w:vAlign w:val="bottom"/>
            <w:gridSpan w:val="21"/>
          </w:tcPr>
          <w:p>
            <w:pPr>
              <w:spacing w:after="0" w:line="163" w:lineRule="exact"/>
              <w:rPr>
                <w:rFonts w:ascii="Arial" w:cs="Arial" w:eastAsia="Arial" w:hAnsi="Arial"/>
                <w:sz w:val="17"/>
                <w:szCs w:val="17"/>
                <w:color w:val="0000EE"/>
              </w:rPr>
            </w:pPr>
            <w:hyperlink w:anchor="page3">
              <w:r>
                <w:rPr>
                  <w:rFonts w:ascii="Arial" w:cs="Arial" w:eastAsia="Arial" w:hAnsi="Arial"/>
                  <w:sz w:val="17"/>
                  <w:szCs w:val="17"/>
                  <w:color w:val="0000EE"/>
                </w:rPr>
                <w:t>Prospectus Summary</w:t>
              </w:r>
            </w:hyperlink>
          </w:p>
        </w:tc>
        <w:tc>
          <w:tcPr>
            <w:tcW w:w="440" w:type="dxa"/>
            <w:vAlign w:val="bottom"/>
            <w:gridSpan w:val="5"/>
          </w:tcPr>
          <w:p>
            <w:pPr>
              <w:jc w:val="right"/>
              <w:spacing w:after="0" w:line="163" w:lineRule="exact"/>
              <w:rPr>
                <w:rFonts w:ascii="Arial" w:cs="Arial" w:eastAsia="Arial" w:hAnsi="Arial"/>
                <w:sz w:val="17"/>
                <w:szCs w:val="17"/>
                <w:color w:val="0000EE"/>
              </w:rPr>
            </w:pPr>
            <w:hyperlink w:anchor="page3">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tcBorders>
              <w:bottom w:val="single" w:sz="8" w:color="0000EE"/>
            </w:tcBorders>
            <w:gridSpan w:val="4"/>
          </w:tcPr>
          <w:p>
            <w:pPr>
              <w:spacing w:after="0" w:line="176" w:lineRule="exact"/>
              <w:rPr>
                <w:rFonts w:ascii="Arial" w:cs="Arial" w:eastAsia="Arial" w:hAnsi="Arial"/>
                <w:sz w:val="17"/>
                <w:szCs w:val="17"/>
                <w:color w:val="0000EE"/>
                <w:w w:val="95"/>
              </w:rPr>
            </w:pPr>
            <w:hyperlink w:anchor="page14">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7060" w:type="dxa"/>
            <w:vAlign w:val="bottom"/>
            <w:gridSpan w:val="13"/>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14">
              <w:r>
                <w:rPr>
                  <w:rFonts w:ascii="Arial" w:cs="Arial" w:eastAsia="Arial" w:hAnsi="Arial"/>
                  <w:sz w:val="17"/>
                  <w:szCs w:val="17"/>
                  <w:color w:val="0000EE"/>
                  <w:w w:val="94"/>
                </w:rPr>
                <w:t>12</w:t>
              </w:r>
            </w:hyperlink>
          </w:p>
        </w:tc>
      </w:tr>
      <w:tr>
        <w:trPr>
          <w:trHeight w:val="177"/>
        </w:trPr>
        <w:tc>
          <w:tcPr>
            <w:tcW w:w="1160" w:type="dxa"/>
            <w:vAlign w:val="bottom"/>
          </w:tcPr>
          <w:p>
            <w:pPr>
              <w:spacing w:after="0"/>
              <w:rPr>
                <w:sz w:val="15"/>
                <w:szCs w:val="15"/>
                <w:color w:val="auto"/>
              </w:rPr>
            </w:pPr>
          </w:p>
        </w:tc>
        <w:tc>
          <w:tcPr>
            <w:tcW w:w="4300" w:type="dxa"/>
            <w:vAlign w:val="bottom"/>
            <w:tcBorders>
              <w:bottom w:val="single" w:sz="8" w:color="0000EE"/>
            </w:tcBorders>
            <w:gridSpan w:val="17"/>
          </w:tcPr>
          <w:p>
            <w:pPr>
              <w:spacing w:after="0" w:line="176" w:lineRule="exact"/>
              <w:rPr>
                <w:rFonts w:ascii="Arial" w:cs="Arial" w:eastAsia="Arial" w:hAnsi="Arial"/>
                <w:sz w:val="17"/>
                <w:szCs w:val="17"/>
                <w:color w:val="0000EE"/>
                <w:w w:val="99"/>
              </w:rPr>
            </w:pPr>
            <w:hyperlink w:anchor="page56">
              <w:r>
                <w:rPr>
                  <w:rFonts w:ascii="Arial" w:cs="Arial" w:eastAsia="Arial" w:hAnsi="Arial"/>
                  <w:sz w:val="17"/>
                  <w:szCs w:val="17"/>
                  <w:color w:val="0000EE"/>
                  <w:w w:val="99"/>
                </w:rPr>
                <w:t>Cautionary Note Regarding Forward-Looking Statements</w:t>
              </w:r>
            </w:hyperlink>
          </w:p>
        </w:tc>
        <w:tc>
          <w:tcPr>
            <w:tcW w:w="4380" w:type="dxa"/>
            <w:vAlign w:val="bottom"/>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6">
              <w:r>
                <w:rPr>
                  <w:rFonts w:ascii="Arial" w:cs="Arial" w:eastAsia="Arial" w:hAnsi="Arial"/>
                  <w:sz w:val="17"/>
                  <w:szCs w:val="17"/>
                  <w:color w:val="0000EE"/>
                  <w:w w:val="94"/>
                </w:rPr>
                <w:t>54</w:t>
              </w:r>
            </w:hyperlink>
          </w:p>
        </w:tc>
      </w:tr>
      <w:tr>
        <w:trPr>
          <w:trHeight w:val="177"/>
        </w:trPr>
        <w:tc>
          <w:tcPr>
            <w:tcW w:w="1160" w:type="dxa"/>
            <w:vAlign w:val="bottom"/>
          </w:tcPr>
          <w:p>
            <w:pPr>
              <w:spacing w:after="0"/>
              <w:rPr>
                <w:sz w:val="15"/>
                <w:szCs w:val="15"/>
                <w:color w:val="auto"/>
              </w:rPr>
            </w:pPr>
          </w:p>
        </w:tc>
        <w:tc>
          <w:tcPr>
            <w:tcW w:w="1260" w:type="dxa"/>
            <w:vAlign w:val="bottom"/>
            <w:tcBorders>
              <w:bottom w:val="single" w:sz="8" w:color="0000EE"/>
            </w:tcBorders>
            <w:gridSpan w:val="7"/>
          </w:tcPr>
          <w:p>
            <w:pPr>
              <w:spacing w:after="0" w:line="176" w:lineRule="exact"/>
              <w:rPr>
                <w:rFonts w:ascii="Arial" w:cs="Arial" w:eastAsia="Arial" w:hAnsi="Arial"/>
                <w:sz w:val="17"/>
                <w:szCs w:val="17"/>
                <w:color w:val="0000EE"/>
                <w:w w:val="98"/>
              </w:rPr>
            </w:pPr>
            <w:hyperlink w:anchor="page58">
              <w:r>
                <w:rPr>
                  <w:rFonts w:ascii="Arial" w:cs="Arial" w:eastAsia="Arial" w:hAnsi="Arial"/>
                  <w:sz w:val="17"/>
                  <w:szCs w:val="17"/>
                  <w:color w:val="0000EE"/>
                  <w:w w:val="98"/>
                </w:rPr>
                <w:t>Use of Proceeds</w:t>
              </w:r>
            </w:hyperlink>
          </w:p>
        </w:tc>
        <w:tc>
          <w:tcPr>
            <w:tcW w:w="7420" w:type="dxa"/>
            <w:vAlign w:val="bottom"/>
            <w:gridSpan w:val="14"/>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56</w:t>
              </w:r>
            </w:hyperlink>
          </w:p>
        </w:tc>
      </w:tr>
      <w:tr>
        <w:trPr>
          <w:trHeight w:val="177"/>
        </w:trPr>
        <w:tc>
          <w:tcPr>
            <w:tcW w:w="1160" w:type="dxa"/>
            <w:vAlign w:val="bottom"/>
          </w:tcPr>
          <w:p>
            <w:pPr>
              <w:spacing w:after="0"/>
              <w:rPr>
                <w:sz w:val="15"/>
                <w:szCs w:val="15"/>
                <w:color w:val="auto"/>
              </w:rPr>
            </w:pPr>
          </w:p>
        </w:tc>
        <w:tc>
          <w:tcPr>
            <w:tcW w:w="1160" w:type="dxa"/>
            <w:vAlign w:val="bottom"/>
            <w:tcBorders>
              <w:bottom w:val="single" w:sz="8" w:color="0000EE"/>
            </w:tcBorders>
            <w:gridSpan w:val="6"/>
          </w:tcPr>
          <w:p>
            <w:pPr>
              <w:spacing w:after="0" w:line="176" w:lineRule="exact"/>
              <w:rPr>
                <w:rFonts w:ascii="Arial" w:cs="Arial" w:eastAsia="Arial" w:hAnsi="Arial"/>
                <w:sz w:val="17"/>
                <w:szCs w:val="17"/>
                <w:color w:val="0000EE"/>
                <w:w w:val="98"/>
              </w:rPr>
            </w:pPr>
            <w:hyperlink w:anchor="page59">
              <w:r>
                <w:rPr>
                  <w:rFonts w:ascii="Arial" w:cs="Arial" w:eastAsia="Arial" w:hAnsi="Arial"/>
                  <w:sz w:val="17"/>
                  <w:szCs w:val="17"/>
                  <w:color w:val="0000EE"/>
                  <w:w w:val="98"/>
                </w:rPr>
                <w:t>Dividend Policy</w:t>
              </w:r>
            </w:hyperlink>
          </w:p>
        </w:tc>
        <w:tc>
          <w:tcPr>
            <w:tcW w:w="7520" w:type="dxa"/>
            <w:vAlign w:val="bottom"/>
            <w:gridSpan w:val="15"/>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9">
              <w:r>
                <w:rPr>
                  <w:rFonts w:ascii="Arial" w:cs="Arial" w:eastAsia="Arial" w:hAnsi="Arial"/>
                  <w:sz w:val="17"/>
                  <w:szCs w:val="17"/>
                  <w:color w:val="0000EE"/>
                  <w:w w:val="94"/>
                </w:rPr>
                <w:t>57</w:t>
              </w:r>
            </w:hyperlink>
          </w:p>
        </w:tc>
      </w:tr>
      <w:tr>
        <w:trPr>
          <w:trHeight w:val="177"/>
        </w:trPr>
        <w:tc>
          <w:tcPr>
            <w:tcW w:w="1160" w:type="dxa"/>
            <w:vAlign w:val="bottom"/>
          </w:tcPr>
          <w:p>
            <w:pPr>
              <w:spacing w:after="0"/>
              <w:rPr>
                <w:sz w:val="15"/>
                <w:szCs w:val="15"/>
                <w:color w:val="auto"/>
              </w:rPr>
            </w:pPr>
          </w:p>
        </w:tc>
        <w:tc>
          <w:tcPr>
            <w:tcW w:w="1020" w:type="dxa"/>
            <w:vAlign w:val="bottom"/>
            <w:tcBorders>
              <w:bottom w:val="single" w:sz="8" w:color="0000EE"/>
            </w:tcBorders>
            <w:gridSpan w:val="5"/>
          </w:tcPr>
          <w:p>
            <w:pPr>
              <w:spacing w:after="0" w:line="176" w:lineRule="exact"/>
              <w:rPr>
                <w:rFonts w:ascii="Arial" w:cs="Arial" w:eastAsia="Arial" w:hAnsi="Arial"/>
                <w:sz w:val="17"/>
                <w:szCs w:val="17"/>
                <w:color w:val="0000EE"/>
                <w:w w:val="97"/>
              </w:rPr>
            </w:pPr>
            <w:hyperlink w:anchor="page60">
              <w:r>
                <w:rPr>
                  <w:rFonts w:ascii="Arial" w:cs="Arial" w:eastAsia="Arial" w:hAnsi="Arial"/>
                  <w:sz w:val="17"/>
                  <w:szCs w:val="17"/>
                  <w:color w:val="0000EE"/>
                  <w:w w:val="97"/>
                </w:rPr>
                <w:t>Capitalization</w:t>
              </w:r>
            </w:hyperlink>
          </w:p>
        </w:tc>
        <w:tc>
          <w:tcPr>
            <w:tcW w:w="7660" w:type="dxa"/>
            <w:vAlign w:val="bottom"/>
            <w:gridSpan w:val="16"/>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58</w:t>
              </w:r>
            </w:hyperlink>
          </w:p>
        </w:tc>
      </w:tr>
      <w:tr>
        <w:trPr>
          <w:trHeight w:val="177"/>
        </w:trPr>
        <w:tc>
          <w:tcPr>
            <w:tcW w:w="116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76" w:lineRule="exact"/>
              <w:rPr>
                <w:rFonts w:ascii="Arial" w:cs="Arial" w:eastAsia="Arial" w:hAnsi="Arial"/>
                <w:sz w:val="17"/>
                <w:szCs w:val="17"/>
                <w:color w:val="0000EE"/>
                <w:w w:val="95"/>
              </w:rPr>
            </w:pPr>
            <w:hyperlink w:anchor="page62">
              <w:r>
                <w:rPr>
                  <w:rFonts w:ascii="Arial" w:cs="Arial" w:eastAsia="Arial" w:hAnsi="Arial"/>
                  <w:sz w:val="17"/>
                  <w:szCs w:val="17"/>
                  <w:color w:val="0000EE"/>
                  <w:w w:val="95"/>
                </w:rPr>
                <w:t>Dilution</w:t>
              </w:r>
            </w:hyperlink>
          </w:p>
        </w:tc>
        <w:tc>
          <w:tcPr>
            <w:tcW w:w="8120" w:type="dxa"/>
            <w:vAlign w:val="bottom"/>
            <w:gridSpan w:val="19"/>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60</w:t>
              </w:r>
            </w:hyperlink>
          </w:p>
        </w:tc>
      </w:tr>
      <w:tr>
        <w:trPr>
          <w:trHeight w:val="177"/>
        </w:trPr>
        <w:tc>
          <w:tcPr>
            <w:tcW w:w="1160" w:type="dxa"/>
            <w:vAlign w:val="bottom"/>
          </w:tcPr>
          <w:p>
            <w:pPr>
              <w:spacing w:after="0"/>
              <w:rPr>
                <w:sz w:val="15"/>
                <w:szCs w:val="15"/>
                <w:color w:val="auto"/>
              </w:rPr>
            </w:pPr>
          </w:p>
        </w:tc>
        <w:tc>
          <w:tcPr>
            <w:tcW w:w="1800" w:type="dxa"/>
            <w:vAlign w:val="bottom"/>
            <w:tcBorders>
              <w:bottom w:val="single" w:sz="8" w:color="0000EE"/>
            </w:tcBorders>
            <w:gridSpan w:val="10"/>
          </w:tcPr>
          <w:p>
            <w:pPr>
              <w:spacing w:after="0" w:line="176" w:lineRule="exact"/>
              <w:rPr>
                <w:rFonts w:ascii="Arial" w:cs="Arial" w:eastAsia="Arial" w:hAnsi="Arial"/>
                <w:sz w:val="17"/>
                <w:szCs w:val="17"/>
                <w:color w:val="0000EE"/>
                <w:w w:val="99"/>
              </w:rPr>
            </w:pPr>
            <w:hyperlink w:anchor="page64">
              <w:r>
                <w:rPr>
                  <w:rFonts w:ascii="Arial" w:cs="Arial" w:eastAsia="Arial" w:hAnsi="Arial"/>
                  <w:sz w:val="17"/>
                  <w:szCs w:val="17"/>
                  <w:color w:val="0000EE"/>
                  <w:w w:val="99"/>
                </w:rPr>
                <w:t>Selected Financial Data</w:t>
              </w:r>
            </w:hyperlink>
          </w:p>
        </w:tc>
        <w:tc>
          <w:tcPr>
            <w:tcW w:w="6880" w:type="dxa"/>
            <w:vAlign w:val="bottom"/>
            <w:gridSpan w:val="11"/>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62</w:t>
              </w:r>
            </w:hyperlink>
          </w:p>
        </w:tc>
      </w:tr>
      <w:tr>
        <w:trPr>
          <w:trHeight w:val="177"/>
        </w:trPr>
        <w:tc>
          <w:tcPr>
            <w:tcW w:w="1160" w:type="dxa"/>
            <w:vAlign w:val="bottom"/>
          </w:tcPr>
          <w:p>
            <w:pPr>
              <w:spacing w:after="0"/>
              <w:rPr>
                <w:sz w:val="15"/>
                <w:szCs w:val="15"/>
                <w:color w:val="auto"/>
              </w:rPr>
            </w:pPr>
          </w:p>
        </w:tc>
        <w:tc>
          <w:tcPr>
            <w:tcW w:w="6700" w:type="dxa"/>
            <w:vAlign w:val="bottom"/>
            <w:tcBorders>
              <w:bottom w:val="single" w:sz="8" w:color="0000EE"/>
            </w:tcBorders>
            <w:gridSpan w:val="20"/>
          </w:tcPr>
          <w:p>
            <w:pPr>
              <w:spacing w:after="0" w:line="176" w:lineRule="exact"/>
              <w:rPr>
                <w:rFonts w:ascii="Arial" w:cs="Arial" w:eastAsia="Arial" w:hAnsi="Arial"/>
                <w:sz w:val="17"/>
                <w:szCs w:val="17"/>
                <w:color w:val="0000EE"/>
                <w:w w:val="99"/>
              </w:rPr>
            </w:pPr>
            <w:hyperlink w:anchor="page66">
              <w:r>
                <w:rPr>
                  <w:rFonts w:ascii="Arial" w:cs="Arial" w:eastAsia="Arial" w:hAnsi="Arial"/>
                  <w:sz w:val="17"/>
                  <w:szCs w:val="17"/>
                  <w:color w:val="0000EE"/>
                  <w:w w:val="99"/>
                </w:rPr>
                <w:t>Management's Discussion and Analysis of Financial Condition and Results of Operations</w:t>
              </w:r>
            </w:hyperlink>
          </w:p>
        </w:tc>
        <w:tc>
          <w:tcPr>
            <w:tcW w:w="19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6">
              <w:r>
                <w:rPr>
                  <w:rFonts w:ascii="Arial" w:cs="Arial" w:eastAsia="Arial" w:hAnsi="Arial"/>
                  <w:sz w:val="17"/>
                  <w:szCs w:val="17"/>
                  <w:color w:val="0000EE"/>
                  <w:w w:val="94"/>
                </w:rPr>
                <w:t>64</w:t>
              </w:r>
            </w:hyperlink>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Business</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79</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23">
              <w:r>
                <w:rPr>
                  <w:rFonts w:ascii="Arial" w:cs="Arial" w:eastAsia="Arial" w:hAnsi="Arial"/>
                  <w:sz w:val="17"/>
                  <w:szCs w:val="17"/>
                  <w:color w:val="0000EE"/>
                </w:rPr>
                <w:t>Management</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23">
              <w:r>
                <w:rPr>
                  <w:rFonts w:ascii="Arial" w:cs="Arial" w:eastAsia="Arial" w:hAnsi="Arial"/>
                  <w:sz w:val="17"/>
                  <w:szCs w:val="17"/>
                  <w:color w:val="0000EE"/>
                </w:rPr>
                <w:t>121</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2860" w:type="dxa"/>
            <w:vAlign w:val="bottom"/>
            <w:gridSpan w:val="13"/>
          </w:tcPr>
          <w:p>
            <w:pPr>
              <w:spacing w:after="0" w:line="176" w:lineRule="exact"/>
              <w:rPr>
                <w:rFonts w:ascii="Arial" w:cs="Arial" w:eastAsia="Arial" w:hAnsi="Arial"/>
                <w:sz w:val="17"/>
                <w:szCs w:val="17"/>
                <w:color w:val="0000EE"/>
                <w:w w:val="99"/>
              </w:rPr>
            </w:pPr>
            <w:hyperlink w:anchor="page132">
              <w:r>
                <w:rPr>
                  <w:rFonts w:ascii="Arial" w:cs="Arial" w:eastAsia="Arial" w:hAnsi="Arial"/>
                  <w:sz w:val="17"/>
                  <w:szCs w:val="17"/>
                  <w:color w:val="0000EE"/>
                  <w:w w:val="99"/>
                </w:rPr>
                <w:t>Executive and Director Compensation</w:t>
              </w:r>
            </w:hyperlink>
          </w:p>
        </w:tc>
        <w:tc>
          <w:tcPr>
            <w:tcW w:w="5820" w:type="dxa"/>
            <w:vAlign w:val="bottom"/>
            <w:gridSpan w:val="8"/>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32">
              <w:r>
                <w:rPr>
                  <w:rFonts w:ascii="Arial" w:cs="Arial" w:eastAsia="Arial" w:hAnsi="Arial"/>
                  <w:sz w:val="17"/>
                  <w:szCs w:val="17"/>
                  <w:color w:val="0000EE"/>
                </w:rPr>
                <w:t>130</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040" w:type="dxa"/>
            <w:vAlign w:val="bottom"/>
            <w:gridSpan w:val="16"/>
          </w:tcPr>
          <w:p>
            <w:pPr>
              <w:spacing w:after="0" w:line="176" w:lineRule="exact"/>
              <w:rPr>
                <w:rFonts w:ascii="Arial" w:cs="Arial" w:eastAsia="Arial" w:hAnsi="Arial"/>
                <w:sz w:val="17"/>
                <w:szCs w:val="17"/>
                <w:color w:val="0000EE"/>
                <w:w w:val="99"/>
              </w:rPr>
            </w:pPr>
            <w:hyperlink w:anchor="page140">
              <w:r>
                <w:rPr>
                  <w:rFonts w:ascii="Arial" w:cs="Arial" w:eastAsia="Arial" w:hAnsi="Arial"/>
                  <w:sz w:val="17"/>
                  <w:szCs w:val="17"/>
                  <w:color w:val="0000EE"/>
                  <w:w w:val="99"/>
                </w:rPr>
                <w:t>Certain Relationships and Related Party Transactions</w:t>
              </w:r>
            </w:hyperlink>
          </w:p>
        </w:tc>
        <w:tc>
          <w:tcPr>
            <w:tcW w:w="4640" w:type="dxa"/>
            <w:vAlign w:val="bottom"/>
            <w:gridSpan w:val="5"/>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40">
              <w:r>
                <w:rPr>
                  <w:rFonts w:ascii="Arial" w:cs="Arial" w:eastAsia="Arial" w:hAnsi="Arial"/>
                  <w:sz w:val="17"/>
                  <w:szCs w:val="17"/>
                  <w:color w:val="0000EE"/>
                </w:rPr>
                <w:t>138</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680" w:type="dxa"/>
            <w:vAlign w:val="bottom"/>
            <w:gridSpan w:val="9"/>
          </w:tcPr>
          <w:p>
            <w:pPr>
              <w:spacing w:after="0" w:line="176" w:lineRule="exact"/>
              <w:rPr>
                <w:rFonts w:ascii="Arial" w:cs="Arial" w:eastAsia="Arial" w:hAnsi="Arial"/>
                <w:sz w:val="17"/>
                <w:szCs w:val="17"/>
                <w:color w:val="0000EE"/>
                <w:w w:val="98"/>
              </w:rPr>
            </w:pPr>
            <w:hyperlink w:anchor="page143">
              <w:r>
                <w:rPr>
                  <w:rFonts w:ascii="Arial" w:cs="Arial" w:eastAsia="Arial" w:hAnsi="Arial"/>
                  <w:sz w:val="17"/>
                  <w:szCs w:val="17"/>
                  <w:color w:val="0000EE"/>
                  <w:w w:val="98"/>
                </w:rPr>
                <w:t>Principal Stockholders</w:t>
              </w:r>
            </w:hyperlink>
          </w:p>
        </w:tc>
        <w:tc>
          <w:tcPr>
            <w:tcW w:w="2360" w:type="dxa"/>
            <w:vAlign w:val="bottom"/>
            <w:gridSpan w:val="7"/>
          </w:tcPr>
          <w:p>
            <w:pPr>
              <w:spacing w:after="0"/>
              <w:rPr>
                <w:sz w:val="15"/>
                <w:szCs w:val="15"/>
                <w:color w:val="auto"/>
              </w:rPr>
            </w:pPr>
          </w:p>
        </w:tc>
        <w:tc>
          <w:tcPr>
            <w:tcW w:w="4640" w:type="dxa"/>
            <w:vAlign w:val="bottom"/>
            <w:gridSpan w:val="5"/>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43">
              <w:r>
                <w:rPr>
                  <w:rFonts w:ascii="Arial" w:cs="Arial" w:eastAsia="Arial" w:hAnsi="Arial"/>
                  <w:sz w:val="17"/>
                  <w:szCs w:val="17"/>
                  <w:color w:val="0000EE"/>
                </w:rPr>
                <w:t>141</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46">
              <w:r>
                <w:rPr>
                  <w:rFonts w:ascii="Arial" w:cs="Arial" w:eastAsia="Arial" w:hAnsi="Arial"/>
                  <w:sz w:val="17"/>
                  <w:szCs w:val="17"/>
                  <w:color w:val="0000EE"/>
                </w:rPr>
                <w:t>Description of Capital Stock</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46">
              <w:r>
                <w:rPr>
                  <w:rFonts w:ascii="Arial" w:cs="Arial" w:eastAsia="Arial" w:hAnsi="Arial"/>
                  <w:sz w:val="17"/>
                  <w:szCs w:val="17"/>
                  <w:color w:val="0000EE"/>
                </w:rPr>
                <w:t>144</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52">
              <w:r>
                <w:rPr>
                  <w:rFonts w:ascii="Arial" w:cs="Arial" w:eastAsia="Arial" w:hAnsi="Arial"/>
                  <w:sz w:val="17"/>
                  <w:szCs w:val="17"/>
                  <w:color w:val="0000EE"/>
                </w:rPr>
                <w:t>Shares Eligible for Future Sale</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52">
              <w:r>
                <w:rPr>
                  <w:rFonts w:ascii="Arial" w:cs="Arial" w:eastAsia="Arial" w:hAnsi="Arial"/>
                  <w:sz w:val="17"/>
                  <w:szCs w:val="17"/>
                  <w:color w:val="0000EE"/>
                </w:rPr>
                <w:t>150</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7"/>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340" w:type="dxa"/>
            <w:vAlign w:val="bottom"/>
            <w:gridSpan w:val="18"/>
          </w:tcPr>
          <w:p>
            <w:pPr>
              <w:spacing w:after="0" w:line="176" w:lineRule="exact"/>
              <w:rPr>
                <w:rFonts w:ascii="Arial" w:cs="Arial" w:eastAsia="Arial" w:hAnsi="Arial"/>
                <w:sz w:val="17"/>
                <w:szCs w:val="17"/>
                <w:color w:val="0000EE"/>
                <w:w w:val="99"/>
              </w:rPr>
            </w:pPr>
            <w:hyperlink w:anchor="page155">
              <w:r>
                <w:rPr>
                  <w:rFonts w:ascii="Arial" w:cs="Arial" w:eastAsia="Arial" w:hAnsi="Arial"/>
                  <w:sz w:val="17"/>
                  <w:szCs w:val="17"/>
                  <w:color w:val="0000EE"/>
                  <w:w w:val="99"/>
                </w:rPr>
                <w:t>Material U.S. Federal Income Tax Considerations for Non-U.S. Holders</w:t>
              </w:r>
            </w:hyperlink>
          </w:p>
        </w:tc>
        <w:tc>
          <w:tcPr>
            <w:tcW w:w="3340" w:type="dxa"/>
            <w:vAlign w:val="bottom"/>
            <w:gridSpan w:val="3"/>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55">
              <w:r>
                <w:rPr>
                  <w:rFonts w:ascii="Arial" w:cs="Arial" w:eastAsia="Arial" w:hAnsi="Arial"/>
                  <w:sz w:val="17"/>
                  <w:szCs w:val="17"/>
                  <w:color w:val="0000EE"/>
                </w:rPr>
                <w:t>153</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340" w:type="dxa"/>
            <w:vAlign w:val="bottom"/>
            <w:gridSpan w:val="18"/>
          </w:tcPr>
          <w:p>
            <w:pPr>
              <w:spacing w:after="0" w:line="176" w:lineRule="exact"/>
              <w:rPr>
                <w:rFonts w:ascii="Arial" w:cs="Arial" w:eastAsia="Arial" w:hAnsi="Arial"/>
                <w:sz w:val="17"/>
                <w:szCs w:val="17"/>
                <w:color w:val="0000EE"/>
              </w:rPr>
            </w:pPr>
            <w:hyperlink w:anchor="page159">
              <w:r>
                <w:rPr>
                  <w:rFonts w:ascii="Arial" w:cs="Arial" w:eastAsia="Arial" w:hAnsi="Arial"/>
                  <w:sz w:val="17"/>
                  <w:szCs w:val="17"/>
                  <w:color w:val="0000EE"/>
                </w:rPr>
                <w:t>Underwriting</w:t>
              </w:r>
            </w:hyperlink>
          </w:p>
        </w:tc>
        <w:tc>
          <w:tcPr>
            <w:tcW w:w="3340" w:type="dxa"/>
            <w:vAlign w:val="bottom"/>
            <w:gridSpan w:val="3"/>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59">
              <w:r>
                <w:rPr>
                  <w:rFonts w:ascii="Arial" w:cs="Arial" w:eastAsia="Arial" w:hAnsi="Arial"/>
                  <w:sz w:val="17"/>
                  <w:szCs w:val="17"/>
                  <w:color w:val="0000EE"/>
                </w:rPr>
                <w:t>157</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Legal Matters</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163</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5"/>
          </w:tcPr>
          <w:p>
            <w:pPr>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Experts</w:t>
              </w:r>
            </w:hyperlink>
          </w:p>
        </w:tc>
        <w:tc>
          <w:tcPr>
            <w:tcW w:w="7660" w:type="dxa"/>
            <w:vAlign w:val="bottom"/>
            <w:gridSpan w:val="16"/>
          </w:tcPr>
          <w:p>
            <w:pPr>
              <w:spacing w:after="0"/>
              <w:rPr>
                <w:sz w:val="15"/>
                <w:szCs w:val="15"/>
                <w:color w:val="auto"/>
              </w:rPr>
            </w:pPr>
          </w:p>
        </w:tc>
        <w:tc>
          <w:tcPr>
            <w:tcW w:w="440" w:type="dxa"/>
            <w:vAlign w:val="bottom"/>
            <w:gridSpan w:val="5"/>
          </w:tcPr>
          <w:p>
            <w:pPr>
              <w:jc w:val="right"/>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163</w:t>
              </w:r>
            </w:hyperlink>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80" w:type="dxa"/>
            <w:vAlign w:val="bottom"/>
            <w:gridSpan w:val="21"/>
          </w:tcPr>
          <w:p>
            <w:pPr>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Where You Can Find More Information</w:t>
              </w:r>
            </w:hyperlink>
          </w:p>
        </w:tc>
        <w:tc>
          <w:tcPr>
            <w:tcW w:w="440" w:type="dxa"/>
            <w:vAlign w:val="bottom"/>
            <w:gridSpan w:val="5"/>
          </w:tcPr>
          <w:p>
            <w:pPr>
              <w:jc w:val="right"/>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163</w:t>
              </w:r>
            </w:hyperlink>
          </w:p>
        </w:tc>
      </w:tr>
      <w:tr>
        <w:trPr>
          <w:trHeight w:val="177"/>
        </w:trPr>
        <w:tc>
          <w:tcPr>
            <w:tcW w:w="1160" w:type="dxa"/>
            <w:vAlign w:val="bottom"/>
          </w:tcPr>
          <w:p>
            <w:pPr>
              <w:spacing w:after="0"/>
              <w:rPr>
                <w:sz w:val="15"/>
                <w:szCs w:val="15"/>
                <w:color w:val="auto"/>
              </w:rPr>
            </w:pPr>
          </w:p>
        </w:tc>
        <w:tc>
          <w:tcPr>
            <w:tcW w:w="290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66">
              <w:r>
                <w:rPr>
                  <w:rFonts w:ascii="Arial" w:cs="Arial" w:eastAsia="Arial" w:hAnsi="Arial"/>
                  <w:sz w:val="17"/>
                  <w:szCs w:val="17"/>
                  <w:color w:val="0000EE"/>
                </w:rPr>
                <w:t>Index to Financial Statements</w:t>
              </w:r>
            </w:hyperlink>
          </w:p>
        </w:tc>
        <w:tc>
          <w:tcPr>
            <w:tcW w:w="5780" w:type="dxa"/>
            <w:vAlign w:val="bottom"/>
            <w:gridSpan w:val="7"/>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76" w:lineRule="exact"/>
              <w:rPr>
                <w:rFonts w:ascii="Arial" w:cs="Arial" w:eastAsia="Arial" w:hAnsi="Arial"/>
                <w:sz w:val="17"/>
                <w:szCs w:val="17"/>
                <w:color w:val="0000EE"/>
                <w:w w:val="93"/>
              </w:rPr>
            </w:pPr>
            <w:hyperlink w:anchor="page166">
              <w:r>
                <w:rPr>
                  <w:rFonts w:ascii="Arial" w:cs="Arial" w:eastAsia="Arial" w:hAnsi="Arial"/>
                  <w:sz w:val="17"/>
                  <w:szCs w:val="17"/>
                  <w:color w:val="0000EE"/>
                  <w:w w:val="93"/>
                </w:rPr>
                <w:t>F-1</w:t>
              </w:r>
            </w:hyperlink>
          </w:p>
        </w:tc>
      </w:tr>
      <w:tr>
        <w:trPr>
          <w:trHeight w:val="216"/>
        </w:trPr>
        <w:tc>
          <w:tcPr>
            <w:tcW w:w="116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r>
    </w:tbl>
    <w:p>
      <w:pPr>
        <w:spacing w:after="0" w:line="200" w:lineRule="exact"/>
        <w:rPr>
          <w:sz w:val="20"/>
          <w:szCs w:val="20"/>
          <w:color w:val="auto"/>
        </w:rPr>
      </w:pPr>
    </w:p>
    <w:p>
      <w:pPr>
        <w:spacing w:after="0" w:line="327" w:lineRule="exact"/>
        <w:rPr>
          <w:sz w:val="20"/>
          <w:szCs w:val="20"/>
          <w:color w:val="auto"/>
        </w:rPr>
      </w:pPr>
    </w:p>
    <w:p>
      <w:pPr>
        <w:ind w:right="300" w:firstLine="474"/>
        <w:spacing w:after="0" w:line="245" w:lineRule="auto"/>
        <w:rPr>
          <w:sz w:val="20"/>
          <w:szCs w:val="20"/>
          <w:color w:val="auto"/>
        </w:rPr>
      </w:pPr>
      <w:r>
        <w:rPr>
          <w:rFonts w:ascii="Arial" w:cs="Arial" w:eastAsia="Arial" w:hAnsi="Arial"/>
          <w:sz w:val="17"/>
          <w:szCs w:val="17"/>
          <w:color w:val="auto"/>
        </w:rPr>
        <w:t>We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98"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623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4565" cy="562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firstLine="473"/>
        <w:spacing w:after="0" w:line="248"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otherwise stated, all references to "us," "our," "Blueprint," "Blueprint Medicines," "we," the "Company" and similar designations refer to Blueprint Medicines Corporation.</w:t>
      </w:r>
    </w:p>
    <w:p>
      <w:pPr>
        <w:spacing w:after="0" w:line="37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Blueprint Medicines Overview</w:t>
      </w:r>
    </w:p>
    <w:p>
      <w:pPr>
        <w:spacing w:after="0" w:line="231" w:lineRule="exact"/>
        <w:rPr>
          <w:sz w:val="20"/>
          <w:szCs w:val="20"/>
          <w:color w:val="auto"/>
        </w:rPr>
      </w:pPr>
    </w:p>
    <w:p>
      <w:pPr>
        <w:ind w:left="240" w:firstLine="474"/>
        <w:spacing w:after="0" w:line="24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 enables us to drug known kinases that have been difficult to inhibit selectively and also identify, characterize and drug novel kinase targets. By focusin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for patients with systemic mastocytosis, a myeloproliferative disorder of the mast cells, and defined subsets of patients with gastrointestinal stromal tumor,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 models and we expect to file Investigational New Drug applications, or INDs, in mid-2015 and initiate our Phase 1 clinical trials in mid-2015.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380"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Our Focus — Highly Selective Kinase Drugs for Genomically Defined Diseases</w:t>
      </w:r>
    </w:p>
    <w:p>
      <w:pPr>
        <w:spacing w:after="0" w:line="231"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Kinases are enzymes that function in many signaling pathways. Abnormal activation of kinases has been shown to drive several key activities of cancer cells, including growth, survival, metabolism, cell motility and angiogenesis. For many of the known kinases, there is a strong link between genetic alterations in a kinase and disease, including specific forms of cancer and rare genetic diseases. Approved kinase drugs, such as imatinib, have demonstrated significant benefit to patients, and small molecule kinase drugs achieved over $14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resistant mutants. Finally, as of 2014, kinase drugs approved by the U.S. Food and Drug Administration, or FDA, target less than five percent of the 518 kinases that constitute the kinome.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624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4565" cy="462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220"/>
        <w:spacing w:after="0" w:line="252" w:lineRule="auto"/>
        <w:rPr>
          <w:sz w:val="20"/>
          <w:szCs w:val="20"/>
          <w:color w:val="auto"/>
        </w:rPr>
      </w:pPr>
      <w:r>
        <w:rPr>
          <w:rFonts w:ascii="Arial" w:cs="Arial" w:eastAsia="Arial" w:hAnsi="Arial"/>
          <w:sz w:val="17"/>
          <w:szCs w:val="17"/>
          <w:color w:val="auto"/>
        </w:rPr>
        <w:t>In addition, the function of the majority of the kinome is unknown. Taken together, this represents a substantial opportunity for developing novel and transformative drugs for cancer, rare genetic diseases and other disease areas.</w:t>
      </w:r>
    </w:p>
    <w:p>
      <w:pPr>
        <w:spacing w:after="0" w:line="369"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Approach and Platform</w:t>
      </w:r>
    </w:p>
    <w:p>
      <w:pPr>
        <w:spacing w:after="0" w:line="231" w:lineRule="exact"/>
        <w:rPr>
          <w:sz w:val="20"/>
          <w:szCs w:val="20"/>
          <w:color w:val="auto"/>
        </w:rPr>
      </w:pPr>
    </w:p>
    <w:p>
      <w:pPr>
        <w:ind w:left="240" w:firstLine="474"/>
        <w:spacing w:after="0" w:line="252" w:lineRule="auto"/>
        <w:rPr>
          <w:sz w:val="20"/>
          <w:szCs w:val="20"/>
          <w:color w:val="auto"/>
        </w:rPr>
      </w:pPr>
      <w:r>
        <w:rPr>
          <w:rFonts w:ascii="Arial" w:cs="Arial" w:eastAsia="Arial" w:hAnsi="Arial"/>
          <w:sz w:val="17"/>
          <w:szCs w:val="17"/>
          <w:color w:val="auto"/>
        </w:rPr>
        <w:t>Our approach is to systematically and reproducibly identify kinases that are drivers of genomically defined diseases and to craft drug candidates with therapeutic windows that provide significant and durable clinical responses to patients.</w:t>
      </w:r>
    </w:p>
    <w:p>
      <w:pPr>
        <w:spacing w:after="0" w:line="193" w:lineRule="exact"/>
        <w:rPr>
          <w:sz w:val="20"/>
          <w:szCs w:val="20"/>
          <w:color w:val="auto"/>
        </w:rPr>
      </w:pPr>
    </w:p>
    <w:p>
      <w:pPr>
        <w:ind w:left="240" w:firstLine="470"/>
        <w:spacing w:after="0" w:line="242" w:lineRule="auto"/>
        <w:rPr>
          <w:sz w:val="20"/>
          <w:szCs w:val="20"/>
          <w:color w:val="auto"/>
        </w:rPr>
      </w:pPr>
      <w:r>
        <w:rPr>
          <w:rFonts w:ascii="Arial" w:cs="Arial" w:eastAsia="Arial" w:hAnsi="Arial"/>
          <w:sz w:val="17"/>
          <w:szCs w:val="17"/>
          <w:color w:val="auto"/>
        </w:rPr>
        <w:t>To capitalize on the kinase opportunity, we built a platform that integrates a novel target discovery engine and a proprietary compound library. O novel target discovery engine, which was developed entirely in-house under the direction of our chief scientific officer,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in-house by Blueprint Medicines' scientists as kinase inhibitors and enriched for drug-like properties. We do not owe royalties or other fees to any parties associated with our novel target discovery engine and our proprietary compound library. Another aspect of our platform is predicting resistance mutations. While treatment of patients with genomically-defined cancers with a targeted therapy typically results in a significant anti-tumor response, frequently the response is not durable due to mutations that arise in response to therapy. Through our structural and cell biology expertise, we predict mutations in kinases that render the enzyme insensitive to inhibition by an approved drug or compound in development. We have used this process of predicting resistance to inform the design of several of our next generation drugs. Using this platform, we have produced a drug pipeline of several promising drug candidates that target genomically-defined patient subsets.</w:t>
      </w:r>
    </w:p>
    <w:p>
      <w:pPr>
        <w:spacing w:after="0" w:line="205" w:lineRule="exact"/>
        <w:rPr>
          <w:sz w:val="20"/>
          <w:szCs w:val="20"/>
          <w:color w:val="auto"/>
        </w:rPr>
      </w:pPr>
    </w:p>
    <w:p>
      <w:pPr>
        <w:jc w:val="both"/>
        <w:ind w:left="240" w:firstLine="464"/>
        <w:spacing w:after="0" w:line="245" w:lineRule="auto"/>
        <w:rPr>
          <w:sz w:val="20"/>
          <w:szCs w:val="20"/>
          <w:color w:val="auto"/>
        </w:rPr>
      </w:pPr>
      <w:r>
        <w:rPr>
          <w:rFonts w:ascii="Arial" w:cs="Arial" w:eastAsia="Arial" w:hAnsi="Arial"/>
          <w:sz w:val="17"/>
          <w:szCs w:val="17"/>
          <w:color w:val="auto"/>
        </w:rPr>
        <w:t xml:space="preserve">As we advance our drug candidates through clinical development, we will enrich our Phase 1 trials by selecting patients most likely to respond t our drug candidates to confirm mechanistic and clinical proof of concept. We are collaborating with corporate partners to create companion diagnostic and to develop assays to measure target engagement, which is confirmation that a drug binds to its intended protein target </w:t>
      </w:r>
      <w:r>
        <w:rPr>
          <w:rFonts w:ascii="Arial" w:cs="Arial" w:eastAsia="Arial" w:hAnsi="Arial"/>
          <w:sz w:val="17"/>
          <w:szCs w:val="17"/>
          <w:i w:val="1"/>
          <w:iCs w:val="1"/>
          <w:color w:val="auto"/>
        </w:rPr>
        <w:t>in vivo</w:t>
      </w:r>
      <w:r>
        <w:rPr>
          <w:rFonts w:ascii="Arial" w:cs="Arial" w:eastAsia="Arial" w:hAnsi="Arial"/>
          <w:sz w:val="17"/>
          <w:szCs w:val="17"/>
          <w:color w:val="auto"/>
        </w:rPr>
        <w:t>, and early response We expect these approaches to enable early determination of efficacy, allowing for clear decision points in clinical trials.</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Development Programs</w:t>
      </w:r>
    </w:p>
    <w:p>
      <w:pPr>
        <w:spacing w:after="0" w:line="231" w:lineRule="exact"/>
        <w:rPr>
          <w:sz w:val="20"/>
          <w:szCs w:val="20"/>
          <w:color w:val="auto"/>
        </w:rPr>
      </w:pPr>
    </w:p>
    <w:p>
      <w:pPr>
        <w:ind w:left="240" w:right="120" w:firstLine="474"/>
        <w:spacing w:after="0" w:line="246" w:lineRule="auto"/>
        <w:rPr>
          <w:sz w:val="20"/>
          <w:szCs w:val="20"/>
          <w:color w:val="auto"/>
        </w:rPr>
      </w:pPr>
      <w:r>
        <w:rPr>
          <w:rFonts w:ascii="Arial" w:cs="Arial" w:eastAsia="Arial" w:hAnsi="Arial"/>
          <w:sz w:val="17"/>
          <w:szCs w:val="17"/>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oncology-focused drug candidates, and have a rare genetic disease program that is the subject of our collaboration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840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4565" cy="584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with Alexion Pharma Holding, or Alexion. Our most advanced drug candidates are summarized in the table below.</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59"/>
        </w:trPr>
        <w:tc>
          <w:tcPr>
            <w:tcW w:w="2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tcPr>
          <w:p>
            <w:pPr>
              <w:ind w:left="1060"/>
              <w:spacing w:after="0" w:line="159" w:lineRule="exact"/>
              <w:rPr>
                <w:sz w:val="20"/>
                <w:szCs w:val="20"/>
                <w:color w:val="auto"/>
              </w:rPr>
            </w:pPr>
            <w:r>
              <w:rPr>
                <w:rFonts w:ascii="Arial" w:cs="Arial" w:eastAsia="Arial" w:hAnsi="Arial"/>
                <w:sz w:val="14"/>
                <w:szCs w:val="14"/>
                <w:b w:val="1"/>
                <w:bCs w:val="1"/>
                <w:color w:val="auto"/>
              </w:rPr>
              <w:t>Stage of</w:t>
            </w:r>
          </w:p>
        </w:tc>
        <w:tc>
          <w:tcPr>
            <w:tcW w:w="2240" w:type="dxa"/>
            <w:vAlign w:val="bottom"/>
            <w:tcBorders>
              <w:top w:val="single" w:sz="8" w:color="auto"/>
            </w:tcBorders>
          </w:tcPr>
          <w:p>
            <w:pPr>
              <w:spacing w:after="0"/>
              <w:rPr>
                <w:sz w:val="13"/>
                <w:szCs w:val="13"/>
                <w:color w:val="auto"/>
              </w:rPr>
            </w:pPr>
          </w:p>
        </w:tc>
      </w:tr>
      <w:tr>
        <w:trPr>
          <w:trHeight w:val="19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Drug Candidates</w:t>
            </w:r>
          </w:p>
        </w:tc>
        <w:tc>
          <w:tcPr>
            <w:tcW w:w="2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Genomic Drivers</w:t>
            </w:r>
          </w:p>
        </w:tc>
        <w:tc>
          <w:tcPr>
            <w:tcW w:w="24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Initial Diseases</w:t>
            </w:r>
          </w:p>
        </w:tc>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Development</w:t>
            </w:r>
          </w:p>
        </w:tc>
        <w:tc>
          <w:tcPr>
            <w:tcW w:w="22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Commercial Rights</w:t>
            </w:r>
          </w:p>
        </w:tc>
      </w:tr>
      <w:tr>
        <w:trPr>
          <w:trHeight w:val="160"/>
        </w:trPr>
        <w:tc>
          <w:tcPr>
            <w:tcW w:w="2360" w:type="dxa"/>
            <w:vAlign w:val="bottom"/>
          </w:tcPr>
          <w:p>
            <w:pPr>
              <w:ind w:left="20"/>
              <w:spacing w:after="0"/>
              <w:rPr>
                <w:sz w:val="20"/>
                <w:szCs w:val="20"/>
                <w:color w:val="auto"/>
              </w:rPr>
            </w:pPr>
            <w:r>
              <w:rPr>
                <w:rFonts w:ascii="Arial" w:cs="Arial" w:eastAsia="Arial" w:hAnsi="Arial"/>
                <w:sz w:val="14"/>
                <w:szCs w:val="14"/>
                <w:color w:val="auto"/>
              </w:rPr>
              <w:t>BLU-285 (KIT Exon 17</w:t>
            </w:r>
          </w:p>
        </w:tc>
        <w:tc>
          <w:tcPr>
            <w:tcW w:w="2000" w:type="dxa"/>
            <w:vAlign w:val="bottom"/>
          </w:tcPr>
          <w:p>
            <w:pPr>
              <w:ind w:left="20"/>
              <w:spacing w:after="0"/>
              <w:rPr>
                <w:sz w:val="20"/>
                <w:szCs w:val="20"/>
                <w:color w:val="auto"/>
              </w:rPr>
            </w:pPr>
            <w:r>
              <w:rPr>
                <w:rFonts w:ascii="Arial" w:cs="Arial" w:eastAsia="Arial" w:hAnsi="Arial"/>
                <w:sz w:val="14"/>
                <w:szCs w:val="14"/>
                <w:color w:val="auto"/>
              </w:rPr>
              <w:t>KIT D816V</w:t>
            </w:r>
          </w:p>
        </w:tc>
        <w:tc>
          <w:tcPr>
            <w:tcW w:w="2400" w:type="dxa"/>
            <w:vAlign w:val="bottom"/>
          </w:tcPr>
          <w:p>
            <w:pPr>
              <w:ind w:left="380"/>
              <w:spacing w:after="0"/>
              <w:rPr>
                <w:sz w:val="20"/>
                <w:szCs w:val="20"/>
                <w:color w:val="auto"/>
              </w:rPr>
            </w:pPr>
            <w:r>
              <w:rPr>
                <w:rFonts w:ascii="Arial" w:cs="Arial" w:eastAsia="Arial" w:hAnsi="Arial"/>
                <w:sz w:val="14"/>
                <w:szCs w:val="14"/>
                <w:color w:val="auto"/>
              </w:rPr>
              <w:t>SM</w:t>
            </w:r>
          </w:p>
        </w:tc>
        <w:tc>
          <w:tcPr>
            <w:tcW w:w="2300" w:type="dxa"/>
            <w:vAlign w:val="bottom"/>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Pr>
          <w:p>
            <w:pPr>
              <w:spacing w:after="0"/>
              <w:rPr>
                <w:sz w:val="13"/>
                <w:szCs w:val="13"/>
                <w:color w:val="auto"/>
              </w:rPr>
            </w:pPr>
          </w:p>
        </w:tc>
      </w:tr>
      <w:tr>
        <w:trPr>
          <w:trHeight w:val="172"/>
        </w:trPr>
        <w:tc>
          <w:tcPr>
            <w:tcW w:w="2360" w:type="dxa"/>
            <w:vAlign w:val="bottom"/>
          </w:tcPr>
          <w:p>
            <w:pPr>
              <w:ind w:left="20"/>
              <w:spacing w:after="0"/>
              <w:rPr>
                <w:sz w:val="20"/>
                <w:szCs w:val="20"/>
                <w:color w:val="auto"/>
              </w:rPr>
            </w:pPr>
            <w:r>
              <w:rPr>
                <w:rFonts w:ascii="Arial" w:cs="Arial" w:eastAsia="Arial" w:hAnsi="Arial"/>
                <w:sz w:val="14"/>
                <w:szCs w:val="14"/>
                <w:color w:val="auto"/>
              </w:rPr>
              <w:t>inhibitor)</w:t>
            </w:r>
          </w:p>
        </w:tc>
        <w:tc>
          <w:tcPr>
            <w:tcW w:w="20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190"/>
        </w:trPr>
        <w:tc>
          <w:tcPr>
            <w:tcW w:w="2360" w:type="dxa"/>
            <w:vAlign w:val="bottom"/>
          </w:tcPr>
          <w:p>
            <w:pPr>
              <w:spacing w:after="0"/>
              <w:rPr>
                <w:sz w:val="16"/>
                <w:szCs w:val="16"/>
                <w:color w:val="auto"/>
              </w:rPr>
            </w:pP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PDGFRa D842V</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Pr>
          <w:p>
            <w:pPr>
              <w:ind w:left="440"/>
              <w:spacing w:after="0"/>
              <w:rPr>
                <w:sz w:val="20"/>
                <w:szCs w:val="20"/>
                <w:color w:val="auto"/>
              </w:rPr>
            </w:pPr>
            <w:r>
              <w:rPr>
                <w:rFonts w:ascii="Arial" w:cs="Arial" w:eastAsia="Arial" w:hAnsi="Arial"/>
                <w:sz w:val="14"/>
                <w:szCs w:val="14"/>
                <w:color w:val="auto"/>
              </w:rPr>
              <w:t>Blueprint Medicines</w:t>
            </w:r>
          </w:p>
        </w:tc>
      </w:tr>
      <w:tr>
        <w:trPr>
          <w:trHeight w:val="178"/>
        </w:trPr>
        <w:tc>
          <w:tcPr>
            <w:tcW w:w="2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KIT Exon 17 mutants</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BLU-554 (FGFR4 inhibitor)</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Aberrant FGFR4 signaling</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HCC</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IND-enabling activities</w:t>
            </w:r>
          </w:p>
        </w:tc>
        <w:tc>
          <w:tcPr>
            <w:tcW w:w="22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Blueprint Medicines</w:t>
            </w:r>
          </w:p>
        </w:tc>
      </w:tr>
      <w:tr>
        <w:trPr>
          <w:trHeight w:val="160"/>
        </w:trPr>
        <w:tc>
          <w:tcPr>
            <w:tcW w:w="2360" w:type="dxa"/>
            <w:vAlign w:val="bottom"/>
          </w:tcPr>
          <w:p>
            <w:pPr>
              <w:ind w:left="20"/>
              <w:spacing w:after="0"/>
              <w:rPr>
                <w:sz w:val="20"/>
                <w:szCs w:val="20"/>
                <w:color w:val="auto"/>
              </w:rPr>
            </w:pPr>
            <w:r>
              <w:rPr>
                <w:rFonts w:ascii="Arial" w:cs="Arial" w:eastAsia="Arial" w:hAnsi="Arial"/>
                <w:sz w:val="14"/>
                <w:szCs w:val="14"/>
                <w:color w:val="auto"/>
              </w:rPr>
              <w:t>RET fusions and predicted</w:t>
            </w:r>
          </w:p>
        </w:tc>
        <w:tc>
          <w:tcPr>
            <w:tcW w:w="2000" w:type="dxa"/>
            <w:vAlign w:val="bottom"/>
          </w:tcPr>
          <w:p>
            <w:pPr>
              <w:ind w:left="20"/>
              <w:spacing w:after="0"/>
              <w:rPr>
                <w:sz w:val="20"/>
                <w:szCs w:val="20"/>
                <w:color w:val="auto"/>
              </w:rPr>
            </w:pPr>
            <w:r>
              <w:rPr>
                <w:rFonts w:ascii="Arial" w:cs="Arial" w:eastAsia="Arial" w:hAnsi="Arial"/>
                <w:sz w:val="14"/>
                <w:szCs w:val="14"/>
                <w:color w:val="auto"/>
              </w:rPr>
              <w:t>RET fusions*</w:t>
            </w:r>
          </w:p>
        </w:tc>
        <w:tc>
          <w:tcPr>
            <w:tcW w:w="2400" w:type="dxa"/>
            <w:vAlign w:val="bottom"/>
          </w:tcPr>
          <w:p>
            <w:pPr>
              <w:ind w:left="380"/>
              <w:spacing w:after="0"/>
              <w:rPr>
                <w:sz w:val="20"/>
                <w:szCs w:val="20"/>
                <w:color w:val="auto"/>
              </w:rPr>
            </w:pPr>
            <w:r>
              <w:rPr>
                <w:rFonts w:ascii="Arial" w:cs="Arial" w:eastAsia="Arial" w:hAnsi="Arial"/>
                <w:sz w:val="14"/>
                <w:szCs w:val="14"/>
                <w:color w:val="auto"/>
              </w:rPr>
              <w:t>Non-small cell lung cancer</w:t>
            </w:r>
          </w:p>
        </w:tc>
        <w:tc>
          <w:tcPr>
            <w:tcW w:w="2300" w:type="dxa"/>
            <w:vAlign w:val="bottom"/>
          </w:tcPr>
          <w:p>
            <w:pPr>
              <w:ind w:left="360"/>
              <w:spacing w:after="0"/>
              <w:rPr>
                <w:sz w:val="20"/>
                <w:szCs w:val="20"/>
                <w:color w:val="auto"/>
              </w:rPr>
            </w:pPr>
            <w:r>
              <w:rPr>
                <w:rFonts w:ascii="Arial" w:cs="Arial" w:eastAsia="Arial" w:hAnsi="Arial"/>
                <w:sz w:val="14"/>
                <w:szCs w:val="14"/>
                <w:color w:val="auto"/>
              </w:rPr>
              <w:t>Lead optimization</w:t>
            </w:r>
          </w:p>
        </w:tc>
        <w:tc>
          <w:tcPr>
            <w:tcW w:w="2240" w:type="dxa"/>
            <w:vAlign w:val="bottom"/>
          </w:tcPr>
          <w:p>
            <w:pPr>
              <w:ind w:left="440"/>
              <w:spacing w:after="0"/>
              <w:rPr>
                <w:sz w:val="20"/>
                <w:szCs w:val="20"/>
                <w:color w:val="auto"/>
              </w:rPr>
            </w:pPr>
            <w:r>
              <w:rPr>
                <w:rFonts w:ascii="Arial" w:cs="Arial" w:eastAsia="Arial" w:hAnsi="Arial"/>
                <w:sz w:val="14"/>
                <w:szCs w:val="14"/>
                <w:color w:val="auto"/>
              </w:rPr>
              <w:t>Blueprint Medicines</w:t>
            </w:r>
          </w:p>
        </w:tc>
      </w:tr>
      <w:tr>
        <w:trPr>
          <w:trHeight w:val="174"/>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RET resistant mutants</w:t>
            </w:r>
          </w:p>
        </w:tc>
        <w:tc>
          <w:tcPr>
            <w:tcW w:w="2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Other solid tumors</w:t>
            </w:r>
          </w:p>
        </w:tc>
        <w:tc>
          <w:tcPr>
            <w:tcW w:w="2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Rare genetic disease target</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Undisclosed</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Rare genetic disease</w:t>
            </w:r>
          </w:p>
        </w:tc>
        <w:tc>
          <w:tcPr>
            <w:tcW w:w="23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Undisclosed</w:t>
            </w:r>
          </w:p>
        </w:tc>
        <w:tc>
          <w:tcPr>
            <w:tcW w:w="22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Alexion</w:t>
            </w:r>
          </w:p>
        </w:tc>
      </w:tr>
    </w:tbl>
    <w:p>
      <w:pPr>
        <w:spacing w:after="0" w:line="214" w:lineRule="exact"/>
        <w:rPr>
          <w:sz w:val="20"/>
          <w:szCs w:val="20"/>
          <w:color w:val="auto"/>
        </w:rPr>
      </w:pPr>
    </w:p>
    <w:p>
      <w:pPr>
        <w:ind w:left="760" w:right="20" w:hanging="528"/>
        <w:spacing w:after="0" w:line="245"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fusion protein is encoded by a fusion gene, which is a gene in which a portion of one gene is joined to part of another gene. In the case of RET, a portion of the RET gene th encodes the kinase domain is joined to part of another gene. RET fusion proteins are always active and are thought to be drivers in several cancers.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KIT Inhibitor Program</w:t>
      </w:r>
    </w:p>
    <w:p>
      <w:pPr>
        <w:spacing w:after="0" w:line="231" w:lineRule="exact"/>
        <w:rPr>
          <w:sz w:val="20"/>
          <w:szCs w:val="20"/>
          <w:color w:val="auto"/>
        </w:rPr>
      </w:pPr>
    </w:p>
    <w:p>
      <w:pPr>
        <w:ind w:left="240" w:firstLine="474"/>
        <w:spacing w:after="0" w:line="253"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 of the tyrosine kinase domain. BLU-285 also potently and selectively inhibits PDGFRa D842V. Due to the high degree of structural similarity of the kinase domains of KIT and PDGFRa, BLU-285 is able to inhibit both KIT Exon 17 mutants and the PDGFRa D842V mutant with minimal inhibition of other kinases. BLU-285 is a highly targeted therapeutic candidate for genomically-selected patients with diseases driven by these mutations, including systemic mastocytosis, or SM, and genomically-defined patient subsets within gastrointestinal stromal tumor, or GIST, which are KIT and PDGFRa mediated diseases.</w:t>
      </w:r>
    </w:p>
    <w:p>
      <w:pPr>
        <w:spacing w:after="0" w:line="193" w:lineRule="exact"/>
        <w:rPr>
          <w:sz w:val="20"/>
          <w:szCs w:val="20"/>
          <w:color w:val="auto"/>
        </w:rPr>
      </w:pPr>
    </w:p>
    <w:p>
      <w:pPr>
        <w:ind w:left="240" w:right="220" w:firstLine="474"/>
        <w:spacing w:after="0" w:line="255" w:lineRule="auto"/>
        <w:rPr>
          <w:sz w:val="20"/>
          <w:szCs w:val="20"/>
          <w:color w:val="auto"/>
        </w:rPr>
      </w:pPr>
      <w:r>
        <w:rPr>
          <w:rFonts w:ascii="Arial" w:cs="Arial" w:eastAsia="Arial" w:hAnsi="Arial"/>
          <w:sz w:val="17"/>
          <w:szCs w:val="17"/>
          <w:color w:val="auto"/>
        </w:rPr>
        <w:t>Imatinib, which is an inhibitor of KIT, is approved in SM and GIST and validates this kinase as a therapeutic target in these diseases. Imatinib also inhibits PDGFRa, which is a driver of disease in a subset of GIST. However, a meaningful percentage of patients harbor mutations in KIT and PDGFRa that are not targeted by imatinib and fail to respond to treatment with the drug. We plan to initially develop BLU-285 for targeted patient populations that harbor these mutations and currently lack adequate treatments.</w:t>
      </w:r>
    </w:p>
    <w:p>
      <w:pPr>
        <w:spacing w:after="0" w:line="192" w:lineRule="exact"/>
        <w:rPr>
          <w:sz w:val="20"/>
          <w:szCs w:val="20"/>
          <w:color w:val="auto"/>
        </w:rPr>
      </w:pPr>
    </w:p>
    <w:p>
      <w:pPr>
        <w:ind w:left="240" w:firstLine="474"/>
        <w:spacing w:after="0" w:line="244" w:lineRule="auto"/>
        <w:rPr>
          <w:sz w:val="20"/>
          <w:szCs w:val="20"/>
          <w:color w:val="auto"/>
        </w:rPr>
      </w:pPr>
      <w:r>
        <w:rPr>
          <w:rFonts w:ascii="Arial" w:cs="Arial" w:eastAsia="Arial" w:hAnsi="Arial"/>
          <w:sz w:val="17"/>
          <w:szCs w:val="17"/>
          <w:color w:val="auto"/>
        </w:rPr>
        <w:t>For SM, we demonstrated significant anti-tumor efficacy of BLU-285 in a mouse xenograft model with a mastocytoma, or mast cell tumor driven by a KIT Exon 17 mutation. For GIST, we also demonstrated significant anti-tumor efficacy with BLU-285 in an imatinib resistant patient-derived xenograft model with a KIT Exon 17 resistance mutation, which is a model believed to be highly predictive of clinical response. We have completed 28 day Good Laboratory Practice, or GLP, toxicology studies and have identified what we believe to be the dose limiting toxicity and anticipated first-in-human dose for BLU-285.</w:t>
      </w:r>
    </w:p>
    <w:p>
      <w:pPr>
        <w:spacing w:after="0" w:line="199" w:lineRule="exact"/>
        <w:rPr>
          <w:sz w:val="20"/>
          <w:szCs w:val="20"/>
          <w:color w:val="auto"/>
        </w:rPr>
      </w:pPr>
    </w:p>
    <w:p>
      <w:pPr>
        <w:ind w:left="240" w:right="20" w:firstLine="474"/>
        <w:spacing w:after="0" w:line="246" w:lineRule="auto"/>
        <w:rPr>
          <w:sz w:val="20"/>
          <w:szCs w:val="20"/>
          <w:color w:val="auto"/>
        </w:rPr>
      </w:pPr>
      <w:r>
        <w:rPr>
          <w:rFonts w:ascii="Arial" w:cs="Arial" w:eastAsia="Arial" w:hAnsi="Arial"/>
          <w:sz w:val="17"/>
          <w:szCs w:val="17"/>
          <w:color w:val="auto"/>
        </w:rPr>
        <w:t>We plan to file two INDs for BLU-285, one in SM and one in GIST, in mid-2015. We plan to initiate our Phase 1 clinical trials in mid-2015. Our Phase 1 clinical trials in these indications will test the safety and tolerability of BLU-285 in multiple ascending doses with the goal of establishing a maximum tolerated dose, or MTD, or a recommended dose if the MTD is not achieved. All patients in the SM trial will be tested retrospectively for KIT D816V mutational status. Patients in the GIST trial will be tested retrospectively for both KIT Exon 17 mutations and PDGFRa D842V. Once the MTD i reached, or a recommended dose is established, we will open expansion cohorts with genomically-selected patients. We expect data to be available approximately 12 months after the start of these Phase 1 clinical trials.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640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FGFR4 Inhibitor Program</w:t>
      </w:r>
    </w:p>
    <w:p>
      <w:pPr>
        <w:spacing w:after="0" w:line="231" w:lineRule="exact"/>
        <w:rPr>
          <w:sz w:val="20"/>
          <w:szCs w:val="20"/>
          <w:color w:val="auto"/>
        </w:rPr>
      </w:pPr>
    </w:p>
    <w:p>
      <w:pPr>
        <w:ind w:left="240" w:firstLine="474"/>
        <w:spacing w:after="0" w:line="244" w:lineRule="auto"/>
        <w:rPr>
          <w:sz w:val="20"/>
          <w:szCs w:val="20"/>
          <w:color w:val="auto"/>
        </w:rPr>
      </w:pPr>
      <w:r>
        <w:rPr>
          <w:rFonts w:ascii="Arial" w:cs="Arial" w:eastAsia="Arial" w:hAnsi="Arial"/>
          <w:sz w:val="17"/>
          <w:szCs w:val="17"/>
          <w:color w:val="auto"/>
        </w:rPr>
        <w:t>BLU-554 is an orally available, potent, selective and irreversible inhibitor of the kinase FGFR4. FGFR4 has historically been a challenging target to drug selectively given the closely related paralogs, proteins encoded by closely related genes, namely FGFR1-3. Aberrantly active FGFR4 signaling is a driver of disease in a subset of patients with hepatocellular carcinoma, or HCC, a disease with high unmet need and no approved genomically-targeted therapies. We plan to initially develop BLU-554 for a genomically-defined patient population within HCC with aberrantly active FGFR4 signaling.</w:t>
      </w:r>
    </w:p>
    <w:p>
      <w:pPr>
        <w:spacing w:after="0" w:line="199" w:lineRule="exact"/>
        <w:rPr>
          <w:sz w:val="20"/>
          <w:szCs w:val="20"/>
          <w:color w:val="auto"/>
        </w:rPr>
      </w:pPr>
    </w:p>
    <w:p>
      <w:pPr>
        <w:ind w:left="240" w:right="40" w:firstLine="474"/>
        <w:spacing w:after="0" w:line="243" w:lineRule="auto"/>
        <w:rPr>
          <w:sz w:val="20"/>
          <w:szCs w:val="20"/>
          <w:color w:val="auto"/>
        </w:rPr>
      </w:pPr>
      <w:r>
        <w:rPr>
          <w:rFonts w:ascii="Arial" w:cs="Arial" w:eastAsia="Arial" w:hAnsi="Arial"/>
          <w:sz w:val="17"/>
          <w:szCs w:val="17"/>
          <w:color w:val="auto"/>
        </w:rPr>
        <w:t>BLU-554 has shown proof of concept in several different pre-clinical models of HCC with aberrantly active FGFR4 signaling. The administration of BLU-554 in an HCC cell-line xenograft model resulted in robust dose-dependent tumor growth inhibition. At the highest dose, BLU-554 was well-tolerated and induced complete remission in a subset of mice for at least 30 days after cessation of treatment. Further, in a patient-derived HCC xenograft model, which we believe to be highly predictive of clinical response, treatment with BLU-554 led to dose-dependent tumor growth inhibition. We have completed 28-day GLP toxicology studies and have identified what we believe to be the dose limiting toxicity and anticipated first-in-human dose for BLU-554.</w:t>
      </w:r>
    </w:p>
    <w:p>
      <w:pPr>
        <w:spacing w:after="0" w:line="202"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IND-enabling studies are completed, and we anticipate filing our IND in mid-2015 and initiating our Phase 1 clinical trial in mid-2015. Our Phase clinical trial in patients with HCC will test the safety and tolerability of BLU-554 in multiple ascending doses with the goal of establishing an MTD or a recommended dose if the MTD is not achieved. Once the MTD is reached, or a recommended dose is established, we will open expansion cohorts wit genomically-selected patients. We expect data to be available approximately 12 months after the start of our Phase 1 clinical trial.</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RET Fusion Program</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Our third program targets RET fusions and predicted RET resistant mutants. By using our proprietary compound library, we have crafted drug candidates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 suggests that RET is a driver of disease in a broad set of cancers including non-small cell lung cancer, and cancers of the thyroid, colon and breast.</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Team</w:t>
      </w:r>
    </w:p>
    <w:p>
      <w:pPr>
        <w:spacing w:after="0" w:line="231" w:lineRule="exact"/>
        <w:rPr>
          <w:sz w:val="20"/>
          <w:szCs w:val="20"/>
          <w:color w:val="auto"/>
        </w:rPr>
      </w:pPr>
    </w:p>
    <w:p>
      <w:pPr>
        <w:ind w:left="240" w:firstLine="470"/>
        <w:spacing w:after="0" w:line="243" w:lineRule="auto"/>
        <w:rPr>
          <w:sz w:val="20"/>
          <w:szCs w:val="20"/>
          <w:color w:val="auto"/>
        </w:rPr>
      </w:pPr>
      <w:r>
        <w:rPr>
          <w:rFonts w:ascii="Arial" w:cs="Arial" w:eastAsia="Arial" w:hAnsi="Arial"/>
          <w:sz w:val="17"/>
          <w:szCs w:val="17"/>
          <w:color w:val="auto"/>
        </w:rPr>
        <w:t>To execute on this opportunity, we assembled an experienced management team, board of directors and scientific founders who bring extensive industry experience to our company. Our management team has broad capabilities and successful track records in oncology and rare genetic disease through previous experience at Algeta ASA, Genzyme 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 the lives of patients while building a fully-integrated biopharmaceutical company.</w:t>
      </w:r>
    </w:p>
    <w:p>
      <w:pPr>
        <w:spacing w:after="0" w:line="201" w:lineRule="exact"/>
        <w:rPr>
          <w:sz w:val="20"/>
          <w:szCs w:val="20"/>
          <w:color w:val="auto"/>
        </w:rPr>
      </w:pPr>
    </w:p>
    <w:p>
      <w:pPr>
        <w:ind w:left="240" w:right="60" w:firstLine="474"/>
        <w:spacing w:after="0" w:line="252" w:lineRule="auto"/>
        <w:rPr>
          <w:sz w:val="20"/>
          <w:szCs w:val="20"/>
          <w:color w:val="auto"/>
        </w:rPr>
      </w:pPr>
      <w:r>
        <w:rPr>
          <w:rFonts w:ascii="Arial" w:cs="Arial" w:eastAsia="Arial" w:hAnsi="Arial"/>
          <w:sz w:val="17"/>
          <w:szCs w:val="17"/>
          <w:color w:val="auto"/>
        </w:rPr>
        <w:t>Our initial investors included funds managed by Fidelity Biosciences and Third Rock Ventures. Additional blue chip investors participated in our Series B and C financings, including funds managed by (listed alphabetically) Biotechnology Value Fund, Casdin Capital, Cowen Investments,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7446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744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640"/>
        <w:spacing w:after="0" w:line="252" w:lineRule="auto"/>
        <w:rPr>
          <w:sz w:val="20"/>
          <w:szCs w:val="20"/>
          <w:color w:val="auto"/>
        </w:rPr>
      </w:pPr>
      <w:r>
        <w:rPr>
          <w:rFonts w:ascii="Arial" w:cs="Arial" w:eastAsia="Arial" w:hAnsi="Arial"/>
          <w:sz w:val="17"/>
          <w:szCs w:val="17"/>
          <w:color w:val="auto"/>
        </w:rPr>
        <w:t>Nextech Invest, Partner Fund Management, Perceptive Advisors, RA Capital Management, Redmile Group, Sabby Capital, and Tavistock Life Sciences.</w:t>
      </w:r>
    </w:p>
    <w:p>
      <w:pPr>
        <w:spacing w:after="0" w:line="369"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Mission</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to craft highly selective therapies. This empowers Blueprint Medicines to rapidly develop patient-defined drug candidates aimed at eradicating cancer and other genomically defined diseases.</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Principles</w:t>
      </w:r>
    </w:p>
    <w:p>
      <w:pPr>
        <w:spacing w:after="0" w:line="231" w:lineRule="exact"/>
        <w:rPr>
          <w:sz w:val="20"/>
          <w:szCs w:val="20"/>
          <w:color w:val="auto"/>
        </w:rPr>
      </w:pPr>
    </w:p>
    <w:p>
      <w:pPr>
        <w:ind w:left="240" w:right="820" w:firstLine="474"/>
        <w:spacing w:after="0" w:line="252" w:lineRule="auto"/>
        <w:rPr>
          <w:sz w:val="20"/>
          <w:szCs w:val="20"/>
          <w:color w:val="auto"/>
        </w:rPr>
      </w:pPr>
      <w:r>
        <w:rPr>
          <w:rFonts w:ascii="Arial" w:cs="Arial" w:eastAsia="Arial" w:hAnsi="Arial"/>
          <w:sz w:val="17"/>
          <w:szCs w:val="17"/>
          <w:color w:val="auto"/>
        </w:rPr>
        <w:t>We maintain a culture of high integrity that embraces the following guiding principles to provide long-term benefits to patients and our stakeholders:</w:t>
      </w:r>
    </w:p>
    <w:p>
      <w:pPr>
        <w:spacing w:after="0" w:line="186"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Patients First — </w:t>
      </w:r>
      <w:r>
        <w:rPr>
          <w:rFonts w:ascii="Arial" w:cs="Arial" w:eastAsia="Arial" w:hAnsi="Arial"/>
          <w:sz w:val="17"/>
          <w:szCs w:val="17"/>
          <w:color w:val="auto"/>
        </w:rPr>
        <w:t>Maintaining intense focus on improving patients' lives.</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Thoughtfulness — </w:t>
      </w:r>
      <w:r>
        <w:rPr>
          <w:rFonts w:ascii="Arial" w:cs="Arial" w:eastAsia="Arial" w:hAnsi="Arial"/>
          <w:sz w:val="17"/>
          <w:szCs w:val="17"/>
          <w:color w:val="auto"/>
        </w:rPr>
        <w:t>Exploring creative approaches by daring to make well-thought-out decisions and owning the outcomes.</w:t>
      </w:r>
    </w:p>
    <w:p>
      <w:pPr>
        <w:spacing w:after="0" w:line="197" w:lineRule="exact"/>
        <w:rPr>
          <w:rFonts w:ascii="Arial" w:cs="Arial" w:eastAsia="Arial" w:hAnsi="Arial"/>
          <w:sz w:val="17"/>
          <w:szCs w:val="17"/>
          <w:color w:val="auto"/>
        </w:rPr>
      </w:pPr>
    </w:p>
    <w:p>
      <w:pPr>
        <w:ind w:left="1280" w:right="740" w:hanging="524"/>
        <w:spacing w:after="0" w:line="276"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Trust — </w:t>
      </w:r>
      <w:r>
        <w:rPr>
          <w:rFonts w:ascii="Arial" w:cs="Arial" w:eastAsia="Arial" w:hAnsi="Arial"/>
          <w:sz w:val="17"/>
          <w:szCs w:val="17"/>
          <w:color w:val="auto"/>
        </w:rPr>
        <w:t>Through collaboration and cooperation, building and maintaining a cohesive team that has mutual respect of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viewpoints, opinions and talents.</w:t>
      </w:r>
    </w:p>
    <w:p>
      <w:pPr>
        <w:spacing w:after="0" w:line="153"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Optimism — </w:t>
      </w:r>
      <w:r>
        <w:rPr>
          <w:rFonts w:ascii="Arial" w:cs="Arial" w:eastAsia="Arial" w:hAnsi="Arial"/>
          <w:sz w:val="17"/>
          <w:szCs w:val="17"/>
          <w:color w:val="auto"/>
        </w:rPr>
        <w:t>Pursuing transformative therapies that we believe will make a difference.</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Urgency — </w:t>
      </w:r>
      <w:r>
        <w:rPr>
          <w:rFonts w:ascii="Arial" w:cs="Arial" w:eastAsia="Arial" w:hAnsi="Arial"/>
          <w:sz w:val="17"/>
          <w:szCs w:val="17"/>
          <w:color w:val="auto"/>
        </w:rPr>
        <w:t>Solving complex problems rapidly, with attention and care.</w:t>
      </w: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strategy was created to enable us to achieve our mission. The key tenets of our strategy include the following:</w:t>
      </w:r>
    </w:p>
    <w:p>
      <w:pPr>
        <w:spacing w:after="0" w:line="191" w:lineRule="exact"/>
        <w:rPr>
          <w:sz w:val="20"/>
          <w:szCs w:val="20"/>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Rapidly advance our lead drug candidates, BLU-285 and BLU-554, through clinical development.</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Build a pipeline of kinase drugs for genomically-defined drivers of disease.</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Continuously invest in our proprietary platform to ensure future growth.</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Maintain the Blueprint Medicines' culture as we grow our business.</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Evaluate strategic collaborations to maximize value.</w:t>
      </w: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right="240" w:firstLine="474"/>
        <w:spacing w:after="0" w:line="252"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93" w:lineRule="exact"/>
        <w:rPr>
          <w:sz w:val="20"/>
          <w:szCs w:val="20"/>
          <w:color w:val="auto"/>
        </w:rPr>
      </w:pPr>
    </w:p>
    <w:p>
      <w:pPr>
        <w:ind w:left="1280" w:right="22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79" w:lineRule="exact"/>
        <w:rPr>
          <w:rFonts w:ascii="Arial" w:cs="Arial" w:eastAsia="Arial" w:hAnsi="Arial"/>
          <w:sz w:val="17"/>
          <w:szCs w:val="17"/>
          <w:color w:val="auto"/>
        </w:rPr>
      </w:pPr>
    </w:p>
    <w:p>
      <w:pPr>
        <w:ind w:left="1280" w:right="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989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98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22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very early in our development efforts. All of our lead drug candidates are still in pre-clinical development. If we are unable to advance our drug candidates to clinical development, obtain regulatory approval and ultimately commercialize our drug candidates or experience significant delays in doing so, our business will be materially harmed.</w:t>
      </w:r>
    </w:p>
    <w:p>
      <w:pPr>
        <w:spacing w:after="0" w:line="185"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approach to the discovery and development of drug candidates that inhibit kinases is unproven, and we do not know whether we wil be able to develop any drugs of commercial value.</w:t>
      </w:r>
    </w:p>
    <w:p>
      <w:pPr>
        <w:spacing w:after="0" w:line="179"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experience delays or difficulties in the enrollment of patients in clinical trials, our receipt of necessary regulatory approvals could be delayed or prevented.</w:t>
      </w:r>
    </w:p>
    <w:p>
      <w:pPr>
        <w:spacing w:after="0" w:line="192" w:lineRule="exact"/>
        <w:rPr>
          <w:rFonts w:ascii="Arial" w:cs="Arial" w:eastAsia="Arial" w:hAnsi="Arial"/>
          <w:sz w:val="17"/>
          <w:szCs w:val="17"/>
          <w:color w:val="auto"/>
        </w:rPr>
      </w:pPr>
    </w:p>
    <w:p>
      <w:pPr>
        <w:ind w:left="1280" w:right="4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Genomically defined diseases may have relatively low prevalence and it may be difficult to identify patients with the genomic driver of th disease, which may lead to delays in enrollment for our trials.</w:t>
      </w:r>
    </w:p>
    <w:p>
      <w:pPr>
        <w:spacing w:after="0" w:line="179" w:lineRule="exact"/>
        <w:rPr>
          <w:rFonts w:ascii="Arial" w:cs="Arial" w:eastAsia="Arial" w:hAnsi="Arial"/>
          <w:sz w:val="17"/>
          <w:szCs w:val="17"/>
          <w:color w:val="auto"/>
        </w:rPr>
      </w:pPr>
    </w:p>
    <w:p>
      <w:pPr>
        <w:ind w:left="128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85" w:lineRule="exact"/>
        <w:rPr>
          <w:rFonts w:ascii="Arial" w:cs="Arial" w:eastAsia="Arial" w:hAnsi="Arial"/>
          <w:sz w:val="17"/>
          <w:szCs w:val="17"/>
          <w:color w:val="auto"/>
        </w:rPr>
      </w:pPr>
    </w:p>
    <w:p>
      <w:pPr>
        <w:ind w:left="1280" w:right="4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drug candidates may cause undesirable side effects that could delay or prevent their regulatory approval, limit the commercial profil of an approved label, or result in significant negative consequences following marketing approval, if any.</w:t>
      </w:r>
    </w:p>
    <w:p>
      <w:pPr>
        <w:spacing w:after="0" w:line="192" w:lineRule="exact"/>
        <w:rPr>
          <w:rFonts w:ascii="Arial" w:cs="Arial" w:eastAsia="Arial" w:hAnsi="Arial"/>
          <w:sz w:val="17"/>
          <w:szCs w:val="17"/>
          <w:color w:val="auto"/>
        </w:rPr>
      </w:pPr>
    </w:p>
    <w:p>
      <w:pPr>
        <w:jc w:val="both"/>
        <w:ind w:left="1280" w:right="42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5"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seek to establish additional collaborations, and, if we are not able to establish them on commercially reasonable terms, we may have to alter our development and commercialization plans.</w:t>
      </w:r>
    </w:p>
    <w:p>
      <w:pPr>
        <w:spacing w:after="0" w:line="179" w:lineRule="exact"/>
        <w:rPr>
          <w:rFonts w:ascii="Arial" w:cs="Arial" w:eastAsia="Arial" w:hAnsi="Arial"/>
          <w:sz w:val="17"/>
          <w:szCs w:val="17"/>
          <w:color w:val="auto"/>
        </w:rPr>
      </w:pPr>
    </w:p>
    <w:p>
      <w:pPr>
        <w:ind w:left="1280" w:right="6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98" w:lineRule="exact"/>
        <w:rPr>
          <w:rFonts w:ascii="Arial" w:cs="Arial" w:eastAsia="Arial" w:hAnsi="Arial"/>
          <w:sz w:val="17"/>
          <w:szCs w:val="17"/>
          <w:color w:val="auto"/>
        </w:rPr>
      </w:pPr>
    </w:p>
    <w:p>
      <w:pPr>
        <w:jc w:val="both"/>
        <w:ind w:left="1280" w:right="6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adequately protect our proprietary technology or obtain and maintain patent protection for our technology and drugs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1" w:lineRule="exact"/>
        <w:rPr>
          <w:sz w:val="20"/>
          <w:szCs w:val="20"/>
          <w:color w:val="auto"/>
        </w:rPr>
      </w:pPr>
    </w:p>
    <w:p>
      <w:pPr>
        <w:ind w:left="240" w:firstLine="474"/>
        <w:spacing w:after="0" w:line="244"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for as long as we continue to be an "emerging growth company," we are permitted to, and intend to, rely on exemptions from certain disclosure requirements. In particular, we have provided only two years of audited financial statements and we have not included all of the executive compensation related information that would be required in this prospectus if we were not an emerging growth company. In addition, the JOBS Act provides that an "emergin growth company" can take advantage of an extended transition period for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475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347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complying with new or revised accounting standards, delaying the adoption of these accounting standards until they would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could be an "emerging growth company" for up to five years from completion of our initial public offering, or until the earliest of (i) the last day of the first fiscal year in which our annual gross revenues exceed $1 billion, (ii) the date that we become a "large accelerated filer" as defined i Rule 12b-2 under the Securities Exchange Act of 1934, as amended, or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38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Corporate History and Information</w:t>
      </w:r>
    </w:p>
    <w:p>
      <w:pPr>
        <w:spacing w:after="0" w:line="231" w:lineRule="exact"/>
        <w:rPr>
          <w:sz w:val="20"/>
          <w:szCs w:val="20"/>
          <w:color w:val="auto"/>
        </w:rPr>
      </w:pPr>
    </w:p>
    <w:p>
      <w:pPr>
        <w:ind w:left="240" w:right="100" w:firstLine="474"/>
        <w:spacing w:after="0" w:line="245" w:lineRule="auto"/>
        <w:rPr>
          <w:sz w:val="20"/>
          <w:szCs w:val="20"/>
          <w:color w:val="auto"/>
        </w:rPr>
      </w:pPr>
      <w:r>
        <w:rPr>
          <w:rFonts w:ascii="Arial" w:cs="Arial" w:eastAsia="Arial" w:hAnsi="Arial"/>
          <w:sz w:val="17"/>
          <w:szCs w:val="17"/>
          <w:color w:val="auto"/>
        </w:rPr>
        <w:t>We were incorporated in Delaware in October 2008 under the name ImmunoCo, Inc. In May 2010, we changed our name to Hoyle Pharmaceuticals, Inc., and in June 2011, we changed our name again to Blueprint Medicines Corporation. Our principal executive offices are located 215 First Street, Cambridge, Massachusetts 02142, and our telephone number is (617) 374-7580. Our website address is http://www.blueprintmedicines.com. The information contained in, or that can be accessed through, our website is not part of this prospectus.</w:t>
      </w:r>
    </w:p>
    <w:p>
      <w:pPr>
        <w:spacing w:after="0" w:line="198" w:lineRule="exact"/>
        <w:rPr>
          <w:sz w:val="20"/>
          <w:szCs w:val="20"/>
          <w:color w:val="auto"/>
        </w:rPr>
      </w:pPr>
    </w:p>
    <w:p>
      <w:pPr>
        <w:ind w:left="240" w:right="20" w:firstLine="474"/>
        <w:spacing w:after="0" w:line="244" w:lineRule="auto"/>
        <w:rPr>
          <w:sz w:val="20"/>
          <w:szCs w:val="20"/>
          <w:color w:val="auto"/>
        </w:rPr>
      </w:pPr>
      <w:r>
        <w:rPr>
          <w:rFonts w:ascii="Arial" w:cs="Arial" w:eastAsia="Arial" w:hAnsi="Arial"/>
          <w:sz w:val="17"/>
          <w:szCs w:val="17"/>
          <w:color w:val="auto"/>
        </w:rPr>
        <w:t xml:space="preserve">We are filing various U.S. federal trademark registrations and applications, and we own unregistered trademarks and servicemarks, including BLUEPRINT MEDICINES and our corporate logo. All other trademarks or trade names referred to in this prospectus are the property of their respectiv owners. Solely for convenience, the trademarks and trade names in this prospectus may be referred to without the ® and </w:t>
      </w:r>
      <w:r>
        <w:rPr>
          <w:rFonts w:ascii="Arial" w:cs="Arial" w:eastAsia="Arial" w:hAnsi="Arial"/>
          <w:sz w:val="17"/>
          <w:szCs w:val="17"/>
          <w:i w:val="1"/>
          <w:iCs w:val="1"/>
          <w:color w:val="auto"/>
        </w:rPr>
        <w:t>™</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 This prospectus also includes other trademarks of other persons.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394970</wp:posOffset>
            </wp:positionV>
            <wp:extent cx="7314565" cy="6022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02297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Common stock offered by us</w:t>
      </w:r>
    </w:p>
    <w:p>
      <w:pPr>
        <w:spacing w:after="0" w:line="211" w:lineRule="exact"/>
        <w:rPr>
          <w:sz w:val="20"/>
          <w:szCs w:val="20"/>
          <w:color w:val="auto"/>
        </w:rPr>
      </w:pPr>
    </w:p>
    <w:p>
      <w:pPr>
        <w:ind w:left="1560" w:hanging="174"/>
        <w:spacing w:after="0" w:line="252" w:lineRule="auto"/>
        <w:rPr>
          <w:sz w:val="20"/>
          <w:szCs w:val="20"/>
          <w:color w:val="auto"/>
        </w:rPr>
      </w:pPr>
      <w:r>
        <w:rPr>
          <w:rFonts w:ascii="Arial" w:cs="Arial" w:eastAsia="Arial" w:hAnsi="Arial"/>
          <w:sz w:val="17"/>
          <w:szCs w:val="17"/>
          <w:color w:val="auto"/>
        </w:rPr>
        <w:t>Common stock to be outstanding after this offering</w:t>
      </w:r>
    </w:p>
    <w:p>
      <w:pPr>
        <w:spacing w:after="0" w:line="193" w:lineRule="exact"/>
        <w:rPr>
          <w:sz w:val="20"/>
          <w:szCs w:val="20"/>
          <w:color w:val="auto"/>
        </w:rPr>
      </w:pPr>
    </w:p>
    <w:p>
      <w:pPr>
        <w:ind w:left="1560" w:right="280" w:hanging="174"/>
        <w:spacing w:after="0" w:line="252" w:lineRule="auto"/>
        <w:rPr>
          <w:sz w:val="20"/>
          <w:szCs w:val="20"/>
          <w:color w:val="auto"/>
        </w:rPr>
      </w:pPr>
      <w:r>
        <w:rPr>
          <w:rFonts w:ascii="Arial" w:cs="Arial" w:eastAsia="Arial" w:hAnsi="Arial"/>
          <w:sz w:val="17"/>
          <w:szCs w:val="17"/>
          <w:color w:val="auto"/>
        </w:rPr>
        <w:t>Option to purchase additional shares</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THE OFFERING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8,145,834 shares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25,831,965 shares</w:t>
      </w:r>
    </w:p>
    <w:p>
      <w:pPr>
        <w:spacing w:after="0" w:line="211" w:lineRule="exact"/>
        <w:rPr>
          <w:sz w:val="20"/>
          <w:szCs w:val="20"/>
          <w:color w:val="auto"/>
        </w:rPr>
      </w:pPr>
    </w:p>
    <w:p>
      <w:pPr>
        <w:ind w:right="1760"/>
        <w:spacing w:after="0" w:line="252" w:lineRule="auto"/>
        <w:rPr>
          <w:sz w:val="20"/>
          <w:szCs w:val="20"/>
          <w:color w:val="auto"/>
        </w:rPr>
      </w:pPr>
      <w:r>
        <w:rPr>
          <w:rFonts w:ascii="Arial" w:cs="Arial" w:eastAsia="Arial" w:hAnsi="Arial"/>
          <w:sz w:val="17"/>
          <w:szCs w:val="17"/>
          <w:color w:val="auto"/>
        </w:rPr>
        <w:t>The underwriters have an option for a period of 30 days to purchase up to 1,221,874 additional shares of our common stock.</w:t>
      </w:r>
    </w:p>
    <w:p>
      <w:pPr>
        <w:spacing w:after="0" w:line="193" w:lineRule="exact"/>
        <w:rPr>
          <w:sz w:val="20"/>
          <w:szCs w:val="20"/>
          <w:color w:val="auto"/>
        </w:rPr>
      </w:pPr>
    </w:p>
    <w:p>
      <w:pPr>
        <w:ind w:right="1060"/>
        <w:spacing w:after="0" w:line="242" w:lineRule="auto"/>
        <w:rPr>
          <w:sz w:val="20"/>
          <w:szCs w:val="20"/>
          <w:color w:val="auto"/>
        </w:rPr>
      </w:pPr>
      <w:r>
        <w:rPr>
          <w:rFonts w:ascii="Arial" w:cs="Arial" w:eastAsia="Arial" w:hAnsi="Arial"/>
          <w:sz w:val="17"/>
          <w:szCs w:val="17"/>
          <w:color w:val="auto"/>
        </w:rPr>
        <w:t>We estimate that we will receive net proceeds of approximately $133.8 million from the sale of the shares of common stock offered in this offering, or approximately $154.2 million if the underwriters exercise their option to purchase additional shares in full, based on the initial public offering price of $18.00 per share, after deducting the underwriting discounts and commissions and estimated offering expenses payable by us. The offering is designed to provide funding for multiple proof-of-concept readouts for our drug candidates. In particular, we intend to use the net proceeds from this offering as follows: approximately $35.0 to $40.0 million to fund our two Phase 1 clinical trials for BLU-285 in SM and GIST; approximately $20.0 to $25.0 million to fund our Phase 1 clinical trial for BLU-554 in HCC, in each case, including clinical research outsourcing, drug manufacturing, companion diagnostic development and internal personnel costs; approximately $40.0 million to fund new and ongoing research activities including for our RET program and our platform with the goal of delivering one IND annually on average; and the balance for working capital and other general corporate purposes. See "Use of Proceeds" for additional information.</w:t>
      </w:r>
    </w:p>
    <w:p>
      <w:pPr>
        <w:spacing w:after="0" w:line="200" w:lineRule="exact"/>
        <w:rPr>
          <w:sz w:val="20"/>
          <w:szCs w:val="20"/>
          <w:color w:val="auto"/>
        </w:rPr>
      </w:pPr>
    </w:p>
    <w:p>
      <w:pPr>
        <w:sectPr>
          <w:pgSz w:w="11900" w:h="16838" w:orient="portrait"/>
          <w:cols w:equalWidth="0" w:num="2">
            <w:col w:w="3880" w:space="340"/>
            <w:col w:w="7300"/>
          </w:cols>
          <w:pgMar w:left="240" w:top="143" w:right="139" w:bottom="1440" w:gutter="0" w:footer="0" w:header="0"/>
          <w:type w:val="continuous"/>
        </w:sectPr>
      </w:pPr>
    </w:p>
    <w:p>
      <w:pPr>
        <w:spacing w:after="0" w:line="2" w:lineRule="exact"/>
        <w:rPr>
          <w:sz w:val="20"/>
          <w:szCs w:val="20"/>
          <w:color w:val="auto"/>
        </w:rPr>
      </w:pPr>
    </w:p>
    <w:p>
      <w:pPr>
        <w:ind w:left="1380"/>
        <w:spacing w:after="0"/>
        <w:tabs>
          <w:tab w:leader="none" w:pos="4200" w:val="left"/>
        </w:tabs>
        <w:rPr>
          <w:sz w:val="20"/>
          <w:szCs w:val="20"/>
          <w:color w:val="auto"/>
        </w:rPr>
      </w:pPr>
      <w:r>
        <w:rPr>
          <w:rFonts w:ascii="Arial" w:cs="Arial" w:eastAsia="Arial" w:hAnsi="Arial"/>
          <w:sz w:val="17"/>
          <w:szCs w:val="17"/>
          <w:color w:val="auto"/>
        </w:rPr>
        <w:t>Risk factors</w:t>
      </w:r>
      <w:r>
        <w:rPr>
          <w:sz w:val="20"/>
          <w:szCs w:val="20"/>
          <w:color w:val="auto"/>
        </w:rPr>
        <w:tab/>
      </w:r>
      <w:r>
        <w:rPr>
          <w:rFonts w:ascii="Arial" w:cs="Arial" w:eastAsia="Arial" w:hAnsi="Arial"/>
          <w:sz w:val="16"/>
          <w:szCs w:val="16"/>
          <w:color w:val="auto"/>
        </w:rPr>
        <w:t>You should read carefully the "Risk Factors" beginning on page 12 and other</w:t>
      </w:r>
    </w:p>
    <w:p>
      <w:pPr>
        <w:spacing w:after="0" w:line="1" w:lineRule="exact"/>
        <w:rPr>
          <w:sz w:val="20"/>
          <w:szCs w:val="20"/>
          <w:color w:val="auto"/>
        </w:rPr>
      </w:pPr>
    </w:p>
    <w:p>
      <w:pPr>
        <w:ind w:left="4220" w:right="1220"/>
        <w:spacing w:after="0" w:line="252" w:lineRule="auto"/>
        <w:rPr>
          <w:sz w:val="20"/>
          <w:szCs w:val="20"/>
          <w:color w:val="auto"/>
        </w:rPr>
      </w:pPr>
      <w:r>
        <w:rPr>
          <w:rFonts w:ascii="Arial" w:cs="Arial" w:eastAsia="Arial" w:hAnsi="Arial"/>
          <w:sz w:val="17"/>
          <w:szCs w:val="17"/>
          <w:color w:val="auto"/>
        </w:rPr>
        <w:t>information included in this prospectus for a discussion of factors that you should consider before deciding to invest in shares of our common stock.</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NASDAQ Global Select Market</w:t>
      </w:r>
    </w:p>
    <w:p>
      <w:pPr>
        <w:spacing w:after="0" w:line="1" w:lineRule="exact"/>
        <w:rPr>
          <w:sz w:val="20"/>
          <w:szCs w:val="20"/>
          <w:color w:val="auto"/>
        </w:rPr>
      </w:pPr>
    </w:p>
    <w:p>
      <w:pPr>
        <w:ind w:left="1560"/>
        <w:spacing w:after="0"/>
        <w:tabs>
          <w:tab w:leader="none" w:pos="4200" w:val="left"/>
        </w:tabs>
        <w:rPr>
          <w:sz w:val="20"/>
          <w:szCs w:val="20"/>
          <w:color w:val="auto"/>
        </w:rPr>
      </w:pPr>
      <w:r>
        <w:rPr>
          <w:rFonts w:ascii="Arial" w:cs="Arial" w:eastAsia="Arial" w:hAnsi="Arial"/>
          <w:sz w:val="17"/>
          <w:szCs w:val="17"/>
          <w:color w:val="auto"/>
        </w:rPr>
        <w:t>symbol</w:t>
      </w:r>
      <w:r>
        <w:rPr>
          <w:sz w:val="20"/>
          <w:szCs w:val="20"/>
          <w:color w:val="auto"/>
        </w:rPr>
        <w:tab/>
      </w:r>
      <w:r>
        <w:rPr>
          <w:rFonts w:ascii="Arial" w:cs="Arial" w:eastAsia="Arial" w:hAnsi="Arial"/>
          <w:sz w:val="17"/>
          <w:szCs w:val="17"/>
          <w:color w:val="auto"/>
        </w:rPr>
        <w:t>"BPMC."</w:t>
      </w:r>
    </w:p>
    <w:p>
      <w:pPr>
        <w:spacing w:after="0" w:line="211" w:lineRule="exact"/>
        <w:rPr>
          <w:sz w:val="20"/>
          <w:szCs w:val="20"/>
          <w:color w:val="auto"/>
        </w:rPr>
      </w:pPr>
    </w:p>
    <w:p>
      <w:pPr>
        <w:ind w:left="240" w:firstLine="470"/>
        <w:spacing w:after="0" w:line="246" w:lineRule="auto"/>
        <w:rPr>
          <w:sz w:val="20"/>
          <w:szCs w:val="20"/>
          <w:color w:val="auto"/>
        </w:rPr>
      </w:pPr>
      <w:r>
        <w:rPr>
          <w:rFonts w:ascii="Arial" w:cs="Arial" w:eastAsia="Arial" w:hAnsi="Arial"/>
          <w:sz w:val="17"/>
          <w:szCs w:val="17"/>
          <w:color w:val="auto"/>
        </w:rPr>
        <w:t>The number of shares of common stock to be outstanding after this offering is based on 2,218,652 shares of common stock outstanding as of December 31, 2014, including 425,279 shares of unvested restricted stock subject to repurchase by us and 166,635 stock options that were exercised prior to vesting, and the conversion of all of our outstanding shares of convertible preferred stock upon closing of this offering.</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24" w:lineRule="exact"/>
        <w:rPr>
          <w:sz w:val="20"/>
          <w:szCs w:val="20"/>
          <w:color w:val="auto"/>
        </w:rPr>
      </w:pPr>
    </w:p>
    <w:p>
      <w:pPr>
        <w:ind w:left="128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1,335,277 shares of common stock issuable upon the exercise of outstanding stock options as of December 31, 2014 having a weighted average exercise price of $2.05 per share;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742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374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42,423 shares of common stock issuable upon the exercise of outstanding warrants as of December 31, 2014 having a weighted-averag exercise price of $5.89 per share;</w:t>
      </w:r>
    </w:p>
    <w:p>
      <w:pPr>
        <w:spacing w:after="0" w:line="179" w:lineRule="exact"/>
        <w:rPr>
          <w:rFonts w:ascii="Arial" w:cs="Arial" w:eastAsia="Arial" w:hAnsi="Arial"/>
          <w:sz w:val="17"/>
          <w:szCs w:val="17"/>
          <w:color w:val="auto"/>
        </w:rPr>
      </w:pPr>
    </w:p>
    <w:p>
      <w:pPr>
        <w:ind w:left="1280" w:right="14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572,638 shares of common stock issuable upon the exercise of stock options granted in February and March 2015 having a weighted-average exercise price of $8.92 per share and 10,000 shares issued to a former employee in March 2015;</w:t>
      </w:r>
    </w:p>
    <w:p>
      <w:pPr>
        <w:spacing w:after="0" w:line="179" w:lineRule="exact"/>
        <w:rPr>
          <w:rFonts w:ascii="Arial" w:cs="Arial" w:eastAsia="Arial" w:hAnsi="Arial"/>
          <w:sz w:val="17"/>
          <w:szCs w:val="17"/>
          <w:color w:val="auto"/>
        </w:rPr>
      </w:pPr>
    </w:p>
    <w:p>
      <w:pPr>
        <w:ind w:left="1280" w:right="6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1,460,084 shares of common stock reserved for future issuance under our 2015 Stock Option and Incentive Plan, or 2015 Stock Option Plan, which will become effective upon the completion of this offering; and</w:t>
      </w:r>
    </w:p>
    <w:p>
      <w:pPr>
        <w:spacing w:after="0" w:line="192"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243,347 shares of common stock reserved for future issuance under our 2015 Employee Stock Purchase Plan, or 2015 ESPP, which wil become effective upon the completion of this offering.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Except as otherwise indicated, all information contained in this prospectus assumes or gives effect to:</w:t>
      </w:r>
    </w:p>
    <w:p>
      <w:pPr>
        <w:spacing w:after="0" w:line="211" w:lineRule="exact"/>
        <w:rPr>
          <w:sz w:val="20"/>
          <w:szCs w:val="20"/>
          <w:color w:val="auto"/>
        </w:rPr>
      </w:pPr>
    </w:p>
    <w:p>
      <w:pPr>
        <w:ind w:left="1280" w:right="520" w:hanging="524"/>
        <w:spacing w:after="0" w:line="25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convertible preferred stock into an aggregate of 15,467,479 shares of common stock upon the completion of this offering;</w:t>
      </w:r>
    </w:p>
    <w:p>
      <w:pPr>
        <w:spacing w:after="0" w:line="179"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outstanding options or warrants described above after December 31, 2014;</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by the underwriters of their option purchase up to an additional 1,221,874 shares of our common stock in this offering;</w:t>
      </w:r>
    </w:p>
    <w:p>
      <w:pPr>
        <w:spacing w:after="0" w:line="197" w:lineRule="exact"/>
        <w:rPr>
          <w:rFonts w:ascii="Arial" w:cs="Arial" w:eastAsia="Arial" w:hAnsi="Arial"/>
          <w:sz w:val="17"/>
          <w:szCs w:val="17"/>
          <w:color w:val="auto"/>
        </w:rPr>
      </w:pPr>
    </w:p>
    <w:p>
      <w:pPr>
        <w:ind w:left="1280" w:right="440" w:hanging="524"/>
        <w:spacing w:after="0" w:line="25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adoption of our amended and restated certificate of incorporation and amended and restated by-laws, both of which we will file immediately prior to the completion of this offering; and</w:t>
      </w:r>
    </w:p>
    <w:p>
      <w:pPr>
        <w:spacing w:after="0" w:line="179"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one-for-5.5 reverse stock split of our common stock effected on April 10, 2015.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4990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499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31" w:lineRule="exact"/>
        <w:rPr>
          <w:sz w:val="20"/>
          <w:szCs w:val="20"/>
          <w:color w:val="auto"/>
        </w:rPr>
      </w:pPr>
    </w:p>
    <w:p>
      <w:pPr>
        <w:ind w:left="240" w:firstLine="470"/>
        <w:spacing w:after="0" w:line="244" w:lineRule="auto"/>
        <w:rPr>
          <w:sz w:val="20"/>
          <w:szCs w:val="20"/>
          <w:color w:val="auto"/>
        </w:rPr>
      </w:pPr>
      <w:r>
        <w:rPr>
          <w:rFonts w:ascii="Arial" w:cs="Arial" w:eastAsia="Arial" w:hAnsi="Arial"/>
          <w:sz w:val="17"/>
          <w:szCs w:val="17"/>
          <w:color w:val="auto"/>
        </w:rPr>
        <w:t>You should read the following summary financial data together with our financial statements and the related notes appearing at the end of this prospectus and the "Selected Financial Data" and "Management's Discussion and Analysis of Financial Condition and Results of Operations" sections of this prospectus. We have derived the statement of operations data for the years ended December 31, 2013 and 2014 and the balance sheet data a of December 31, 2014 from our audited financial statements included elsewhere in this prospectus. Our historical results are not necessarily indicative of results that should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9"/>
          </w:tcPr>
          <w:p>
            <w:pPr>
              <w:jc w:val="center"/>
              <w:ind w:right="1960"/>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9"/>
          </w:tcPr>
          <w:p>
            <w:pPr>
              <w:jc w:val="center"/>
              <w:ind w:right="19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2013</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center"/>
              <w:ind w:right="115"/>
              <w:spacing w:after="0" w:line="126" w:lineRule="exact"/>
              <w:rPr>
                <w:sz w:val="20"/>
                <w:szCs w:val="20"/>
                <w:color w:val="auto"/>
              </w:rPr>
            </w:pPr>
            <w:r>
              <w:rPr>
                <w:rFonts w:ascii="Arial" w:cs="Arial" w:eastAsia="Arial" w:hAnsi="Arial"/>
                <w:sz w:val="14"/>
                <w:szCs w:val="14"/>
                <w:b w:val="1"/>
                <w:bCs w:val="1"/>
                <w:color w:val="auto"/>
                <w:w w:val="99"/>
              </w:rPr>
              <w:t>thousands,</w:t>
            </w:r>
          </w:p>
        </w:tc>
        <w:tc>
          <w:tcPr>
            <w:tcW w:w="19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10"/>
          </w:tcPr>
          <w:p>
            <w:pPr>
              <w:jc w:val="center"/>
              <w:ind w:right="1880"/>
              <w:spacing w:after="0"/>
              <w:rPr>
                <w:sz w:val="20"/>
                <w:szCs w:val="20"/>
                <w:color w:val="auto"/>
              </w:rPr>
            </w:pPr>
            <w:r>
              <w:rPr>
                <w:rFonts w:ascii="Arial" w:cs="Arial" w:eastAsia="Arial" w:hAnsi="Arial"/>
                <w:sz w:val="14"/>
                <w:szCs w:val="14"/>
                <w:b w:val="1"/>
                <w:bCs w:val="1"/>
                <w:color w:val="auto"/>
                <w:w w:val="99"/>
              </w:rPr>
              <w:t>except per share data)</w:t>
            </w: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15,928</w:t>
            </w:r>
          </w:p>
        </w:tc>
        <w:tc>
          <w:tcPr>
            <w:tcW w:w="20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31,844</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7"/>
                <w:szCs w:val="17"/>
                <w:color w:val="auto"/>
              </w:rPr>
              <w:t>5,072</w:t>
            </w:r>
          </w:p>
        </w:tc>
        <w:tc>
          <w:tcPr>
            <w:tcW w:w="2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7,890</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21,000</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39,734</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94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226</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Interest and other expense</w:t>
            </w:r>
          </w:p>
        </w:tc>
        <w:tc>
          <w:tcPr>
            <w:tcW w:w="14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7"/>
                <w:szCs w:val="17"/>
                <w:color w:val="auto"/>
              </w:rPr>
              <w:t>(138)</w:t>
            </w:r>
          </w:p>
        </w:tc>
        <w:tc>
          <w:tcPr>
            <w:tcW w:w="2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(453)</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income (expense)</w:t>
            </w:r>
          </w:p>
        </w:tc>
        <w:tc>
          <w:tcPr>
            <w:tcW w:w="14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88</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(551)</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100"/>
              <w:spacing w:after="0" w:line="189" w:lineRule="exact"/>
              <w:rPr>
                <w:sz w:val="20"/>
                <w:szCs w:val="20"/>
                <w:color w:val="auto"/>
              </w:rPr>
            </w:pPr>
            <w:r>
              <w:rPr>
                <w:rFonts w:ascii="Arial" w:cs="Arial" w:eastAsia="Arial" w:hAnsi="Arial"/>
                <w:sz w:val="17"/>
                <w:szCs w:val="17"/>
                <w:color w:val="auto"/>
              </w:rPr>
              <w:t>(20,912)</w:t>
            </w:r>
          </w:p>
        </w:tc>
        <w:tc>
          <w:tcPr>
            <w:tcW w:w="2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(40,285)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Pr>
          <w:p>
            <w:pPr>
              <w:spacing w:after="0"/>
              <w:rPr>
                <w:sz w:val="15"/>
                <w:szCs w:val="15"/>
                <w:color w:val="auto"/>
              </w:rPr>
            </w:pPr>
          </w:p>
        </w:tc>
        <w:tc>
          <w:tcPr>
            <w:tcW w:w="60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Convertible preferred stock dividends</w:t>
            </w:r>
          </w:p>
        </w:tc>
        <w:tc>
          <w:tcPr>
            <w:tcW w:w="1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(2,870)</w:t>
            </w: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(5,765)</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Net loss applicable to common stockholders</w:t>
            </w: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604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100"/>
              <w:spacing w:after="0" w:line="189" w:lineRule="exact"/>
              <w:rPr>
                <w:sz w:val="20"/>
                <w:szCs w:val="20"/>
                <w:color w:val="auto"/>
              </w:rPr>
            </w:pPr>
            <w:r>
              <w:rPr>
                <w:rFonts w:ascii="Arial" w:cs="Arial" w:eastAsia="Arial" w:hAnsi="Arial"/>
                <w:sz w:val="17"/>
                <w:szCs w:val="17"/>
                <w:color w:val="auto"/>
              </w:rPr>
              <w:t>(23,782)</w:t>
            </w:r>
          </w:p>
        </w:tc>
        <w:tc>
          <w:tcPr>
            <w:tcW w:w="2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(46,050)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Pr>
          <w:p>
            <w:pPr>
              <w:spacing w:after="0"/>
              <w:rPr>
                <w:sz w:val="15"/>
                <w:szCs w:val="15"/>
                <w:color w:val="auto"/>
              </w:rPr>
            </w:pPr>
          </w:p>
        </w:tc>
        <w:tc>
          <w:tcPr>
            <w:tcW w:w="60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per share applicable to common stockholders — basic and diluted(1)</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(23.43)</w:t>
            </w:r>
          </w:p>
        </w:tc>
        <w:tc>
          <w:tcPr>
            <w:tcW w:w="200" w:type="dxa"/>
            <w:vAlign w:val="bottom"/>
            <w:shd w:val="clear" w:color="auto" w:fill="CCEEFF"/>
          </w:tcPr>
          <w:p>
            <w:pPr>
              <w:jc w:val="center"/>
              <w:ind w:right="15"/>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(32.41)</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Weighted-average number of common shares used in net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diluted(1)</w:t>
            </w:r>
          </w:p>
        </w:tc>
        <w:tc>
          <w:tcPr>
            <w:tcW w:w="140" w:type="dxa"/>
            <w:vAlign w:val="bottom"/>
          </w:tcPr>
          <w:p>
            <w:pPr>
              <w:spacing w:after="0"/>
              <w:rPr>
                <w:sz w:val="16"/>
                <w:szCs w:val="16"/>
                <w:color w:val="auto"/>
              </w:rPr>
            </w:pPr>
          </w:p>
        </w:tc>
        <w:tc>
          <w:tcPr>
            <w:tcW w:w="84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1,015</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1,421</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applicable to common stockholders — basic and</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diluted (unaudited)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center"/>
              <w:ind w:right="15"/>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(3.07)</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Pro forma weighted average number of common shares used in net loss per</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4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6040" w:type="dxa"/>
            <w:vAlign w:val="bottom"/>
          </w:tcPr>
          <w:p>
            <w:pPr>
              <w:ind w:left="180"/>
              <w:spacing w:after="0" w:line="194" w:lineRule="exact"/>
              <w:rPr>
                <w:sz w:val="20"/>
                <w:szCs w:val="20"/>
                <w:color w:val="auto"/>
              </w:rPr>
            </w:pPr>
            <w:r>
              <w:rPr>
                <w:rFonts w:ascii="Arial" w:cs="Arial" w:eastAsia="Arial" w:hAnsi="Arial"/>
                <w:sz w:val="17"/>
                <w:szCs w:val="17"/>
                <w:color w:val="auto"/>
              </w:rPr>
              <w:t>share applicable to common stockholders — basic and diluted (unaudited)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13,083</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9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80" w:type="dxa"/>
            <w:vAlign w:val="bottom"/>
            <w:gridSpan w:val="2"/>
          </w:tcPr>
          <w:p>
            <w:pPr>
              <w:jc w:val="right"/>
              <w:ind w:right="2095"/>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808080"/>
            </w:tcBorders>
          </w:tcPr>
          <w:p>
            <w:pPr>
              <w:spacing w:after="0"/>
              <w:rPr>
                <w:sz w:val="18"/>
                <w:szCs w:val="18"/>
                <w:color w:val="auto"/>
              </w:rPr>
            </w:pPr>
          </w:p>
        </w:tc>
        <w:tc>
          <w:tcPr>
            <w:tcW w:w="60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366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436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940" w:type="dxa"/>
        <w:tblCellMar>
          <w:top w:w="0" w:type="dxa"/>
          <w:left w:w="0" w:type="dxa"/>
          <w:bottom w:w="0" w:type="dxa"/>
          <w:right w:w="0" w:type="dxa"/>
        </w:tblCellMar>
      </w:tblPr>
      <w:tr>
        <w:trPr>
          <w:trHeight w:val="214"/>
        </w:trPr>
        <w:tc>
          <w:tcPr>
            <w:tcW w:w="8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80" w:type="dxa"/>
            <w:vAlign w:val="bottom"/>
            <w:gridSpan w:val="8"/>
          </w:tcPr>
          <w:p>
            <w:pPr>
              <w:ind w:left="760"/>
              <w:spacing w:after="0"/>
              <w:rPr>
                <w:sz w:val="20"/>
                <w:szCs w:val="20"/>
                <w:color w:val="auto"/>
              </w:rPr>
            </w:pPr>
            <w:r>
              <w:rPr>
                <w:rFonts w:ascii="Arial" w:cs="Arial" w:eastAsia="Arial" w:hAnsi="Arial"/>
                <w:sz w:val="17"/>
                <w:szCs w:val="17"/>
                <w:b w:val="1"/>
                <w:bCs w:val="1"/>
                <w:color w:val="auto"/>
              </w:rPr>
              <w:t>As of December 31, 2014</w:t>
            </w:r>
          </w:p>
        </w:tc>
      </w:tr>
      <w:tr>
        <w:trPr>
          <w:trHeight w:val="174"/>
        </w:trPr>
        <w:tc>
          <w:tcPr>
            <w:tcW w:w="8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35"/>
              <w:spacing w:after="0" w:line="175" w:lineRule="exact"/>
              <w:rPr>
                <w:sz w:val="20"/>
                <w:szCs w:val="20"/>
                <w:color w:val="auto"/>
              </w:rPr>
            </w:pPr>
            <w:r>
              <w:rPr>
                <w:rFonts w:ascii="Arial" w:cs="Arial" w:eastAsia="Arial" w:hAnsi="Arial"/>
                <w:sz w:val="17"/>
                <w:szCs w:val="17"/>
                <w:b w:val="1"/>
                <w:bCs w:val="1"/>
                <w:color w:val="auto"/>
              </w:rPr>
              <w:t>Pro forma</w:t>
            </w:r>
          </w:p>
        </w:tc>
        <w:tc>
          <w:tcPr>
            <w:tcW w:w="140" w:type="dxa"/>
            <w:vAlign w:val="bottom"/>
          </w:tcPr>
          <w:p>
            <w:pPr>
              <w:spacing w:after="0"/>
              <w:rPr>
                <w:sz w:val="15"/>
                <w:szCs w:val="15"/>
                <w:color w:val="auto"/>
              </w:rPr>
            </w:pPr>
          </w:p>
        </w:tc>
      </w:tr>
      <w:tr>
        <w:trPr>
          <w:trHeight w:val="251"/>
        </w:trPr>
        <w:tc>
          <w:tcPr>
            <w:tcW w:w="8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Actual</w:t>
            </w:r>
          </w:p>
        </w:tc>
        <w:tc>
          <w:tcPr>
            <w:tcW w:w="160" w:type="dxa"/>
            <w:vAlign w:val="bottom"/>
          </w:tcPr>
          <w:p>
            <w:pPr>
              <w:spacing w:after="0"/>
              <w:rPr>
                <w:sz w:val="21"/>
                <w:szCs w:val="21"/>
                <w:color w:val="auto"/>
              </w:rPr>
            </w:pPr>
          </w:p>
        </w:tc>
        <w:tc>
          <w:tcPr>
            <w:tcW w:w="1100" w:type="dxa"/>
            <w:vAlign w:val="bottom"/>
            <w:tcBorders>
              <w:bottom w:val="single" w:sz="8" w:color="auto"/>
            </w:tcBorders>
            <w:gridSpan w:val="2"/>
          </w:tcPr>
          <w:p>
            <w:pPr>
              <w:ind w:left="60"/>
              <w:spacing w:after="0" w:line="251" w:lineRule="exact"/>
              <w:rPr>
                <w:sz w:val="20"/>
                <w:szCs w:val="20"/>
                <w:color w:val="auto"/>
              </w:rPr>
            </w:pPr>
            <w:r>
              <w:rPr>
                <w:rFonts w:ascii="Arial" w:cs="Arial" w:eastAsia="Arial" w:hAnsi="Arial"/>
                <w:sz w:val="17"/>
                <w:szCs w:val="17"/>
                <w:b w:val="1"/>
                <w:bCs w:val="1"/>
                <w:color w:val="auto"/>
                <w:w w:val="98"/>
              </w:rPr>
              <w:t>Pro forma</w:t>
            </w:r>
            <w:r>
              <w:rPr>
                <w:rFonts w:ascii="Arial" w:cs="Arial" w:eastAsia="Arial" w:hAnsi="Arial"/>
                <w:sz w:val="28"/>
                <w:szCs w:val="28"/>
                <w:b w:val="1"/>
                <w:bCs w:val="1"/>
                <w:color w:val="auto"/>
                <w:w w:val="98"/>
                <w:vertAlign w:val="superscript"/>
              </w:rPr>
              <w:t>(2)</w:t>
            </w:r>
          </w:p>
        </w:tc>
        <w:tc>
          <w:tcPr>
            <w:tcW w:w="16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line="251" w:lineRule="exact"/>
              <w:rPr>
                <w:sz w:val="20"/>
                <w:szCs w:val="20"/>
                <w:color w:val="auto"/>
              </w:rPr>
            </w:pPr>
            <w:r>
              <w:rPr>
                <w:rFonts w:ascii="Arial" w:cs="Arial" w:eastAsia="Arial" w:hAnsi="Arial"/>
                <w:sz w:val="17"/>
                <w:szCs w:val="17"/>
                <w:b w:val="1"/>
                <w:bCs w:val="1"/>
                <w:color w:val="auto"/>
                <w:w w:val="99"/>
              </w:rPr>
              <w:t>as adjusted</w:t>
            </w:r>
            <w:r>
              <w:rPr>
                <w:rFonts w:ascii="Arial" w:cs="Arial" w:eastAsia="Arial" w:hAnsi="Arial"/>
                <w:sz w:val="28"/>
                <w:szCs w:val="28"/>
                <w:b w:val="1"/>
                <w:bCs w:val="1"/>
                <w:color w:val="auto"/>
                <w:w w:val="99"/>
                <w:vertAlign w:val="superscript"/>
              </w:rPr>
              <w:t>(3)</w:t>
            </w:r>
          </w:p>
        </w:tc>
        <w:tc>
          <w:tcPr>
            <w:tcW w:w="140" w:type="dxa"/>
            <w:vAlign w:val="bottom"/>
          </w:tcPr>
          <w:p>
            <w:pPr>
              <w:spacing w:after="0"/>
              <w:rPr>
                <w:sz w:val="21"/>
                <w:szCs w:val="21"/>
                <w:color w:val="auto"/>
              </w:rPr>
            </w:pPr>
          </w:p>
        </w:tc>
      </w:tr>
      <w:tr>
        <w:trPr>
          <w:trHeight w:val="190"/>
        </w:trPr>
        <w:tc>
          <w:tcPr>
            <w:tcW w:w="8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7"/>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430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   47,240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62,240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196,001</w:t>
            </w:r>
          </w:p>
        </w:tc>
      </w:tr>
      <w:tr>
        <w:trPr>
          <w:trHeight w:val="236"/>
        </w:trPr>
        <w:tc>
          <w:tcPr>
            <w:tcW w:w="430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Working capital</w:t>
            </w:r>
            <w:r>
              <w:rPr>
                <w:rFonts w:ascii="Arial" w:cs="Arial" w:eastAsia="Arial" w:hAnsi="Arial"/>
                <w:sz w:val="27"/>
                <w:szCs w:val="27"/>
                <w:color w:val="auto"/>
                <w:vertAlign w:val="superscript"/>
              </w:rPr>
              <w:t>(4)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41,510</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52,148</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185,909</w:t>
            </w:r>
          </w:p>
        </w:tc>
      </w:tr>
      <w:tr>
        <w:trPr>
          <w:trHeight w:val="197"/>
        </w:trPr>
        <w:tc>
          <w:tcPr>
            <w:tcW w:w="43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49,925</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64,925</w:t>
            </w: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198,686</w:t>
            </w:r>
          </w:p>
        </w:tc>
      </w:tr>
      <w:tr>
        <w:trPr>
          <w:trHeight w:val="197"/>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 payable, net of current portion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7,338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7,338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7,338</w:t>
            </w:r>
          </w:p>
        </w:tc>
      </w:tr>
      <w:tr>
        <w:trPr>
          <w:trHeight w:val="197"/>
        </w:trPr>
        <w:tc>
          <w:tcPr>
            <w:tcW w:w="4300" w:type="dxa"/>
            <w:vAlign w:val="bottom"/>
            <w:gridSpan w:val="2"/>
          </w:tcPr>
          <w:p>
            <w:pPr>
              <w:spacing w:after="0"/>
              <w:rPr>
                <w:sz w:val="20"/>
                <w:szCs w:val="20"/>
                <w:color w:val="auto"/>
              </w:rPr>
            </w:pPr>
            <w:r>
              <w:rPr>
                <w:rFonts w:ascii="Arial" w:cs="Arial" w:eastAsia="Arial" w:hAnsi="Arial"/>
                <w:sz w:val="17"/>
                <w:szCs w:val="17"/>
                <w:color w:val="auto"/>
              </w:rPr>
              <w:t>Warrant liability</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365</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7"/>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114,811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7"/>
        </w:trPr>
        <w:tc>
          <w:tcPr>
            <w:tcW w:w="430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(79,382)</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35,794</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169,555</w:t>
            </w:r>
          </w:p>
        </w:tc>
      </w:tr>
      <w:tr>
        <w:trPr>
          <w:trHeight w:val="94"/>
        </w:trPr>
        <w:tc>
          <w:tcPr>
            <w:tcW w:w="84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26" w:lineRule="exact"/>
        <w:rPr>
          <w:sz w:val="20"/>
          <w:szCs w:val="20"/>
          <w:color w:val="auto"/>
        </w:rPr>
      </w:pPr>
    </w:p>
    <w:p>
      <w:pPr>
        <w:ind w:left="2460" w:right="380" w:hanging="515"/>
        <w:spacing w:after="0" w:line="246" w:lineRule="auto"/>
        <w:tabs>
          <w:tab w:leader="none" w:pos="2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85" w:lineRule="exact"/>
        <w:rPr>
          <w:rFonts w:ascii="Arial" w:cs="Arial" w:eastAsia="Arial" w:hAnsi="Arial"/>
          <w:sz w:val="17"/>
          <w:szCs w:val="17"/>
          <w:color w:val="auto"/>
        </w:rPr>
      </w:pPr>
    </w:p>
    <w:p>
      <w:pPr>
        <w:ind w:left="2460" w:hanging="515"/>
        <w:spacing w:after="0" w:line="245" w:lineRule="auto"/>
        <w:tabs>
          <w:tab w:leader="none" w:pos="2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balance sheet data give effect to the automatic conversion of all outstanding shares of our convertible preferre stock into an aggregate of 15,467,479 shares of our common stock, the conversion of our preferred stock warrants into warrants to purchase 42,423 shares of our common stock upon the completion of this offering and a $15.0 million upfron payment received in March 2015 upon execution of the agreement with Alexion Pharma Holding.</w:t>
      </w:r>
    </w:p>
    <w:p>
      <w:pPr>
        <w:spacing w:after="0" w:line="185" w:lineRule="exact"/>
        <w:rPr>
          <w:rFonts w:ascii="Arial" w:cs="Arial" w:eastAsia="Arial" w:hAnsi="Arial"/>
          <w:sz w:val="17"/>
          <w:szCs w:val="17"/>
          <w:color w:val="auto"/>
        </w:rPr>
      </w:pPr>
    </w:p>
    <w:p>
      <w:pPr>
        <w:ind w:left="2460" w:hanging="515"/>
        <w:spacing w:after="0" w:line="246" w:lineRule="auto"/>
        <w:tabs>
          <w:tab w:leader="none" w:pos="2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as adjusted to reflect the pro forma adjustments described in (2) above, and to further reflect the sale of share of our common stock offered in this offering, at the initial public offering price of $18.00 per share, after deducting the estimated underwriting discounts and commissions and estimated offering expenses payable by us.</w:t>
      </w:r>
    </w:p>
    <w:p>
      <w:pPr>
        <w:spacing w:after="0" w:line="198" w:lineRule="exact"/>
        <w:rPr>
          <w:rFonts w:ascii="Arial" w:cs="Arial" w:eastAsia="Arial" w:hAnsi="Arial"/>
          <w:sz w:val="17"/>
          <w:szCs w:val="17"/>
          <w:color w:val="auto"/>
        </w:rPr>
      </w:pPr>
    </w:p>
    <w:p>
      <w:pPr>
        <w:ind w:left="2460" w:hanging="515"/>
        <w:spacing w:after="0"/>
        <w:tabs>
          <w:tab w:leader="none" w:pos="2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40" w:firstLine="473"/>
        <w:spacing w:after="0" w:line="24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financial statements and related notes,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11"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73"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of our most advanced drug candidates. We have only recently identified lead drug candidates for two of our programs. We have never generated any revenue from drug sales. We have not obtained regulatory approvals for any of our drug candidates.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have not yet demonstrated our ability to initiate or successfully complete any clinical trials, including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0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compound library, novel target discovery engine and initial drug candidates. We have funded our operations to date through proceeds from sales of convertible preferred stock and, to a lesser extent, through a loan and security agreement, or Loan and Security Agreement, that we entered into with Silicon Valley Bank in May 2013. From our inception through December 31, 2014, we had raised an aggregate of $125.1 million of gross proceeds from such transactions. As of December 31, 2014, our cash and cash equivalents and investments were $47.2 million. We have incurred net losses in each year since our inception, and we had an accumulated deficit of $82.2 million as of December 31, 2014. Our net losses were $20.9 million and $40.3 million for the years ended December 31, 2013 and 2014,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expect our research and development expenses to significantly increase in connection with beginning clinical trials of our drug candidates. In addition, if we obtain marketing approval for our drug candidates, we will incur significant sales, marketing and outsourced-manufacturing expenses.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202" w:lineRule="exact"/>
        <w:rPr>
          <w:sz w:val="20"/>
          <w:szCs w:val="20"/>
          <w:color w:val="auto"/>
        </w:rPr>
      </w:pPr>
    </w:p>
    <w:p>
      <w:pPr>
        <w:jc w:val="both"/>
        <w:ind w:right="200" w:firstLine="474"/>
        <w:spacing w:after="0" w:line="245"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lead drug candidates, BLU-285 and BLU-554, and we do not know and do not expect to generate any revenue from the sale of drugs in the near future. We do not expect to generate significant revenue unless and until we obtain marketing approval of, and begin to sell, BLU-285, BLU-554 or one of our other drug candidates. Our ability to generate revenue depends on a number of factors, including, but not limited to, our ability to:</w:t>
      </w:r>
    </w:p>
    <w:p>
      <w:pPr>
        <w:spacing w:after="0" w:line="198"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 and successfully complete clinical trials that meet their clinical endpoints;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drug candidates;</w:t>
      </w:r>
    </w:p>
    <w:p>
      <w:pPr>
        <w:spacing w:after="0" w:line="197"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commercialize our drug candidates, if approved, by developing a sales force or entering into additional collaborations with third parties;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third-party payors.</w:t>
      </w:r>
    </w:p>
    <w:p>
      <w:pPr>
        <w:spacing w:after="0" w:line="21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7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development of pharmaceutical drugs is capital-intensive. We are currently advancing our drug candidates through pre-clinical development and anticipate beginning clinical trials for our lead drug candidates, BLU-285 and BLU-554, in mid-2015. We expect our expenses to increase in connection with our ongoing activities, particularly as we continue the research and development of, initiate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Pharma Holding, or Alexion, or other collaborators. We may also need to raise additional funds sooner if we choose to pursue additional indications and/or geographies for our drug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when needed or on attractive terms, we would be forced to delay, reduce or eliminate certain of our research and development programs or future commercialization efforts.</w:t>
      </w:r>
    </w:p>
    <w:p>
      <w:pPr>
        <w:spacing w:after="0" w:line="19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expect that the net proceeds from this offering, together with our existing cash and cash equivalents, including the $15.0 million upfront payment received in March 2015 upon execution of the agreement with Alexion, will be sufficient to fund our operations through at least early 2017. Our future capital requirements will depend on and could increase significantly as a result of many factors, including:</w:t>
      </w:r>
    </w:p>
    <w:p>
      <w:pPr>
        <w:spacing w:after="0" w:line="199" w:lineRule="exact"/>
        <w:rPr>
          <w:sz w:val="20"/>
          <w:szCs w:val="20"/>
          <w:color w:val="auto"/>
        </w:rPr>
      </w:pPr>
    </w:p>
    <w:p>
      <w:pPr>
        <w:ind w:left="1060" w:right="58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success of our collaboration with Alexion;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97"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obtain;</w:t>
      </w:r>
    </w:p>
    <w:p>
      <w:pPr>
        <w:spacing w:after="0" w:line="179" w:lineRule="exact"/>
        <w:rPr>
          <w:rFonts w:ascii="Arial" w:cs="Arial" w:eastAsia="Arial" w:hAnsi="Arial"/>
          <w:sz w:val="17"/>
          <w:szCs w:val="17"/>
          <w:color w:val="auto"/>
        </w:rPr>
      </w:pPr>
    </w:p>
    <w:p>
      <w:pPr>
        <w:ind w:left="1060" w:right="88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92"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 candidates and technologies.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clearances to market our drug candidates.</w:t>
      </w:r>
    </w:p>
    <w:p>
      <w:pPr>
        <w:spacing w:after="0" w:line="193"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99"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93"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79"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private and public equity offerings, debt financings, collaborations, strategic alliances and licensing arrangements. We do not have any committed external source of funds, other than our collaboration with Alexion, which is limited in scope and duration, and funds already borrowed under the Loan and Security Agreement.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06"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You will suffer immediate and substantial dilution in the net tangible book value of the common stock you purchase in this offering. Based on the initial public offering price of $18.00 per share, purchasers of common stock in this offering will experience immediate dilution of $11.29 per share in net tangible book value of the common stock. In addition, investors purchasing common stock in this offering will contribute 56% of the total amount invested by stockholders since inception but will only own 32% of the shares of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"Dilution" for a more detailed description of the dilution to new investors in the offering.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Drug Development and Regulatory Approval</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We are very early in our development efforts. All of our lead drug candidates are still in pre-clinical development. If we are unable to advance our drug candidates to clinical development, obtain regulatory approval and ultimately commercialize our drug candidates or experience significant delays in doing so, our business will be materially harmed</w:t>
      </w:r>
      <w:r>
        <w:rPr>
          <w:rFonts w:ascii="Arial" w:cs="Arial" w:eastAsia="Arial" w:hAnsi="Arial"/>
          <w:sz w:val="17"/>
          <w:szCs w:val="17"/>
          <w:color w:val="auto"/>
        </w:rPr>
        <w:t>.</w:t>
      </w:r>
    </w:p>
    <w:p>
      <w:pPr>
        <w:spacing w:after="0" w:line="187"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are very early in our development efforts, and all of our lead drug candidates are still in pre-clinical development. We have only recently identified lead drug candidates for two of our programs. We have invested substantially all of our efforts and financial resources in the identification and pre-clinical development of kinase inhibitors, including the development of our lead drug candidates, BLU-285 and BLU-554.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and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Companion diagnostics are subject to regulation as medical devices and must themselves be approved for marketing by the U.S. Food and Drug Administration, or FDA, or certain other foreign regulatory agencies before we may commercialize our drug candidates. The success of our drug candidates will depend on several factors, including the following:</w:t>
      </w:r>
    </w:p>
    <w:p>
      <w:pPr>
        <w:spacing w:after="0" w:line="204"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 completion of pre-clinical studies;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or INDs, for our planned clinical trials or future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 development of companion diagnostics for use with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receipt of regulatory approvals from applicable regulatory authorities;</w:t>
      </w:r>
    </w:p>
    <w:p>
      <w:pPr>
        <w:spacing w:after="0" w:line="197"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 for clinical supply and commercial manufacturing;</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or regulatory exclusivity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launching commercial sales of our drug candidates, if and when approved, whether alone or in collaboration with others;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acceptance of the drug candidates, if and when approved, by patients, the medical community and third party payors;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the drug candidates following approval.</w:t>
      </w:r>
    </w:p>
    <w:p>
      <w:pPr>
        <w:spacing w:after="0" w:line="21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which would materially harm our business. If we do not receive regulatory approvals for our drug candidates, we may not be able to continue our operations.</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73"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79"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All of our lead drug candidates are in pre-clinical development and their risk of failure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and future clinical trials may not be successful.</w:t>
      </w:r>
    </w:p>
    <w:p>
      <w:pPr>
        <w:spacing w:after="0" w:line="206"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We plan to commence a Phase 1 clinical trial of BLU-285 as a treatment for systemic mastocytosis, or SM, a Phase 1 clinical trial of BLU-285 as a treatment for gastrointestinal stromal tumor, or GIST, and a Phase 1 clinical trial of BLU-554 as a treatment for hepatocellular carcinoma, or HCC. Commencing each of these clinical trials is subject to finalizing the trial design based on ongoing discussions with the FDA and other regulatory authorities. For example, based on our ongoing pre-IND discussions relating to our BLU-285 program, we may be required to submit data from our ongoing 13-week toxicology studies to further support our recommended safe starting dose and define the dose limiting toxicity. In the event that the FDA requires us to submit data from such studies or we are required to satisfy other FDA requests, the start of our clinical trials for BLU-285 may be delayed. Even after we receive and incorporate guidance from these regulatory authorities, the FDA or other regulatory authorities could disagree that we have satisfied their requirements to commence our clinical trials or change their position on the acceptability of our trial designs or the clinical endpoints selected, which may require us to complete additional pre-clinical studies or clinical trials or impose stricter approval conditions than we currently expect. Successful completion of our clinical trials is a prerequisite to submitting a new drug application, or NDA, to the FDA and a Marketing Authorization Application, or MAA, in Europe for each drug candidate and, consequently, the ultimate approval and commercial marketing of BLU-285, BLU-554 and our other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drug candidates. We do not know whether any of our clinical trials will begin or be completed on schedule, if at all.</w:t>
      </w:r>
    </w:p>
    <w:p>
      <w:pPr>
        <w:spacing w:after="0" w:line="211" w:lineRule="exact"/>
        <w:rPr>
          <w:sz w:val="20"/>
          <w:szCs w:val="20"/>
          <w:color w:val="auto"/>
        </w:rPr>
      </w:pPr>
    </w:p>
    <w:p>
      <w:pPr>
        <w:jc w:val="both"/>
        <w:ind w:right="260" w:firstLine="474"/>
        <w:spacing w:after="0" w:line="246" w:lineRule="auto"/>
        <w:rPr>
          <w:sz w:val="20"/>
          <w:szCs w:val="20"/>
          <w:color w:val="auto"/>
        </w:rPr>
      </w:pPr>
      <w:r>
        <w:rPr>
          <w:rFonts w:ascii="Arial" w:cs="Arial" w:eastAsia="Arial" w:hAnsi="Arial"/>
          <w:sz w:val="17"/>
          <w:szCs w:val="17"/>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99" w:lineRule="exact"/>
        <w:rPr>
          <w:sz w:val="20"/>
          <w:szCs w:val="20"/>
          <w:color w:val="auto"/>
        </w:rPr>
      </w:pPr>
    </w:p>
    <w:p>
      <w:pPr>
        <w:ind w:left="1060" w:right="14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92" w:lineRule="exact"/>
        <w:rPr>
          <w:rFonts w:ascii="Arial" w:cs="Arial" w:eastAsia="Arial" w:hAnsi="Arial"/>
          <w:sz w:val="17"/>
          <w:szCs w:val="17"/>
          <w:color w:val="auto"/>
        </w:rPr>
      </w:pPr>
    </w:p>
    <w:p>
      <w:pPr>
        <w:ind w:left="1060" w:right="160" w:hanging="531"/>
        <w:spacing w:after="0" w:line="24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85"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79"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98"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85"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w:t>
      </w:r>
    </w:p>
    <w:p>
      <w:pPr>
        <w:spacing w:after="0" w:line="179"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85"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FDA or other regulatory authorities may require us to submit additional data or impose other requirements before permitting us to initiate a clinical trial.</w:t>
      </w:r>
    </w:p>
    <w:p>
      <w:pPr>
        <w:spacing w:after="0" w:line="193"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98"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99"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subject to post-marketing testing requirements;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have the drug removed from the market after obtaining marketing approval.</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8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73"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patients with genomically defined diseases,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Patient enrollment may be affected by other factors including:</w:t>
      </w:r>
    </w:p>
    <w:p>
      <w:pPr>
        <w:spacing w:after="0" w:line="211"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eligibility criteria for the clinical trial in question;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under study;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97" w:lineRule="exact"/>
        <w:rPr>
          <w:rFonts w:ascii="Arial" w:cs="Arial" w:eastAsia="Arial" w:hAnsi="Arial"/>
          <w:sz w:val="17"/>
          <w:szCs w:val="17"/>
          <w:color w:val="auto"/>
        </w:rPr>
      </w:pPr>
    </w:p>
    <w:p>
      <w:pPr>
        <w:ind w:left="5620" w:right="4900" w:hanging="5091"/>
        <w:spacing w:after="0" w:line="509" w:lineRule="auto"/>
        <w:tabs>
          <w:tab w:leader="none" w:pos="10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Genomically defined diseases may have relatively low prevalence and it may be difficult to identify patients with the genomic driver of the disease, which may lead to delays in enrollment for our trials.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Following our general drug development strategy, we have designed our planned Phase 1 clinical trials of each of BLU-285 and BLU-554, and expect to design future trials, to include some patients with the applicable genomic alteration that causes the disease with a view to assessing possible early evidence of potential therapeutic effect. Genomically defined diseases, however, may have relatively low prevalence and it may be difficult to identify patients with the applicable genomic alteration. We intend to engage third parties to develop companion diagnostics for use in our clinical trials, but such third parties may not be successful in developing such companion diagnostics, furthering the difficulty in identifying patients with the applicable genomic alteration for our clinical trials. Our inability to enroll a sufficient number of patients with the applicable genomic alteration for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Further, if we are unable to include patients with the applicable genomic alteration, this could compromise our ability to seek participation in FDA's expedited review and approval programs, including Breakthrough Therapy Designation and Fast Track Designation, or otherwise to seek to accelerate clinical development and regulatory timelines.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87"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drug candidates and the related companion diagnostics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204"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development period, changes in or the enactment of additional statutes or regulations, or changes in regulatory review for each submitted NDA, Pre-Market Approval, or PMA,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99"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210"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79" w:lineRule="exact"/>
        <w:rPr>
          <w:rFonts w:ascii="Arial" w:cs="Arial" w:eastAsia="Arial" w:hAnsi="Arial"/>
          <w:sz w:val="17"/>
          <w:szCs w:val="17"/>
          <w:color w:val="auto"/>
        </w:rPr>
      </w:pPr>
    </w:p>
    <w:p>
      <w:pPr>
        <w:ind w:left="1060" w:right="68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unable to demonstrate that a drug candidate's clinical and other benefits outweigh its safety risks;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97" w:lineRule="exact"/>
        <w:rPr>
          <w:rFonts w:ascii="Arial" w:cs="Arial" w:eastAsia="Arial" w:hAnsi="Arial"/>
          <w:sz w:val="17"/>
          <w:szCs w:val="17"/>
          <w:color w:val="auto"/>
        </w:rPr>
      </w:pPr>
    </w:p>
    <w:p>
      <w:pPr>
        <w:ind w:left="1060" w:right="84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data collected from clinical trials of our drug candidates may not be sufficient to support the submission of an NDA or other submission or to obtain regulatory approval in the United States or elsewhere;</w:t>
      </w:r>
    </w:p>
    <w:p>
      <w:pPr>
        <w:spacing w:after="0" w:line="179"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and</w:t>
      </w:r>
    </w:p>
    <w:p>
      <w:pPr>
        <w:spacing w:after="0" w:line="192"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93" w:lineRule="exact"/>
        <w:rPr>
          <w:sz w:val="20"/>
          <w:szCs w:val="20"/>
          <w:color w:val="auto"/>
        </w:rPr>
      </w:pPr>
    </w:p>
    <w:p>
      <w:pPr>
        <w:ind w:right="240" w:firstLine="474"/>
        <w:spacing w:after="0" w:line="244"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9" w:lineRule="exact"/>
        <w:rPr>
          <w:sz w:val="20"/>
          <w:szCs w:val="20"/>
          <w:color w:val="auto"/>
        </w:rPr>
      </w:pPr>
    </w:p>
    <w:p>
      <w:pPr>
        <w:ind w:right="500" w:firstLine="474"/>
        <w:spacing w:after="0" w:line="252"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73"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drug candidates, as is the case with all oncology drugs, it is likely that there may be side effects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Further, our drug candidates could cause undesirable side effects in clinical trials related to on-target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20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98"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a contraindication;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97"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92" w:lineRule="exact"/>
        <w:rPr>
          <w:rFonts w:ascii="Arial" w:cs="Arial" w:eastAsia="Arial" w:hAnsi="Arial"/>
          <w:sz w:val="17"/>
          <w:szCs w:val="17"/>
          <w:color w:val="auto"/>
        </w:rPr>
      </w:pPr>
    </w:p>
    <w:p>
      <w:pPr>
        <w:ind w:left="1060" w:right="480" w:hanging="531"/>
        <w:spacing w:after="0" w:line="246"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decide to remove such drug candidates from the marketplace;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drug candidates;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1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Fast Track Designation by the FDA may not actually lead to a faster development or regulatory review or approval process.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seek Fast Track Designation for some of our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2"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b w:val="1"/>
          <w:bCs w:val="1"/>
          <w:i w:val="1"/>
          <w:iCs w:val="1"/>
          <w:color w:val="auto"/>
        </w:rPr>
        <w:t>We may seek Orphan Drug Designation for some of our drug candidates, and we may be unsuccessful or may be unable to maintain the benefits associated with Orphan Drug Designation, including the potential for market exclusivity.</w:t>
      </w:r>
    </w:p>
    <w:p>
      <w:pPr>
        <w:spacing w:after="0" w:line="17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part of our business strategy, we may seek Orphan Drug Designation for our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Similarly, in Europe,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206"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99"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drug candidates, we may never receive such designations. Even if we do receive such designations, there is no guarantee that we will enjoy the benefits of those designations.</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Even if we receive regulatory approval for any of our drug candidates, we will be subject to ongoing obligations and continued regulatory review, which may result in significant additional expense. Additionally,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92"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99"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drug, withdrawal of the drug from the market, or voluntary drug recalls;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97"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drug license approvals;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drug seizure or detention, or refusal to permit the import or export of drugs;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development platform to build a pipeline of drug candidates.</w:t>
      </w:r>
    </w:p>
    <w:p>
      <w:pPr>
        <w:spacing w:after="0" w:line="231"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in genomically defined diseases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81" w:lineRule="exact"/>
        <w:rPr>
          <w:sz w:val="20"/>
          <w:szCs w:val="20"/>
          <w:color w:val="auto"/>
        </w:rPr>
      </w:pPr>
    </w:p>
    <w:p>
      <w:pPr>
        <w:ind w:right="680"/>
        <w:spacing w:after="0" w:line="276"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Commercialization</w:t>
      </w:r>
    </w:p>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7" w:lineRule="exact"/>
        <w:rPr>
          <w:sz w:val="20"/>
          <w:szCs w:val="20"/>
          <w:color w:val="auto"/>
        </w:rPr>
      </w:pPr>
    </w:p>
    <w:p>
      <w:pPr>
        <w:ind w:right="60" w:firstLine="470"/>
        <w:spacing w:after="0" w:line="241" w:lineRule="auto"/>
        <w:rPr>
          <w:sz w:val="20"/>
          <w:szCs w:val="20"/>
          <w:color w:val="auto"/>
        </w:rPr>
      </w:pPr>
      <w:r>
        <w:rPr>
          <w:rFonts w:ascii="Arial" w:cs="Arial" w:eastAsia="Arial" w:hAnsi="Arial"/>
          <w:sz w:val="17"/>
          <w:szCs w:val="17"/>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4,500 addressable patients with advanced forms of SM and approximately 16,000 addressable patients with indolent SM in the United States, France, Germany, Italy, Spain, the United Kingdom and Japan, or the Major Markets;</w:t>
      </w:r>
    </w:p>
    <w:p>
      <w:pPr>
        <w:spacing w:after="0" w:line="1" w:lineRule="exact"/>
        <w:rPr>
          <w:sz w:val="20"/>
          <w:szCs w:val="20"/>
          <w:color w:val="auto"/>
        </w:rPr>
      </w:pPr>
    </w:p>
    <w:p>
      <w:pPr>
        <w:ind w:right="20" w:firstLine="5"/>
        <w:spacing w:after="0" w:line="254" w:lineRule="auto"/>
        <w:tabs>
          <w:tab w:leader="none" w:pos="2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500 addressable patients with PDGFRa D842V-driven, unresectable or metastatic GIST in the Major Markets and approximately 20,000 addressable patients in the Major Markets with unresectable or metastatic frontline GIST; and (iii) 18,000 first line and 6,000 second line addressable HCC patients with aberrantly active FGFR4, signaling in the Major Markets.</w:t>
      </w:r>
    </w:p>
    <w:p>
      <w:pPr>
        <w:spacing w:after="0" w:line="192"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total addressable market opportunity for BLU-285 for the treatment of patients with SM and GIST and BLU-554 for the treatment of HCC patients with aberrantly active FGFR4 signaling will ultimately depend upon, among other things, the diagnosis criteria included in the final label for each of BLU-285 and BLU-554,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8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drugs before or more successfully than we do.</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6"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BLU-285 receives marketing approval for advanced SM, GIST and/or for patients with GIST with the PDGFRa D842V mutation, it may face competition from other drug candidates in development for these indications, including drug candidates in development from AB Science S.A., Plexxikon Inc., a wholly-owned subsidiary of Daiichi Sankyo Company, Limited, Deciphera Pharmaceuticals, LLC, Novartis AG, AROG Pharmaceuticals, Inc. and ARIAD Pharmaceuticals, Inc. Further, if BLU-554 receives marketing approval for patients with HCC with FGF19 overexpression, it will face competition from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sorafenib, the only approved systemic medical therapy for HCC. In addition, we are aware of potentially competitive drug candidates in development by AstraZeneca plc, Bayer AG, Johnson &amp; Johnson, Novartis AG, Taiho Pharmaceutical Co., Ltd. and Xoma Ltd.</w:t>
      </w:r>
    </w:p>
    <w:p>
      <w:pPr>
        <w:spacing w:after="0" w:line="193"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third-party payors.</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commercialization of any drug candidates that we may develop.</w:t>
      </w:r>
    </w:p>
    <w:p>
      <w:pPr>
        <w:spacing w:after="0" w:line="17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99"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decreased demand for any drug candidates that we may develop;</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commercialize any drug candidates that we may develop.</w:t>
      </w:r>
    </w:p>
    <w:p>
      <w:pPr>
        <w:spacing w:after="0" w:line="211" w:lineRule="exact"/>
        <w:rPr>
          <w:sz w:val="20"/>
          <w:szCs w:val="20"/>
          <w:color w:val="auto"/>
        </w:rPr>
      </w:pPr>
    </w:p>
    <w:p>
      <w:pPr>
        <w:ind w:right="100" w:firstLine="464"/>
        <w:spacing w:after="0" w:line="245"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740"/>
        <w:spacing w:after="0" w:line="276" w:lineRule="auto"/>
        <w:rPr>
          <w:sz w:val="20"/>
          <w:szCs w:val="20"/>
          <w:color w:val="auto"/>
        </w:rPr>
      </w:pPr>
      <w:r>
        <w:rPr>
          <w:rFonts w:ascii="Arial" w:cs="Arial" w:eastAsia="Arial" w:hAnsi="Arial"/>
          <w:sz w:val="17"/>
          <w:szCs w:val="17"/>
          <w:b w:val="1"/>
          <w:bCs w:val="1"/>
          <w:i w:val="1"/>
          <w:iCs w:val="1"/>
          <w:color w:val="auto"/>
        </w:rPr>
        <w:t>If we or our collaborators are unable to successfully develop and commercialize companion diagnostics for our drug candidates, or experience significant delays in doing so we may not realize the full commercial potential of our drug candidates.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diagnostics, we expect to rely in part or in whole on third parties for their design, manufacture and commercialization. We and our collaborators may encounter difficulties in developing and obtaining approval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drug candidates. If we, or any third parties that we engage to assist us, are unable to successfully develop and commercialize companion diagnostics for our drug candidates, or experience delays in doing so:</w:t>
      </w:r>
    </w:p>
    <w:p>
      <w:pPr>
        <w:spacing w:after="0" w:line="204" w:lineRule="exact"/>
        <w:rPr>
          <w:sz w:val="20"/>
          <w:szCs w:val="20"/>
          <w:color w:val="auto"/>
        </w:rPr>
      </w:pPr>
    </w:p>
    <w:p>
      <w:pPr>
        <w:ind w:left="1060" w:right="14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development of our drug candidates may be adversely affected if we are unable to appropriately select patients for enrollment in our clinical trials;</w:t>
      </w:r>
    </w:p>
    <w:p>
      <w:pPr>
        <w:spacing w:after="0" w:line="174" w:lineRule="exact"/>
        <w:rPr>
          <w:rFonts w:ascii="Arial" w:cs="Arial" w:eastAsia="Arial" w:hAnsi="Arial"/>
          <w:sz w:val="17"/>
          <w:szCs w:val="17"/>
          <w:color w:val="auto"/>
        </w:rPr>
      </w:pPr>
    </w:p>
    <w:p>
      <w:pPr>
        <w:ind w:left="1060" w:right="140" w:hanging="531"/>
        <w:spacing w:after="0" w:line="274"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our drug candidates may not receive marketing approval if safe and effective use of a therapeutic drug candidate depends on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w:t>
      </w:r>
    </w:p>
    <w:p>
      <w:pPr>
        <w:spacing w:after="0" w:line="161"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 result, our business would be harmed, possibly materially.</w:t>
      </w:r>
    </w:p>
    <w:p>
      <w:pPr>
        <w:spacing w:after="0" w:line="21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73"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20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205"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and results of operations.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05"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20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7"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infrastructure to sell, or participate in sales activities with our collaborators for, some of our drug candidates if and when they are approved.</w:t>
      </w:r>
    </w:p>
    <w:p>
      <w:pPr>
        <w:spacing w:after="0" w:line="21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Factors that may inhibit our efforts to commercialize our drug candidates on our own include:</w:t>
      </w:r>
    </w:p>
    <w:p>
      <w:pPr>
        <w:spacing w:after="0" w:line="211"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lack of complementary drugs to be offered by sales personnel, which may put us at a competitive disadvantage relative to companies with more extensive product lines;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ind w:right="40" w:firstLine="464"/>
        <w:spacing w:after="0" w:line="243" w:lineRule="auto"/>
        <w:rPr>
          <w:sz w:val="20"/>
          <w:szCs w:val="20"/>
          <w:color w:val="auto"/>
        </w:rPr>
      </w:pPr>
      <w:r>
        <w:rPr>
          <w:rFonts w:ascii="Arial" w:cs="Arial" w:eastAsia="Arial" w:hAnsi="Arial"/>
          <w:sz w:val="17"/>
          <w:szCs w:val="17"/>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214" w:lineRule="exact"/>
        <w:rPr>
          <w:sz w:val="20"/>
          <w:szCs w:val="20"/>
          <w:color w:val="auto"/>
        </w:rPr>
      </w:pPr>
    </w:p>
    <w:p>
      <w:pPr>
        <w:ind w:left="1060" w:right="20" w:hanging="531"/>
        <w:spacing w:after="0" w:line="246"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60"/>
        <w:spacing w:after="0" w:line="246" w:lineRule="auto"/>
        <w:rPr>
          <w:sz w:val="20"/>
          <w:szCs w:val="20"/>
          <w:color w:val="auto"/>
        </w:rPr>
      </w:pPr>
      <w:r>
        <w:rPr>
          <w:rFonts w:ascii="Arial" w:cs="Arial" w:eastAsia="Arial" w:hAnsi="Arial"/>
          <w:sz w:val="17"/>
          <w:szCs w:val="17"/>
          <w:color w:val="auto"/>
        </w:rPr>
        <w:t>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99" w:lineRule="exact"/>
        <w:rPr>
          <w:sz w:val="20"/>
          <w:szCs w:val="20"/>
          <w:color w:val="auto"/>
        </w:rPr>
      </w:pPr>
    </w:p>
    <w:p>
      <w:pPr>
        <w:ind w:left="1060" w:right="180" w:hanging="531"/>
        <w:spacing w:after="0" w:line="244"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w:t>
      </w:r>
    </w:p>
    <w:p>
      <w:pPr>
        <w:spacing w:after="0" w:line="199"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6" w:lineRule="exact"/>
        <w:rPr>
          <w:rFonts w:ascii="Arial" w:cs="Arial" w:eastAsia="Arial" w:hAnsi="Arial"/>
          <w:sz w:val="17"/>
          <w:szCs w:val="17"/>
          <w:color w:val="auto"/>
        </w:rPr>
      </w:pPr>
    </w:p>
    <w:p>
      <w:pPr>
        <w:ind w:left="1060" w:right="280" w:hanging="531"/>
        <w:spacing w:after="0" w:line="244"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86" w:lineRule="exact"/>
        <w:rPr>
          <w:rFonts w:ascii="Arial" w:cs="Arial" w:eastAsia="Arial" w:hAnsi="Arial"/>
          <w:sz w:val="17"/>
          <w:szCs w:val="17"/>
          <w:color w:val="auto"/>
        </w:rPr>
      </w:pPr>
    </w:p>
    <w:p>
      <w:pPr>
        <w:ind w:left="1060" w:hanging="531"/>
        <w:spacing w:after="0" w:line="244"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99" w:lineRule="exact"/>
        <w:rPr>
          <w:rFonts w:ascii="Arial" w:cs="Arial" w:eastAsia="Arial" w:hAnsi="Arial"/>
          <w:sz w:val="17"/>
          <w:szCs w:val="17"/>
          <w:color w:val="auto"/>
        </w:rPr>
      </w:pPr>
    </w:p>
    <w:p>
      <w:pPr>
        <w:ind w:left="1060" w:right="40" w:hanging="531"/>
        <w:spacing w:after="0" w:line="243"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20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201"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customers' ability to obtain reimbursement for our drug candidates in foreign markets;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directly control commercial activities because we are relying on third parties;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burden of complying with complex and changing foreign regulatory, tax, accounting and legal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import or export licensing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language barriers for technical training;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existence of additional potentially relevant third-party intellectual property rights;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211" w:lineRule="exact"/>
        <w:rPr>
          <w:sz w:val="20"/>
          <w:szCs w:val="20"/>
          <w:color w:val="auto"/>
        </w:rPr>
      </w:pPr>
    </w:p>
    <w:p>
      <w:pPr>
        <w:ind w:right="560" w:firstLine="474"/>
        <w:spacing w:after="0" w:line="252" w:lineRule="auto"/>
        <w:rPr>
          <w:sz w:val="20"/>
          <w:szCs w:val="20"/>
          <w:color w:val="auto"/>
        </w:rPr>
      </w:pPr>
      <w:r>
        <w:rPr>
          <w:rFonts w:ascii="Arial" w:cs="Arial" w:eastAsia="Arial" w:hAnsi="Arial"/>
          <w:sz w:val="17"/>
          <w:szCs w:val="17"/>
          <w:color w:val="auto"/>
        </w:rPr>
        <w:t>Foreign sales of our drug candidates could also be adversely affected by the imposition of governmental controls, political and economic instability, trade restrictions and changes in tariffs.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231" w:lineRule="exact"/>
        <w:rPr>
          <w:sz w:val="20"/>
          <w:szCs w:val="20"/>
          <w:color w:val="auto"/>
        </w:rPr>
      </w:pPr>
    </w:p>
    <w:p>
      <w:pPr>
        <w:jc w:val="both"/>
        <w:ind w:right="180" w:firstLine="474"/>
        <w:spacing w:after="0" w:line="246" w:lineRule="auto"/>
        <w:rPr>
          <w:sz w:val="20"/>
          <w:szCs w:val="20"/>
          <w:color w:val="auto"/>
        </w:rPr>
      </w:pPr>
      <w:r>
        <w:rPr>
          <w:rFonts w:ascii="Arial" w:cs="Arial" w:eastAsia="Arial" w:hAnsi="Arial"/>
          <w:sz w:val="17"/>
          <w:szCs w:val="17"/>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700"/>
        <w:spacing w:after="0" w:line="252" w:lineRule="auto"/>
        <w:rPr>
          <w:sz w:val="20"/>
          <w:szCs w:val="20"/>
          <w:color w:val="auto"/>
        </w:rPr>
      </w:pPr>
      <w:r>
        <w:rPr>
          <w:rFonts w:ascii="Arial" w:cs="Arial" w:eastAsia="Arial" w:hAnsi="Arial"/>
          <w:sz w:val="17"/>
          <w:szCs w:val="17"/>
          <w:color w:val="auto"/>
        </w:rPr>
        <w:t>conduct a clinical trial that compares the cost-effectiveness of our drug candidate to other available therapies. If reimbursement of our drugs is unavailable or limited in scope or amount, or if pricing is set at unsatisfactory levels, our business could be harmed, possibly materially.</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2" w:lineRule="exact"/>
        <w:rPr>
          <w:sz w:val="20"/>
          <w:szCs w:val="20"/>
          <w:color w:val="auto"/>
        </w:rPr>
      </w:pPr>
    </w:p>
    <w:p>
      <w:pPr>
        <w:ind w:right="540" w:firstLine="464"/>
        <w:spacing w:after="0" w:line="24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3" w:lineRule="exact"/>
        <w:rPr>
          <w:sz w:val="20"/>
          <w:szCs w:val="20"/>
          <w:color w:val="auto"/>
        </w:rPr>
      </w:pPr>
    </w:p>
    <w:p>
      <w:pPr>
        <w:ind w:right="520" w:firstLine="474"/>
        <w:spacing w:after="0" w:line="246"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206" w:lineRule="exact"/>
        <w:rPr>
          <w:sz w:val="20"/>
          <w:szCs w:val="20"/>
          <w:color w:val="auto"/>
        </w:rPr>
      </w:pPr>
    </w:p>
    <w:p>
      <w:pPr>
        <w:ind w:right="640" w:firstLine="474"/>
        <w:spacing w:after="0" w:line="252"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recent business combinations among large pharmaceutical companies that have resulted in a reduced number of potential future collaborators.</w:t>
      </w:r>
    </w:p>
    <w:p>
      <w:pPr>
        <w:spacing w:after="0" w:line="21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20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our collaboration with Alexion and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do not have the ability to independently conduct clinical trials. We expect to rely on medical institutions, clinical investigators, contract laboratories and other third parties, such as CROs, to conduct or otherwise support clinical trials for our drug candidates. We expect to rely heavily on these parties for execution of clinical trials for our drug candidates and control only certain aspects of their activities. Nevertheless, we will be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20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marketing applications. We cannot assure you that, upon inspection, the FDA will determine that any of our future clinical trials will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9"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21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expect to continue to do so for clinical testing and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92"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98"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204"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We may be unable to establish any agreements with third-party manufacturers or to do so on acceptable terms. Even if we are able to establish agreements with third party manufacturers, reliance on third party manufacturers entails additional risks, including:</w:t>
      </w:r>
    </w:p>
    <w:p>
      <w:pPr>
        <w:spacing w:after="0" w:line="193"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99" w:lineRule="exact"/>
        <w:rPr>
          <w:sz w:val="20"/>
          <w:szCs w:val="20"/>
          <w:color w:val="auto"/>
        </w:rPr>
      </w:pPr>
    </w:p>
    <w:p>
      <w:pPr>
        <w:ind w:right="80" w:firstLine="464"/>
        <w:spacing w:after="0" w:line="245"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98"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73"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active pharmaceutical ingredients, or API, drug product and drug substance used in our lead drug candidates are supplied to us from single-source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second-source supply of any such API, drug product or drug substance in the event any of our current suppliers of such API, drug product and drug substance cease their operations for any reason.</w:t>
      </w:r>
    </w:p>
    <w:p>
      <w:pPr>
        <w:spacing w:after="0" w:line="202"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7"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BLU-285 and BLU-554,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2"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We own a patent and patent applications that relate to BLU-285 and BLU-554 as composition of matter. We also own applications relating to composition of matter for KIT Exon 17 inhibitors with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different compound families, composition of matter for FGFR4 inhibitors with multiple compound families, and composition of matter for inhibitors of the predicted RET resistant mutants, as well as methods of use for these novel compounds. The issued patent directed to BLU-554 composition of matter is expected to expire in 2033, and any patents issuing from our pending patent applications are projected to expire between 2034 and 2036.</w:t>
      </w:r>
    </w:p>
    <w:p>
      <w:pPr>
        <w:spacing w:after="0" w:line="199" w:lineRule="exact"/>
        <w:rPr>
          <w:sz w:val="20"/>
          <w:szCs w:val="20"/>
          <w:color w:val="auto"/>
        </w:rPr>
      </w:pPr>
    </w:p>
    <w:p>
      <w:pPr>
        <w:ind w:right="120" w:firstLine="464"/>
        <w:spacing w:after="0" w:line="245" w:lineRule="auto"/>
        <w:rPr>
          <w:sz w:val="20"/>
          <w:szCs w:val="20"/>
          <w:color w:val="auto"/>
        </w:rPr>
      </w:pPr>
      <w:r>
        <w:rPr>
          <w:rFonts w:ascii="Arial" w:cs="Arial" w:eastAsia="Arial" w:hAnsi="Arial"/>
          <w:sz w:val="17"/>
          <w:szCs w:val="17"/>
          <w:color w:val="auto"/>
        </w:rPr>
        <w:t>As of March 31, 2015, we owned four pending U.S. patent applications, nine pending foreign patent applications and three pending Patent Cooperation Treaty, or PCT, patent applications that relate to our KIT Exon 17 program. Any U.S. or ex-U.S. patents issuing from the pending applications covering BLU-285 will have a statutory expiration date of October 2034. Patent term adjustments or patent term extensions could result in later expiration dates.</w:t>
      </w:r>
    </w:p>
    <w:p>
      <w:pPr>
        <w:spacing w:after="0" w:line="198" w:lineRule="exact"/>
        <w:rPr>
          <w:sz w:val="20"/>
          <w:szCs w:val="20"/>
          <w:color w:val="auto"/>
        </w:rPr>
      </w:pPr>
    </w:p>
    <w:p>
      <w:pPr>
        <w:ind w:right="80" w:firstLine="464"/>
        <w:spacing w:after="0" w:line="245" w:lineRule="auto"/>
        <w:rPr>
          <w:sz w:val="20"/>
          <w:szCs w:val="20"/>
          <w:color w:val="auto"/>
        </w:rPr>
      </w:pPr>
      <w:r>
        <w:rPr>
          <w:rFonts w:ascii="Arial" w:cs="Arial" w:eastAsia="Arial" w:hAnsi="Arial"/>
          <w:sz w:val="17"/>
          <w:szCs w:val="17"/>
          <w:color w:val="auto"/>
        </w:rPr>
        <w:t>As of March 31, 2015, we owned one issued U.S. patent, three pending U.S. patent applications, 32 foreign patent applications corresponding to two of these pending U.S. applications, and two pending PCT patent applications that relate to our FGFR4 program. Each of the U.S. and ex-U.S. patent issuing from the pending applications covering BLU-554 will have a statutory expiration date of July 2033, December 2033, or October 2034. Patent term adjustments or patent term extensions could result in later expiration dates.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2015, we owned one pending U.S. patent application that relates to our RET program.</w:t>
      </w:r>
    </w:p>
    <w:p>
      <w:pPr>
        <w:spacing w:after="0" w:line="211" w:lineRule="exact"/>
        <w:rPr>
          <w:sz w:val="20"/>
          <w:szCs w:val="20"/>
          <w:color w:val="auto"/>
        </w:rPr>
      </w:pPr>
    </w:p>
    <w:p>
      <w:pPr>
        <w:ind w:right="80" w:firstLine="470"/>
        <w:spacing w:after="0" w:line="246"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March 31, 2015, we owned eight pending U.S. patent applications and two PCT patent applications related to our platform.</w:t>
      </w:r>
    </w:p>
    <w:p>
      <w:pPr>
        <w:spacing w:after="0" w:line="199"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93"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BLU-285, BLU-554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206"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9"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 xml:space="preserve">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204"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02" w:lineRule="exact"/>
        <w:rPr>
          <w:sz w:val="20"/>
          <w:szCs w:val="20"/>
          <w:color w:val="auto"/>
        </w:rPr>
      </w:pPr>
    </w:p>
    <w:p>
      <w:pPr>
        <w:ind w:right="60" w:firstLine="464"/>
        <w:spacing w:after="0" w:line="245"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8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203"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prevent us from commercializing our drug candidates or force us to cease some of our business operations, which could materially harm our business.</w:t>
      </w:r>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other intellectual property rights, which could be expensive, time consuming and unsuccessful.</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204" w:lineRule="exact"/>
        <w:rPr>
          <w:sz w:val="20"/>
          <w:szCs w:val="20"/>
          <w:color w:val="auto"/>
        </w:rPr>
      </w:pPr>
    </w:p>
    <w:p>
      <w:pPr>
        <w:ind w:right="20" w:firstLine="464"/>
        <w:spacing w:after="0" w:line="244"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06" w:lineRule="exact"/>
        <w:rPr>
          <w:sz w:val="20"/>
          <w:szCs w:val="20"/>
          <w:color w:val="auto"/>
        </w:rPr>
      </w:pPr>
    </w:p>
    <w:p>
      <w:pPr>
        <w:jc w:val="both"/>
        <w:ind w:right="280" w:firstLine="474"/>
        <w:spacing w:after="0" w:line="246"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7" w:lineRule="exact"/>
        <w:rPr>
          <w:sz w:val="20"/>
          <w:szCs w:val="20"/>
          <w:color w:val="auto"/>
        </w:rPr>
      </w:pPr>
    </w:p>
    <w:p>
      <w:pPr>
        <w:ind w:right="60" w:firstLine="470"/>
        <w:spacing w:after="0" w:line="242"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effectively enforce our intellectual property rights throughout the world.</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204" w:lineRule="exact"/>
        <w:rPr>
          <w:sz w:val="20"/>
          <w:szCs w:val="20"/>
          <w:color w:val="auto"/>
        </w:rPr>
      </w:pPr>
    </w:p>
    <w:p>
      <w:pPr>
        <w:jc w:val="both"/>
        <w:ind w:right="80" w:firstLine="474"/>
        <w:spacing w:after="0" w:line="245"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205"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may be harmed.</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05"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Risks Related to Employee Matters, Managing Growth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Risks Related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Jeffrey W. Albers, our President and Chief Executive Officer, Anthony L. Boral, our Senior Vice President, Clinical Development, Kyle D. Kuvalanka, our Chief Business Officer, and Christoph Lengauer, our Chief Scientific Officer, as well as the other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may limit their availability to us. If we are unable to continue to attract and retain high quality personnel, our ability to pursue our growth strategy will be limited.</w:t>
      </w:r>
    </w:p>
    <w:p>
      <w:pPr>
        <w:spacing w:after="0" w:line="193" w:lineRule="exact"/>
        <w:rPr>
          <w:sz w:val="20"/>
          <w:szCs w:val="20"/>
          <w:color w:val="auto"/>
        </w:rPr>
      </w:pPr>
    </w:p>
    <w:p>
      <w:pPr>
        <w:ind w:right="140" w:firstLine="474"/>
        <w:spacing w:after="0" w:line="242"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We will need to develop and expand our company, and we may encounter difficulties in managing this development and expansion, which could disrupt our operations.</w:t>
      </w:r>
    </w:p>
    <w:p>
      <w:pPr>
        <w:spacing w:after="0" w:line="173" w:lineRule="exact"/>
        <w:rPr>
          <w:sz w:val="20"/>
          <w:szCs w:val="20"/>
          <w:color w:val="auto"/>
        </w:rPr>
      </w:pPr>
    </w:p>
    <w:p>
      <w:pPr>
        <w:ind w:right="100" w:firstLine="464"/>
        <w:spacing w:after="0" w:line="242" w:lineRule="auto"/>
        <w:rPr>
          <w:sz w:val="20"/>
          <w:szCs w:val="20"/>
          <w:color w:val="auto"/>
        </w:rPr>
      </w:pPr>
      <w:r>
        <w:rPr>
          <w:rFonts w:ascii="Arial" w:cs="Arial" w:eastAsia="Arial" w:hAnsi="Arial"/>
          <w:sz w:val="17"/>
          <w:szCs w:val="17"/>
          <w:color w:val="auto"/>
        </w:rPr>
        <w:t>As of March 31, 2015 we had 60 full-time employees, and 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86"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73"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drugs, or form strategic alliances, in the future, and we may not realize the benefits of such acquisitions.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173" w:lineRule="exact"/>
        <w:rPr>
          <w:sz w:val="20"/>
          <w:szCs w:val="20"/>
          <w:color w:val="auto"/>
        </w:rPr>
      </w:pPr>
    </w:p>
    <w:p>
      <w:pPr>
        <w:ind w:right="80" w:firstLine="464"/>
        <w:spacing w:after="0" w:line="243"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201" w:lineRule="exact"/>
        <w:rPr>
          <w:sz w:val="20"/>
          <w:szCs w:val="20"/>
          <w:color w:val="auto"/>
        </w:rPr>
      </w:pPr>
    </w:p>
    <w:p>
      <w:pPr>
        <w:ind w:right="180" w:firstLine="474"/>
        <w:spacing w:after="0" w:line="242"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173"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98"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success of competitive drugs or technologies;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results of clinical trials of our drug candidates or those of our competitors;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level of expenses related to any of our drug candidates or clinical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19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and you may not be able to resell your shares at or above the initial public offering price.</w:t>
      </w:r>
    </w:p>
    <w:p>
      <w:pPr>
        <w:spacing w:after="0" w:line="17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Prior to this offering, there has been no public market for shares of our common stock. Although our common stock has been approved for listing on The NASDAQ Global Select Market, an active trading market for our shares may never develop or be sustained following this offering. The initial public offering price of our common stock was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17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will continue to exercise significant influence over our company after this offering, which will limit your ability to influence corporate matters and could delay or prevent a change in corporate control.</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Immediately following the completion of this offering, and disregarding any shares of common stock that they purchase in this offering, the existing holdings of our executive officers, directors, principal stockholders and their affiliates, including investment funds affiliated with Third Rock Ventures and entities affiliated with Fidelity Biosciences Corp., or Fidelity, will represent beneficial ownership, in the aggregate, of approximately 41% of our outstanding common stock, assuming no exercise of the underwriters' option to acquire additional common stock in this offering and assuming we issue the number of shares of common stock as set forth on the cover page of this prospectus.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205"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us;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1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See "Principal Stockholders" in this prospectus for more information regarding the ownership of our outstanding common stock by our executive officers, directors, principal stockholders and their affiliates.</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3"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231" w:lineRule="exact"/>
        <w:rPr>
          <w:sz w:val="20"/>
          <w:szCs w:val="20"/>
          <w:color w:val="auto"/>
        </w:rPr>
      </w:pPr>
    </w:p>
    <w:p>
      <w:pPr>
        <w:ind w:right="120" w:firstLine="474"/>
        <w:spacing w:after="0" w:line="241"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December 31, 2014, upon the completion of this offering, we will have outstanding a total of 25,831,965 shares of common stock, assuming no exercise of the underwriters' option to purchase an additional</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1,221,874 shares. Of these shares, as of the date of this prospectus, approximately 8,145,834 shares of our common stock, plus any shares sold upon exercise of the underwriters' option to purchase additional shares, will be freely tradable, 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199" w:lineRule="exact"/>
        <w:rPr>
          <w:sz w:val="20"/>
          <w:szCs w:val="20"/>
          <w:color w:val="auto"/>
        </w:rPr>
      </w:pPr>
    </w:p>
    <w:p>
      <w:pPr>
        <w:ind w:right="180" w:firstLine="470"/>
        <w:spacing w:after="0" w:line="245" w:lineRule="auto"/>
        <w:rPr>
          <w:sz w:val="20"/>
          <w:szCs w:val="20"/>
          <w:color w:val="auto"/>
        </w:rPr>
      </w:pPr>
      <w:r>
        <w:rPr>
          <w:rFonts w:ascii="Arial" w:cs="Arial" w:eastAsia="Arial" w:hAnsi="Arial"/>
          <w:sz w:val="17"/>
          <w:szCs w:val="17"/>
          <w:color w:val="auto"/>
        </w:rPr>
        <w:t>The lock-up agreements pertaining to this offering will expire 180 days from the date of this prospectus. After the lock-up agreements expire, based upon the number of shares of common stock, on an as-converted basis, outstanding as of December 31, 2014, up to an additional 13,294,402 shares of common stock will be eligible for sale in the public market, approximately 11% of which shares are held by directors, executive officers and other affiliates and will be subject to certain limitations of Rule 144 under the Securities Act of 1933, as amended, or the Securities Act.</w:t>
      </w:r>
    </w:p>
    <w:p>
      <w:pPr>
        <w:spacing w:after="0" w:line="198"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Upon completion of this offering, 3,081,131 shares of common stock that are either subject to outstanding options, reserved for future issuance under our equity incentive plans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98" w:lineRule="exact"/>
        <w:rPr>
          <w:sz w:val="20"/>
          <w:szCs w:val="20"/>
          <w:color w:val="auto"/>
        </w:rPr>
      </w:pPr>
    </w:p>
    <w:p>
      <w:pPr>
        <w:ind w:right="40" w:firstLine="464"/>
        <w:spacing w:after="0" w:line="245" w:lineRule="auto"/>
        <w:rPr>
          <w:sz w:val="20"/>
          <w:szCs w:val="20"/>
          <w:color w:val="auto"/>
        </w:rPr>
      </w:pPr>
      <w:r>
        <w:rPr>
          <w:rFonts w:ascii="Arial" w:cs="Arial" w:eastAsia="Arial" w:hAnsi="Arial"/>
          <w:sz w:val="17"/>
          <w:szCs w:val="17"/>
          <w:color w:val="auto"/>
        </w:rPr>
        <w:t>After this offering, the holders of approximately 15,467,479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our common stock.</w:t>
      </w:r>
    </w:p>
    <w:p>
      <w:pPr>
        <w:spacing w:after="0" w:line="178"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173"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to fund our Phase 1 clinical trials of BLU-285 in SM and GIST, our Phase 1 clinical trial of BLU-554 in HCC, in each case, including drug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manufacturing, companion diagnostic development and internal personnel and costs, and to fund new and ongoing research activities including for our RET program, working capital and other general corporate purposes, which may include funding for the hiring of additional personnel, capital expenditures and the costs of operating as a public company.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earlier of (i) the last day of the fiscal year in which we have total annual gross revenues of $1 billion or more; (ii) 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1"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w:t>
      </w:r>
    </w:p>
    <w:p>
      <w:pPr>
        <w:spacing w:after="0" w:line="210"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5" w:lineRule="exact"/>
        <w:rPr>
          <w:rFonts w:ascii="Arial" w:cs="Arial" w:eastAsia="Arial" w:hAnsi="Arial"/>
          <w:sz w:val="17"/>
          <w:szCs w:val="17"/>
          <w:color w:val="auto"/>
        </w:rPr>
      </w:pPr>
    </w:p>
    <w:p>
      <w:pPr>
        <w:jc w:val="both"/>
        <w:ind w:left="1060" w:right="720" w:hanging="531"/>
        <w:spacing w:after="0" w:line="25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210"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w:t>
      </w:r>
    </w:p>
    <w:p>
      <w:pPr>
        <w:spacing w:after="0" w:line="199"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prospectus. In particular, we have provided only two years of audited financial statements and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9" w:lineRule="exact"/>
        <w:rPr>
          <w:sz w:val="20"/>
          <w:szCs w:val="20"/>
          <w:color w:val="auto"/>
        </w:rPr>
      </w:pPr>
    </w:p>
    <w:p>
      <w:pPr>
        <w:ind w:right="300" w:firstLine="474"/>
        <w:spacing w:after="0" w:line="252"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500"/>
        <w:spacing w:after="0" w:line="246" w:lineRule="auto"/>
        <w:rPr>
          <w:sz w:val="20"/>
          <w:szCs w:val="20"/>
          <w:color w:val="auto"/>
        </w:rPr>
      </w:pPr>
      <w:r>
        <w:rPr>
          <w:rFonts w:ascii="Arial" w:cs="Arial" w:eastAsia="Arial" w:hAnsi="Arial"/>
          <w:sz w:val="17"/>
          <w:szCs w:val="17"/>
          <w:color w:val="auto"/>
        </w:rPr>
        <w:t>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73" w:lineRule="exact"/>
        <w:rPr>
          <w:sz w:val="20"/>
          <w:szCs w:val="20"/>
          <w:color w:val="auto"/>
        </w:rPr>
      </w:pPr>
    </w:p>
    <w:p>
      <w:pPr>
        <w:jc w:val="both"/>
        <w:ind w:firstLine="474"/>
        <w:spacing w:after="0" w:line="245"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Additionally, under the Loan and Security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this offering or subsequent shifts in our stock ownership, some of which are outside the Company's control. As of December 31, 2014, we had federal net operating loss carryforwards of approximately $78.1 million, and our ability to utilize those net operating loss carryforwards could be limited by an "ownership change" as described above, which could result in increased tax liability to the Company.</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1"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This prospectus contains forward-looking statements that involve risks and uncertainties. All statements other than statements of historical facts contained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99"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use of the net proceeds from this offering;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revenues and capital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and clinical trials, and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 and to identify, hire and retain additional qualified professionals;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advance drug candidates into, and successfully complete,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number of patients with the genomically defined diseases that our drug candidates are targeting;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timing or likelihood of regulatory filing and approvals;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commercialization of our drug candidates, if approved;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pricing and reimbursement of our drug candidates, if approved;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drug candidates and technology;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drug candidates and technology;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benefits of our existing collaboration with Alexion Pharma Holding and our ability to enter into other strategic arrangements;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or obtain additional grant funding;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the caption "Risk Factors."</w:t>
      </w:r>
    </w:p>
    <w:p>
      <w:pPr>
        <w:spacing w:after="0" w:line="211"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Any forward-looking statements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Important factors that may cause actual results to differ materially from current expectations include, among other things, those listed under "Risk Factors" and elsewhere in this prospectus. Given these uncertainties, you should not place undue reliance on these forward-looking statements. Except as required by law, we assume no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update or revise these forward-looking statements for any reason, even if new information becomes available in the future.</w:t>
      </w:r>
    </w:p>
    <w:p>
      <w:pPr>
        <w:spacing w:after="0" w:line="21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231"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We estimate that we will receive net proceeds of approximately $133.8 million from the sale of the shares of common stock offered in this offering, or approximately $154.2 million if the underwriters exercise their option to purchase additional shares in full, based on the initial public offering price of $18.00 per share, after deducting the underwriting discounts and commissions and estimated offering expenses payable by us.</w:t>
      </w:r>
    </w:p>
    <w:p>
      <w:pPr>
        <w:spacing w:after="0" w:line="199"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The principal purposes of this offering are to increase our financial flexibility, create a public market for our common stock and to facilitate our access to the public equity markets. The offering is designed to provide funding through multiple proof-of-concept readouts for our drug candidates. In particular, we currently expect to use the net proceeds from this offering as follows:</w:t>
      </w:r>
    </w:p>
    <w:p>
      <w:pPr>
        <w:spacing w:after="0" w:line="199" w:lineRule="exact"/>
        <w:rPr>
          <w:sz w:val="20"/>
          <w:szCs w:val="20"/>
          <w:color w:val="auto"/>
        </w:rPr>
      </w:pPr>
    </w:p>
    <w:p>
      <w:pPr>
        <w:ind w:left="1060" w:right="2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$35.0 to 40.0 million for our two Phase 1 clinical trials of BLU-285 in SM and GIST, including clinical research outsourcing, drug manufacturing, companion diagnostic development and internal personnel costs;</w:t>
      </w:r>
    </w:p>
    <w:p>
      <w:pPr>
        <w:spacing w:after="0" w:line="192" w:lineRule="exact"/>
        <w:rPr>
          <w:rFonts w:ascii="Arial" w:cs="Arial" w:eastAsia="Arial" w:hAnsi="Arial"/>
          <w:sz w:val="17"/>
          <w:szCs w:val="17"/>
          <w:color w:val="auto"/>
        </w:rPr>
      </w:pPr>
    </w:p>
    <w:p>
      <w:pPr>
        <w:ind w:left="1060" w:right="68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$20.0 to 25.0 million for our Phase 1 clinical trial of BLU-554 in HCC, including clinical research outsourcing, drug manufacturing, companion diagnostic development and internal personnel costs; and</w:t>
      </w:r>
    </w:p>
    <w:p>
      <w:pPr>
        <w:spacing w:after="0" w:line="179" w:lineRule="exact"/>
        <w:rPr>
          <w:rFonts w:ascii="Arial" w:cs="Arial" w:eastAsia="Arial" w:hAnsi="Arial"/>
          <w:sz w:val="17"/>
          <w:szCs w:val="17"/>
          <w:color w:val="auto"/>
        </w:rPr>
      </w:pPr>
    </w:p>
    <w:p>
      <w:pPr>
        <w:ind w:left="1060" w:right="38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$40.0 million for new and ongoing research activities, including for our RET program and our platform with the goal of delivering one IND annually on average.</w:t>
      </w:r>
    </w:p>
    <w:p>
      <w:pPr>
        <w:spacing w:after="0" w:line="193" w:lineRule="exact"/>
        <w:rPr>
          <w:sz w:val="20"/>
          <w:szCs w:val="20"/>
          <w:color w:val="auto"/>
        </w:rPr>
      </w:pPr>
    </w:p>
    <w:p>
      <w:pPr>
        <w:ind w:right="440" w:firstLine="474"/>
        <w:spacing w:after="0" w:line="252" w:lineRule="auto"/>
        <w:rPr>
          <w:sz w:val="20"/>
          <w:szCs w:val="20"/>
          <w:color w:val="auto"/>
        </w:rPr>
      </w:pPr>
      <w:r>
        <w:rPr>
          <w:rFonts w:ascii="Arial" w:cs="Arial" w:eastAsia="Arial" w:hAnsi="Arial"/>
          <w:sz w:val="17"/>
          <w:szCs w:val="17"/>
          <w:color w:val="auto"/>
        </w:rPr>
        <w:t>We expect to use the remainder of the net proceeds from this offering for working capital and other general corporate purposes, which may include funding for the hiring of additional personnel, capital expenditures and the costs of operating as a public company.</w:t>
      </w:r>
    </w:p>
    <w:p>
      <w:pPr>
        <w:spacing w:after="0" w:line="193"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We believe the net proceeds from this offering, together with our existing cash and cash equivalents, including the $15.0 million upfront payment received in March 2015 upon execution of the agreement with Alexion, will be sufficient to fund our Phase 1 clinical trials of BLU-285 in SM and GIST and of BLU-554 in HCC.</w:t>
      </w:r>
    </w:p>
    <w:p>
      <w:pPr>
        <w:spacing w:after="0" w:line="199"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Based on our current plans, we believe our cash and cash equivalents, including the $15.0 million upfront payment received in March 2015 upon execution of the agreement with Alexion, together with the net proceeds to us from this offering, will be sufficient to fund our operations through at least early 2017.</w:t>
      </w:r>
    </w:p>
    <w:p>
      <w:pPr>
        <w:spacing w:after="0" w:line="1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Although we currently anticipate that we will use the net proceeds from this offering as described above, there may be circumstances where a reallocation of funds is necessary. The amounts and timing of our actual expenditures will depend upon numerous factors, including our sales and marketing and commercialization efforts, demand for our drugs, our operating costs and the other factors described under "Risk Factors" in this prospectus. Accordingly, our management will have flexibility in applying the net proceeds from this offering. An investor will not have the opportunity to evaluate the economic, financial or other information on which we base our decisions on how to use the proceeds.</w:t>
      </w:r>
    </w:p>
    <w:p>
      <w:pPr>
        <w:spacing w:after="0" w:line="199"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Although we may use a portion of the net proceeds of this offering for the acquisition or licensing, as the case may be, of additional technologies, other assets or businesses, or for other strategic investments or opportunities, we have no current understandings, agreements or commitments to do so.</w:t>
      </w:r>
    </w:p>
    <w:p>
      <w:pPr>
        <w:spacing w:after="0" w:line="199"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In addition, pursuant to our loan and security agreement with Silicon Valley Bank, we are prohibited from paying cash dividends without the prior written consent of Silicon Valley Bank. Moreover, the terms of any future debt agreements may preclude us from paying dividends.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2014:</w:t>
      </w:r>
    </w:p>
    <w:p>
      <w:pPr>
        <w:spacing w:after="0" w:line="211" w:lineRule="exact"/>
        <w:rPr>
          <w:sz w:val="20"/>
          <w:szCs w:val="20"/>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10" w:lineRule="exact"/>
        <w:rPr>
          <w:rFonts w:ascii="Arial" w:cs="Arial" w:eastAsia="Arial" w:hAnsi="Arial"/>
          <w:sz w:val="17"/>
          <w:szCs w:val="17"/>
          <w:color w:val="auto"/>
        </w:rPr>
      </w:pPr>
    </w:p>
    <w:p>
      <w:pPr>
        <w:ind w:left="1060" w:hanging="531"/>
        <w:spacing w:after="0" w:line="245"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 pro forma basis to reflect the conversion of all outstanding shares of our convertible preferred stock into an aggregate of 15,467,479 shares of common stock, the conversion of our preferred stock warrants into warrants to purchase 42,423 shares of our common stock prior to the completion of this offering and a $15.0 million upfront payment received in March 2015 upon execution of the agreement with Alexion Pharma Holding; and</w:t>
      </w:r>
    </w:p>
    <w:p>
      <w:pPr>
        <w:spacing w:after="0" w:line="185"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 pro forma as adjusted basis to additionally reflect the issuance and sale by us of shares of our common stock in this offering, after deducting the underwriting discounts and commissions and estimated offering expenses payable by us, at the initial public offering price of $18.00 per share.</w:t>
      </w:r>
    </w:p>
    <w:p>
      <w:pPr>
        <w:spacing w:after="0" w:line="199"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You should read this information together with our audited financial statements and related notes appearing elsewhere in this prospectus and the information set forth under the heading "Selected Financial Data" and "Management's Discussion and Analysis of Financial Condition and Results of Operations."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3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10"/>
          </w:tcPr>
          <w:p>
            <w:pPr>
              <w:jc w:val="right"/>
              <w:ind w:right="540"/>
              <w:spacing w:after="0"/>
              <w:rPr>
                <w:sz w:val="20"/>
                <w:szCs w:val="20"/>
                <w:color w:val="auto"/>
              </w:rPr>
            </w:pPr>
            <w:r>
              <w:rPr>
                <w:rFonts w:ascii="Arial" w:cs="Arial" w:eastAsia="Arial" w:hAnsi="Arial"/>
                <w:sz w:val="17"/>
                <w:szCs w:val="17"/>
                <w:b w:val="1"/>
                <w:bCs w:val="1"/>
                <w:color w:val="auto"/>
              </w:rPr>
              <w:t>As of December 31, 2014</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7"/>
                <w:szCs w:val="17"/>
                <w:b w:val="1"/>
                <w:bCs w:val="1"/>
                <w:color w:val="auto"/>
                <w:w w:val="99"/>
              </w:rPr>
              <w:t>Pro forma</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18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 except share and per share data)</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6"/>
              </w:rPr>
              <w:t>Actual</w:t>
            </w:r>
          </w:p>
        </w:tc>
        <w:tc>
          <w:tcPr>
            <w:tcW w:w="104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rPr>
              <w:t>Pro forma</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8"/>
              </w:rPr>
              <w:t>as adjusted</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w:t>
            </w:r>
          </w:p>
        </w:tc>
        <w:tc>
          <w:tcPr>
            <w:tcW w:w="27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47,240</w:t>
            </w:r>
          </w:p>
        </w:tc>
        <w:tc>
          <w:tcPr>
            <w:tcW w:w="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62,240</w:t>
            </w:r>
          </w:p>
        </w:tc>
        <w:tc>
          <w:tcPr>
            <w:tcW w:w="16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196,001</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ind w:left="20"/>
              <w:spacing w:after="0"/>
              <w:rPr>
                <w:sz w:val="20"/>
                <w:szCs w:val="20"/>
                <w:color w:val="auto"/>
              </w:rPr>
            </w:pPr>
            <w:r>
              <w:rPr>
                <w:rFonts w:ascii="Arial" w:cs="Arial" w:eastAsia="Arial" w:hAnsi="Arial"/>
                <w:sz w:val="17"/>
                <w:szCs w:val="17"/>
                <w:color w:val="auto"/>
              </w:rPr>
              <w:t>Term loan payable, net of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140"/>
              <w:spacing w:after="0" w:line="176" w:lineRule="exact"/>
              <w:rPr>
                <w:sz w:val="20"/>
                <w:szCs w:val="20"/>
                <w:color w:val="auto"/>
              </w:rPr>
            </w:pPr>
            <w:r>
              <w:rPr>
                <w:rFonts w:ascii="Arial" w:cs="Arial" w:eastAsia="Arial" w:hAnsi="Arial"/>
                <w:sz w:val="17"/>
                <w:szCs w:val="17"/>
                <w:color w:val="auto"/>
              </w:rPr>
              <w:t>7,338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line="176" w:lineRule="exact"/>
              <w:rPr>
                <w:sz w:val="20"/>
                <w:szCs w:val="20"/>
                <w:color w:val="auto"/>
              </w:rPr>
            </w:pPr>
            <w:r>
              <w:rPr>
                <w:rFonts w:ascii="Arial" w:cs="Arial" w:eastAsia="Arial" w:hAnsi="Arial"/>
                <w:sz w:val="17"/>
                <w:szCs w:val="17"/>
                <w:color w:val="auto"/>
              </w:rPr>
              <w:t>7,338</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7,338</w:t>
            </w: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 to purchase convertible preferred stock</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Series A convertible preferred stock, $0.001 par value: 40,150,000 shares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gridSpan w:val="2"/>
          </w:tcPr>
          <w:p>
            <w:pPr>
              <w:ind w:left="160"/>
              <w:spacing w:after="0"/>
              <w:rPr>
                <w:sz w:val="20"/>
                <w:szCs w:val="20"/>
                <w:color w:val="auto"/>
              </w:rPr>
            </w:pPr>
            <w:r>
              <w:rPr>
                <w:rFonts w:ascii="Arial" w:cs="Arial" w:eastAsia="Arial" w:hAnsi="Arial"/>
                <w:sz w:val="17"/>
                <w:szCs w:val="17"/>
                <w:color w:val="auto"/>
              </w:rPr>
              <w:t>authorized, 40,000,000 shares issued and outstanding, actual; no shares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8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tcPr>
          <w:p>
            <w:pPr>
              <w:spacing w:after="0"/>
              <w:rPr>
                <w:sz w:val="16"/>
                <w:szCs w:val="16"/>
                <w:color w:val="auto"/>
              </w:rPr>
            </w:pPr>
          </w:p>
        </w:tc>
        <w:tc>
          <w:tcPr>
            <w:tcW w:w="7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39,958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Series B convertible preferred stock, $0.001 par value: 20,999,996 shares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authorized, 20,916,663 shares issued and outstanding, actual; no shares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8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24,985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Series C convertible preferred stock, $0.001 par value: 24,154,589 shares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gridSpan w:val="2"/>
          </w:tcPr>
          <w:p>
            <w:pPr>
              <w:ind w:left="160"/>
              <w:spacing w:after="0"/>
              <w:rPr>
                <w:sz w:val="20"/>
                <w:szCs w:val="20"/>
                <w:color w:val="auto"/>
              </w:rPr>
            </w:pPr>
            <w:r>
              <w:rPr>
                <w:rFonts w:ascii="Arial" w:cs="Arial" w:eastAsia="Arial" w:hAnsi="Arial"/>
                <w:sz w:val="17"/>
                <w:szCs w:val="17"/>
                <w:color w:val="auto"/>
              </w:rPr>
              <w:t>authorized, 24,154,589 shares issued and outstanding, actual; no shares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8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authorized, issued or outstanding, pro forma and pro forma as adjusted</w:t>
            </w:r>
          </w:p>
        </w:tc>
        <w:tc>
          <w:tcPr>
            <w:tcW w:w="140" w:type="dxa"/>
            <w:vAlign w:val="bottom"/>
          </w:tcPr>
          <w:p>
            <w:pPr>
              <w:spacing w:after="0"/>
              <w:rPr>
                <w:sz w:val="16"/>
                <w:szCs w:val="16"/>
                <w:color w:val="auto"/>
              </w:rPr>
            </w:pPr>
          </w:p>
        </w:tc>
        <w:tc>
          <w:tcPr>
            <w:tcW w:w="7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49,868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stock, $0.001 par value; 110,000,000 shares authorized; 2,218,652,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shares issued and 1,626,738 shares outstanding, actual; 110,000,000 shares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authorized, pro forma; 17,686,131 shares issued and 17,094,217 outstanding,</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pro forma; 110,000,000 shares authorized, pro forma as adjusted; 25,831,965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8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shares issued and 25,240,051 shares outstanding, pro forma as adjusted;</w:t>
            </w: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7"/>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2,822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117,983</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251,736</w:t>
            </w: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(82,206)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(82,206)</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(82,206)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ind w:left="160"/>
              <w:spacing w:after="0"/>
              <w:rPr>
                <w:sz w:val="20"/>
                <w:szCs w:val="20"/>
                <w:color w:val="auto"/>
              </w:rPr>
            </w:pPr>
            <w:r>
              <w:rPr>
                <w:rFonts w:ascii="Arial" w:cs="Arial" w:eastAsia="Arial" w:hAnsi="Arial"/>
                <w:sz w:val="17"/>
                <w:szCs w:val="17"/>
                <w:color w:val="auto"/>
              </w:rPr>
              <w:t>Total stockholders' (deficit) equity</w:t>
            </w: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7"/>
              </w:rPr>
              <w:t>(79,382)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35,794</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169,555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Total capitalization</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43,132</w:t>
            </w:r>
          </w:p>
        </w:tc>
        <w:tc>
          <w:tcPr>
            <w:tcW w:w="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43,132</w:t>
            </w:r>
          </w:p>
        </w:tc>
        <w:tc>
          <w:tcPr>
            <w:tcW w:w="16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176,893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number of shares of common stock to be outstanding after this offering is based on 2,218,652 shares of common stock outstanding as of December 31, 2014, including 425,279 shares of unvested restricted stock subject to repurchase by us and 166,635 stock options that were exercised prior to vesting, and the conversion of all of our outstanding shares of convertible preferred stock upon closing of this offering.</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11" w:lineRule="exact"/>
        <w:rPr>
          <w:sz w:val="20"/>
          <w:szCs w:val="20"/>
          <w:color w:val="auto"/>
        </w:rPr>
      </w:pPr>
    </w:p>
    <w:p>
      <w:pPr>
        <w:ind w:left="1060" w:right="4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1,335,277 shares of common stock issuable upon the exercise of outstanding stock options as of December 31, 2014 having a weighted-average exercise price of $2.05 per share;</w:t>
      </w:r>
    </w:p>
    <w:p>
      <w:pPr>
        <w:spacing w:after="0" w:line="192"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42,423 shares of common stock issuable upon the exercise of outstanding warrants as of December 31, 2014 having a weighted-average exercise price of $5.89 per share;</w:t>
      </w:r>
    </w:p>
    <w:p>
      <w:pPr>
        <w:spacing w:after="0" w:line="179"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572,638 shares of common stock issuable upon the exercise of stock options granted in February and March 2015 having a weighted-average exercise price of $8.92 per share and 10,000 shares issued to a former employee in March 2015;</w:t>
      </w:r>
    </w:p>
    <w:p>
      <w:pPr>
        <w:spacing w:after="0" w:line="179"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1,460,084 shares of common stock reserved for future issuance under our 2015 Stock Option Plan, which will become effective upon the completion of this offering; and</w:t>
      </w:r>
    </w:p>
    <w:p>
      <w:pPr>
        <w:spacing w:after="0" w:line="192"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243,347 shares of common stock reserved for future issuance under our 2015 ESPP, which will become effective upon the completion of this offering.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initial public offering price per share of our common stock in this offering and the pro forma as adjusted net tangible book value per share of our common stock after this offering.</w:t>
      </w:r>
    </w:p>
    <w:p>
      <w:pPr>
        <w:spacing w:after="0" w:line="19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of December 31, 2014 we had a historical net tangible book value of $35.7 million, or $2.09 per share of common stock, taking into account the expected conversion of our outstanding convertible preferred stock into common stock prior to the completion of this offering. Without giving effect to the conversion of our outstanding convertible preferred stock into common stock, we had a historical net tangible book value of $(79.5) million, or $(48.86) per share of common stock, as of December 31, 2014. Historical net tangible book value per share is equal to our total tangible assets, excluding deferred costs, less total liabilities, including convertible preferred stock, divided by the number of outstanding shares of our common stock (excluding 425,279 shares of unvested restricted stock subject to repurchase by us and 166,635 stock options that were exercised prior to vesting). Investors participating in this offering will incur immediate and substantial dilution. After giving effect to (1) the conversion of all of our convertible preferred stock into 15,467,479 shares of common stock prior to the completion of this offering and (2) the sale of 8,145,834 shares of common stock in this offering, after deducting the underwriting discounts and commissions and estimated offering expenses payable by us, at the initial public offering price of $18.00 per share, our pro forma as adjusted net tangible book value as of December 31, 2014 would have been approximately $169.4 million, or approximately $6.71 per share of common stock. This represents an immediate increase in pro forma as adjusted net tangible book value of $4.62 per share to our existing stockholders and an immediate dilution of $11.29 per share to investors participating in this offering.</w:t>
      </w: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7420" w:type="dxa"/>
            <w:vAlign w:val="bottom"/>
            <w:gridSpan w:val="2"/>
          </w:tcPr>
          <w:p>
            <w:pPr>
              <w:spacing w:after="0"/>
              <w:rPr>
                <w:sz w:val="20"/>
                <w:szCs w:val="20"/>
                <w:color w:val="auto"/>
              </w:rPr>
            </w:pPr>
            <w:r>
              <w:rPr>
                <w:rFonts w:ascii="Arial" w:cs="Arial" w:eastAsia="Arial" w:hAnsi="Arial"/>
                <w:sz w:val="17"/>
                <w:szCs w:val="17"/>
                <w:color w:val="auto"/>
              </w:rPr>
              <w:t>The following table illustrates this per share dilution: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74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124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160" w:type="dxa"/>
            <w:vAlign w:val="bottom"/>
            <w:shd w:val="clear" w:color="auto" w:fill="CCEEFF"/>
          </w:tcPr>
          <w:p>
            <w:pPr>
              <w:spacing w:after="0"/>
              <w:rPr>
                <w:sz w:val="17"/>
                <w:szCs w:val="17"/>
                <w:color w:val="auto"/>
              </w:rPr>
            </w:pPr>
          </w:p>
        </w:tc>
      </w:tr>
      <w:tr>
        <w:trPr>
          <w:trHeight w:val="197"/>
        </w:trPr>
        <w:tc>
          <w:tcPr>
            <w:tcW w:w="7420" w:type="dxa"/>
            <w:vAlign w:val="bottom"/>
            <w:gridSpan w:val="2"/>
          </w:tcPr>
          <w:p>
            <w:pPr>
              <w:ind w:left="1240"/>
              <w:spacing w:after="0"/>
              <w:rPr>
                <w:sz w:val="20"/>
                <w:szCs w:val="20"/>
                <w:color w:val="auto"/>
              </w:rPr>
            </w:pPr>
            <w:r>
              <w:rPr>
                <w:rFonts w:ascii="Arial" w:cs="Arial" w:eastAsia="Arial" w:hAnsi="Arial"/>
                <w:sz w:val="17"/>
                <w:szCs w:val="17"/>
                <w:color w:val="auto"/>
              </w:rPr>
              <w:t>Historical net tangible book value per share as of December 31, 2014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(48.86)</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124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Increase attributable to the conversion of outstanding convertible preferred stock</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4"/>
        </w:trPr>
        <w:tc>
          <w:tcPr>
            <w:tcW w:w="1240" w:type="dxa"/>
            <w:vAlign w:val="bottom"/>
          </w:tcPr>
          <w:p>
            <w:pPr>
              <w:spacing w:after="0"/>
              <w:rPr>
                <w:sz w:val="16"/>
                <w:szCs w:val="16"/>
                <w:color w:val="auto"/>
              </w:rPr>
            </w:pPr>
          </w:p>
        </w:tc>
        <w:tc>
          <w:tcPr>
            <w:tcW w:w="618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and reclassification of convertible preferred stock warrants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50.95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0"/>
        </w:trPr>
        <w:tc>
          <w:tcPr>
            <w:tcW w:w="7420" w:type="dxa"/>
            <w:vAlign w:val="bottom"/>
            <w:gridSpan w:val="2"/>
          </w:tcPr>
          <w:p>
            <w:pPr>
              <w:ind w:left="1240"/>
              <w:spacing w:after="0" w:line="189" w:lineRule="exact"/>
              <w:rPr>
                <w:sz w:val="20"/>
                <w:szCs w:val="20"/>
                <w:color w:val="auto"/>
              </w:rPr>
            </w:pPr>
            <w:r>
              <w:rPr>
                <w:rFonts w:ascii="Arial" w:cs="Arial" w:eastAsia="Arial" w:hAnsi="Arial"/>
                <w:sz w:val="17"/>
                <w:szCs w:val="17"/>
                <w:color w:val="auto"/>
              </w:rPr>
              <w:t>Pro forma net tangible book value per share as of December 31, 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2.09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7"/>
        </w:trPr>
        <w:tc>
          <w:tcPr>
            <w:tcW w:w="124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Increase in net tangible book value per share attributable to new investors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0"/>
        </w:trPr>
        <w:tc>
          <w:tcPr>
            <w:tcW w:w="7420" w:type="dxa"/>
            <w:vAlign w:val="bottom"/>
            <w:gridSpan w:val="2"/>
          </w:tcPr>
          <w:p>
            <w:pPr>
              <w:ind w:left="1240"/>
              <w:spacing w:after="0" w:line="189" w:lineRule="exact"/>
              <w:rPr>
                <w:sz w:val="20"/>
                <w:szCs w:val="20"/>
                <w:color w:val="auto"/>
              </w:rPr>
            </w:pPr>
            <w:r>
              <w:rPr>
                <w:rFonts w:ascii="Arial" w:cs="Arial" w:eastAsia="Arial" w:hAnsi="Arial"/>
                <w:sz w:val="17"/>
                <w:szCs w:val="17"/>
                <w:color w:val="auto"/>
              </w:rPr>
              <w:t>Pro forma net tangible book value per share after this offering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6.71</w:t>
            </w:r>
          </w:p>
        </w:tc>
        <w:tc>
          <w:tcPr>
            <w:tcW w:w="160" w:type="dxa"/>
            <w:vAlign w:val="bottom"/>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11.29</w:t>
            </w:r>
          </w:p>
        </w:tc>
        <w:tc>
          <w:tcPr>
            <w:tcW w:w="160" w:type="dxa"/>
            <w:vAlign w:val="bottom"/>
            <w:shd w:val="clear" w:color="auto" w:fill="CCEEFF"/>
          </w:tcPr>
          <w:p>
            <w:pPr>
              <w:spacing w:after="0"/>
              <w:rPr>
                <w:sz w:val="16"/>
                <w:szCs w:val="16"/>
                <w:color w:val="auto"/>
              </w:rPr>
            </w:pPr>
          </w:p>
        </w:tc>
      </w:tr>
    </w:tbl>
    <w:p>
      <w:pPr>
        <w:spacing w:after="0" w:line="213"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If the underwriters exercise their option to purchase additional shares in full, pro forma as adjusted net tangible book value as of December 31, 2014 will increase to $189.9 million, or $7.18 per share, representing an increase to existing stockholders of $5.09 per share, and there will be an immediate dilution of $10.82 per share to new investors.</w:t>
      </w:r>
    </w:p>
    <w:p>
      <w:pPr>
        <w:spacing w:after="0" w:line="199"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The following table summarizes, on a pro forma as adjusted basis as of December 31, 2014, the differences between the number of shares of common stock purchased from us, the total consideration and the average price per share paid by existing stockholders (giving effect to the conversion of all of our convertible preferred stock into 15,467,479 shares of common stock prior to the completion of this offering) and by investors participating in this offering, after deducting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underwriting discounts and commissions and estimated offering expenses, at the initial public offering price of $18.00 per share.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5"/>
          </w:tcPr>
          <w:p>
            <w:pPr>
              <w:jc w:val="right"/>
              <w:ind w:right="800"/>
              <w:spacing w:after="0"/>
              <w:rPr>
                <w:sz w:val="20"/>
                <w:szCs w:val="20"/>
                <w:color w:val="auto"/>
              </w:rPr>
            </w:pPr>
            <w:r>
              <w:rPr>
                <w:rFonts w:ascii="Arial" w:cs="Arial" w:eastAsia="Arial" w:hAnsi="Arial"/>
                <w:sz w:val="17"/>
                <w:szCs w:val="17"/>
                <w:b w:val="1"/>
                <w:bCs w:val="1"/>
                <w:color w:val="auto"/>
              </w:rPr>
              <w:t>Shares</w:t>
            </w:r>
          </w:p>
        </w:tc>
        <w:tc>
          <w:tcPr>
            <w:tcW w:w="320" w:type="dxa"/>
            <w:vAlign w:val="bottom"/>
          </w:tcPr>
          <w:p>
            <w:pPr>
              <w:spacing w:after="0"/>
              <w:rPr>
                <w:sz w:val="17"/>
                <w:szCs w:val="17"/>
                <w:color w:val="auto"/>
              </w:rPr>
            </w:pPr>
          </w:p>
        </w:tc>
        <w:tc>
          <w:tcPr>
            <w:tcW w:w="1160" w:type="dxa"/>
            <w:vAlign w:val="bottom"/>
            <w:gridSpan w:val="3"/>
          </w:tcPr>
          <w:p>
            <w:pPr>
              <w:jc w:val="center"/>
              <w:ind w:left="315"/>
              <w:spacing w:after="0"/>
              <w:rPr>
                <w:sz w:val="20"/>
                <w:szCs w:val="20"/>
                <w:color w:val="auto"/>
              </w:rPr>
            </w:pPr>
            <w:r>
              <w:rPr>
                <w:rFonts w:ascii="Arial" w:cs="Arial" w:eastAsia="Arial" w:hAnsi="Arial"/>
                <w:sz w:val="17"/>
                <w:szCs w:val="17"/>
                <w:b w:val="1"/>
                <w:bCs w:val="1"/>
                <w:color w:val="auto"/>
                <w:w w:val="98"/>
              </w:rPr>
              <w:t>Total</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Purchased</w:t>
            </w:r>
          </w:p>
        </w:tc>
        <w:tc>
          <w:tcPr>
            <w:tcW w:w="320" w:type="dxa"/>
            <w:vAlign w:val="bottom"/>
          </w:tcPr>
          <w:p>
            <w:pPr>
              <w:spacing w:after="0"/>
              <w:rPr>
                <w:sz w:val="18"/>
                <w:szCs w:val="18"/>
                <w:color w:val="auto"/>
              </w:rPr>
            </w:pPr>
          </w:p>
        </w:tc>
        <w:tc>
          <w:tcPr>
            <w:tcW w:w="20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rPr>
              <w:t>Consideration</w:t>
            </w: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Average</w:t>
            </w:r>
          </w:p>
        </w:tc>
      </w:tr>
      <w:tr>
        <w:trPr>
          <w:trHeight w:val="190"/>
        </w:trPr>
        <w:tc>
          <w:tcPr>
            <w:tcW w:w="3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380"/>
              <w:spacing w:after="0" w:line="189" w:lineRule="exact"/>
              <w:rPr>
                <w:sz w:val="20"/>
                <w:szCs w:val="20"/>
                <w:color w:val="auto"/>
              </w:rPr>
            </w:pPr>
            <w:r>
              <w:rPr>
                <w:rFonts w:ascii="Arial" w:cs="Arial" w:eastAsia="Arial" w:hAnsi="Arial"/>
                <w:sz w:val="17"/>
                <w:szCs w:val="17"/>
                <w:b w:val="1"/>
                <w:bCs w:val="1"/>
                <w:color w:val="auto"/>
                <w:w w:val="96"/>
              </w:rPr>
              <w:t>Number</w:t>
            </w:r>
          </w:p>
        </w:tc>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9"/>
              </w:rPr>
              <w:t>Percent</w:t>
            </w: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Amount</w:t>
            </w:r>
          </w:p>
        </w:tc>
        <w:tc>
          <w:tcPr>
            <w:tcW w:w="6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7"/>
                <w:szCs w:val="17"/>
                <w:b w:val="1"/>
                <w:bCs w:val="1"/>
                <w:color w:val="auto"/>
                <w:w w:val="96"/>
              </w:rPr>
              <w:t>Percent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00"/>
              <w:spacing w:after="0" w:line="189" w:lineRule="exact"/>
              <w:rPr>
                <w:sz w:val="20"/>
                <w:szCs w:val="20"/>
                <w:color w:val="auto"/>
              </w:rPr>
            </w:pPr>
            <w:r>
              <w:rPr>
                <w:rFonts w:ascii="Arial" w:cs="Arial" w:eastAsia="Arial" w:hAnsi="Arial"/>
                <w:sz w:val="17"/>
                <w:szCs w:val="17"/>
                <w:b w:val="1"/>
                <w:bCs w:val="1"/>
                <w:color w:val="auto"/>
                <w:w w:val="98"/>
              </w:rPr>
              <w:t>Price / Share</w:t>
            </w:r>
          </w:p>
        </w:tc>
      </w:tr>
      <w:tr>
        <w:trPr>
          <w:trHeight w:val="20"/>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Existing stockholders</w:t>
            </w:r>
          </w:p>
        </w:tc>
        <w:tc>
          <w:tcPr>
            <w:tcW w:w="1180" w:type="dxa"/>
            <w:vAlign w:val="bottom"/>
            <w:tcBorders>
              <w:right w:val="single" w:sz="8" w:color="CCEEFF"/>
            </w:tcBorders>
            <w:gridSpan w:val="4"/>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17,686,131</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68%</w:t>
            </w:r>
          </w:p>
        </w:tc>
        <w:tc>
          <w:tcPr>
            <w:tcW w:w="3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115,495,933</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6.53</w:t>
            </w:r>
          </w:p>
        </w:tc>
      </w:tr>
      <w:tr>
        <w:trPr>
          <w:trHeight w:val="197"/>
        </w:trPr>
        <w:tc>
          <w:tcPr>
            <w:tcW w:w="3300" w:type="dxa"/>
            <w:vAlign w:val="bottom"/>
          </w:tcPr>
          <w:p>
            <w:pPr>
              <w:spacing w:after="0"/>
              <w:rPr>
                <w:sz w:val="20"/>
                <w:szCs w:val="20"/>
                <w:color w:val="auto"/>
              </w:rPr>
            </w:pPr>
            <w:r>
              <w:rPr>
                <w:rFonts w:ascii="Arial" w:cs="Arial" w:eastAsia="Arial" w:hAnsi="Arial"/>
                <w:sz w:val="17"/>
                <w:szCs w:val="17"/>
                <w:color w:val="auto"/>
              </w:rPr>
              <w:t>New investors</w:t>
            </w:r>
          </w:p>
        </w:tc>
        <w:tc>
          <w:tcPr>
            <w:tcW w:w="1180" w:type="dxa"/>
            <w:vAlign w:val="bottom"/>
            <w:gridSpan w:val="4"/>
          </w:tcPr>
          <w:p>
            <w:pPr>
              <w:jc w:val="right"/>
              <w:ind w:right="220"/>
              <w:spacing w:after="0"/>
              <w:rPr>
                <w:sz w:val="20"/>
                <w:szCs w:val="20"/>
                <w:color w:val="auto"/>
              </w:rPr>
            </w:pPr>
            <w:r>
              <w:rPr>
                <w:rFonts w:ascii="Arial" w:cs="Arial" w:eastAsia="Arial" w:hAnsi="Arial"/>
                <w:sz w:val="17"/>
                <w:szCs w:val="17"/>
                <w:color w:val="auto"/>
              </w:rPr>
              <w:t>8,145,834</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32%</w:t>
            </w:r>
          </w:p>
        </w:tc>
        <w:tc>
          <w:tcPr>
            <w:tcW w:w="3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7"/>
                <w:szCs w:val="17"/>
                <w:color w:val="auto"/>
              </w:rPr>
              <w:t>146,625,012</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18.00</w:t>
            </w:r>
          </w:p>
        </w:tc>
      </w:tr>
      <w:tr>
        <w:trPr>
          <w:trHeight w:val="20"/>
        </w:trPr>
        <w:tc>
          <w:tcPr>
            <w:tcW w:w="3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3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Total</w:t>
            </w:r>
          </w:p>
        </w:tc>
        <w:tc>
          <w:tcPr>
            <w:tcW w:w="1180" w:type="dxa"/>
            <w:vAlign w:val="bottom"/>
            <w:tcBorders>
              <w:right w:val="single" w:sz="8" w:color="CCEEFF"/>
            </w:tcBorders>
            <w:gridSpan w:val="4"/>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25,831,965</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262,120,945</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10.15</w:t>
            </w:r>
          </w:p>
        </w:tc>
      </w:tr>
    </w:tbl>
    <w:p>
      <w:pPr>
        <w:spacing w:after="0" w:line="213" w:lineRule="exact"/>
        <w:rPr>
          <w:sz w:val="20"/>
          <w:szCs w:val="20"/>
          <w:color w:val="auto"/>
        </w:rPr>
      </w:pPr>
    </w:p>
    <w:p>
      <w:pPr>
        <w:ind w:right="240" w:firstLine="470"/>
        <w:spacing w:after="0" w:line="245"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65% of the total number of shares of our common stock outstanding after this offering, and the number of shares of common stock held by new investors participating in the offering would be increased to 35% of the total number of shares of our common stock outstanding after this offering.</w:t>
      </w:r>
    </w:p>
    <w:p>
      <w:pPr>
        <w:spacing w:after="0" w:line="198"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The number of shares of common stock to be outstanding after this offering is based on 2,218,652 shares of common stock outstanding as of December 31, 2014, including 425,279 shares of unvested restricted stock subject to repurchase by us and 166,635 stock options that were exercised prior to vesting, and the conversion of all of our outstanding shares of convertible preferred stock upon closing of this offering.</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number of shares of our common stock to be outstanding after this offering excludes the following:</w:t>
      </w:r>
    </w:p>
    <w:p>
      <w:pPr>
        <w:spacing w:after="0" w:line="211" w:lineRule="exact"/>
        <w:rPr>
          <w:sz w:val="20"/>
          <w:szCs w:val="20"/>
          <w:color w:val="auto"/>
        </w:rPr>
      </w:pPr>
    </w:p>
    <w:p>
      <w:pPr>
        <w:ind w:left="1060" w:right="4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1,335,277 shares of common stock issuable upon the exercise of outstanding stock options as of December 31, 2014 having a weighted-average exercise price of $2.05 per share;</w:t>
      </w:r>
    </w:p>
    <w:p>
      <w:pPr>
        <w:spacing w:after="0" w:line="192"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42,423 shares of common stock issuable upon the exercise of outstanding warrants as of December 31, 2014 having a weighted-average exercise price of $5.89 per share;</w:t>
      </w:r>
    </w:p>
    <w:p>
      <w:pPr>
        <w:spacing w:after="0" w:line="179"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572,638 shares of common stock issuable upon the exercise of stock options granted in February and March 2015 having a weighted-average exercise price of $8.92 per share and 10,000 shares issued to a former employee in March 2015;</w:t>
      </w:r>
    </w:p>
    <w:p>
      <w:pPr>
        <w:spacing w:after="0" w:line="179"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1,460,084 shares of common stock reserved for future issuance under our 2015 Stock Option Plan, which will become effective upon the completion of this offering; and</w:t>
      </w:r>
    </w:p>
    <w:p>
      <w:pPr>
        <w:spacing w:after="0" w:line="192"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243,347 shares of common stock reserved for future issuance under our 2015 ESPP, which will become effective upon the completion of this offering.</w:t>
      </w:r>
    </w:p>
    <w:p>
      <w:pPr>
        <w:spacing w:after="0" w:line="193"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securities or convertible debt securities in the future.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31" w:lineRule="exact"/>
        <w:rPr>
          <w:sz w:val="20"/>
          <w:szCs w:val="20"/>
          <w:color w:val="auto"/>
        </w:rPr>
      </w:pPr>
    </w:p>
    <w:p>
      <w:pPr>
        <w:ind w:right="80" w:firstLine="470"/>
        <w:spacing w:after="0" w:line="244" w:lineRule="auto"/>
        <w:rPr>
          <w:sz w:val="20"/>
          <w:szCs w:val="20"/>
          <w:color w:val="auto"/>
        </w:rPr>
      </w:pPr>
      <w:r>
        <w:rPr>
          <w:rFonts w:ascii="Arial" w:cs="Arial" w:eastAsia="Arial" w:hAnsi="Arial"/>
          <w:sz w:val="17"/>
          <w:szCs w:val="17"/>
          <w:color w:val="auto"/>
        </w:rPr>
        <w:t>You should read the following selected financial data together with our financial statements and the related notes appearing at the end of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Our historical results are not necessarily indicative of the results that should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9"/>
          </w:tcPr>
          <w:p>
            <w:pPr>
              <w:jc w:val="center"/>
              <w:ind w:right="2040"/>
              <w:spacing w:after="0" w:line="139" w:lineRule="exact"/>
              <w:rPr>
                <w:sz w:val="20"/>
                <w:szCs w:val="20"/>
                <w:color w:val="auto"/>
              </w:rPr>
            </w:pPr>
            <w:r>
              <w:rPr>
                <w:rFonts w:ascii="Arial" w:cs="Arial" w:eastAsia="Arial" w:hAnsi="Arial"/>
                <w:sz w:val="14"/>
                <w:szCs w:val="14"/>
                <w:b w:val="1"/>
                <w:bCs w:val="1"/>
                <w:color w:val="auto"/>
                <w:w w:val="97"/>
              </w:rPr>
              <w:t>(in thousands, except</w:t>
            </w: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9"/>
          </w:tcPr>
          <w:p>
            <w:pPr>
              <w:jc w:val="center"/>
              <w:ind w:right="2080"/>
              <w:spacing w:after="0"/>
              <w:rPr>
                <w:sz w:val="20"/>
                <w:szCs w:val="20"/>
                <w:color w:val="auto"/>
              </w:rPr>
            </w:pPr>
            <w:r>
              <w:rPr>
                <w:rFonts w:ascii="Arial" w:cs="Arial" w:eastAsia="Arial" w:hAnsi="Arial"/>
                <w:sz w:val="14"/>
                <w:szCs w:val="14"/>
                <w:b w:val="1"/>
                <w:bCs w:val="1"/>
                <w:color w:val="auto"/>
                <w:w w:val="99"/>
              </w:rPr>
              <w:t>per share data)</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80" w:type="dxa"/>
            <w:vAlign w:val="bottom"/>
            <w:gridSpan w:val="2"/>
          </w:tcPr>
          <w:p>
            <w:pPr>
              <w:ind w:left="1720"/>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15,928</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31,844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5,072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7,890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21,000</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39,734</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680" w:type="dxa"/>
            <w:vAlign w:val="bottom"/>
            <w:gridSpan w:val="2"/>
          </w:tcPr>
          <w:p>
            <w:pPr>
              <w:ind w:left="1720"/>
              <w:spacing w:after="0"/>
              <w:rPr>
                <w:sz w:val="20"/>
                <w:szCs w:val="20"/>
                <w:color w:val="auto"/>
              </w:rPr>
            </w:pPr>
            <w:r>
              <w:rPr>
                <w:rFonts w:ascii="Arial" w:cs="Arial" w:eastAsia="Arial" w:hAnsi="Arial"/>
                <w:sz w:val="17"/>
                <w:szCs w:val="17"/>
                <w:color w:val="auto"/>
              </w:rPr>
              <w:t>Other income (expense):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960" w:type="dxa"/>
            <w:vAlign w:val="bottom"/>
          </w:tcPr>
          <w:p>
            <w:pPr>
              <w:ind w:left="180"/>
              <w:spacing w:after="0"/>
              <w:rPr>
                <w:sz w:val="20"/>
                <w:szCs w:val="20"/>
                <w:color w:val="auto"/>
              </w:rPr>
            </w:pPr>
            <w:r>
              <w:rPr>
                <w:rFonts w:ascii="Arial" w:cs="Arial" w:eastAsia="Arial" w:hAnsi="Arial"/>
                <w:sz w:val="17"/>
                <w:szCs w:val="17"/>
                <w:color w:val="auto"/>
              </w:rPr>
              <w:t>Interest and other expense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7"/>
                <w:szCs w:val="17"/>
                <w:color w:val="auto"/>
              </w:rPr>
              <w:t>(138)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(453)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income (expense)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(551)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loss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(20,912)</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(40,285)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Convertible preferred stock dividends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(2,870)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(5,765)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loss applicable to common stockholders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(23,782)</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(46,050)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per share applicable to common stockholders — basic and diluted(1)</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(23.43)</w:t>
            </w:r>
          </w:p>
        </w:tc>
        <w:tc>
          <w:tcPr>
            <w:tcW w:w="2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(32.41)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Weighted-average number of common shares used in net loss per share</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1,015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1,421</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20" w:type="dxa"/>
            <w:vAlign w:val="bottom"/>
          </w:tcPr>
          <w:p>
            <w:pPr>
              <w:spacing w:after="0"/>
              <w:rPr>
                <w:sz w:val="15"/>
                <w:szCs w:val="15"/>
                <w:color w:val="auto"/>
              </w:rPr>
            </w:pPr>
          </w:p>
        </w:tc>
        <w:tc>
          <w:tcPr>
            <w:tcW w:w="59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applicable to common stockholders — basic and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diluted (unaudited)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(3.07)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 forma weighted average number of common shares used in net loss per</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960" w:type="dxa"/>
            <w:vAlign w:val="bottom"/>
          </w:tcPr>
          <w:p>
            <w:pPr>
              <w:ind w:left="180"/>
              <w:spacing w:after="0" w:line="194" w:lineRule="exact"/>
              <w:rPr>
                <w:sz w:val="20"/>
                <w:szCs w:val="20"/>
                <w:color w:val="auto"/>
              </w:rPr>
            </w:pPr>
            <w:r>
              <w:rPr>
                <w:rFonts w:ascii="Arial" w:cs="Arial" w:eastAsia="Arial" w:hAnsi="Arial"/>
                <w:sz w:val="17"/>
                <w:szCs w:val="17"/>
                <w:color w:val="auto"/>
              </w:rPr>
              <w:t>share applicable to common stockholders — basic and diluted (unaudited)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13,083</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jc w:val="right"/>
              <w:ind w:right="1795"/>
              <w:spacing w:after="0"/>
              <w:rPr>
                <w:sz w:val="20"/>
                <w:szCs w:val="20"/>
                <w:color w:val="auto"/>
              </w:rPr>
            </w:pPr>
            <w:r>
              <w:rPr>
                <w:rFonts w:ascii="Arial" w:cs="Arial" w:eastAsia="Arial" w:hAnsi="Arial"/>
                <w:sz w:val="17"/>
                <w:szCs w:val="17"/>
                <w:color w:val="auto"/>
              </w:rPr>
              <w:t>62</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6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59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8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As of</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99"/>
              </w:rPr>
              <w:t>December 31,</w:t>
            </w:r>
          </w:p>
        </w:tc>
      </w:tr>
      <w:tr>
        <w:trPr>
          <w:trHeight w:val="190"/>
        </w:trPr>
        <w:tc>
          <w:tcPr>
            <w:tcW w:w="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1,987</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47,240</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capital(2)</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41,510</w:t>
            </w: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4,135</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49,925</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 payable, net of current portion</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2,155</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7,338</w:t>
            </w:r>
          </w:p>
        </w:tc>
        <w:tc>
          <w:tcPr>
            <w:tcW w:w="160" w:type="dxa"/>
            <w:vAlign w:val="bottom"/>
            <w:shd w:val="clear" w:color="auto" w:fill="CCEEFF"/>
          </w:tcPr>
          <w:p>
            <w:pPr>
              <w:spacing w:after="0"/>
              <w:rPr>
                <w:sz w:val="17"/>
                <w:szCs w:val="17"/>
                <w:color w:val="auto"/>
              </w:rPr>
            </w:pPr>
          </w:p>
        </w:tc>
      </w:tr>
      <w:tr>
        <w:trPr>
          <w:trHeight w:val="197"/>
        </w:trPr>
        <w:tc>
          <w:tcPr>
            <w:tcW w:w="4440" w:type="dxa"/>
            <w:vAlign w:val="bottom"/>
            <w:gridSpan w:val="2"/>
          </w:tcPr>
          <w:p>
            <w:pPr>
              <w:spacing w:after="0"/>
              <w:rPr>
                <w:sz w:val="20"/>
                <w:szCs w:val="20"/>
                <w:color w:val="auto"/>
              </w:rPr>
            </w:pPr>
            <w:r>
              <w:rPr>
                <w:rFonts w:ascii="Arial" w:cs="Arial" w:eastAsia="Arial" w:hAnsi="Arial"/>
                <w:sz w:val="17"/>
                <w:szCs w:val="17"/>
                <w:color w:val="auto"/>
              </w:rPr>
              <w:t>Warrant liability</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119</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7"/>
                <w:szCs w:val="17"/>
                <w:color w:val="auto"/>
              </w:rPr>
            </w:pPr>
          </w:p>
        </w:tc>
      </w:tr>
      <w:tr>
        <w:trPr>
          <w:trHeight w:val="197"/>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39,958</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114,811</w:t>
            </w:r>
          </w:p>
        </w:tc>
        <w:tc>
          <w:tcPr>
            <w:tcW w:w="160" w:type="dxa"/>
            <w:vAlign w:val="bottom"/>
            <w:shd w:val="clear" w:color="auto" w:fill="CCEEFF"/>
          </w:tcPr>
          <w:p>
            <w:pPr>
              <w:spacing w:after="0"/>
              <w:rPr>
                <w:sz w:val="17"/>
                <w:szCs w:val="17"/>
                <w:color w:val="auto"/>
              </w:rPr>
            </w:pPr>
          </w:p>
        </w:tc>
      </w:tr>
      <w:tr>
        <w:trPr>
          <w:trHeight w:val="207"/>
        </w:trPr>
        <w:tc>
          <w:tcPr>
            <w:tcW w:w="444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(41,454)</w:t>
            </w:r>
          </w:p>
        </w:tc>
        <w:tc>
          <w:tcPr>
            <w:tcW w:w="3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(79,382)</w:t>
            </w:r>
          </w:p>
        </w:tc>
      </w:tr>
      <w:tr>
        <w:trPr>
          <w:trHeight w:val="94"/>
        </w:trPr>
        <w:tc>
          <w:tcPr>
            <w:tcW w:w="82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ind w:left="2240" w:hanging="523"/>
        <w:spacing w:after="0" w:line="246" w:lineRule="auto"/>
        <w:tabs>
          <w:tab w:leader="none" w:pos="2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98" w:lineRule="exact"/>
        <w:rPr>
          <w:rFonts w:ascii="Arial" w:cs="Arial" w:eastAsia="Arial" w:hAnsi="Arial"/>
          <w:sz w:val="17"/>
          <w:szCs w:val="17"/>
          <w:color w:val="auto"/>
        </w:rPr>
      </w:pPr>
    </w:p>
    <w:p>
      <w:pPr>
        <w:ind w:left="2240" w:hanging="523"/>
        <w:spacing w:after="0"/>
        <w:tabs>
          <w:tab w:leader="none" w:pos="2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20"/>
          </w:cols>
          <w:pgMar w:left="240" w:top="143" w:right="7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firstLine="473"/>
        <w:spacing w:after="0" w:line="24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96"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for patients with systemic mastocytosis, a myeloproliferative disorder of the mast cells, and defined subsets of patients with gastrointestinal stromal tumor,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pre-clinical models and we expect to file Investigational New Drug applications, or INDs, in mid-2015 and initiate our Phase 1 clinical trials in mid-2015.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204" w:lineRule="exact"/>
        <w:rPr>
          <w:sz w:val="20"/>
          <w:szCs w:val="20"/>
          <w:color w:val="auto"/>
        </w:rPr>
      </w:pPr>
    </w:p>
    <w:p>
      <w:pPr>
        <w:ind w:right="180" w:firstLine="474"/>
        <w:spacing w:after="0" w:line="242" w:lineRule="auto"/>
        <w:rPr>
          <w:sz w:val="20"/>
          <w:szCs w:val="20"/>
          <w:color w:val="auto"/>
        </w:rPr>
      </w:pPr>
      <w:r>
        <w:rPr>
          <w:rFonts w:ascii="Arial" w:cs="Arial" w:eastAsia="Arial" w:hAnsi="Arial"/>
          <w:sz w:val="17"/>
          <w:szCs w:val="17"/>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pre-clinical studies, and conducting pre-clinical studies, including Good Laboratory Practice, or GLP, toxicology studies. We expect to begin conducting clinical trials in mid-2015. We do not have any drugs approved for sale and have not generated any revenue from drug sales. We have funded our operations primarily through private placements of our convertible preferred stock and debt financing. From inception through December 31, 2014, we have raised an aggregate of $125.1 million of gross proceeds to fund our operations, of which $115.1 million was from the issuance of convertible preferred stock and $10.0 million was from a debt financing.</w:t>
      </w:r>
    </w:p>
    <w:p>
      <w:pPr>
        <w:spacing w:after="0" w:line="206"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Since inception, we have incurred significant operating losses. Our net losses were $20.9 million and $40.3 million for the years ended December 31, 2013 and 2014, respectively. As of December 31, 2014, we had an accumulated deficit of $82.2 million. We expect to continue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incur significant expenses and operating losses over the next several years. We anticipate that our expenses will increase significantly in connection with our ongoing activities, as we:</w:t>
      </w:r>
    </w:p>
    <w:p>
      <w:pPr>
        <w:spacing w:after="0" w:line="193" w:lineRule="exact"/>
        <w:rPr>
          <w:sz w:val="20"/>
          <w:szCs w:val="20"/>
          <w:color w:val="auto"/>
        </w:rPr>
      </w:pPr>
    </w:p>
    <w:p>
      <w:pPr>
        <w:ind w:left="1060" w:right="300" w:hanging="531"/>
        <w:spacing w:after="0" w:line="25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continue IND enabling activities and commence the planned clinical development activities for our lead drug candidates BLU-285 and BLU-554;</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continue to discover, validate and develop additional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hire additional research, development and business personnel;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upon the closing of this offering.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Operations Overview</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 xml:space="preserve">To date, we have not generated any revenue from drug sales and do not expect to generate any revenue from the sale of drugs in the near future. As of December 31, 2014, we had not generated any revenue from collaboration agreements, research fees, or license fees. In March 2015, we executed a research, development and commercialization agreement with Alexion Pharma Holding, or Alexion. The terms of this arrangement contain multiple deliverables. We evaluate multiple-element arrangements to determine (1) the deliverables included in the arrangement and (2) whether the deliverables represent separate units of accounting or whether they must be accounted for as a combined unit of accounting. We recognize arrangement consideration allocated to each unit of accounting when all of the revenue recognition criteria in Financial Accounting Standards Board, or FASB, Accounting Standards Codification, or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or ASC 605 are satisfied for that unit of accounting.</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the future, we will seek to generate revenue from a combination of drug sales and additional strategic relationships we may enter into.</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drug discovery efforts, and the development of our drug candidates, which include:</w:t>
      </w:r>
    </w:p>
    <w:p>
      <w:pPr>
        <w:spacing w:after="0" w:line="193"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197"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that conduct research and development, pre-clinical activities and manufacturing on our behalf;</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 of consultants;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 of lab supplies and acquiring, developing, and manufacturing pre-clinical study materials; and</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direct and allocated expenses for rent and maintenance of facilities, insurance, and other operating costs.</w:t>
      </w:r>
    </w:p>
    <w:p>
      <w:pPr>
        <w:spacing w:after="0" w:line="193"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development activities are deferred and capitalized. The capitalized amounts are expensed as the related goods are delivered or the services are performed.</w:t>
      </w:r>
    </w:p>
    <w:p>
      <w:pPr>
        <w:spacing w:after="0" w:line="19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98"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establishing an appropriate safety profile with IND-enabling toxicology studies;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receipt of marketing approvals from applicable regulatory authorities;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commercializing the drug candidates, if and when approved, whether alone or in collaboration with others;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continued acceptable safety profile of the drugs following approval.</w:t>
      </w:r>
    </w:p>
    <w:p>
      <w:pPr>
        <w:spacing w:after="0" w:line="211" w:lineRule="exact"/>
        <w:rPr>
          <w:sz w:val="20"/>
          <w:szCs w:val="20"/>
          <w:color w:val="auto"/>
        </w:rPr>
      </w:pPr>
    </w:p>
    <w:p>
      <w:pPr>
        <w:ind w:right="100" w:firstLine="464"/>
        <w:spacing w:after="0" w:line="252"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93"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01"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 significant portion of our research and development costs have been external costs, which we track on a program-by-program basis following nomination as a development candidate. Our internal research and development costs are primarily personnel-related costs, depreciation and other indirect costs. We do not track our internal research and development expenses on a program-by-program basis as they are deployed across multiple projects under development. The following table summarizes our external research and development expenses, by program following nomination as a development candidate, for the year ended December 31, 2014. Pre-development candidate expenses, unallocated costs and internal research and development costs have been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classified separately. We had not yet nominated any development candidates for the year ended December 31, 2013.</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Year Ended</w:t>
            </w:r>
          </w:p>
        </w:tc>
      </w:tr>
      <w:tr>
        <w:trPr>
          <w:trHeight w:val="214"/>
        </w:trPr>
        <w:tc>
          <w:tcPr>
            <w:tcW w:w="5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December 31, 2014</w:t>
            </w:r>
          </w:p>
        </w:tc>
        <w:tc>
          <w:tcPr>
            <w:tcW w:w="240" w:type="dxa"/>
            <w:vAlign w:val="bottom"/>
            <w:gridSpan w:val="2"/>
          </w:tcPr>
          <w:p>
            <w:pPr>
              <w:spacing w:after="0"/>
              <w:rPr>
                <w:sz w:val="18"/>
                <w:szCs w:val="18"/>
                <w:color w:val="auto"/>
              </w:rPr>
            </w:pPr>
          </w:p>
        </w:tc>
      </w:tr>
      <w:tr>
        <w:trPr>
          <w:trHeight w:val="190"/>
        </w:trPr>
        <w:tc>
          <w:tcPr>
            <w:tcW w:w="5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(in thousands)</w:t>
            </w: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BLU-285 external costs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5,290</w:t>
            </w:r>
          </w:p>
        </w:tc>
        <w:tc>
          <w:tcPr>
            <w:tcW w:w="160" w:type="dxa"/>
            <w:vAlign w:val="bottom"/>
            <w:shd w:val="clear" w:color="auto" w:fill="CCEEFF"/>
          </w:tcPr>
          <w:p>
            <w:pPr>
              <w:spacing w:after="0"/>
              <w:rPr>
                <w:sz w:val="17"/>
                <w:szCs w:val="17"/>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BLU-554 external costs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3,437</w:t>
            </w:r>
          </w:p>
        </w:tc>
        <w:tc>
          <w:tcPr>
            <w:tcW w:w="160" w:type="dxa"/>
            <w:vAlign w:val="bottom"/>
          </w:tcPr>
          <w:p>
            <w:pPr>
              <w:spacing w:after="0"/>
              <w:rPr>
                <w:sz w:val="17"/>
                <w:szCs w:val="17"/>
                <w:color w:val="auto"/>
              </w:rPr>
            </w:pP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Pre-development candidate expenses and unallocated costs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13,855</w:t>
            </w:r>
          </w:p>
        </w:tc>
        <w:tc>
          <w:tcPr>
            <w:tcW w:w="160" w:type="dxa"/>
            <w:vAlign w:val="bottom"/>
            <w:shd w:val="clear" w:color="auto" w:fill="CCEEFF"/>
          </w:tcPr>
          <w:p>
            <w:pPr>
              <w:spacing w:after="0"/>
              <w:rPr>
                <w:sz w:val="17"/>
                <w:szCs w:val="17"/>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Internal research and development costs</w:t>
            </w:r>
          </w:p>
        </w:tc>
        <w:tc>
          <w:tcPr>
            <w:tcW w:w="7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9,262</w:t>
            </w:r>
          </w:p>
        </w:tc>
        <w:tc>
          <w:tcPr>
            <w:tcW w:w="1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31,844</w:t>
            </w:r>
          </w:p>
        </w:tc>
        <w:tc>
          <w:tcPr>
            <w:tcW w:w="160" w:type="dxa"/>
            <w:vAlign w:val="bottom"/>
            <w:shd w:val="clear" w:color="auto" w:fill="CCEEFF"/>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business development, legal and human resources functions. Stock-based compensation includes expense associated with stock-based awards issued to non-employees, including directors for non-board related services. Other significant costs include facility costs not otherwise included in research and development expenses, legal fees relating to patent and corporate matters and fees for accounting and consulting services.</w:t>
      </w:r>
    </w:p>
    <w:p>
      <w:pPr>
        <w:spacing w:after="0" w:line="199"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including the initiation of our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director and officer insurance premiums and investor relations costs.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9" w:lineRule="exact"/>
        <w:rPr>
          <w:sz w:val="20"/>
          <w:szCs w:val="20"/>
          <w:color w:val="auto"/>
        </w:rPr>
      </w:pPr>
    </w:p>
    <w:p>
      <w:pPr>
        <w:ind w:right="400" w:firstLine="474"/>
        <w:spacing w:after="0" w:line="246" w:lineRule="auto"/>
        <w:rPr>
          <w:sz w:val="20"/>
          <w:szCs w:val="20"/>
          <w:color w:val="auto"/>
        </w:rPr>
      </w:pPr>
      <w:r>
        <w:rPr>
          <w:rFonts w:ascii="Arial" w:cs="Arial" w:eastAsia="Arial" w:hAnsi="Arial"/>
          <w:sz w:val="17"/>
          <w:szCs w:val="17"/>
          <w:color w:val="auto"/>
        </w:rPr>
        <w:t>Other income (expense) consists primarily of interest expense on amounts outstanding under a loan and security agreement, or Loan and Security Agreement, that we entered into with Silicon Valley Bank in May 2013, amortization of debt discount and the re-measurement gain or loss associated with the change in the fair value of the convertible preferred stock warrant liability.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Research and Development Expenses</w:t>
      </w:r>
    </w:p>
    <w:p>
      <w:pPr>
        <w:spacing w:after="0" w:line="229"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06"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6" w:lineRule="exact"/>
        <w:rPr>
          <w:sz w:val="20"/>
          <w:szCs w:val="20"/>
          <w:color w:val="auto"/>
        </w:rPr>
      </w:pPr>
    </w:p>
    <w:p>
      <w:pPr>
        <w:ind w:right="120" w:firstLine="464"/>
        <w:spacing w:after="0" w:line="24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29"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We expense the fair value of employee stock awards, net of estimated forfeitures, adjusted to reflect actual forfeitures, over the requisite service period, which is typically the vesting period. Compensation cost for restricted stock awards issued to employees is measured using the grant date intrinsic value of the award, net of estimated forfeitures, and is adjusted to reflect actual forfeitures. We estimate the fair value of options granted to employees at the date of grant using the Black-Scholes option-pricing model that requires management to apply judgment and make estimates, including:</w:t>
      </w:r>
    </w:p>
    <w:p>
      <w:pPr>
        <w:spacing w:after="0" w:line="199" w:lineRule="exact"/>
        <w:rPr>
          <w:sz w:val="20"/>
          <w:szCs w:val="20"/>
          <w:color w:val="auto"/>
        </w:rPr>
      </w:pPr>
    </w:p>
    <w:p>
      <w:pPr>
        <w:ind w:left="1060" w:right="60" w:hanging="531"/>
        <w:spacing w:after="0" w:line="246"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Since we are privately held as of the date of these financial statements, we do not have relevant historical data to support our expected volatility. As such, we have used an average of</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100"/>
        <w:spacing w:after="0" w:line="242" w:lineRule="auto"/>
        <w:rPr>
          <w:sz w:val="20"/>
          <w:szCs w:val="20"/>
          <w:color w:val="auto"/>
        </w:rPr>
      </w:pPr>
      <w:r>
        <w:rPr>
          <w:rFonts w:ascii="Arial" w:cs="Arial" w:eastAsia="Arial" w:hAnsi="Arial"/>
          <w:sz w:val="17"/>
          <w:szCs w:val="17"/>
          <w:color w:val="auto"/>
        </w:rPr>
        <w:t>expected volatility based on the volatilities of a representative group of publicly traded biopharmaceutical companies. For purposes of identifying representative companies, we considered characteristics such as number of product candidates in early stages of product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We intend to consistently apply this process using the same representative companies until a sufficient amount of historical information regarding the volatility of our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206" w:lineRule="exact"/>
        <w:rPr>
          <w:sz w:val="20"/>
          <w:szCs w:val="20"/>
          <w:color w:val="auto"/>
        </w:rPr>
      </w:pPr>
    </w:p>
    <w:p>
      <w:pPr>
        <w:ind w:left="1060" w:right="200" w:hanging="531"/>
        <w:spacing w:after="0" w:line="25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life assumption;</w:t>
      </w:r>
    </w:p>
    <w:p>
      <w:pPr>
        <w:spacing w:after="0" w:line="192"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expected term, which we calculate using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as we have insufficient historical information regarding our stock options to provide a basis for an estimate;</w:t>
      </w:r>
    </w:p>
    <w:p>
      <w:pPr>
        <w:spacing w:after="0" w:line="185"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fair value of the underlying common shares, which is determined using the option-pricing method, or OPM, or a hybrid of the probability-weighted expected return method, or PWERM, and the OPM, and was approved by our board of directors; and</w:t>
      </w:r>
    </w:p>
    <w:p>
      <w:pPr>
        <w:spacing w:after="0" w:line="179"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we never paid cash dividends and do not expect to pay any cash dividends in the foreseeable future.</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computed the fair value of stock options at the date of grant using the following weighted-average assumptions: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8"/>
              </w:rPr>
              <w:t>Year Ended</w:t>
            </w:r>
          </w:p>
        </w:tc>
        <w:tc>
          <w:tcPr>
            <w:tcW w:w="180" w:type="dxa"/>
            <w:vAlign w:val="bottom"/>
          </w:tcPr>
          <w:p>
            <w:pPr>
              <w:spacing w:after="0"/>
              <w:rPr>
                <w:sz w:val="17"/>
                <w:szCs w:val="17"/>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8"/>
              </w:rPr>
              <w:t>Year Ended</w:t>
            </w:r>
          </w:p>
        </w:tc>
      </w:tr>
      <w:tr>
        <w:trPr>
          <w:trHeight w:val="225"/>
        </w:trPr>
        <w:tc>
          <w:tcPr>
            <w:tcW w:w="58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9"/>
              </w:rPr>
              <w:t>December 31, 2013</w:t>
            </w:r>
          </w:p>
        </w:tc>
        <w:tc>
          <w:tcPr>
            <w:tcW w:w="180" w:type="dxa"/>
            <w:vAlign w:val="bottom"/>
          </w:tcPr>
          <w:p>
            <w:pPr>
              <w:spacing w:after="0"/>
              <w:rPr>
                <w:sz w:val="19"/>
                <w:szCs w:val="19"/>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December 31, 2014</w:t>
            </w:r>
          </w:p>
        </w:tc>
      </w:tr>
      <w:tr>
        <w:trPr>
          <w:trHeight w:val="178"/>
        </w:trPr>
        <w:tc>
          <w:tcPr>
            <w:tcW w:w="5820" w:type="dxa"/>
            <w:vAlign w:val="bottom"/>
            <w:tcBorders>
              <w:top w:val="single" w:sz="8" w:color="CCEEFF"/>
            </w:tcBorders>
            <w:shd w:val="clear" w:color="auto" w:fill="CCEEFF"/>
          </w:tcPr>
          <w:p>
            <w:pPr>
              <w:ind w:left="20"/>
              <w:spacing w:after="0" w:line="178" w:lineRule="exact"/>
              <w:rPr>
                <w:sz w:val="20"/>
                <w:szCs w:val="20"/>
                <w:color w:val="auto"/>
              </w:rPr>
            </w:pPr>
            <w:r>
              <w:rPr>
                <w:rFonts w:ascii="Arial" w:cs="Arial" w:eastAsia="Arial" w:hAnsi="Arial"/>
                <w:sz w:val="17"/>
                <w:szCs w:val="17"/>
                <w:color w:val="auto"/>
              </w:rPr>
              <w:t>Risk-free interest rate</w:t>
            </w:r>
          </w:p>
        </w:tc>
        <w:tc>
          <w:tcPr>
            <w:tcW w:w="156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rPr>
              <w:t>1.70% - 2.84%</w:t>
            </w:r>
          </w:p>
        </w:tc>
        <w:tc>
          <w:tcPr>
            <w:tcW w:w="1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rPr>
              <w:t>1.70% - 2.14%</w:t>
            </w:r>
          </w:p>
        </w:tc>
        <w:tc>
          <w:tcPr>
            <w:tcW w:w="20" w:type="dxa"/>
            <w:vAlign w:val="bottom"/>
            <w:tcBorders>
              <w:top w:val="single" w:sz="8" w:color="CCEEFF"/>
            </w:tcBorders>
            <w:shd w:val="clear" w:color="auto" w:fill="CCEEFF"/>
          </w:tcPr>
          <w:p>
            <w:pPr>
              <w:spacing w:after="0"/>
              <w:rPr>
                <w:sz w:val="15"/>
                <w:szCs w:val="15"/>
                <w:color w:val="auto"/>
              </w:rPr>
            </w:pPr>
          </w:p>
        </w:tc>
      </w:tr>
      <w:tr>
        <w:trPr>
          <w:trHeight w:val="197"/>
        </w:trPr>
        <w:tc>
          <w:tcPr>
            <w:tcW w:w="58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7"/>
                <w:szCs w:val="17"/>
                <w:color w:val="auto"/>
                <w:w w:val="99"/>
              </w:rPr>
              <w:t>0.00%</w:t>
            </w:r>
          </w:p>
        </w:tc>
        <w:tc>
          <w:tcPr>
            <w:tcW w:w="1740" w:type="dxa"/>
            <w:vAlign w:val="bottom"/>
            <w:gridSpan w:val="2"/>
          </w:tcPr>
          <w:p>
            <w:pPr>
              <w:jc w:val="center"/>
              <w:ind w:left="95"/>
              <w:spacing w:after="0"/>
              <w:rPr>
                <w:sz w:val="20"/>
                <w:szCs w:val="20"/>
                <w:color w:val="auto"/>
              </w:rPr>
            </w:pPr>
            <w:r>
              <w:rPr>
                <w:rFonts w:ascii="Arial" w:cs="Arial" w:eastAsia="Arial" w:hAnsi="Arial"/>
                <w:sz w:val="17"/>
                <w:szCs w:val="17"/>
                <w:color w:val="auto"/>
                <w:w w:val="99"/>
              </w:rPr>
              <w:t>0.00%</w:t>
            </w:r>
          </w:p>
        </w:tc>
        <w:tc>
          <w:tcPr>
            <w:tcW w:w="20" w:type="dxa"/>
            <w:vAlign w:val="bottom"/>
          </w:tcPr>
          <w:p>
            <w:pPr>
              <w:spacing w:after="0"/>
              <w:rPr>
                <w:sz w:val="17"/>
                <w:szCs w:val="17"/>
                <w:color w:val="auto"/>
              </w:rPr>
            </w:pPr>
          </w:p>
        </w:tc>
      </w:tr>
      <w:tr>
        <w:trPr>
          <w:trHeight w:val="197"/>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6.1</w:t>
            </w:r>
          </w:p>
        </w:tc>
        <w:tc>
          <w:tcPr>
            <w:tcW w:w="1740" w:type="dxa"/>
            <w:vAlign w:val="bottom"/>
            <w:gridSpan w:val="2"/>
            <w:shd w:val="clear" w:color="auto" w:fill="CCEEFF"/>
          </w:tcPr>
          <w:p>
            <w:pPr>
              <w:jc w:val="center"/>
              <w:ind w:left="95"/>
              <w:spacing w:after="0"/>
              <w:rPr>
                <w:sz w:val="20"/>
                <w:szCs w:val="20"/>
                <w:color w:val="auto"/>
              </w:rPr>
            </w:pPr>
            <w:r>
              <w:rPr>
                <w:rFonts w:ascii="Arial" w:cs="Arial" w:eastAsia="Arial" w:hAnsi="Arial"/>
                <w:sz w:val="17"/>
                <w:szCs w:val="17"/>
                <w:color w:val="auto"/>
              </w:rPr>
              <w:t>6.1</w:t>
            </w:r>
          </w:p>
        </w:tc>
        <w:tc>
          <w:tcPr>
            <w:tcW w:w="20" w:type="dxa"/>
            <w:vAlign w:val="bottom"/>
            <w:shd w:val="clear" w:color="auto" w:fill="CCEEFF"/>
          </w:tcPr>
          <w:p>
            <w:pPr>
              <w:spacing w:after="0"/>
              <w:rPr>
                <w:sz w:val="17"/>
                <w:szCs w:val="17"/>
                <w:color w:val="auto"/>
              </w:rPr>
            </w:pPr>
          </w:p>
        </w:tc>
      </w:tr>
      <w:tr>
        <w:trPr>
          <w:trHeight w:val="207"/>
        </w:trPr>
        <w:tc>
          <w:tcPr>
            <w:tcW w:w="5820" w:type="dxa"/>
            <w:vAlign w:val="bottom"/>
          </w:tcPr>
          <w:p>
            <w:pPr>
              <w:ind w:left="20"/>
              <w:spacing w:after="0"/>
              <w:rPr>
                <w:sz w:val="20"/>
                <w:szCs w:val="20"/>
                <w:color w:val="auto"/>
              </w:rPr>
            </w:pPr>
            <w:r>
              <w:rPr>
                <w:rFonts w:ascii="Arial" w:cs="Arial" w:eastAsia="Arial" w:hAnsi="Arial"/>
                <w:sz w:val="17"/>
                <w:szCs w:val="17"/>
                <w:color w:val="auto"/>
              </w:rPr>
              <w:t>Expected stock price volatility</w:t>
            </w:r>
          </w:p>
        </w:tc>
        <w:tc>
          <w:tcPr>
            <w:tcW w:w="1560" w:type="dxa"/>
            <w:vAlign w:val="bottom"/>
          </w:tcPr>
          <w:p>
            <w:pPr>
              <w:jc w:val="center"/>
              <w:spacing w:after="0"/>
              <w:rPr>
                <w:sz w:val="20"/>
                <w:szCs w:val="20"/>
                <w:color w:val="auto"/>
              </w:rPr>
            </w:pPr>
            <w:r>
              <w:rPr>
                <w:rFonts w:ascii="Arial" w:cs="Arial" w:eastAsia="Arial" w:hAnsi="Arial"/>
                <w:sz w:val="17"/>
                <w:szCs w:val="17"/>
                <w:color w:val="auto"/>
                <w:w w:val="97"/>
              </w:rPr>
              <w:t>88.96%</w:t>
            </w:r>
          </w:p>
        </w:tc>
        <w:tc>
          <w:tcPr>
            <w:tcW w:w="1740" w:type="dxa"/>
            <w:vAlign w:val="bottom"/>
            <w:gridSpan w:val="2"/>
          </w:tcPr>
          <w:p>
            <w:pPr>
              <w:jc w:val="center"/>
              <w:ind w:left="115"/>
              <w:spacing w:after="0"/>
              <w:rPr>
                <w:sz w:val="20"/>
                <w:szCs w:val="20"/>
                <w:color w:val="auto"/>
              </w:rPr>
            </w:pPr>
            <w:r>
              <w:rPr>
                <w:rFonts w:ascii="Arial" w:cs="Arial" w:eastAsia="Arial" w:hAnsi="Arial"/>
                <w:sz w:val="17"/>
                <w:szCs w:val="17"/>
                <w:color w:val="auto"/>
              </w:rPr>
              <w:t>92.99%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Stock-based awards issued to non-employees, including directors for non-board 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 In accordance with the Accounting Standards Codification, or ASC, 718, stock-based awards subject to both performance-and service-based vesting conditions are recognized using an accelerated attribution model.</w:t>
      </w:r>
    </w:p>
    <w:p>
      <w:pPr>
        <w:spacing w:after="0" w:line="199"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amount of stock-based compensation expense recognized during a period is based on the value of the portion of the awards that are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We evaluate our forfeiture rate at each reporting period. Ultimately, the actual expense recognized over the vesting period will be for only those options that vest.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Valuation</w:t>
      </w:r>
    </w:p>
    <w:p>
      <w:pPr>
        <w:spacing w:after="0" w:line="231"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following table presents the grant dates, numbers of underlying shares of common stock and the per share exercise prices of stock options granted between January 1, 2014 and the date of this prospectus, along with the fair value per share utilized to calculate stock-based compensation expense:</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Fair Value of</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9"/>
              </w:rPr>
              <w:t>Exercise Price</w:t>
            </w:r>
          </w:p>
        </w:tc>
        <w:tc>
          <w:tcPr>
            <w:tcW w:w="140" w:type="dxa"/>
            <w:vAlign w:val="bottom"/>
          </w:tcPr>
          <w:p>
            <w:pPr>
              <w:spacing w:after="0"/>
              <w:rPr>
                <w:sz w:val="17"/>
                <w:szCs w:val="17"/>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Common Stock</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Per Share</w:t>
            </w:r>
          </w:p>
        </w:tc>
      </w:tr>
      <w:tr>
        <w:trPr>
          <w:trHeight w:val="197"/>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99"/>
              </w:rPr>
              <w:t>Type of</w:t>
            </w:r>
          </w:p>
        </w:tc>
        <w:tc>
          <w:tcPr>
            <w:tcW w:w="2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of Award per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per Share on</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Estimated Fair</w:t>
            </w:r>
          </w:p>
        </w:tc>
      </w:tr>
      <w:tr>
        <w:trPr>
          <w:trHeight w:val="21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Date of Issuance</w:t>
            </w:r>
          </w:p>
        </w:tc>
        <w:tc>
          <w:tcPr>
            <w:tcW w:w="70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Award</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Share(1)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Grant Date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Value of Award(2)(3)</w:t>
            </w:r>
          </w:p>
        </w:tc>
        <w:tc>
          <w:tcPr>
            <w:tcW w:w="200" w:type="dxa"/>
            <w:vAlign w:val="bottom"/>
          </w:tcPr>
          <w:p>
            <w:pPr>
              <w:spacing w:after="0"/>
              <w:rPr>
                <w:sz w:val="18"/>
                <w:szCs w:val="18"/>
                <w:color w:val="auto"/>
              </w:rPr>
            </w:pPr>
          </w:p>
        </w:tc>
      </w:tr>
      <w:tr>
        <w:trPr>
          <w:trHeight w:val="190"/>
        </w:trPr>
        <w:tc>
          <w:tcPr>
            <w:tcW w:w="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3/6/14</w:t>
            </w:r>
          </w:p>
        </w:tc>
        <w:tc>
          <w:tcPr>
            <w:tcW w:w="7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96,906</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1.87</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1.87</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1.43</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5/6/14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71,817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1.87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1.43</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7/30/14</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595,142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4.24(4) $</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8/18/14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351,331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tcPr>
          <w:p>
            <w:pPr>
              <w:jc w:val="right"/>
              <w:spacing w:after="0"/>
              <w:rPr>
                <w:sz w:val="20"/>
                <w:szCs w:val="20"/>
                <w:color w:val="auto"/>
              </w:rPr>
            </w:pPr>
            <w:r>
              <w:rPr>
                <w:rFonts w:ascii="Arial" w:cs="Arial" w:eastAsia="Arial" w:hAnsi="Arial"/>
                <w:sz w:val="17"/>
                <w:szCs w:val="17"/>
                <w:color w:val="auto"/>
              </w:rPr>
              <w:t>4.24(4) $</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3.63</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10/8/14</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47,272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6.16(5) $</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5.45</w:t>
            </w: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12/2/14</w:t>
            </w:r>
          </w:p>
        </w:tc>
        <w:tc>
          <w:tcPr>
            <w:tcW w:w="780" w:type="dxa"/>
            <w:vAlign w:val="bottom"/>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63,635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7.15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7.15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5.39</w:t>
            </w:r>
          </w:p>
        </w:tc>
      </w:tr>
      <w:tr>
        <w:trPr>
          <w:trHeight w:val="197"/>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2/10/15</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466,276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6.44</w:t>
            </w:r>
          </w:p>
        </w:tc>
      </w:tr>
      <w:tr>
        <w:trPr>
          <w:trHeight w:val="207"/>
        </w:trPr>
        <w:tc>
          <w:tcPr>
            <w:tcW w:w="640" w:type="dxa"/>
            <w:vAlign w:val="bottom"/>
          </w:tcPr>
          <w:p>
            <w:pPr>
              <w:spacing w:after="0"/>
              <w:rPr>
                <w:sz w:val="20"/>
                <w:szCs w:val="20"/>
                <w:color w:val="auto"/>
              </w:rPr>
            </w:pPr>
            <w:r>
              <w:rPr>
                <w:rFonts w:ascii="Arial" w:cs="Arial" w:eastAsia="Arial" w:hAnsi="Arial"/>
                <w:sz w:val="17"/>
                <w:szCs w:val="17"/>
                <w:color w:val="auto"/>
              </w:rPr>
              <w:t>3/22/15</w:t>
            </w:r>
          </w:p>
        </w:tc>
        <w:tc>
          <w:tcPr>
            <w:tcW w:w="78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Arial" w:cs="Arial" w:eastAsia="Arial" w:hAnsi="Arial"/>
                <w:sz w:val="17"/>
                <w:szCs w:val="17"/>
                <w:color w:val="auto"/>
              </w:rPr>
              <w:t>Options</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106,632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9.46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9.46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6.60</w:t>
            </w:r>
          </w:p>
        </w:tc>
      </w:tr>
      <w:tr>
        <w:trPr>
          <w:trHeight w:val="94"/>
        </w:trPr>
        <w:tc>
          <w:tcPr>
            <w:tcW w:w="6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213" w:lineRule="exact"/>
        <w:rPr>
          <w:sz w:val="20"/>
          <w:szCs w:val="20"/>
          <w:color w:val="auto"/>
        </w:rPr>
      </w:pPr>
    </w:p>
    <w:p>
      <w:pPr>
        <w:jc w:val="both"/>
        <w:ind w:left="1680" w:hanging="533"/>
        <w:spacing w:after="0" w:line="246" w:lineRule="auto"/>
        <w:tabs>
          <w:tab w:leader="none" w:pos="1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Exercise Price of Award per Share represents the fair value of our common stock on the date of grant, as determined by our board of directors, after taking into account our most recently available contemporaneous valuations of our common stock as well as additional factors that may have changed since the date of such contemporaneous valuation through the date of grant.</w:t>
      </w:r>
    </w:p>
    <w:p>
      <w:pPr>
        <w:spacing w:after="0" w:line="198" w:lineRule="exact"/>
        <w:rPr>
          <w:rFonts w:ascii="Arial" w:cs="Arial" w:eastAsia="Arial" w:hAnsi="Arial"/>
          <w:sz w:val="17"/>
          <w:szCs w:val="17"/>
          <w:color w:val="auto"/>
        </w:rPr>
      </w:pPr>
    </w:p>
    <w:p>
      <w:pPr>
        <w:ind w:left="1680" w:hanging="533"/>
        <w:spacing w:after="0" w:line="252" w:lineRule="auto"/>
        <w:tabs>
          <w:tab w:leader="none" w:pos="1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Per Share Estimated Fair Value of Award reflects the weighted average fair value of options as estimated at the date of grant using the Black-Scholes option-pricing model.</w:t>
      </w:r>
    </w:p>
    <w:p>
      <w:pPr>
        <w:spacing w:after="0" w:line="179" w:lineRule="exact"/>
        <w:rPr>
          <w:rFonts w:ascii="Arial" w:cs="Arial" w:eastAsia="Arial" w:hAnsi="Arial"/>
          <w:sz w:val="17"/>
          <w:szCs w:val="17"/>
          <w:color w:val="auto"/>
        </w:rPr>
      </w:pPr>
    </w:p>
    <w:p>
      <w:pPr>
        <w:ind w:left="1680" w:right="180" w:hanging="533"/>
        <w:spacing w:after="0" w:line="245" w:lineRule="auto"/>
        <w:tabs>
          <w:tab w:leader="none" w:pos="1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the purposes of recording stock-based compensation for grants of options to non-employees, we measure the fair value of the award on the service completion date (vesting date). At the end of each reporting period prior to completion of the services, we re-measure the value of any unvested portion of the award based on the then-current fair value of the award and adjust expense accordingly. Amounts in this column reflect only the grant date fair value of awards to non-employees.</w:t>
      </w:r>
    </w:p>
    <w:p>
      <w:pPr>
        <w:spacing w:after="0" w:line="185" w:lineRule="exact"/>
        <w:rPr>
          <w:rFonts w:ascii="Arial" w:cs="Arial" w:eastAsia="Arial" w:hAnsi="Arial"/>
          <w:sz w:val="17"/>
          <w:szCs w:val="17"/>
          <w:color w:val="auto"/>
        </w:rPr>
      </w:pPr>
    </w:p>
    <w:p>
      <w:pPr>
        <w:ind w:left="1680" w:right="40" w:hanging="533"/>
        <w:spacing w:after="0" w:line="244" w:lineRule="auto"/>
        <w:tabs>
          <w:tab w:leader="none" w:pos="1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the time of the option grants on July 30, 2014 and August 18, 2014, our board of directors determined that the fair value of our common stock of $1.87 per share calculated in the contemporaneous valuation as of January 6, 2014 reasonably reflected the per share fair value of our common stock as of the grant date. However, as described below, the fair value of common stock at the date of these grants was adjusted to $4.24 per share in connection with a retrospective fair value assessment for financial reporting purposes.</w:t>
      </w:r>
    </w:p>
    <w:p>
      <w:pPr>
        <w:spacing w:after="0" w:line="199" w:lineRule="exact"/>
        <w:rPr>
          <w:rFonts w:ascii="Arial" w:cs="Arial" w:eastAsia="Arial" w:hAnsi="Arial"/>
          <w:sz w:val="17"/>
          <w:szCs w:val="17"/>
          <w:color w:val="auto"/>
        </w:rPr>
      </w:pPr>
    </w:p>
    <w:p>
      <w:pPr>
        <w:ind w:left="1680" w:right="60" w:hanging="533"/>
        <w:spacing w:after="0" w:line="245" w:lineRule="auto"/>
        <w:tabs>
          <w:tab w:leader="none" w:pos="1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the time of the option grants on October 8, 2014, our board of directors determined that the fair value of our common stock of $1.87 per share calculated in the contemporaneous valuation as of January 6, 2014 reasonably reflected the per share fair value of our common stock as of the grant date. However, as described below, the fair value of common stock at the date of these grants was adjusted to $6.16 per share in connection with a retrospective fair value assessment for financial reporting purposes.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Fair Value of Common Stock on Grant Dates</w:t>
      </w:r>
    </w:p>
    <w:p>
      <w:pPr>
        <w:spacing w:after="0" w:line="229"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also known as the Practice Aid. Once a public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trading market for our common stock has been established in connection with the completion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99"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For financial reporting purposes, we performed common stock valuations, with the assistance of a third-party specialist, as of January 6, 2014, July 30, 2014, November 10, 2014, February 1, 2015 and March 1, 2015, which resulted in valuations of our common stock of $1.87, $4.24, $7.15, $8.80 and $9.46 per share, respectively, as of those dates. In conducting the valuations, we considered all objective and subjective factors that we believed to be relevant for each valuation conducted, including our best estimate of our business condition, prospects and operating performance at each valuation date. Within the valuations performed, a range of factors, assumptions and methodologies were used. The significant factors included:</w:t>
      </w:r>
    </w:p>
    <w:p>
      <w:pPr>
        <w:spacing w:after="0" w:line="199"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and our convertible preferred stock;</w:t>
      </w:r>
    </w:p>
    <w:p>
      <w:pPr>
        <w:spacing w:after="0" w:line="210"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prices of shares of our convertible preferred stock that we had sold to outside investors in arm's length transactions, and the rights, preferences and privileges of that convertible preferred stock relative to our common stock;</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results of operations, financial position and the status of our research and pre-clinical development efforts;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material risks related to our business;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business strategy;</w:t>
      </w:r>
    </w:p>
    <w:p>
      <w:pPr>
        <w:spacing w:after="0" w:line="197"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market performance of publicly traded companies in the life sciences and biotechnology sectors, and recently completed mergers and acquisitions of companies comparable to us;</w:t>
      </w:r>
    </w:p>
    <w:p>
      <w:pPr>
        <w:spacing w:after="0" w:line="179"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our common stock, such as an initial public offering or sale of the Company given prevailing market conditions;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recent contemporaneous valuations of our common stock prepared in accordance with methodologies outlined in the Practice Aid.</w:t>
      </w:r>
    </w:p>
    <w:p>
      <w:pPr>
        <w:spacing w:after="0" w:line="211"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dates of our contemporaneous valuations have not always coincided with the dates of our stock option grants. In determining the exercise prices of the stock options set forth in the table above, we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pre-clinical development, our operating and financial performance and current business conditions.</w:t>
      </w:r>
    </w:p>
    <w:p>
      <w:pPr>
        <w:spacing w:after="0" w:line="199" w:lineRule="exact"/>
        <w:rPr>
          <w:sz w:val="20"/>
          <w:szCs w:val="20"/>
          <w:color w:val="auto"/>
        </w:rPr>
      </w:pPr>
    </w:p>
    <w:p>
      <w:pPr>
        <w:ind w:right="240" w:firstLine="470"/>
        <w:spacing w:after="0" w:line="244" w:lineRule="auto"/>
        <w:rPr>
          <w:sz w:val="20"/>
          <w:szCs w:val="20"/>
          <w:color w:val="auto"/>
        </w:rPr>
      </w:pPr>
      <w:r>
        <w:rPr>
          <w:rFonts w:ascii="Arial" w:cs="Arial" w:eastAsia="Arial" w:hAnsi="Arial"/>
          <w:sz w:val="17"/>
          <w:szCs w:val="17"/>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IPO, or other liquidity event, the related company valuations associated with such events, and the determinations of the appropriate valuation methods. If we had made different assumptions, our stock-based compensation expense, net loss and net loss per share applicable to common stockholders could have been significantly different.</w:t>
      </w:r>
    </w:p>
    <w:p>
      <w:pPr>
        <w:spacing w:after="0" w:line="179" w:lineRule="exact"/>
        <w:rPr>
          <w:sz w:val="20"/>
          <w:szCs w:val="20"/>
          <w:color w:val="auto"/>
        </w:rPr>
      </w:pPr>
    </w:p>
    <w:p>
      <w:pPr>
        <w:ind w:right="160" w:firstLine="474"/>
        <w:spacing w:after="0" w:line="259"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guidelines in the 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firstLine="474"/>
        <w:spacing w:after="0" w:line="252" w:lineRule="auto"/>
        <w:rPr>
          <w:sz w:val="20"/>
          <w:szCs w:val="20"/>
          <w:color w:val="auto"/>
        </w:rPr>
      </w:pPr>
      <w:r>
        <w:rPr>
          <w:rFonts w:ascii="Arial" w:cs="Arial" w:eastAsia="Arial" w:hAnsi="Arial"/>
          <w:sz w:val="17"/>
          <w:szCs w:val="17"/>
          <w:color w:val="auto"/>
        </w:rPr>
        <w:t>Our common stock valuation as of January 6, 2014 was prepared utilizing OPM. Our common stock as of July 30, 2014, November 10, 2014, February 1, 2015 and March 1, 2015 were prepared utilizing a hybrid of PWERM and the OPM, which we refer to as the hybrid method.</w:t>
      </w:r>
    </w:p>
    <w:p>
      <w:pPr>
        <w:spacing w:after="0" w:line="173" w:lineRule="exact"/>
        <w:rPr>
          <w:sz w:val="20"/>
          <w:szCs w:val="20"/>
          <w:color w:val="auto"/>
        </w:rPr>
      </w:pPr>
    </w:p>
    <w:p>
      <w:pPr>
        <w:ind w:right="1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Methods Used to Allocate Our Enterprise Value to Classes of Securities. </w:t>
      </w:r>
      <w:r>
        <w:rPr>
          <w:rFonts w:ascii="Arial" w:cs="Arial" w:eastAsia="Arial" w:hAnsi="Arial"/>
          <w:sz w:val="17"/>
          <w:szCs w:val="17"/>
          <w:color w:val="auto"/>
        </w:rPr>
        <w:t>In accordance with the Practice Aid, we considered the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methods for allocating the enterprise value across our classes and series of capital stock to determine the fair value of our common stock at each valuation date. The methods we considered consisted of the following:</w:t>
      </w:r>
    </w:p>
    <w:p>
      <w:pPr>
        <w:spacing w:after="0" w:line="167" w:lineRule="exact"/>
        <w:rPr>
          <w:sz w:val="20"/>
          <w:szCs w:val="20"/>
          <w:color w:val="auto"/>
        </w:rPr>
      </w:pPr>
    </w:p>
    <w:p>
      <w:pPr>
        <w:ind w:right="20" w:firstLine="474"/>
        <w:spacing w:after="0" w:line="247" w:lineRule="auto"/>
        <w:rPr>
          <w:sz w:val="20"/>
          <w:szCs w:val="20"/>
          <w:color w:val="auto"/>
        </w:rPr>
      </w:pPr>
      <w:r>
        <w:rPr>
          <w:rFonts w:ascii="Arial" w:cs="Arial" w:eastAsia="Arial" w:hAnsi="Arial"/>
          <w:sz w:val="17"/>
          <w:szCs w:val="17"/>
          <w:b w:val="1"/>
          <w:bCs w:val="1"/>
          <w:i w:val="1"/>
          <w:iCs w:val="1"/>
          <w:color w:val="auto"/>
        </w:rPr>
        <w:t xml:space="preserve">OPM. </w:t>
      </w:r>
      <w:r>
        <w:rPr>
          <w:rFonts w:ascii="Arial" w:cs="Arial" w:eastAsia="Arial" w:hAnsi="Arial"/>
          <w:sz w:val="17"/>
          <w:szCs w:val="17"/>
          <w:color w:val="auto"/>
        </w:rPr>
        <w:t>The OPM treats common stock and convertible preferred stock as call options on the total equity value of a company, with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prices based on the value thresholds at which the allocation among the various holders of a company's securities changes. Under this method, the common stock has value only if the funds available for distribution to stockholders exceeds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w:t>
      </w:r>
    </w:p>
    <w:p>
      <w:pPr>
        <w:spacing w:after="0" w:line="198"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99" w:lineRule="exact"/>
        <w:rPr>
          <w:sz w:val="20"/>
          <w:szCs w:val="20"/>
          <w:color w:val="auto"/>
        </w:rPr>
      </w:pPr>
    </w:p>
    <w:p>
      <w:pPr>
        <w:ind w:right="40" w:firstLine="470"/>
        <w:spacing w:after="0" w:line="244" w:lineRule="auto"/>
        <w:rPr>
          <w:sz w:val="20"/>
          <w:szCs w:val="20"/>
          <w:color w:val="auto"/>
        </w:rPr>
      </w:pPr>
      <w:r>
        <w:rPr>
          <w:rFonts w:ascii="Arial" w:cs="Arial" w:eastAsia="Arial" w:hAnsi="Arial"/>
          <w:sz w:val="17"/>
          <w:szCs w:val="17"/>
          <w:color w:val="auto"/>
        </w:rPr>
        <w:t>The OPM backsolve approach was used to estimate enterprise value under the OPM. The OPM backsolve approach uses the OPM to derive the implied equity value for one type of equity security from a contemporaneous sale transaction involving another type of the company's equity securities. In the OPM, the assumed volatility factor was based on the historical trading volatility of our publicly traded peer companies. At each valuation date, a determination was made by us as to the appropriate volatility to be used, considering such factors as the expected time to a liquidity event and our stage of development.</w:t>
      </w:r>
    </w:p>
    <w:p>
      <w:pPr>
        <w:spacing w:after="0" w:line="199" w:lineRule="exact"/>
        <w:rPr>
          <w:sz w:val="20"/>
          <w:szCs w:val="20"/>
          <w:color w:val="auto"/>
        </w:rPr>
      </w:pPr>
    </w:p>
    <w:p>
      <w:pPr>
        <w:ind w:right="380" w:firstLine="470"/>
        <w:spacing w:after="0" w:line="246" w:lineRule="auto"/>
        <w:rPr>
          <w:sz w:val="20"/>
          <w:szCs w:val="20"/>
          <w:color w:val="auto"/>
        </w:rPr>
      </w:pPr>
      <w:r>
        <w:rPr>
          <w:rFonts w:ascii="Arial" w:cs="Arial" w:eastAsia="Arial" w:hAnsi="Arial"/>
          <w:sz w:val="17"/>
          <w:szCs w:val="17"/>
          <w:color w:val="auto"/>
        </w:rPr>
        <w:t>To derive the fair value of the common stock using the OPM, the proceeds to the common stockholders were calculated based on the preferences and priorities of the convertible preferred stock and common stock. We then applied a discount for lack of marketability to the common stock to account for the lack of access to an active public market.</w:t>
      </w:r>
    </w:p>
    <w:p>
      <w:pPr>
        <w:spacing w:after="0" w:line="179" w:lineRule="exact"/>
        <w:rPr>
          <w:sz w:val="20"/>
          <w:szCs w:val="20"/>
          <w:color w:val="auto"/>
        </w:rPr>
      </w:pPr>
    </w:p>
    <w:p>
      <w:pPr>
        <w:ind w:firstLine="474"/>
        <w:spacing w:after="0" w:line="250" w:lineRule="auto"/>
        <w:rPr>
          <w:sz w:val="20"/>
          <w:szCs w:val="20"/>
          <w:color w:val="auto"/>
        </w:rPr>
      </w:pPr>
      <w:r>
        <w:rPr>
          <w:rFonts w:ascii="Arial" w:cs="Arial" w:eastAsia="Arial" w:hAnsi="Arial"/>
          <w:sz w:val="17"/>
          <w:szCs w:val="17"/>
          <w:b w:val="1"/>
          <w:bCs w:val="1"/>
          <w:i w:val="1"/>
          <w:iCs w:val="1"/>
          <w:color w:val="auto"/>
        </w:rPr>
        <w:t xml:space="preserve">PWERM. </w:t>
      </w:r>
      <w:r>
        <w:rPr>
          <w:rFonts w:ascii="Arial" w:cs="Arial" w:eastAsia="Arial" w:hAnsi="Arial"/>
          <w:sz w:val="17"/>
          <w:szCs w:val="17"/>
          <w:color w:val="auto"/>
        </w:rPr>
        <w:t>Under the PWERM methodology, the fair value of common stock is estimated based upon an analysis of future values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75" w:lineRule="exact"/>
        <w:rPr>
          <w:sz w:val="20"/>
          <w:szCs w:val="20"/>
          <w:color w:val="auto"/>
        </w:rPr>
      </w:pPr>
    </w:p>
    <w:p>
      <w:pPr>
        <w:ind w:right="240" w:firstLine="474"/>
        <w:spacing w:after="0" w:line="253" w:lineRule="auto"/>
        <w:rPr>
          <w:sz w:val="20"/>
          <w:szCs w:val="20"/>
          <w:color w:val="auto"/>
        </w:rPr>
      </w:pPr>
      <w:r>
        <w:rPr>
          <w:rFonts w:ascii="Arial" w:cs="Arial" w:eastAsia="Arial" w:hAnsi="Arial"/>
          <w:sz w:val="17"/>
          <w:szCs w:val="17"/>
          <w:b w:val="1"/>
          <w:bCs w:val="1"/>
          <w:i w:val="1"/>
          <w:iCs w:val="1"/>
          <w:color w:val="auto"/>
        </w:rPr>
        <w:t xml:space="preserve">Hybrid Method. </w:t>
      </w:r>
      <w:r>
        <w:rPr>
          <w:rFonts w:ascii="Arial" w:cs="Arial" w:eastAsia="Arial" w:hAnsi="Arial"/>
          <w:sz w:val="17"/>
          <w:szCs w:val="17"/>
          <w:color w:val="auto"/>
        </w:rPr>
        <w:t>The hybrid method is a PWERM where the equity value in one of the scenarios is calculated using an OPM. In the hybrid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used by us, two types of future-event scenarios were considered: an IPO and an unspecified liquidity event. The enterprise value for the IPO scenario was determined using a market approach. The enterprise value for the unspecified liquidity event scenario was determined using the OPM backsolve approach. The relative probability of each type of future-event scenario was determined based on an analysis of market conditions 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the time, including then-current IPO valuations of similarly situated companies, and expectations as to the timing and likely prospects of the future-event scenarios.</w:t>
      </w:r>
    </w:p>
    <w:p>
      <w:pPr>
        <w:spacing w:after="0" w:line="193"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To determine the enterprise value for the IPO scenario, we used the guideline public company method, which includes comparisons to publicly traded companies in the biopharmaceutical industry that recently completed IPOs. That enterprise value was then discounted back to the valuation date at an appropriate risk-adjusted discount rate.</w:t>
      </w:r>
    </w:p>
    <w:p>
      <w:pPr>
        <w:spacing w:after="0" w:line="199"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To derive the fair value of the common stock for each scenario under the hybrid method, the proceeds to the common stockholders were calculated based on the conversion rights and preferences of the convertible preferred stock. We then applied a discount for lack of marketability to the common stock to account for the lack of access to an active public market.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02" w:lineRule="exact"/>
        <w:rPr>
          <w:sz w:val="20"/>
          <w:szCs w:val="20"/>
          <w:color w:val="auto"/>
        </w:rPr>
      </w:pPr>
    </w:p>
    <w:p>
      <w:pPr>
        <w:ind w:right="40" w:firstLine="474"/>
        <w:spacing w:after="0" w:line="241"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 billion or more;</w:t>
      </w:r>
    </w:p>
    <w:p>
      <w:pPr>
        <w:spacing w:after="0" w:line="2" w:lineRule="exact"/>
        <w:rPr>
          <w:sz w:val="20"/>
          <w:szCs w:val="20"/>
          <w:color w:val="auto"/>
        </w:rPr>
      </w:pPr>
    </w:p>
    <w:p>
      <w:pPr>
        <w:jc w:val="both"/>
        <w:ind w:right="100" w:firstLine="5"/>
        <w:spacing w:after="0" w:line="246" w:lineRule="auto"/>
        <w:tabs>
          <w:tab w:leader="none" w:pos="237"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2013 and 2014</w:t>
      </w:r>
    </w:p>
    <w:p>
      <w:pPr>
        <w:spacing w:after="0" w:line="231" w:lineRule="exact"/>
        <w:rPr>
          <w:sz w:val="20"/>
          <w:szCs w:val="20"/>
          <w:color w:val="auto"/>
        </w:rPr>
      </w:pPr>
    </w:p>
    <w:p>
      <w:pPr>
        <w:ind w:right="160" w:firstLine="470"/>
        <w:spacing w:after="0" w:line="252" w:lineRule="auto"/>
        <w:rPr>
          <w:sz w:val="20"/>
          <w:szCs w:val="20"/>
          <w:color w:val="auto"/>
        </w:rPr>
      </w:pPr>
      <w:r>
        <w:rPr>
          <w:rFonts w:ascii="Arial" w:cs="Arial" w:eastAsia="Arial" w:hAnsi="Arial"/>
          <w:sz w:val="17"/>
          <w:szCs w:val="17"/>
          <w:color w:val="auto"/>
        </w:rPr>
        <w:t>The following table summarizes our results of operations for the years ended December 31, 2013 and 2014, together with the changes in those items in dollars and as a percentage:</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8"/>
          </w:tcPr>
          <w:p>
            <w:pPr>
              <w:jc w:val="right"/>
              <w:ind w:right="520"/>
              <w:spacing w:after="0"/>
              <w:rPr>
                <w:sz w:val="20"/>
                <w:szCs w:val="20"/>
                <w:color w:val="auto"/>
              </w:rPr>
            </w:pPr>
            <w:r>
              <w:rPr>
                <w:rFonts w:ascii="Arial" w:cs="Arial" w:eastAsia="Arial" w:hAnsi="Arial"/>
                <w:sz w:val="17"/>
                <w:szCs w:val="17"/>
                <w:b w:val="1"/>
                <w:bCs w:val="1"/>
                <w:color w:val="auto"/>
              </w:rPr>
              <w:t>Years ended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58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8"/>
          </w:tcPr>
          <w:p>
            <w:pPr>
              <w:jc w:val="right"/>
              <w:ind w:right="46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18"/>
                <w:szCs w:val="18"/>
                <w:color w:val="auto"/>
              </w:rPr>
            </w:pPr>
          </w:p>
        </w:tc>
        <w:tc>
          <w:tcPr>
            <w:tcW w:w="1280" w:type="dxa"/>
            <w:vAlign w:val="bottom"/>
            <w:gridSpan w:val="2"/>
            <w:vMerge w:val="restart"/>
          </w:tcPr>
          <w:p>
            <w:pPr>
              <w:jc w:val="right"/>
              <w:ind w:right="15"/>
              <w:spacing w:after="0"/>
              <w:rPr>
                <w:sz w:val="20"/>
                <w:szCs w:val="20"/>
                <w:color w:val="auto"/>
              </w:rPr>
            </w:pPr>
            <w:r>
              <w:rPr>
                <w:rFonts w:ascii="Arial" w:cs="Arial" w:eastAsia="Arial" w:hAnsi="Arial"/>
                <w:sz w:val="17"/>
                <w:szCs w:val="17"/>
                <w:b w:val="1"/>
                <w:bCs w:val="1"/>
                <w:color w:val="auto"/>
              </w:rPr>
              <w:t>Dollar Change</w:t>
            </w:r>
          </w:p>
        </w:tc>
        <w:tc>
          <w:tcPr>
            <w:tcW w:w="2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9"/>
              </w:rPr>
              <w:t>% Change</w:t>
            </w:r>
          </w:p>
        </w:tc>
        <w:tc>
          <w:tcPr>
            <w:tcW w:w="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0" w:type="dxa"/>
            <w:vAlign w:val="bottom"/>
            <w:gridSpan w:val="2"/>
          </w:tcPr>
          <w:p>
            <w:pPr>
              <w:ind w:left="180"/>
              <w:spacing w:after="0"/>
              <w:rPr>
                <w:sz w:val="20"/>
                <w:szCs w:val="20"/>
                <w:color w:val="auto"/>
              </w:rPr>
            </w:pPr>
            <w:r>
              <w:rPr>
                <w:rFonts w:ascii="Arial" w:cs="Arial" w:eastAsia="Arial" w:hAnsi="Arial"/>
                <w:sz w:val="17"/>
                <w:szCs w:val="17"/>
                <w:color w:val="auto"/>
              </w:rPr>
              <w:t>Research and development</w:t>
            </w: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15,928</w:t>
            </w:r>
          </w:p>
        </w:tc>
        <w:tc>
          <w:tcPr>
            <w:tcW w:w="12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31,844</w:t>
            </w:r>
          </w:p>
        </w:tc>
        <w:tc>
          <w:tcPr>
            <w:tcW w:w="100" w:type="dxa"/>
            <w:vAlign w:val="bottom"/>
          </w:tcPr>
          <w:p>
            <w:pPr>
              <w:spacing w:after="0"/>
              <w:rPr>
                <w:sz w:val="17"/>
                <w:szCs w:val="17"/>
                <w:color w:val="auto"/>
              </w:rPr>
            </w:pPr>
          </w:p>
        </w:tc>
        <w:tc>
          <w:tcPr>
            <w:tcW w:w="48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15,916</w:t>
            </w: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7"/>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4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2,818</w:t>
            </w:r>
          </w:p>
        </w:tc>
        <w:tc>
          <w:tcPr>
            <w:tcW w:w="2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00" w:type="dxa"/>
            <w:vAlign w:val="bottom"/>
            <w:gridSpan w:val="2"/>
          </w:tcPr>
          <w:p>
            <w:pPr>
              <w:spacing w:after="0" w:line="189" w:lineRule="exact"/>
              <w:rPr>
                <w:sz w:val="20"/>
                <w:szCs w:val="20"/>
                <w:color w:val="auto"/>
              </w:rPr>
            </w:pPr>
            <w:r>
              <w:rPr>
                <w:rFonts w:ascii="Arial" w:cs="Arial" w:eastAsia="Arial" w:hAnsi="Arial"/>
                <w:sz w:val="17"/>
                <w:szCs w:val="17"/>
                <w:color w:val="auto"/>
              </w:rPr>
              <w:t>Total operating expenses</w:t>
            </w: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21,000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39,734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18,734</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Other income (expense):</w:t>
            </w: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00" w:type="dxa"/>
            <w:vAlign w:val="bottom"/>
            <w:gridSpan w:val="2"/>
          </w:tcPr>
          <w:p>
            <w:pPr>
              <w:ind w:left="180"/>
              <w:spacing w:after="0"/>
              <w:rPr>
                <w:sz w:val="20"/>
                <w:szCs w:val="20"/>
                <w:color w:val="auto"/>
              </w:rPr>
            </w:pPr>
            <w:r>
              <w:rPr>
                <w:rFonts w:ascii="Arial" w:cs="Arial" w:eastAsia="Arial" w:hAnsi="Arial"/>
                <w:sz w:val="17"/>
                <w:szCs w:val="17"/>
                <w:color w:val="auto"/>
              </w:rPr>
              <w:t>Other income (expense), net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(324)</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97"/>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and other expense</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(453)</w:t>
            </w: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7"/>
                <w:szCs w:val="17"/>
                <w:color w:val="auto"/>
              </w:rPr>
              <w:t>Total other income (expense)</w:t>
            </w: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(551)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(639)</w:t>
            </w: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(20,912)</w:t>
            </w:r>
          </w:p>
        </w:tc>
        <w:tc>
          <w:tcPr>
            <w:tcW w:w="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(40,285)</w:t>
            </w:r>
          </w:p>
        </w:tc>
        <w:tc>
          <w:tcPr>
            <w:tcW w:w="480" w:type="dxa"/>
            <w:vAlign w:val="bottom"/>
            <w:gridSpan w:val="2"/>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(19,373)</w:t>
            </w: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9"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Research and development expense increased by $15.9 million from $15.9 million for the year ended December 31, 2013 to $31.8 million for the year ended December 31, 2014, an increase of 100%. The increase in research and development expense was primarily attributable to the following:</w:t>
      </w:r>
    </w:p>
    <w:p>
      <w:pPr>
        <w:spacing w:after="0" w:line="193" w:lineRule="exact"/>
        <w:rPr>
          <w:sz w:val="20"/>
          <w:szCs w:val="20"/>
          <w:color w:val="auto"/>
        </w:rPr>
      </w:pPr>
    </w:p>
    <w:p>
      <w:pPr>
        <w:ind w:left="1060" w:right="200" w:hanging="531"/>
        <w:spacing w:after="0" w:line="25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$7.6 million for external IND-enabling pre-clinical and toxicology studies as well as the commencement of manufacturing activities for our two lead programs;</w:t>
      </w:r>
    </w:p>
    <w:p>
      <w:pPr>
        <w:spacing w:after="0" w:line="192"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$4.9 million primarily due to an increase of 46% in headcount as our programs advance towards clinical trials as well as higher stock-based compensation expense, including expense associated with stock-based awards issued to non-employees;</w:t>
      </w:r>
    </w:p>
    <w:p>
      <w:pPr>
        <w:spacing w:after="0" w:line="179" w:lineRule="exact"/>
        <w:rPr>
          <w:rFonts w:ascii="Arial" w:cs="Arial" w:eastAsia="Arial" w:hAnsi="Arial"/>
          <w:sz w:val="17"/>
          <w:szCs w:val="17"/>
          <w:color w:val="auto"/>
        </w:rPr>
      </w:pPr>
    </w:p>
    <w:p>
      <w:pPr>
        <w:ind w:left="1060" w:right="600" w:hanging="531"/>
        <w:spacing w:after="0" w:line="25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$1.9 million in chemistry expenses related to the continued build out of our proprietary compound library, increased chemical analysis for our lead programs, and the general progression of our drug candidate pipeline; and</w:t>
      </w:r>
    </w:p>
    <w:p>
      <w:pPr>
        <w:spacing w:after="0" w:line="161"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approximately $1.2 million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costs leading up to and following the nomination of BLU-285 and BLU-554 as lead programs.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General and administrative expense increased by $2.8 million from $5.1 million for the year ended December 31, 2013 to $7.9 million for the year ended December 31, 2014, an increase of 56%. The increase in general and administrative expense was primarily attributable to the following:</w:t>
      </w:r>
    </w:p>
    <w:p>
      <w:pPr>
        <w:spacing w:after="0" w:line="206" w:lineRule="exact"/>
        <w:rPr>
          <w:sz w:val="20"/>
          <w:szCs w:val="20"/>
          <w:color w:val="auto"/>
        </w:rPr>
      </w:pPr>
    </w:p>
    <w:p>
      <w:pPr>
        <w:ind w:left="1060" w:right="120" w:hanging="531"/>
        <w:spacing w:after="0" w:line="246"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approximately $1.8 million in increased personnel costs primarily due to an increase in stock-based compensation expense (including expense associated with stock-based awards issued to non-employees) and a 23% increase in headcount as we build the infrastructure to support the growth of the research and development organization and advance our lead programs towards clinical trials;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2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approximately $0.6 million in increase in professional fees including external legal fees, corporate communications and public relations costs.</w:t>
      </w:r>
    </w:p>
    <w:p>
      <w:pPr>
        <w:spacing w:after="0" w:line="193" w:lineRule="exact"/>
        <w:rPr>
          <w:sz w:val="20"/>
          <w:szCs w:val="20"/>
          <w:color w:val="auto"/>
        </w:rPr>
      </w:pPr>
    </w:p>
    <w:p>
      <w:pPr>
        <w:jc w:val="both"/>
        <w:ind w:right="100" w:firstLine="474"/>
        <w:spacing w:after="0" w:line="246" w:lineRule="auto"/>
        <w:rPr>
          <w:sz w:val="20"/>
          <w:szCs w:val="20"/>
          <w:color w:val="auto"/>
        </w:rPr>
      </w:pPr>
      <w:r>
        <w:rPr>
          <w:rFonts w:ascii="Arial" w:cs="Arial" w:eastAsia="Arial" w:hAnsi="Arial"/>
          <w:sz w:val="17"/>
          <w:szCs w:val="17"/>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Other income (expense) decreased by $0.3 million to $(0.1) million for the year ended December 31, 2014 from $0.2 million for the year ended December 31, 2013. The decrease in other income (expense) was primarily related to the recognition of $0.2 million of other income in the year ended December 31, 2013 related to an award received from the Massachusetts Life Sciences Investment Tax Credit (MLSC) program. Other income was not recognized related to this program in the year ended December 31, 2014. Also contributing to the decrease in other income (expense) was the impact of the re-measurement loss associated with the change in the fair value of the convertible preferred stock warrant liability.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w:t>
      </w:r>
    </w:p>
    <w:p>
      <w:pPr>
        <w:spacing w:after="0" w:line="229"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Interest and other expense increased by $0.3 million to $0.4 million for the year ended December 31, 2014 from $0.1 million for the year ended December 31, 2013. The increase in interest expense was primarily related to a higher outstanding principal balance under the Loan and Security Agreement for the year ended December 31, 2014.</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1"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We have financed our operations to date primarily through gross proceeds of $115.1 million from private placements of our convertible preferred stock and proceeds of $10.0 million from a debt financing. As of December 31, 2014, we had cash and cash equivalents of $47.2 million.</w:t>
      </w:r>
    </w:p>
    <w:p>
      <w:pPr>
        <w:spacing w:after="0" w:line="193" w:lineRule="exact"/>
        <w:rPr>
          <w:sz w:val="20"/>
          <w:szCs w:val="20"/>
          <w:color w:val="auto"/>
        </w:rPr>
      </w:pPr>
    </w:p>
    <w:p>
      <w:pPr>
        <w:ind w:right="20" w:firstLine="474"/>
        <w:spacing w:after="0" w:line="241" w:lineRule="auto"/>
        <w:rPr>
          <w:sz w:val="20"/>
          <w:szCs w:val="20"/>
          <w:color w:val="auto"/>
        </w:rPr>
      </w:pPr>
      <w:r>
        <w:rPr>
          <w:rFonts w:ascii="Arial" w:cs="Arial" w:eastAsia="Arial" w:hAnsi="Arial"/>
          <w:sz w:val="17"/>
          <w:szCs w:val="17"/>
          <w:color w:val="auto"/>
        </w:rPr>
        <w:t>We entered into the Loan and Security Agreement in May 2013.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2014 we paid principal payments of</w:t>
      </w:r>
    </w:p>
    <w:p>
      <w:pPr>
        <w:spacing w:after="0" w:line="1"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$0.7 million on the first $3.0 million of advances. Principal payments on the remaining $7.0 million of advances will begin in January and December of 2015. We are required to pay a fee of 4.0% of the total loan advances at the end of the term of the loan. There are no outstanding financial covenants associated with the Loan and Security Agreement. As of December 31, 2014, we had $9.3 million in outstanding principal under the Loan and Security Agreement.</w:t>
      </w:r>
    </w:p>
    <w:p>
      <w:pPr>
        <w:spacing w:after="0" w:line="198"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long-term liabilities based on scheduled principal payments.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our cash flows for the years ended December 31, 2013 and 2014:</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8"/>
          </w:tcPr>
          <w:p>
            <w:pPr>
              <w:jc w:val="right"/>
              <w:ind w:right="6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2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474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8"/>
          </w:tcPr>
          <w:p>
            <w:pPr>
              <w:jc w:val="right"/>
              <w:ind w:right="5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vMerge w:val="continue"/>
          </w:tcPr>
          <w:p>
            <w:pPr>
              <w:spacing w:after="0"/>
              <w:rPr>
                <w:sz w:val="16"/>
                <w:szCs w:val="16"/>
                <w:color w:val="auto"/>
              </w:rPr>
            </w:pPr>
          </w:p>
        </w:tc>
        <w:tc>
          <w:tcPr>
            <w:tcW w:w="47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(19,025)</w:t>
            </w:r>
          </w:p>
        </w:tc>
        <w:tc>
          <w:tcPr>
            <w:tcW w:w="2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(35,400)</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(257)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17,992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81,353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60" w:type="dxa"/>
            <w:vAlign w:val="bottom"/>
            <w:gridSpan w:val="2"/>
          </w:tcPr>
          <w:p>
            <w:pPr>
              <w:spacing w:after="0" w:line="189" w:lineRule="exact"/>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(1,290)</w:t>
            </w:r>
          </w:p>
        </w:tc>
        <w:tc>
          <w:tcPr>
            <w:tcW w:w="2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45,253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Operating Activities</w:t>
      </w:r>
    </w:p>
    <w:p>
      <w:pPr>
        <w:spacing w:after="0" w:line="229" w:lineRule="exact"/>
        <w:rPr>
          <w:sz w:val="20"/>
          <w:szCs w:val="20"/>
          <w:color w:val="auto"/>
        </w:rPr>
      </w:pPr>
    </w:p>
    <w:p>
      <w:pPr>
        <w:ind w:right="320" w:firstLine="470"/>
        <w:spacing w:after="0" w:line="245" w:lineRule="auto"/>
        <w:rPr>
          <w:sz w:val="20"/>
          <w:szCs w:val="20"/>
          <w:color w:val="auto"/>
        </w:rPr>
      </w:pPr>
      <w:r>
        <w:rPr>
          <w:rFonts w:ascii="Arial" w:cs="Arial" w:eastAsia="Arial" w:hAnsi="Arial"/>
          <w:sz w:val="17"/>
          <w:szCs w:val="17"/>
          <w:color w:val="auto"/>
        </w:rPr>
        <w:t>The use of cash in all periods resulted primarily from our net losses adjusted for non-cash charges and changes in components of working capital. Net cash used in operating activities was $35.4 million during the year ended December 31, 2014 compared to $19.0 million during the year ended December 31, 2013. The increase in cash used in operating activities was due to an increase in net loss of $19.4 million for the year ended December 31, 2014 as compared to the year ended December 31, 2013.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29"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Net cash used in investing activities was $0.7 million during the year ended December 31, 2014 compared to net cash used in investing activities of $0.3 million during the year ended December 31, 2013. Net cash used in investing activities for the year ended December 31, 2014 and 2013 consisted of purchases of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229"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Net cash provided by financing activities was $81.4 million during the year ended December 31, 2014 compared to $18.0 million during the year ended December 31, 2013. The cash provided by financing activities for the year ended December 31, 2014 was primarily the result of $74.9 million of net proceeds received from private placements of our convertible preferred stock and $7.0 million principal that we drew under the Loan and Security Agreement. The cash provided by financing activities for the year ended December 31, 2013 was primarily the result of $15.0 million of proceeds received from private placements of our convertible preferred stock and $3.0 million principal that we drew under the Loan and Security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22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We expect that the net proceeds from this offering, together with our existing cash and cash equivalents, including the $15.0 million upfront payment received in March 2015 upon execution of the agreement with Alexion, will enable us to fund our operating expenses and capital expenditure requirements through at least early 2017. Our future capital requirements will depend on many factors, including:</w:t>
      </w:r>
    </w:p>
    <w:p>
      <w:pPr>
        <w:spacing w:after="0" w:line="199" w:lineRule="exact"/>
        <w:rPr>
          <w:sz w:val="20"/>
          <w:szCs w:val="20"/>
          <w:color w:val="auto"/>
        </w:rPr>
      </w:pPr>
    </w:p>
    <w:p>
      <w:pPr>
        <w:ind w:left="1060" w:right="600" w:hanging="531"/>
        <w:spacing w:after="0" w:line="25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collaboration agreements we obtain;</w:t>
      </w:r>
    </w:p>
    <w:p>
      <w:pPr>
        <w:spacing w:after="0" w:line="197" w:lineRule="exact"/>
        <w:rPr>
          <w:rFonts w:ascii="Arial" w:cs="Arial" w:eastAsia="Arial" w:hAnsi="Arial"/>
          <w:sz w:val="17"/>
          <w:szCs w:val="17"/>
          <w:color w:val="auto"/>
        </w:rPr>
      </w:pPr>
    </w:p>
    <w:p>
      <w:pPr>
        <w:ind w:left="1060" w:right="900" w:hanging="531"/>
        <w:spacing w:after="0" w:line="25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 candidates and technologies;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197" w:lineRule="exact"/>
        <w:rPr>
          <w:rFonts w:ascii="Arial" w:cs="Arial" w:eastAsia="Arial" w:hAnsi="Arial"/>
          <w:sz w:val="17"/>
          <w:szCs w:val="17"/>
          <w:color w:val="auto"/>
        </w:rPr>
      </w:pPr>
    </w:p>
    <w:p>
      <w:pPr>
        <w:ind w:left="1060" w:right="820" w:hanging="531"/>
        <w:spacing w:after="0" w:line="25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drug candidates.</w:t>
      </w:r>
    </w:p>
    <w:p>
      <w:pPr>
        <w:spacing w:after="0" w:line="193" w:lineRule="exact"/>
        <w:rPr>
          <w:sz w:val="20"/>
          <w:szCs w:val="20"/>
          <w:color w:val="auto"/>
        </w:rPr>
      </w:pPr>
    </w:p>
    <w:p>
      <w:pPr>
        <w:jc w:val="both"/>
        <w:ind w:right="60" w:firstLine="474"/>
        <w:spacing w:after="0" w:line="244"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99"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We do not have any committed external source of funds outside of those to be earned in connection with our agreement with Alexion.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202"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Contractual Obligations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 December 31, 2014:</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Less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More</w:t>
            </w:r>
          </w:p>
        </w:tc>
      </w:tr>
      <w:tr>
        <w:trPr>
          <w:trHeight w:val="197"/>
        </w:trPr>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than</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1 to 3</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8"/>
              </w:rPr>
              <w:t>3 to 5</w:t>
            </w: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than</w:t>
            </w:r>
          </w:p>
        </w:tc>
      </w:tr>
      <w:tr>
        <w:trPr>
          <w:trHeight w:val="214"/>
        </w:trPr>
        <w:tc>
          <w:tcPr>
            <w:tcW w:w="1880" w:type="dxa"/>
            <w:vAlign w:val="bottom"/>
            <w:gridSpan w:val="2"/>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Total</w:t>
            </w:r>
          </w:p>
        </w:tc>
        <w:tc>
          <w:tcPr>
            <w:tcW w:w="8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1 Year</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9"/>
              </w:rPr>
              <w:t>Years</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9"/>
              </w:rPr>
              <w:t>Years</w:t>
            </w:r>
          </w:p>
        </w:tc>
        <w:tc>
          <w:tcPr>
            <w:tcW w:w="8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5 years</w:t>
            </w:r>
          </w:p>
        </w:tc>
      </w:tr>
      <w:tr>
        <w:trPr>
          <w:trHeight w:val="20"/>
        </w:trPr>
        <w:tc>
          <w:tcPr>
            <w:tcW w:w="9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0"/>
        </w:trPr>
        <w:tc>
          <w:tcPr>
            <w:tcW w:w="37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lease commitments(1)</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18,784</w:t>
            </w:r>
          </w:p>
        </w:tc>
        <w:tc>
          <w:tcPr>
            <w:tcW w:w="8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1,453</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4,717</w:t>
            </w:r>
          </w:p>
        </w:tc>
        <w:tc>
          <w:tcPr>
            <w:tcW w:w="7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5,004</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7,610</w:t>
            </w:r>
          </w:p>
        </w:tc>
      </w:tr>
      <w:tr>
        <w:trPr>
          <w:trHeight w:val="207"/>
        </w:trPr>
        <w:tc>
          <w:tcPr>
            <w:tcW w:w="3700" w:type="dxa"/>
            <w:vAlign w:val="bottom"/>
            <w:gridSpan w:val="3"/>
          </w:tcPr>
          <w:p>
            <w:pPr>
              <w:ind w:left="20"/>
              <w:spacing w:after="0"/>
              <w:rPr>
                <w:sz w:val="20"/>
                <w:szCs w:val="20"/>
                <w:color w:val="auto"/>
              </w:rPr>
            </w:pPr>
            <w:r>
              <w:rPr>
                <w:rFonts w:ascii="Arial" w:cs="Arial" w:eastAsia="Arial" w:hAnsi="Arial"/>
                <w:sz w:val="17"/>
                <w:szCs w:val="17"/>
                <w:color w:val="auto"/>
              </w:rPr>
              <w:t>Debt repayment(2)</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10,208</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2,257</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6,383</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1,568</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94"/>
        </w:trPr>
        <w:tc>
          <w:tcPr>
            <w:tcW w:w="9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213" w:lineRule="exact"/>
        <w:rPr>
          <w:sz w:val="20"/>
          <w:szCs w:val="20"/>
          <w:color w:val="auto"/>
        </w:rPr>
      </w:pPr>
    </w:p>
    <w:p>
      <w:pPr>
        <w:ind w:left="1680" w:right="480" w:hanging="533"/>
        <w:spacing w:after="0" w:line="246" w:lineRule="auto"/>
        <w:tabs>
          <w:tab w:leader="none" w:pos="16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future minimum lease payments under our non-cancelable operating leases, which expire in October 2015 and October 2022, assuming occupancy in October 2015 on the lease entered into in February of 2015. The minimum lease payments above do not include any related common area maintenance charges or real estate taxes.</w:t>
      </w:r>
    </w:p>
    <w:p>
      <w:pPr>
        <w:spacing w:after="0" w:line="198" w:lineRule="exact"/>
        <w:rPr>
          <w:rFonts w:ascii="Arial" w:cs="Arial" w:eastAsia="Arial" w:hAnsi="Arial"/>
          <w:sz w:val="17"/>
          <w:szCs w:val="17"/>
          <w:color w:val="auto"/>
        </w:rPr>
      </w:pPr>
    </w:p>
    <w:p>
      <w:pPr>
        <w:ind w:left="1680" w:right="40" w:hanging="533"/>
        <w:spacing w:after="0" w:line="252" w:lineRule="auto"/>
        <w:tabs>
          <w:tab w:leader="none" w:pos="16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payment obligations for principal and interest under the Loan and Security Agreement. As of December 31, 2014, we had $9.3 million in outstanding principal under the Loan and Security Agreement.</w:t>
      </w:r>
    </w:p>
    <w:p>
      <w:pPr>
        <w:spacing w:after="0" w:line="19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cancelable at any time by us, generally upon 30 days prior written notice to the vendor. Milestone payments associated with our license agreements have not been included in the above table of contractual obligations as we cannot reasonably estimate if or when they will occur. As of the date of this prospectus, no milestone payments are likely to be due in 2015. Possible future payments under our license arrangements include up to $80,000 in payments to academic and research organizations upon the filing of an IND or FDA approval of a drug.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Off-Balance Sheet Arrangements</w:t>
      </w:r>
    </w:p>
    <w:p>
      <w:pPr>
        <w:spacing w:after="0" w:line="23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applicable Securities and Exchange Commission rules.</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31" w:lineRule="exact"/>
        <w:rPr>
          <w:sz w:val="20"/>
          <w:szCs w:val="20"/>
          <w:color w:val="auto"/>
        </w:rPr>
      </w:pPr>
    </w:p>
    <w:p>
      <w:pPr>
        <w:ind w:right="440" w:firstLine="474"/>
        <w:spacing w:after="0" w:line="246"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investments, including cash and cash equivalents, are in a money market fund that invests in U.S. Treasury obligations.</w:t>
      </w:r>
    </w:p>
    <w:p>
      <w:pPr>
        <w:spacing w:after="0" w:line="19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We are also exposed to market risk related to changes in foreign currency exchange rates. We contract with vendors that are located Asia and Europe, which are denominated in foreign currencies. We are subject to fluctuations in foreign currency rates in connection with these agreements. We do not currently hedge our foreign currency exchange rate risk. As of December 30, 2013 and 2014, we had minimal or no liabilities denominated in foreign currencies.</w:t>
      </w:r>
    </w:p>
    <w:p>
      <w:pPr>
        <w:spacing w:after="0" w:line="198" w:lineRule="exact"/>
        <w:rPr>
          <w:sz w:val="20"/>
          <w:szCs w:val="20"/>
          <w:color w:val="auto"/>
        </w:rPr>
      </w:pPr>
    </w:p>
    <w:p>
      <w:pPr>
        <w:ind w:right="300" w:firstLine="474"/>
        <w:spacing w:after="0" w:line="252"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during the years ended December 31, 2013 and 2014.</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in for patients with systemic mastocytosis, a myeloproliferative disorder of the mast cells, and defined subsets of patients with gastrointestinal stromal tumors,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pre-clinical models and we expect to file Investigational New Drug applications, or INDs, in mid-2015 and initiate our Phase 1 clinical trials in mid-2015.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Approved kinase drugs, such as imatinib, have demonstrated significant benefit to patients and small molecule kinase drugs achieved over</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resistance mutations. Finally, as of 2014, kinase drugs approved by the U.S. Food and Drug Administration, or FDA, only target less than five percent of the 518 kinases that constitute the kinome. For many of the known kinases, there is a strong link between genetic alterations in a kinase and disease, including specific forms of cancer and rare genetic diseases. However, the function of the majority of the kinome is unknown. Taken together, this represents a substantial opportunity for developing novel and transformative drugs for cancer, rare genetic diseases and other disease areas.</w:t>
      </w:r>
    </w:p>
    <w:p>
      <w:pPr>
        <w:spacing w:after="0" w:line="20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To capitalize on the kinase opportunity, we built a platform that integrates a novel target discovery engine and a proprietary compound library. Our novel target discovery engine, which was developed entirely in-house under the direction of our chief scientific officer,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in-house by Blueprint Medicines' scientists as kinase inhibitors and enriched for drug-like properties. We do not owe any royalties or other fees to any parties associated with our novel target discovery engine and our proprietary compound library. Using this platform, we have produced a drug pipeline of several promising drug candidates that target genomically-defined patient subsets.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Our two lead programs targeting KIT Exon 17 and FGFR4 provide strong evidence of the power of our proprietary compound library. These targets have been well characterized in scientific literature as disease drivers, but have been challenging to inhibit selectively with small molecules. Our RET program provides evidence of the strength of our novel target discovery engine and proprietary compound library. Leveraging our expertise in structural and cell biology, we predicted future resistance mutations resulting from treatment with drugs with RET inhibitory activity and have crafted drug candidates that will be effective against RET and the RET resistant mutants.</w:t>
      </w:r>
    </w:p>
    <w:p>
      <w:pPr>
        <w:spacing w:after="0" w:line="199"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of KIT and PDGFRa, BLU-285 is able to inhibit both KIT Exon 17 mutants and the PDGFRa D842V mutant with minimal inhibition of other kinases. BLU-285 is a highly targeted therapeutic candidate for genomically-selected patients with diseases driven by these mutations, including systemic mastocytosis, or SM, and genomically-defined patient subsets within gastrointestinal stromal tumors, or GIST, which are KIT and PDGFRa mediated diseases.</w:t>
      </w:r>
    </w:p>
    <w:p>
      <w:pPr>
        <w:spacing w:after="0" w:line="193" w:lineRule="exact"/>
        <w:rPr>
          <w:sz w:val="20"/>
          <w:szCs w:val="20"/>
          <w:color w:val="auto"/>
        </w:rPr>
      </w:pPr>
    </w:p>
    <w:p>
      <w:pPr>
        <w:ind w:right="200" w:firstLine="474"/>
        <w:spacing w:after="0" w:line="246" w:lineRule="auto"/>
        <w:rPr>
          <w:sz w:val="20"/>
          <w:szCs w:val="20"/>
          <w:color w:val="auto"/>
        </w:rPr>
      </w:pPr>
      <w:r>
        <w:rPr>
          <w:rFonts w:ascii="Arial" w:cs="Arial" w:eastAsia="Arial" w:hAnsi="Arial"/>
          <w:sz w:val="17"/>
          <w:szCs w:val="17"/>
          <w:color w:val="auto"/>
        </w:rPr>
        <w:t>Imatinib, which is an inhibitor of KIT, is approved in SM and GIST and validates this kinase as a therapeutic target in these diseases. Imatinib also inhibits PDGFRa, which is a driver in a subset of GIST. However, a meaningful percentage of patients harbor mutations in KIT and PDGFRa that are not targeted by imatinib and fail to respond to treatment with the drug. We plan to initially develop BLU-285 for targeted patient populations that harbor these mutations and currently lack adequate treatments. BLU-285 has shown significant tumor regression in pre-clinical models of SM and GIST, which we believe to be highly predictive of clinical response. IND enabling studies are nearly completed, and we expect to file our INDs in mid-2015 and initiate our Phase 1 clinical trials in mid-2015. Expansion cohorts in these trials will include genomically-selected patients.</w:t>
      </w:r>
    </w:p>
    <w:p>
      <w:pPr>
        <w:spacing w:after="0" w:line="20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BLU-554 is an orally available, potent, selective and irreversible inhibitor of the kinase FGFR4. FGFR4 has historically been a challenging target to drug selectively given the closely related paralogs, proteins encoded by closely related genes, namely FGFR1-3. Aberrantly active FGFR4 signaling is a driver of disease in a subset of patients with hepatocellular carcinoma, or HCC, a disease with high unmet need and no approved genomically-targeted therapies. We plan to initially develop BLU-554 for a genomically-defined patient population within HCC with aberrantly active FGFR4 signaling. BLU-554 has shown significant anti-tumor activity in several different pre-clinical models of HCC with aberrantly active FGFR4 signaling, including a model which we believe to be highly predictive of clinical response. IND-enabling studies are completed, and we anticipate filing our IND in mid-2015 and initiating our Phase 1 clinical trial in mid-2015. Expansion cohorts in this trial will include genomically-selected patients.</w:t>
      </w:r>
    </w:p>
    <w:p>
      <w:pPr>
        <w:spacing w:after="0" w:line="20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third program targets RET fusions and predicted RET resistant mutants. By using our proprietary compound library, we have crafted drug candidates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research suggests that RET is a driver of disease in a broad set of cancers including non-small cell lung cancer, and cancers of the thyroid, colon and breast.</w:t>
      </w:r>
    </w:p>
    <w:p>
      <w:pPr>
        <w:spacing w:after="0" w:line="198"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To execute on this opportunity, we have assembled a team of employees, board of directors and scientific founders rich in experience and capabilities in biology, chemistry and the business of drug discovery, development and commercialization. Many of our employees have participated on teams that uncovered innovative scientific findings and delivered highly impactful drugs to the marketplace. Our management team has broad capabilities and successful track records in oncology and rare genetic diseases through previous experience at Algeta ASA, Genzyme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80"/>
        <w:spacing w:after="0" w:line="244" w:lineRule="auto"/>
        <w:rPr>
          <w:sz w:val="20"/>
          <w:szCs w:val="20"/>
          <w:color w:val="auto"/>
        </w:rPr>
      </w:pPr>
      <w:r>
        <w:rPr>
          <w:rFonts w:ascii="Arial" w:cs="Arial" w:eastAsia="Arial" w:hAnsi="Arial"/>
          <w:sz w:val="17"/>
          <w:szCs w:val="17"/>
          <w:color w:val="auto"/>
        </w:rPr>
        <w:t>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transform the lives of patients while building a fully-integrated biopharmaceutical company. We believe this experienced and diverse team is a key differentiator of our company.</w:t>
      </w:r>
    </w:p>
    <w:p>
      <w:pPr>
        <w:spacing w:after="0" w:line="199"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initial investors included funds managed by Fidelity Biosciences and Third Rock Ventures. Additional blue chip investors participated in our Series B and C financings, including funds managed by (listed alphabetically) Biotechnology Value Fund, Casdin Capital, Cowen Investments, Nextech Invest, Partner Fund Management, Perceptive Advisors, RA Capital Management, Redmile Group, Sabby Capital, and Tavistock Life Science.</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Our Mission</w:t>
      </w:r>
    </w:p>
    <w:p>
      <w:pPr>
        <w:spacing w:after="0" w:line="231" w:lineRule="exact"/>
        <w:rPr>
          <w:sz w:val="20"/>
          <w:szCs w:val="20"/>
          <w:color w:val="auto"/>
        </w:rPr>
      </w:pPr>
    </w:p>
    <w:p>
      <w:pPr>
        <w:ind w:right="260" w:firstLine="474"/>
        <w:spacing w:after="0" w:line="245" w:lineRule="auto"/>
        <w:rPr>
          <w:sz w:val="20"/>
          <w:szCs w:val="20"/>
          <w:color w:val="auto"/>
        </w:rPr>
      </w:pPr>
      <w:r>
        <w:rPr>
          <w:rFonts w:ascii="Arial" w:cs="Arial" w:eastAsia="Arial" w:hAnsi="Arial"/>
          <w:sz w:val="17"/>
          <w:szCs w:val="17"/>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craft highly selective therapies. This empowers Blueprint Medicines to rapidly develop patient-defined drug candidates aimed at eradicating cancer and other genomically defined diseases.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Our Principles</w:t>
      </w:r>
    </w:p>
    <w:p>
      <w:pPr>
        <w:spacing w:after="0" w:line="231" w:lineRule="exact"/>
        <w:rPr>
          <w:sz w:val="20"/>
          <w:szCs w:val="20"/>
          <w:color w:val="auto"/>
        </w:rPr>
      </w:pPr>
    </w:p>
    <w:p>
      <w:pPr>
        <w:ind w:right="920" w:firstLine="474"/>
        <w:spacing w:after="0" w:line="252" w:lineRule="auto"/>
        <w:rPr>
          <w:sz w:val="20"/>
          <w:szCs w:val="20"/>
          <w:color w:val="auto"/>
        </w:rPr>
      </w:pPr>
      <w:r>
        <w:rPr>
          <w:rFonts w:ascii="Arial" w:cs="Arial" w:eastAsia="Arial" w:hAnsi="Arial"/>
          <w:sz w:val="17"/>
          <w:szCs w:val="17"/>
          <w:color w:val="auto"/>
        </w:rPr>
        <w:t>We maintain a culture of high integrity that embraces the following guiding principles to provide long-term benefits to patients and our stakeholders:</w:t>
      </w:r>
    </w:p>
    <w:p>
      <w:pPr>
        <w:spacing w:after="0" w:line="173"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Patients First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Maintaining intense focus on improving patients' lives.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Thoughtfulness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Exploring creative approaches by daring to make well-thought-out decisions and owning the outcomes.</w:t>
      </w:r>
    </w:p>
    <w:p>
      <w:pPr>
        <w:spacing w:after="0" w:line="197" w:lineRule="exact"/>
        <w:rPr>
          <w:rFonts w:ascii="Arial" w:cs="Arial" w:eastAsia="Arial" w:hAnsi="Arial"/>
          <w:sz w:val="17"/>
          <w:szCs w:val="17"/>
          <w:color w:val="auto"/>
        </w:rPr>
      </w:pPr>
    </w:p>
    <w:p>
      <w:pPr>
        <w:ind w:left="1060" w:right="860" w:hanging="531"/>
        <w:spacing w:after="0" w:line="276"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Trust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collaboration and cooperation, building and maintaining a cohesive team that has mutual respect of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viewpoints, opinions and talents.</w:t>
      </w:r>
    </w:p>
    <w:p>
      <w:pPr>
        <w:spacing w:after="0" w:line="14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Optimism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Pursuing transformative therapies that we believe will make a difference.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Urgency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Solving complex problems rapidly, with attention and care.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strategy was created to enable us to achieve our mission. The key tenets of our strategy include the following:</w:t>
      </w:r>
    </w:p>
    <w:p>
      <w:pPr>
        <w:spacing w:after="0" w:line="191" w:lineRule="exact"/>
        <w:rPr>
          <w:sz w:val="20"/>
          <w:szCs w:val="20"/>
          <w:color w:val="auto"/>
        </w:rPr>
      </w:pPr>
    </w:p>
    <w:p>
      <w:pPr>
        <w:ind w:left="1060" w:hanging="531"/>
        <w:spacing w:after="0" w:line="246"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our lead drug candidates, BLU-285 and BLU-554, through clinical development. </w:t>
      </w:r>
      <w:r>
        <w:rPr>
          <w:rFonts w:ascii="Arial" w:cs="Arial" w:eastAsia="Arial" w:hAnsi="Arial"/>
          <w:sz w:val="17"/>
          <w:szCs w:val="17"/>
          <w:color w:val="auto"/>
        </w:rPr>
        <w:t>We expect to file INDs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drug candidates in mid-2015 and to initiate our Phase 1 clinical trials in mid-2015 and expect that expansion cohorts in genomically-selected patients will begin in 2016. We are working with physicians and patient advocacy groups to rapidly identify and enroll patients most likely to respond to our therapies. In order to select patients most likely to respond to our therapies and rapidly confirm mechanistic and clinical proof of concept, we are building corporate collaborations to create companion diagnostics and to develop assays to measure target engagement, which is confirmation that a drug binds to its intended protein target </w:t>
      </w:r>
      <w:r>
        <w:rPr>
          <w:rFonts w:ascii="Arial" w:cs="Arial" w:eastAsia="Arial" w:hAnsi="Arial"/>
          <w:sz w:val="17"/>
          <w:szCs w:val="17"/>
          <w:i w:val="1"/>
          <w:iCs w:val="1"/>
          <w:color w:val="auto"/>
        </w:rPr>
        <w:t>in vivo</w:t>
      </w:r>
      <w:r>
        <w:rPr>
          <w:rFonts w:ascii="Arial" w:cs="Arial" w:eastAsia="Arial" w:hAnsi="Arial"/>
          <w:sz w:val="17"/>
          <w:szCs w:val="17"/>
          <w:color w:val="auto"/>
        </w:rPr>
        <w:t>, and early response. We expect these approaches to enable early determination of efficacy, allowing for clear decision points. With early and encouraging clinical results, we plan to apply for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20"/>
        <w:spacing w:after="0" w:line="252" w:lineRule="auto"/>
        <w:rPr>
          <w:sz w:val="20"/>
          <w:szCs w:val="20"/>
          <w:color w:val="auto"/>
        </w:rPr>
      </w:pPr>
      <w:r>
        <w:rPr>
          <w:rFonts w:ascii="Arial" w:cs="Arial" w:eastAsia="Arial" w:hAnsi="Arial"/>
          <w:sz w:val="17"/>
          <w:szCs w:val="17"/>
          <w:color w:val="auto"/>
        </w:rPr>
        <w:t>Breakthrough Therapy Designation which, if granted, is intended to accelerate clinical development and expedite regulatory review and approval.</w:t>
      </w:r>
    </w:p>
    <w:p>
      <w:pPr>
        <w:spacing w:after="0" w:line="173" w:lineRule="exact"/>
        <w:rPr>
          <w:sz w:val="20"/>
          <w:szCs w:val="20"/>
          <w:color w:val="auto"/>
        </w:rPr>
      </w:pPr>
    </w:p>
    <w:p>
      <w:pPr>
        <w:ind w:left="1060" w:right="200" w:hanging="531"/>
        <w:spacing w:after="0" w:line="259"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pipeline of kinase drugs for genomically defined drivers of disease. </w:t>
      </w:r>
      <w:r>
        <w:rPr>
          <w:rFonts w:ascii="Arial" w:cs="Arial" w:eastAsia="Arial" w:hAnsi="Arial"/>
          <w:sz w:val="17"/>
          <w:szCs w:val="17"/>
          <w:color w:val="auto"/>
        </w:rPr>
        <w:t>We will continue to leverage our platform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systematically and reproducibly identify kinases that are drivers of genomically defined diseases and craft drug candidates that potently and selectively target these kinases. We aim to file one IND annually on average.</w:t>
      </w:r>
    </w:p>
    <w:p>
      <w:pPr>
        <w:spacing w:after="0" w:line="166" w:lineRule="exact"/>
        <w:rPr>
          <w:rFonts w:ascii="Arial" w:cs="Arial" w:eastAsia="Arial" w:hAnsi="Arial"/>
          <w:sz w:val="17"/>
          <w:szCs w:val="17"/>
          <w:color w:val="auto"/>
        </w:rPr>
      </w:pPr>
    </w:p>
    <w:p>
      <w:pPr>
        <w:ind w:left="1060" w:right="80" w:hanging="531"/>
        <w:spacing w:after="0" w:line="253"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Continuously invest in our proprietary platform to ensure future growth. </w:t>
      </w:r>
      <w:r>
        <w:rPr>
          <w:rFonts w:ascii="Arial" w:cs="Arial" w:eastAsia="Arial" w:hAnsi="Arial"/>
          <w:sz w:val="17"/>
          <w:szCs w:val="17"/>
          <w:color w:val="auto"/>
        </w:rPr>
        <w:t>We plan to enhance our target discovery engine to enable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insights into known kinase biology and to identify new kinase drug targets. We are focused on uncovering the potential role of the "kinases of unknown biology," or KUBs, which constitute the majority of the kinome. We plan to expand our proprietary compound library to cover close to 100% of the kinome and to increase the number of compound families that inhibit each kinase target.</w:t>
      </w:r>
    </w:p>
    <w:p>
      <w:pPr>
        <w:spacing w:after="0" w:line="158" w:lineRule="exact"/>
        <w:rPr>
          <w:rFonts w:ascii="Arial" w:cs="Arial" w:eastAsia="Arial" w:hAnsi="Arial"/>
          <w:sz w:val="17"/>
          <w:szCs w:val="17"/>
          <w:color w:val="auto"/>
        </w:rPr>
      </w:pPr>
    </w:p>
    <w:p>
      <w:pPr>
        <w:ind w:left="1060" w:right="40" w:hanging="531"/>
        <w:spacing w:after="0" w:line="250"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the Blueprint Medicines' culture as we grow our business. </w:t>
      </w:r>
      <w:r>
        <w:rPr>
          <w:rFonts w:ascii="Arial" w:cs="Arial" w:eastAsia="Arial" w:hAnsi="Arial"/>
          <w:sz w:val="17"/>
          <w:szCs w:val="17"/>
          <w:color w:val="auto"/>
        </w:rPr>
        <w:t>We are focused on building an entrepreneurial organization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patient-focused and science-driven and fosters a culture of creativity and innovation, hard work, and urgency for producing quality results. As we grow, we intend to continue hiring the most qualified individuals in biology, chemistry, clinical development and business, who fit within our culture and incorporate our entrepreneurial spirit. We also intend to continue fostering an environment that encourages tight integration across disciplines to ensure a seamless flow of ideas and information exchange.</w:t>
      </w:r>
    </w:p>
    <w:p>
      <w:pPr>
        <w:spacing w:after="0" w:line="161" w:lineRule="exact"/>
        <w:rPr>
          <w:rFonts w:ascii="Arial" w:cs="Arial" w:eastAsia="Arial" w:hAnsi="Arial"/>
          <w:sz w:val="17"/>
          <w:szCs w:val="17"/>
          <w:color w:val="auto"/>
        </w:rPr>
      </w:pPr>
    </w:p>
    <w:p>
      <w:pPr>
        <w:ind w:left="1060" w:right="120" w:hanging="531"/>
        <w:spacing w:after="0" w:line="250"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Evaluate strategic collaborations to maximize value. </w:t>
      </w:r>
      <w:r>
        <w:rPr>
          <w:rFonts w:ascii="Arial" w:cs="Arial" w:eastAsia="Arial" w:hAnsi="Arial"/>
          <w:sz w:val="17"/>
          <w:szCs w:val="17"/>
          <w:color w:val="auto"/>
        </w:rPr>
        <w:t>We currently retain 100% of the commercial rights for our oncology-focused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and have a rare genetic disease program that is the subject of our collaboration with Alexion Pharma Holding, or Alexion. We will evaluate additional collaborations that could maximize the value for our programs and allow us to leverage the expertise of strategic collaborators. We are also focused on engaging in collaborations to capitalize on our platform outside of our primary strategic focus area of cancer.</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Focus — Highly Selective Kinase Drugs for Genomically Defined Diseases</w:t>
      </w:r>
    </w:p>
    <w:p>
      <w:pPr>
        <w:spacing w:after="0" w:line="231" w:lineRule="exact"/>
        <w:rPr>
          <w:sz w:val="20"/>
          <w:szCs w:val="20"/>
          <w:color w:val="auto"/>
        </w:rPr>
      </w:pPr>
    </w:p>
    <w:p>
      <w:pPr>
        <w:ind w:right="360" w:firstLine="474"/>
        <w:spacing w:after="0" w:line="241" w:lineRule="auto"/>
        <w:rPr>
          <w:sz w:val="20"/>
          <w:szCs w:val="20"/>
          <w:color w:val="auto"/>
        </w:rPr>
      </w:pPr>
      <w:r>
        <w:rPr>
          <w:rFonts w:ascii="Arial" w:cs="Arial" w:eastAsia="Arial" w:hAnsi="Arial"/>
          <w:sz w:val="17"/>
          <w:szCs w:val="17"/>
          <w:color w:val="auto"/>
        </w:rPr>
        <w:t>Kinases are enzymes that function in many signaling pathways to regulate critical cellular functions.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w:t>
      </w:r>
    </w:p>
    <w:p>
      <w:pPr>
        <w:spacing w:after="0" w:line="1" w:lineRule="exact"/>
        <w:rPr>
          <w:sz w:val="20"/>
          <w:szCs w:val="20"/>
          <w:color w:val="auto"/>
        </w:rPr>
      </w:pPr>
    </w:p>
    <w:p>
      <w:pPr>
        <w:ind w:firstLine="5"/>
        <w:spacing w:after="0" w:line="244" w:lineRule="auto"/>
        <w:tabs>
          <w:tab w:leader="none" w:pos="256"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chromosomes become rearranged creating a translocation or a fusion gene; or (3) excessive amounts of protein are created due to gene duplication or dysregulation leading to overexpression. There is a strong link between genetic alterations in kinases and disease, including specific forms of cancer and rare genetic diseases. Several kinases have been validated as oncogenes, which are genes that when altered can initiate and maintain cancer growth. Examples of oncogenes are BCR-ABL, EGFR, B-RAF and ALK, amongst many others. Ongoing genomic analyses of tumor data sets continue to identify new roles for kinases as drivers of disease.</w:t>
      </w:r>
    </w:p>
    <w:p>
      <w:pPr>
        <w:spacing w:after="0" w:line="199" w:lineRule="exact"/>
        <w:rPr>
          <w:sz w:val="20"/>
          <w:szCs w:val="20"/>
          <w:color w:val="auto"/>
        </w:rPr>
      </w:pPr>
    </w:p>
    <w:p>
      <w:pPr>
        <w:ind w:right="140" w:firstLine="464"/>
        <w:spacing w:after="0" w:line="245" w:lineRule="auto"/>
        <w:rPr>
          <w:sz w:val="20"/>
          <w:szCs w:val="20"/>
          <w:color w:val="auto"/>
        </w:rPr>
      </w:pPr>
      <w:r>
        <w:rPr>
          <w:rFonts w:ascii="Arial" w:cs="Arial" w:eastAsia="Arial" w:hAnsi="Arial"/>
          <w:sz w:val="17"/>
          <w:szCs w:val="17"/>
          <w:color w:val="auto"/>
        </w:rPr>
        <w:t>As of 2014, there were 28 FDA-approved small molecule drugs that target less than five percent of the 518 kinases, of which all but two are indicated for cancer. The targets of these therapies include the overactive kinases produced by the known oncogenes as well as kinases that promote angiogenesis such as VEGFRs. Kinase inhibition continues to be a fruitful approach for cancer drug development. From 2012 to 2014, eleven of 28 FDA-approved cancer drugs were kinase inhibitors.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Despite these successes, several opportunities remain in kinase drug discovery and development.</w:t>
      </w:r>
    </w:p>
    <w:p>
      <w:pPr>
        <w:spacing w:after="0" w:line="191" w:lineRule="exact"/>
        <w:rPr>
          <w:sz w:val="20"/>
          <w:szCs w:val="20"/>
          <w:color w:val="auto"/>
        </w:rPr>
      </w:pPr>
    </w:p>
    <w:p>
      <w:pPr>
        <w:ind w:left="1060" w:right="140" w:hanging="531"/>
        <w:spacing w:after="0" w:line="259"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Identifying novel kinase drivers of disease. </w:t>
      </w:r>
      <w:r>
        <w:rPr>
          <w:rFonts w:ascii="Arial" w:cs="Arial" w:eastAsia="Arial" w:hAnsi="Arial"/>
          <w:sz w:val="17"/>
          <w:szCs w:val="17"/>
          <w:color w:val="auto"/>
        </w:rPr>
        <w:t>Very few kinases are the focus of approved drugs. Further, the function of the majority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kinome still remains unexplored. Thus, there is substantial opportunity for developing novel and transformative therapies that target well-characterized but currently undrugged kinases as well as KUBs.</w:t>
      </w:r>
    </w:p>
    <w:p>
      <w:pPr>
        <w:spacing w:after="0" w:line="166" w:lineRule="exact"/>
        <w:rPr>
          <w:rFonts w:ascii="Arial" w:cs="Arial" w:eastAsia="Arial" w:hAnsi="Arial"/>
          <w:sz w:val="17"/>
          <w:szCs w:val="17"/>
          <w:color w:val="auto"/>
        </w:rPr>
      </w:pPr>
    </w:p>
    <w:p>
      <w:pPr>
        <w:ind w:left="1060" w:right="20" w:hanging="531"/>
        <w:spacing w:after="0" w:line="248"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Crafting very selective kinase drugs. </w:t>
      </w:r>
      <w:r>
        <w:rPr>
          <w:rFonts w:ascii="Arial" w:cs="Arial" w:eastAsia="Arial" w:hAnsi="Arial"/>
          <w:sz w:val="17"/>
          <w:szCs w:val="17"/>
          <w:color w:val="auto"/>
        </w:rPr>
        <w:t>Due to the high degree of homology between kinases, specific targeting of a given kinase can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64" w:lineRule="exact"/>
        <w:rPr>
          <w:rFonts w:ascii="Arial" w:cs="Arial" w:eastAsia="Arial" w:hAnsi="Arial"/>
          <w:sz w:val="17"/>
          <w:szCs w:val="17"/>
          <w:color w:val="auto"/>
        </w:rPr>
      </w:pPr>
    </w:p>
    <w:p>
      <w:pPr>
        <w:ind w:left="1060" w:hanging="531"/>
        <w:spacing w:after="0" w:line="253"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Generating novel chemical matter required to target difficult-to-drug kinases. </w:t>
      </w:r>
      <w:r>
        <w:rPr>
          <w:rFonts w:ascii="Arial" w:cs="Arial" w:eastAsia="Arial" w:hAnsi="Arial"/>
          <w:sz w:val="17"/>
          <w:szCs w:val="17"/>
          <w:color w:val="auto"/>
        </w:rPr>
        <w:t>Novel chemical matter is needed to address targets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known but not yet drugged.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58" w:lineRule="exact"/>
        <w:rPr>
          <w:rFonts w:ascii="Arial" w:cs="Arial" w:eastAsia="Arial" w:hAnsi="Arial"/>
          <w:sz w:val="17"/>
          <w:szCs w:val="17"/>
          <w:color w:val="auto"/>
        </w:rPr>
      </w:pPr>
    </w:p>
    <w:p>
      <w:pPr>
        <w:ind w:left="1060" w:right="80" w:hanging="531"/>
        <w:spacing w:after="0" w:line="259"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Overcoming resistance mediated by the alteration of kinase targets. </w:t>
      </w:r>
      <w:r>
        <w:rPr>
          <w:rFonts w:ascii="Arial" w:cs="Arial" w:eastAsia="Arial" w:hAnsi="Arial"/>
          <w:sz w:val="17"/>
          <w:szCs w:val="17"/>
          <w:color w:val="auto"/>
        </w:rPr>
        <w:t>Most approved kinase inhibitors provide only temporary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control. Patients may relapse due to the emergence of resistance mutations. Novel approaches are needed to predict and inhibit resistant mutants thus providing more durable clinical responses.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Approach and Platform</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approach is to systematically and reproducibly identify kinases that are drivers of genomically defined diseases and to craft drug candidates with therapeutic windows that provide significant and durable clinical responses to patients. This approach enables us to drug known kinase targets that have been difficult to inhibit selectively and also identify, characterize and drug novel kinase targets. By focusing on genomically defined diseases, we believe that we can quickly identify the patients most likely to respond, resulting in a more efficient development path with a greater likelihood of success.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approach is enabled by our drug discovery platform consisting of two pillars:</w:t>
      </w:r>
    </w:p>
    <w:p>
      <w:pPr>
        <w:spacing w:after="0" w:line="224" w:lineRule="exact"/>
        <w:rPr>
          <w:sz w:val="20"/>
          <w:szCs w:val="20"/>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proprietary, highly-annotated library of novel compounds; and</w:t>
      </w:r>
    </w:p>
    <w:p>
      <w:pPr>
        <w:spacing w:after="0" w:line="197" w:lineRule="exact"/>
        <w:rPr>
          <w:rFonts w:ascii="Arial" w:cs="Arial" w:eastAsia="Arial" w:hAnsi="Arial"/>
          <w:sz w:val="17"/>
          <w:szCs w:val="17"/>
          <w:color w:val="auto"/>
        </w:rPr>
      </w:pPr>
    </w:p>
    <w:p>
      <w:pPr>
        <w:ind w:left="1060" w:right="240" w:hanging="531"/>
        <w:spacing w:after="0" w:line="25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novel target discovery engine, which is a comprehensive process that interrogates kinase biology from many angles using genomics, structural biology and cell biology.</w:t>
      </w:r>
    </w:p>
    <w:p>
      <w:pPr>
        <w:spacing w:after="0" w:line="19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proprietary compound library is a unique collection of small molecules designed and developed entirely in-house by Blueprint Medicines' scientists as kinase inhibitors and enriched for drug-like properties. We do not owe royalties or other fees to any parties associated with our novel target discovery engine and our proprietary compound library. This provides high-quality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disease-relevant kinase mutants; the majority of known kinases are targeted by at least one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compound family. Thus, this "annotated" compound library provides high-quality medicinal chemistry starting points that enable quick-starts to drug discovery programs, avoiding the expense and time spent running high throughput screens. Notably, our proprietary compound library has yielded high quality chemical starting points for previously difficult-to-drug kinases. We plan to expand our proprietary compound library to cover close to 100% of the kinome and to increase the number of compound families that inhibit each kinase target.</w:t>
      </w:r>
    </w:p>
    <w:p>
      <w:pPr>
        <w:spacing w:after="0" w:line="198"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We have established a novel target discovery engine, which was developed entirely in-house under the direction of our chief scientific officer, to provide new insights into the biology of kinases as drivers of disease and to identify new kinase drug targets. There are two aspects to the novel target discovery engine:</w:t>
      </w:r>
    </w:p>
    <w:p>
      <w:pPr>
        <w:spacing w:after="0" w:line="179" w:lineRule="exact"/>
        <w:rPr>
          <w:sz w:val="20"/>
          <w:szCs w:val="20"/>
          <w:color w:val="auto"/>
        </w:rPr>
      </w:pPr>
    </w:p>
    <w:p>
      <w:pPr>
        <w:ind w:left="1060" w:right="40" w:hanging="531"/>
        <w:spacing w:after="0" w:line="250"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Genomics Approach to Identify Novel Kinase Targets. </w:t>
      </w:r>
      <w:r>
        <w:rPr>
          <w:rFonts w:ascii="Arial" w:cs="Arial" w:eastAsia="Arial" w:hAnsi="Arial"/>
          <w:sz w:val="17"/>
          <w:szCs w:val="17"/>
          <w:color w:val="auto"/>
        </w:rPr>
        <w:t>Our high-capacity computing infrastructure allows not only storage of very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in 2014.</w:t>
      </w:r>
    </w:p>
    <w:p>
      <w:pPr>
        <w:spacing w:after="0" w:line="174" w:lineRule="exact"/>
        <w:rPr>
          <w:rFonts w:ascii="Arial" w:cs="Arial" w:eastAsia="Arial" w:hAnsi="Arial"/>
          <w:sz w:val="17"/>
          <w:szCs w:val="17"/>
          <w:color w:val="auto"/>
        </w:rPr>
      </w:pPr>
    </w:p>
    <w:p>
      <w:pPr>
        <w:ind w:left="1060" w:hanging="531"/>
        <w:spacing w:after="0" w:line="25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Cell-based Screens to Identify Novel Kinase Targets. </w:t>
      </w:r>
      <w:r>
        <w:rPr>
          <w:rFonts w:ascii="Arial" w:cs="Arial" w:eastAsia="Arial" w:hAnsi="Arial"/>
          <w:sz w:val="17"/>
          <w:szCs w:val="17"/>
          <w:color w:val="auto"/>
        </w:rPr>
        <w:t>In this approach, a subset of the compounds in our proprietary compound library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exhibit remarkable potency and/or selectivity for one or a few kinases — our "tool compounds" — are used as probes in disease-relevant cell-based screens. Many of these tool compounds inhibit KUBs and thus allow us to evaluate potential roles for these relatively unexplored kinases in human disease.</w:t>
      </w:r>
    </w:p>
    <w:p>
      <w:pPr>
        <w:spacing w:after="0" w:line="192"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genomically-defined cancers with a targeted therapy typically results in a significant anti-tumor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 We have and may continue to form collaborations to track emerging patterns of resistance in the clinic to confirm our predictions. We have used this process of predicting resistance to inform the design of several of our next generation drugs.</w:t>
      </w:r>
    </w:p>
    <w:p>
      <w:pPr>
        <w:spacing w:after="0" w:line="20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Our platform has already yielded a robust pipeline. KIT Exon 17 mutants, while known drivers of disease, were not selectively drugged successfully. We developed BLU-285 as a selective inhibitor of KIT Exon 17 mutants, an effort facilitated by our proprietary compound library. Aberrant signaling through FGFR4 is a known genomic driver in a subset of HCC patients. This kinase has been difficult to drug selectively due to the close homology of the FGFR family members. We developed BLU-554 as a selective inhibitor of FGFR4 to address the unmet medical need in this genomically-defined HCC patient population. Additionally, we applied our resistance mutation prediction algorithm in our RET program to identify mutant forms of the kinase that are resistant to multi-kinase inhibitors with RET activity. We have designed potent and selective RET inhibitors with activity against both the wild-type and mutant enzymes, another effort that is facilitated by our proprietary compound library. Finally, we are currently using and will continue to use our tool compounds to explore the role of KUBs in human disease with the goal of identifying novel kinase targets.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Our Development Programs</w:t>
      </w:r>
    </w:p>
    <w:p>
      <w:pPr>
        <w:spacing w:after="0" w:line="231" w:lineRule="exact"/>
        <w:rPr>
          <w:sz w:val="20"/>
          <w:szCs w:val="20"/>
          <w:color w:val="auto"/>
        </w:rPr>
      </w:pPr>
    </w:p>
    <w:p>
      <w:pPr>
        <w:ind w:right="260" w:firstLine="474"/>
        <w:spacing w:after="0" w:line="245" w:lineRule="auto"/>
        <w:rPr>
          <w:sz w:val="20"/>
          <w:szCs w:val="20"/>
          <w:color w:val="auto"/>
        </w:rPr>
      </w:pPr>
      <w:r>
        <w:rPr>
          <w:rFonts w:ascii="Arial" w:cs="Arial" w:eastAsia="Arial" w:hAnsi="Arial"/>
          <w:sz w:val="17"/>
          <w:szCs w:val="17"/>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oncology-focused drug candidates, and have a rare genetic disease program that is the subject of our collaboration with Alexion Pharma Holding, or Alexion. Our most advanced drug candidates are summarized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ind w:left="680"/>
              <w:spacing w:after="0" w:line="159" w:lineRule="exact"/>
              <w:rPr>
                <w:sz w:val="20"/>
                <w:szCs w:val="20"/>
                <w:color w:val="auto"/>
              </w:rPr>
            </w:pPr>
            <w:r>
              <w:rPr>
                <w:rFonts w:ascii="Arial" w:cs="Arial" w:eastAsia="Arial" w:hAnsi="Arial"/>
                <w:sz w:val="14"/>
                <w:szCs w:val="14"/>
                <w:b w:val="1"/>
                <w:bCs w:val="1"/>
                <w:color w:val="auto"/>
              </w:rPr>
              <w:t>Genomic</w:t>
            </w:r>
          </w:p>
        </w:tc>
        <w:tc>
          <w:tcPr>
            <w:tcW w:w="2380" w:type="dxa"/>
            <w:vAlign w:val="bottom"/>
            <w:tcBorders>
              <w:top w:val="single" w:sz="8" w:color="auto"/>
            </w:tcBorders>
          </w:tcPr>
          <w:p>
            <w:pPr>
              <w:ind w:left="1160"/>
              <w:spacing w:after="0" w:line="159" w:lineRule="exact"/>
              <w:rPr>
                <w:sz w:val="20"/>
                <w:szCs w:val="20"/>
                <w:color w:val="auto"/>
              </w:rPr>
            </w:pPr>
            <w:r>
              <w:rPr>
                <w:rFonts w:ascii="Arial" w:cs="Arial" w:eastAsia="Arial" w:hAnsi="Arial"/>
                <w:sz w:val="14"/>
                <w:szCs w:val="14"/>
                <w:b w:val="1"/>
                <w:bCs w:val="1"/>
                <w:color w:val="auto"/>
              </w:rPr>
              <w:t>Initial</w:t>
            </w:r>
          </w:p>
        </w:tc>
        <w:tc>
          <w:tcPr>
            <w:tcW w:w="2320" w:type="dxa"/>
            <w:vAlign w:val="bottom"/>
            <w:tcBorders>
              <w:top w:val="single" w:sz="8" w:color="auto"/>
            </w:tcBorders>
          </w:tcPr>
          <w:p>
            <w:pPr>
              <w:ind w:left="1060"/>
              <w:spacing w:after="0" w:line="159" w:lineRule="exact"/>
              <w:rPr>
                <w:sz w:val="20"/>
                <w:szCs w:val="20"/>
                <w:color w:val="auto"/>
              </w:rPr>
            </w:pPr>
            <w:r>
              <w:rPr>
                <w:rFonts w:ascii="Arial" w:cs="Arial" w:eastAsia="Arial" w:hAnsi="Arial"/>
                <w:sz w:val="14"/>
                <w:szCs w:val="14"/>
                <w:b w:val="1"/>
                <w:bCs w:val="1"/>
                <w:color w:val="auto"/>
              </w:rPr>
              <w:t>Stage of</w:t>
            </w:r>
          </w:p>
        </w:tc>
        <w:tc>
          <w:tcPr>
            <w:tcW w:w="2360" w:type="dxa"/>
            <w:vAlign w:val="bottom"/>
            <w:tcBorders>
              <w:top w:val="single" w:sz="8" w:color="auto"/>
            </w:tcBorders>
          </w:tcPr>
          <w:p>
            <w:pPr>
              <w:ind w:left="1000"/>
              <w:spacing w:after="0" w:line="159" w:lineRule="exact"/>
              <w:rPr>
                <w:sz w:val="20"/>
                <w:szCs w:val="20"/>
                <w:color w:val="auto"/>
              </w:rPr>
            </w:pPr>
            <w:r>
              <w:rPr>
                <w:rFonts w:ascii="Arial" w:cs="Arial" w:eastAsia="Arial" w:hAnsi="Arial"/>
                <w:sz w:val="14"/>
                <w:szCs w:val="14"/>
                <w:b w:val="1"/>
                <w:bCs w:val="1"/>
                <w:color w:val="auto"/>
              </w:rPr>
              <w:t>Commercial</w:t>
            </w:r>
          </w:p>
        </w:tc>
      </w:tr>
      <w:tr>
        <w:trPr>
          <w:trHeight w:val="190"/>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Drug Candidates</w:t>
            </w:r>
          </w:p>
        </w:tc>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Drivers</w:t>
            </w:r>
          </w:p>
        </w:tc>
        <w:tc>
          <w:tcPr>
            <w:tcW w:w="23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Diseases</w:t>
            </w:r>
          </w:p>
        </w:tc>
        <w:tc>
          <w:tcPr>
            <w:tcW w:w="23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Development</w:t>
            </w:r>
          </w:p>
        </w:tc>
        <w:tc>
          <w:tcPr>
            <w:tcW w:w="23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Rights</w:t>
            </w:r>
          </w:p>
        </w:tc>
      </w:tr>
      <w:tr>
        <w:trPr>
          <w:trHeight w:val="160"/>
        </w:trPr>
        <w:tc>
          <w:tcPr>
            <w:tcW w:w="2360" w:type="dxa"/>
            <w:vAlign w:val="bottom"/>
          </w:tcPr>
          <w:p>
            <w:pPr>
              <w:spacing w:after="0"/>
              <w:rPr>
                <w:sz w:val="20"/>
                <w:szCs w:val="20"/>
                <w:color w:val="auto"/>
              </w:rPr>
            </w:pPr>
            <w:r>
              <w:rPr>
                <w:rFonts w:ascii="Arial" w:cs="Arial" w:eastAsia="Arial" w:hAnsi="Arial"/>
                <w:sz w:val="14"/>
                <w:szCs w:val="14"/>
                <w:color w:val="auto"/>
              </w:rPr>
              <w:t>BLU-285 (KIT Exon 17</w:t>
            </w:r>
          </w:p>
        </w:tc>
        <w:tc>
          <w:tcPr>
            <w:tcW w:w="2000" w:type="dxa"/>
            <w:vAlign w:val="bottom"/>
          </w:tcPr>
          <w:p>
            <w:pPr>
              <w:spacing w:after="0"/>
              <w:rPr>
                <w:sz w:val="20"/>
                <w:szCs w:val="20"/>
                <w:color w:val="auto"/>
              </w:rPr>
            </w:pPr>
            <w:r>
              <w:rPr>
                <w:rFonts w:ascii="Arial" w:cs="Arial" w:eastAsia="Arial" w:hAnsi="Arial"/>
                <w:sz w:val="14"/>
                <w:szCs w:val="14"/>
                <w:color w:val="auto"/>
              </w:rPr>
              <w:t>KIT D816V</w:t>
            </w:r>
          </w:p>
        </w:tc>
        <w:tc>
          <w:tcPr>
            <w:tcW w:w="2380" w:type="dxa"/>
            <w:vAlign w:val="bottom"/>
          </w:tcPr>
          <w:p>
            <w:pPr>
              <w:ind w:left="380"/>
              <w:spacing w:after="0"/>
              <w:rPr>
                <w:sz w:val="20"/>
                <w:szCs w:val="20"/>
                <w:color w:val="auto"/>
              </w:rPr>
            </w:pPr>
            <w:r>
              <w:rPr>
                <w:rFonts w:ascii="Arial" w:cs="Arial" w:eastAsia="Arial" w:hAnsi="Arial"/>
                <w:sz w:val="14"/>
                <w:szCs w:val="14"/>
                <w:color w:val="auto"/>
              </w:rPr>
              <w:t>SM</w:t>
            </w:r>
          </w:p>
        </w:tc>
        <w:tc>
          <w:tcPr>
            <w:tcW w:w="2320" w:type="dxa"/>
            <w:vAlign w:val="bottom"/>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Pr>
          <w:p>
            <w:pPr>
              <w:spacing w:after="0"/>
              <w:rPr>
                <w:sz w:val="13"/>
                <w:szCs w:val="13"/>
                <w:color w:val="auto"/>
              </w:rPr>
            </w:pPr>
          </w:p>
        </w:tc>
      </w:tr>
      <w:tr>
        <w:trPr>
          <w:trHeight w:val="172"/>
        </w:trPr>
        <w:tc>
          <w:tcPr>
            <w:tcW w:w="2360" w:type="dxa"/>
            <w:vAlign w:val="bottom"/>
          </w:tcPr>
          <w:p>
            <w:pPr>
              <w:spacing w:after="0"/>
              <w:rPr>
                <w:sz w:val="20"/>
                <w:szCs w:val="20"/>
                <w:color w:val="auto"/>
              </w:rPr>
            </w:pPr>
            <w:r>
              <w:rPr>
                <w:rFonts w:ascii="Arial" w:cs="Arial" w:eastAsia="Arial" w:hAnsi="Arial"/>
                <w:sz w:val="14"/>
                <w:szCs w:val="14"/>
                <w:color w:val="auto"/>
              </w:rPr>
              <w:t>inhibitor)</w:t>
            </w:r>
          </w:p>
        </w:tc>
        <w:tc>
          <w:tcPr>
            <w:tcW w:w="20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r>
      <w:tr>
        <w:trPr>
          <w:trHeight w:val="190"/>
        </w:trPr>
        <w:tc>
          <w:tcPr>
            <w:tcW w:w="2360" w:type="dxa"/>
            <w:vAlign w:val="bottom"/>
          </w:tcPr>
          <w:p>
            <w:pPr>
              <w:spacing w:after="0"/>
              <w:rPr>
                <w:sz w:val="16"/>
                <w:szCs w:val="16"/>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PDGFRa D842V</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Pr>
          <w:p>
            <w:pPr>
              <w:ind w:left="420"/>
              <w:spacing w:after="0"/>
              <w:rPr>
                <w:sz w:val="20"/>
                <w:szCs w:val="20"/>
                <w:color w:val="auto"/>
              </w:rPr>
            </w:pPr>
            <w:r>
              <w:rPr>
                <w:rFonts w:ascii="Arial" w:cs="Arial" w:eastAsia="Arial" w:hAnsi="Arial"/>
                <w:sz w:val="14"/>
                <w:szCs w:val="14"/>
                <w:color w:val="auto"/>
              </w:rPr>
              <w:t>Blueprint Medicines</w:t>
            </w:r>
          </w:p>
        </w:tc>
      </w:tr>
      <w:tr>
        <w:trPr>
          <w:trHeight w:val="178"/>
        </w:trPr>
        <w:tc>
          <w:tcPr>
            <w:tcW w:w="2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KIT Exon 17 mutants</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GIST</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BLU-554 (FGFR4 inhibitor)</w:t>
            </w: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Aberrant FGFR4 signaling</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HCC</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IND-enabling activities</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Blueprint Medicines</w:t>
            </w:r>
          </w:p>
        </w:tc>
      </w:tr>
      <w:tr>
        <w:trPr>
          <w:trHeight w:val="160"/>
        </w:trPr>
        <w:tc>
          <w:tcPr>
            <w:tcW w:w="2360" w:type="dxa"/>
            <w:vAlign w:val="bottom"/>
          </w:tcPr>
          <w:p>
            <w:pPr>
              <w:spacing w:after="0"/>
              <w:rPr>
                <w:sz w:val="20"/>
                <w:szCs w:val="20"/>
                <w:color w:val="auto"/>
              </w:rPr>
            </w:pPr>
            <w:r>
              <w:rPr>
                <w:rFonts w:ascii="Arial" w:cs="Arial" w:eastAsia="Arial" w:hAnsi="Arial"/>
                <w:sz w:val="14"/>
                <w:szCs w:val="14"/>
                <w:color w:val="auto"/>
              </w:rPr>
              <w:t>RET fusions and predicted</w:t>
            </w:r>
          </w:p>
        </w:tc>
        <w:tc>
          <w:tcPr>
            <w:tcW w:w="2000" w:type="dxa"/>
            <w:vAlign w:val="bottom"/>
          </w:tcPr>
          <w:p>
            <w:pPr>
              <w:spacing w:after="0"/>
              <w:rPr>
                <w:sz w:val="20"/>
                <w:szCs w:val="20"/>
                <w:color w:val="auto"/>
              </w:rPr>
            </w:pPr>
            <w:r>
              <w:rPr>
                <w:rFonts w:ascii="Arial" w:cs="Arial" w:eastAsia="Arial" w:hAnsi="Arial"/>
                <w:sz w:val="14"/>
                <w:szCs w:val="14"/>
                <w:color w:val="auto"/>
              </w:rPr>
              <w:t>RET fusions*</w:t>
            </w:r>
          </w:p>
        </w:tc>
        <w:tc>
          <w:tcPr>
            <w:tcW w:w="2380" w:type="dxa"/>
            <w:vAlign w:val="bottom"/>
          </w:tcPr>
          <w:p>
            <w:pPr>
              <w:ind w:left="380"/>
              <w:spacing w:after="0"/>
              <w:rPr>
                <w:sz w:val="20"/>
                <w:szCs w:val="20"/>
                <w:color w:val="auto"/>
              </w:rPr>
            </w:pPr>
            <w:r>
              <w:rPr>
                <w:rFonts w:ascii="Arial" w:cs="Arial" w:eastAsia="Arial" w:hAnsi="Arial"/>
                <w:sz w:val="14"/>
                <w:szCs w:val="14"/>
                <w:color w:val="auto"/>
              </w:rPr>
              <w:t>Non-small cell lung cancer</w:t>
            </w:r>
          </w:p>
        </w:tc>
        <w:tc>
          <w:tcPr>
            <w:tcW w:w="2320" w:type="dxa"/>
            <w:vAlign w:val="bottom"/>
          </w:tcPr>
          <w:p>
            <w:pPr>
              <w:ind w:left="380"/>
              <w:spacing w:after="0"/>
              <w:rPr>
                <w:sz w:val="20"/>
                <w:szCs w:val="20"/>
                <w:color w:val="auto"/>
              </w:rPr>
            </w:pPr>
            <w:r>
              <w:rPr>
                <w:rFonts w:ascii="Arial" w:cs="Arial" w:eastAsia="Arial" w:hAnsi="Arial"/>
                <w:sz w:val="14"/>
                <w:szCs w:val="14"/>
                <w:color w:val="auto"/>
              </w:rPr>
              <w:t>Lead optimization</w:t>
            </w:r>
          </w:p>
        </w:tc>
        <w:tc>
          <w:tcPr>
            <w:tcW w:w="2360" w:type="dxa"/>
            <w:vAlign w:val="bottom"/>
          </w:tcPr>
          <w:p>
            <w:pPr>
              <w:ind w:left="420"/>
              <w:spacing w:after="0"/>
              <w:rPr>
                <w:sz w:val="20"/>
                <w:szCs w:val="20"/>
                <w:color w:val="auto"/>
              </w:rPr>
            </w:pPr>
            <w:r>
              <w:rPr>
                <w:rFonts w:ascii="Arial" w:cs="Arial" w:eastAsia="Arial" w:hAnsi="Arial"/>
                <w:sz w:val="14"/>
                <w:szCs w:val="14"/>
                <w:color w:val="auto"/>
              </w:rPr>
              <w:t>Blueprint Medicines</w:t>
            </w:r>
          </w:p>
        </w:tc>
      </w:tr>
      <w:tr>
        <w:trPr>
          <w:trHeight w:val="174"/>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RET resistant mutants</w:t>
            </w:r>
          </w:p>
        </w:tc>
        <w:tc>
          <w:tcPr>
            <w:tcW w:w="20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Other solid tumors</w:t>
            </w:r>
          </w:p>
        </w:tc>
        <w:tc>
          <w:tcPr>
            <w:tcW w:w="2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r>
      <w:tr>
        <w:trPr>
          <w:trHeight w:val="177"/>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Rare genetic disease target</w:t>
            </w: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Undisclosed</w:t>
            </w: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Rare genetic disease</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Undisclosed</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Alexion</w:t>
            </w:r>
          </w:p>
        </w:tc>
      </w:tr>
    </w:tbl>
    <w:p>
      <w:pPr>
        <w:spacing w:after="0" w:line="214" w:lineRule="exact"/>
        <w:rPr>
          <w:sz w:val="20"/>
          <w:szCs w:val="20"/>
          <w:color w:val="auto"/>
        </w:rPr>
      </w:pPr>
    </w:p>
    <w:p>
      <w:pPr>
        <w:ind w:left="520" w:right="40" w:hanging="515"/>
        <w:spacing w:after="0" w:line="245"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w:t>
      </w:r>
    </w:p>
    <w:p>
      <w:pPr>
        <w:spacing w:after="0" w:line="183" w:lineRule="exact"/>
        <w:rPr>
          <w:sz w:val="20"/>
          <w:szCs w:val="20"/>
          <w:color w:val="auto"/>
        </w:rPr>
      </w:pPr>
    </w:p>
    <w:p>
      <w:pPr>
        <w:ind w:right="100" w:firstLine="474"/>
        <w:spacing w:after="0" w:line="255" w:lineRule="auto"/>
        <w:rPr>
          <w:sz w:val="20"/>
          <w:szCs w:val="20"/>
          <w:color w:val="auto"/>
        </w:rPr>
      </w:pPr>
      <w:r>
        <w:rPr>
          <w:rFonts w:ascii="Arial" w:cs="Arial" w:eastAsia="Arial" w:hAnsi="Arial"/>
          <w:sz w:val="17"/>
          <w:szCs w:val="17"/>
          <w:color w:val="auto"/>
        </w:rPr>
        <w:t>One of our lead drug candidates is BLU-285, which targets KIT Exon 17 and PDGFRa D842V, for patients with SM and defined subsets of patients with GIST. Our other lead drug candidate is BLU-554, which targets FGFR4, for a defined subset of patients with HCC. Both drug candidates have shown proof of concept in pre-clinical models and are expected to enter the clinic in mid-2015. We are also developing a drug candidate to target both RET fusions and RET resistant mutants that we predict will arise from treatment with first generation therapies.</w:t>
      </w:r>
    </w:p>
    <w:p>
      <w:pPr>
        <w:spacing w:after="0" w:line="190"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All of these programs target genomically-defined patient subsets. As we advance our drug candidates through clinical development, we will enrich our Phase 1 trials by selecting patients most likely to respond to our drug candidates to confirm mechanistic and clinical proof of concept. We are working with a number of clinical advisors, including David Schenkein, M.D., a former member of our board of directors, due to his medical experience as an oncologist and extensive drug development background. We are collaborating with corporate partners to create companion diagnostics and to develop assays to measure target engagement and early response. The table below lists the frequencies of each of the driver mutations targeted across multiple known diseases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and the corresponding estimated number of patients in the United States, France, Germany, Italy, Spain, the United Kingdom and Japan, or the Major Markets, worldwide:</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1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9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Estimated Number of Prevalent Patients*</w:t>
            </w: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r>
      <w:tr>
        <w:trPr>
          <w:trHeight w:val="139"/>
        </w:trPr>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United</w:t>
            </w:r>
          </w:p>
        </w:tc>
        <w:tc>
          <w:tcPr>
            <w:tcW w:w="156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Total Major</w:t>
            </w:r>
          </w:p>
        </w:tc>
        <w:tc>
          <w:tcPr>
            <w:tcW w:w="140" w:type="dxa"/>
            <w:vAlign w:val="bottom"/>
          </w:tcPr>
          <w:p>
            <w:pPr>
              <w:spacing w:after="0"/>
              <w:rPr>
                <w:sz w:val="12"/>
                <w:szCs w:val="12"/>
                <w:color w:val="auto"/>
              </w:rPr>
            </w:pPr>
          </w:p>
        </w:tc>
        <w:tc>
          <w:tcPr>
            <w:tcW w:w="1780" w:type="dxa"/>
            <w:vAlign w:val="bottom"/>
          </w:tcPr>
          <w:p>
            <w:pPr>
              <w:ind w:left="600"/>
              <w:spacing w:after="0" w:line="139" w:lineRule="exact"/>
              <w:rPr>
                <w:sz w:val="20"/>
                <w:szCs w:val="20"/>
                <w:color w:val="auto"/>
              </w:rPr>
            </w:pPr>
            <w:r>
              <w:rPr>
                <w:rFonts w:ascii="Arial" w:cs="Arial" w:eastAsia="Arial" w:hAnsi="Arial"/>
                <w:sz w:val="14"/>
                <w:szCs w:val="14"/>
                <w:b w:val="1"/>
                <w:bCs w:val="1"/>
                <w:color w:val="auto"/>
              </w:rPr>
              <w:t>Genomic</w:t>
            </w:r>
          </w:p>
        </w:tc>
        <w:tc>
          <w:tcPr>
            <w:tcW w:w="2140" w:type="dxa"/>
            <w:vAlign w:val="bottom"/>
          </w:tcPr>
          <w:p>
            <w:pPr>
              <w:ind w:left="720"/>
              <w:spacing w:after="0" w:line="139" w:lineRule="exact"/>
              <w:rPr>
                <w:sz w:val="20"/>
                <w:szCs w:val="20"/>
                <w:color w:val="auto"/>
              </w:rPr>
            </w:pPr>
            <w:r>
              <w:rPr>
                <w:rFonts w:ascii="Arial" w:cs="Arial" w:eastAsia="Arial" w:hAnsi="Arial"/>
                <w:sz w:val="14"/>
                <w:szCs w:val="14"/>
                <w:b w:val="1"/>
                <w:bCs w:val="1"/>
                <w:color w:val="auto"/>
              </w:rPr>
              <w:t>Frequency of</w:t>
            </w:r>
          </w:p>
        </w:tc>
      </w:tr>
      <w:tr>
        <w:trPr>
          <w:trHeight w:val="190"/>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Drug Candidates</w:t>
            </w: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Diseases</w:t>
            </w: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States</w:t>
            </w: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Markets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Drivers</w:t>
            </w:r>
          </w:p>
        </w:tc>
        <w:tc>
          <w:tcPr>
            <w:tcW w:w="2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Mutations (% of Patients)</w:t>
            </w:r>
          </w:p>
        </w:tc>
      </w:tr>
      <w:tr>
        <w:trPr>
          <w:trHeight w:val="160"/>
        </w:trPr>
        <w:tc>
          <w:tcPr>
            <w:tcW w:w="1400" w:type="dxa"/>
            <w:vAlign w:val="bottom"/>
          </w:tcPr>
          <w:p>
            <w:pPr>
              <w:spacing w:after="0"/>
              <w:rPr>
                <w:sz w:val="20"/>
                <w:szCs w:val="20"/>
                <w:color w:val="auto"/>
              </w:rPr>
            </w:pPr>
            <w:r>
              <w:rPr>
                <w:rFonts w:ascii="Arial" w:cs="Arial" w:eastAsia="Arial" w:hAnsi="Arial"/>
                <w:sz w:val="14"/>
                <w:szCs w:val="14"/>
                <w:color w:val="auto"/>
              </w:rPr>
              <w:t>BLU-285</w:t>
            </w:r>
          </w:p>
        </w:tc>
        <w:tc>
          <w:tcPr>
            <w:tcW w:w="820" w:type="dxa"/>
            <w:vAlign w:val="bottom"/>
          </w:tcPr>
          <w:p>
            <w:pPr>
              <w:spacing w:after="0"/>
              <w:rPr>
                <w:sz w:val="20"/>
                <w:szCs w:val="20"/>
                <w:color w:val="auto"/>
              </w:rPr>
            </w:pPr>
            <w:r>
              <w:rPr>
                <w:rFonts w:ascii="Arial" w:cs="Arial" w:eastAsia="Arial" w:hAnsi="Arial"/>
                <w:sz w:val="14"/>
                <w:szCs w:val="14"/>
                <w:color w:val="auto"/>
              </w:rPr>
              <w:t>SM</w:t>
            </w:r>
          </w:p>
        </w:tc>
        <w:tc>
          <w:tcPr>
            <w:tcW w:w="1400" w:type="dxa"/>
            <w:vAlign w:val="bottom"/>
          </w:tcPr>
          <w:p>
            <w:pPr>
              <w:spacing w:after="0"/>
              <w:rPr>
                <w:sz w:val="20"/>
                <w:szCs w:val="20"/>
                <w:color w:val="auto"/>
              </w:rPr>
            </w:pPr>
            <w:r>
              <w:rPr>
                <w:rFonts w:ascii="Arial" w:cs="Arial" w:eastAsia="Arial" w:hAnsi="Arial"/>
                <w:sz w:val="14"/>
                <w:szCs w:val="14"/>
                <w:color w:val="auto"/>
              </w:rPr>
              <w:t>1,700 advanced SM</w:t>
            </w:r>
          </w:p>
        </w:tc>
        <w:tc>
          <w:tcPr>
            <w:tcW w:w="1560" w:type="dxa"/>
            <w:vAlign w:val="bottom"/>
          </w:tcPr>
          <w:p>
            <w:pPr>
              <w:ind w:left="140"/>
              <w:spacing w:after="0"/>
              <w:rPr>
                <w:sz w:val="20"/>
                <w:szCs w:val="20"/>
                <w:color w:val="auto"/>
              </w:rPr>
            </w:pPr>
            <w:r>
              <w:rPr>
                <w:rFonts w:ascii="Arial" w:cs="Arial" w:eastAsia="Arial" w:hAnsi="Arial"/>
                <w:sz w:val="14"/>
                <w:szCs w:val="14"/>
                <w:color w:val="auto"/>
              </w:rPr>
              <w:t>4,500 advanced SM</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KIT D816V</w:t>
            </w:r>
          </w:p>
        </w:tc>
        <w:tc>
          <w:tcPr>
            <w:tcW w:w="2140" w:type="dxa"/>
            <w:vAlign w:val="bottom"/>
          </w:tcPr>
          <w:p>
            <w:pPr>
              <w:ind w:left="160"/>
              <w:spacing w:after="0"/>
              <w:rPr>
                <w:sz w:val="20"/>
                <w:szCs w:val="20"/>
                <w:color w:val="auto"/>
              </w:rPr>
            </w:pPr>
            <w:r>
              <w:rPr>
                <w:rFonts w:ascii="Arial" w:cs="Arial" w:eastAsia="Arial" w:hAnsi="Arial"/>
                <w:sz w:val="14"/>
                <w:szCs w:val="14"/>
                <w:color w:val="auto"/>
              </w:rPr>
              <w:t>Greater than or equal to 94%</w:t>
            </w:r>
          </w:p>
        </w:tc>
      </w:tr>
      <w:tr>
        <w:trPr>
          <w:trHeight w:val="174"/>
        </w:trPr>
        <w:tc>
          <w:tcPr>
            <w:tcW w:w="14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6,300 indolent SM</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16,000 indolent SM</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r>
        <w:trPr>
          <w:trHeight w:val="188"/>
        </w:trPr>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Total: 8,000</w:t>
            </w:r>
          </w:p>
        </w:tc>
        <w:tc>
          <w:tcPr>
            <w:tcW w:w="1560" w:type="dxa"/>
            <w:vAlign w:val="bottom"/>
          </w:tcPr>
          <w:p>
            <w:pPr>
              <w:ind w:left="140"/>
              <w:spacing w:after="0"/>
              <w:rPr>
                <w:sz w:val="20"/>
                <w:szCs w:val="20"/>
                <w:color w:val="auto"/>
              </w:rPr>
            </w:pPr>
            <w:r>
              <w:rPr>
                <w:rFonts w:ascii="Arial" w:cs="Arial" w:eastAsia="Arial" w:hAnsi="Arial"/>
                <w:sz w:val="14"/>
                <w:szCs w:val="14"/>
                <w:color w:val="auto"/>
              </w:rPr>
              <w:t>Total: 20,000</w:t>
            </w:r>
          </w:p>
        </w:tc>
        <w:tc>
          <w:tcPr>
            <w:tcW w:w="14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PDGFRa D842V</w:t>
            </w: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5 - 6% of primary GIST</w:t>
            </w:r>
          </w:p>
        </w:tc>
      </w:tr>
      <w:tr>
        <w:trPr>
          <w:trHeight w:val="162"/>
        </w:trPr>
        <w:tc>
          <w:tcPr>
            <w:tcW w:w="14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GIST**</w:t>
            </w:r>
          </w:p>
        </w:tc>
        <w:tc>
          <w:tcPr>
            <w:tcW w:w="1400" w:type="dxa"/>
            <w:vAlign w:val="bottom"/>
          </w:tcPr>
          <w:p>
            <w:pPr>
              <w:spacing w:after="0"/>
              <w:rPr>
                <w:sz w:val="20"/>
                <w:szCs w:val="20"/>
                <w:color w:val="auto"/>
              </w:rPr>
            </w:pPr>
            <w:r>
              <w:rPr>
                <w:rFonts w:ascii="Arial" w:cs="Arial" w:eastAsia="Arial" w:hAnsi="Arial"/>
                <w:sz w:val="14"/>
                <w:szCs w:val="14"/>
                <w:color w:val="auto"/>
              </w:rPr>
              <w:t>1L: 3,000</w:t>
            </w:r>
          </w:p>
        </w:tc>
        <w:tc>
          <w:tcPr>
            <w:tcW w:w="1560" w:type="dxa"/>
            <w:vAlign w:val="bottom"/>
          </w:tcPr>
          <w:p>
            <w:pPr>
              <w:ind w:left="140"/>
              <w:spacing w:after="0"/>
              <w:rPr>
                <w:sz w:val="20"/>
                <w:szCs w:val="20"/>
                <w:color w:val="auto"/>
              </w:rPr>
            </w:pPr>
            <w:r>
              <w:rPr>
                <w:rFonts w:ascii="Arial" w:cs="Arial" w:eastAsia="Arial" w:hAnsi="Arial"/>
                <w:sz w:val="14"/>
                <w:szCs w:val="14"/>
                <w:color w:val="auto"/>
              </w:rPr>
              <w:t>1L: 8,000</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Arial" w:cs="Arial" w:eastAsia="Arial" w:hAnsi="Arial"/>
                <w:sz w:val="14"/>
                <w:szCs w:val="14"/>
                <w:color w:val="auto"/>
              </w:rPr>
              <w:t>1L: &lt;1%</w:t>
            </w:r>
          </w:p>
        </w:tc>
      </w:tr>
      <w:tr>
        <w:trPr>
          <w:trHeight w:val="157"/>
        </w:trPr>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line="157" w:lineRule="exact"/>
              <w:rPr>
                <w:sz w:val="20"/>
                <w:szCs w:val="20"/>
                <w:color w:val="auto"/>
              </w:rPr>
            </w:pPr>
            <w:r>
              <w:rPr>
                <w:rFonts w:ascii="Arial" w:cs="Arial" w:eastAsia="Arial" w:hAnsi="Arial"/>
                <w:sz w:val="14"/>
                <w:szCs w:val="14"/>
                <w:color w:val="auto"/>
              </w:rPr>
              <w:t>2L: 2,700</w:t>
            </w:r>
          </w:p>
        </w:tc>
        <w:tc>
          <w:tcPr>
            <w:tcW w:w="1560" w:type="dxa"/>
            <w:vAlign w:val="bottom"/>
          </w:tcPr>
          <w:p>
            <w:pPr>
              <w:ind w:left="140"/>
              <w:spacing w:after="0" w:line="157" w:lineRule="exact"/>
              <w:rPr>
                <w:sz w:val="20"/>
                <w:szCs w:val="20"/>
                <w:color w:val="auto"/>
              </w:rPr>
            </w:pPr>
            <w:r>
              <w:rPr>
                <w:rFonts w:ascii="Arial" w:cs="Arial" w:eastAsia="Arial" w:hAnsi="Arial"/>
                <w:sz w:val="14"/>
                <w:szCs w:val="14"/>
                <w:color w:val="auto"/>
              </w:rPr>
              <w:t>2L: 7,000</w:t>
            </w:r>
          </w:p>
        </w:tc>
        <w:tc>
          <w:tcPr>
            <w:tcW w:w="140" w:type="dxa"/>
            <w:vAlign w:val="bottom"/>
          </w:tcPr>
          <w:p>
            <w:pPr>
              <w:spacing w:after="0"/>
              <w:rPr>
                <w:sz w:val="13"/>
                <w:szCs w:val="13"/>
                <w:color w:val="auto"/>
              </w:rPr>
            </w:pPr>
          </w:p>
        </w:tc>
        <w:tc>
          <w:tcPr>
            <w:tcW w:w="1780" w:type="dxa"/>
            <w:vAlign w:val="bottom"/>
          </w:tcPr>
          <w:p>
            <w:pPr>
              <w:spacing w:after="0" w:line="157" w:lineRule="exact"/>
              <w:rPr>
                <w:sz w:val="20"/>
                <w:szCs w:val="20"/>
                <w:color w:val="auto"/>
              </w:rPr>
            </w:pPr>
            <w:r>
              <w:rPr>
                <w:rFonts w:ascii="Arial" w:cs="Arial" w:eastAsia="Arial" w:hAnsi="Arial"/>
                <w:sz w:val="14"/>
                <w:szCs w:val="14"/>
                <w:color w:val="auto"/>
              </w:rPr>
              <w:t>KIT Exon 17</w:t>
            </w:r>
          </w:p>
        </w:tc>
        <w:tc>
          <w:tcPr>
            <w:tcW w:w="2140" w:type="dxa"/>
            <w:vAlign w:val="bottom"/>
          </w:tcPr>
          <w:p>
            <w:pPr>
              <w:ind w:left="160"/>
              <w:spacing w:after="0" w:line="157" w:lineRule="exact"/>
              <w:rPr>
                <w:sz w:val="20"/>
                <w:szCs w:val="20"/>
                <w:color w:val="auto"/>
              </w:rPr>
            </w:pPr>
            <w:r>
              <w:rPr>
                <w:rFonts w:ascii="Arial" w:cs="Arial" w:eastAsia="Arial" w:hAnsi="Arial"/>
                <w:sz w:val="14"/>
                <w:szCs w:val="14"/>
                <w:color w:val="auto"/>
              </w:rPr>
              <w:t>2L: 23%</w:t>
            </w:r>
          </w:p>
        </w:tc>
      </w:tr>
      <w:tr>
        <w:trPr>
          <w:trHeight w:val="174"/>
        </w:trPr>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3L: 2,300</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3L: 5,000</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3L: 100%</w:t>
            </w:r>
          </w:p>
        </w:tc>
      </w:tr>
      <w:tr>
        <w:trPr>
          <w:trHeight w:val="160"/>
        </w:trPr>
        <w:tc>
          <w:tcPr>
            <w:tcW w:w="1400" w:type="dxa"/>
            <w:vAlign w:val="bottom"/>
          </w:tcPr>
          <w:p>
            <w:pPr>
              <w:spacing w:after="0"/>
              <w:rPr>
                <w:sz w:val="20"/>
                <w:szCs w:val="20"/>
                <w:color w:val="auto"/>
              </w:rPr>
            </w:pPr>
            <w:r>
              <w:rPr>
                <w:rFonts w:ascii="Arial" w:cs="Arial" w:eastAsia="Arial" w:hAnsi="Arial"/>
                <w:sz w:val="14"/>
                <w:szCs w:val="14"/>
                <w:color w:val="auto"/>
              </w:rPr>
              <w:t>BLU-554</w:t>
            </w:r>
          </w:p>
        </w:tc>
        <w:tc>
          <w:tcPr>
            <w:tcW w:w="820" w:type="dxa"/>
            <w:vAlign w:val="bottom"/>
          </w:tcPr>
          <w:p>
            <w:pPr>
              <w:spacing w:after="0"/>
              <w:rPr>
                <w:sz w:val="20"/>
                <w:szCs w:val="20"/>
                <w:color w:val="auto"/>
              </w:rPr>
            </w:pPr>
            <w:r>
              <w:rPr>
                <w:rFonts w:ascii="Arial" w:cs="Arial" w:eastAsia="Arial" w:hAnsi="Arial"/>
                <w:sz w:val="14"/>
                <w:szCs w:val="14"/>
                <w:color w:val="auto"/>
              </w:rPr>
              <w:t>HCC**</w:t>
            </w:r>
          </w:p>
        </w:tc>
        <w:tc>
          <w:tcPr>
            <w:tcW w:w="1400" w:type="dxa"/>
            <w:vAlign w:val="bottom"/>
          </w:tcPr>
          <w:p>
            <w:pPr>
              <w:spacing w:after="0"/>
              <w:rPr>
                <w:sz w:val="20"/>
                <w:szCs w:val="20"/>
                <w:color w:val="auto"/>
              </w:rPr>
            </w:pPr>
            <w:r>
              <w:rPr>
                <w:rFonts w:ascii="Arial" w:cs="Arial" w:eastAsia="Arial" w:hAnsi="Arial"/>
                <w:sz w:val="14"/>
                <w:szCs w:val="14"/>
                <w:color w:val="auto"/>
              </w:rPr>
              <w:t>16,000 first line</w:t>
            </w:r>
          </w:p>
        </w:tc>
        <w:tc>
          <w:tcPr>
            <w:tcW w:w="1560" w:type="dxa"/>
            <w:vAlign w:val="bottom"/>
          </w:tcPr>
          <w:p>
            <w:pPr>
              <w:ind w:left="140"/>
              <w:spacing w:after="0"/>
              <w:rPr>
                <w:sz w:val="20"/>
                <w:szCs w:val="20"/>
                <w:color w:val="auto"/>
              </w:rPr>
            </w:pPr>
            <w:r>
              <w:rPr>
                <w:rFonts w:ascii="Arial" w:cs="Arial" w:eastAsia="Arial" w:hAnsi="Arial"/>
                <w:sz w:val="14"/>
                <w:szCs w:val="14"/>
                <w:color w:val="auto"/>
              </w:rPr>
              <w:t>60,000 first line</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Aberrant FGFR4 signaling</w:t>
            </w:r>
          </w:p>
        </w:tc>
        <w:tc>
          <w:tcPr>
            <w:tcW w:w="2140" w:type="dxa"/>
            <w:vAlign w:val="bottom"/>
          </w:tcPr>
          <w:p>
            <w:pPr>
              <w:ind w:left="160"/>
              <w:spacing w:after="0"/>
              <w:rPr>
                <w:sz w:val="20"/>
                <w:szCs w:val="20"/>
                <w:color w:val="auto"/>
              </w:rPr>
            </w:pPr>
            <w:r>
              <w:rPr>
                <w:rFonts w:ascii="Arial" w:cs="Arial" w:eastAsia="Arial" w:hAnsi="Arial"/>
                <w:sz w:val="14"/>
                <w:szCs w:val="14"/>
                <w:color w:val="auto"/>
              </w:rPr>
              <w:t>Up to 30%</w:t>
            </w:r>
          </w:p>
        </w:tc>
      </w:tr>
      <w:tr>
        <w:trPr>
          <w:trHeight w:val="174"/>
        </w:trPr>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5,000 second line</w:t>
            </w: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20,000 second line</w:t>
            </w: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bl>
    <w:p>
      <w:pPr>
        <w:spacing w:after="0" w:line="211" w:lineRule="exact"/>
        <w:rPr>
          <w:sz w:val="20"/>
          <w:szCs w:val="20"/>
          <w:color w:val="auto"/>
        </w:rPr>
      </w:pPr>
    </w:p>
    <w:p>
      <w:pPr>
        <w:ind w:left="1680" w:hanging="533"/>
        <w:spacing w:after="0"/>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prevalence of HCC in China represents an additional opportunity for BLU-554 and is not included in these estimates.</w:t>
      </w: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Prevalence represents metastatic and unresectable populations.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 Inhibitor Program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9" w:lineRule="exact"/>
        <w:rPr>
          <w:sz w:val="20"/>
          <w:szCs w:val="20"/>
          <w:color w:val="auto"/>
        </w:rPr>
      </w:pPr>
    </w:p>
    <w:p>
      <w:pPr>
        <w:ind w:firstLine="474"/>
        <w:spacing w:after="0" w:line="255" w:lineRule="auto"/>
        <w:rPr>
          <w:sz w:val="20"/>
          <w:szCs w:val="20"/>
          <w:color w:val="auto"/>
        </w:rPr>
      </w:pPr>
      <w:r>
        <w:rPr>
          <w:rFonts w:ascii="Arial" w:cs="Arial" w:eastAsia="Arial" w:hAnsi="Arial"/>
          <w:sz w:val="17"/>
          <w:szCs w:val="17"/>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of KIT and PDGFRa, BLU-285 is able to inhibit both KIT Exon 17 mutants and the PDGFRa D842V mutant potently and selectively with minimal inhibition of other kinases.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269875</wp:posOffset>
            </wp:positionV>
            <wp:extent cx="1531620" cy="2047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31620" cy="204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 xml:space="preserve">Kinome tree locations of KIT and PDGFRa illustrating close structural similarity between these kinases. </w:t>
      </w:r>
      <w:r>
        <w:rPr>
          <w:rFonts w:ascii="Arial" w:cs="Arial" w:eastAsia="Arial" w:hAnsi="Arial"/>
          <w:sz w:val="14"/>
          <w:szCs w:val="14"/>
          <w:i w:val="1"/>
          <w:iCs w:val="1"/>
          <w:color w:val="auto"/>
        </w:rPr>
        <w:t>Kinome illustration</w:t>
      </w:r>
    </w:p>
    <w:p>
      <w:pPr>
        <w:spacing w:after="0" w:line="21" w:lineRule="exact"/>
        <w:rPr>
          <w:sz w:val="20"/>
          <w:szCs w:val="20"/>
          <w:color w:val="auto"/>
        </w:rPr>
      </w:pPr>
    </w:p>
    <w:p>
      <w:pPr>
        <w:ind w:left="1720" w:right="1740"/>
        <w:spacing w:after="0" w:line="241" w:lineRule="auto"/>
        <w:rPr>
          <w:sz w:val="20"/>
          <w:szCs w:val="20"/>
          <w:color w:val="auto"/>
        </w:rPr>
      </w:pPr>
      <w:r>
        <w:rPr>
          <w:rFonts w:ascii="Arial" w:cs="Arial" w:eastAsia="Arial" w:hAnsi="Arial"/>
          <w:sz w:val="14"/>
          <w:szCs w:val="14"/>
          <w:i w:val="1"/>
          <w:iCs w:val="1"/>
          <w:color w:val="auto"/>
        </w:rPr>
        <w:t>reproduced courtesy of Cell Signaling Technology, Inc., or CSTI, (www.cellsignal.com). Each branch of the dendogram represents an individual human kinase. The foregoing website is maintained by CSTI, and Blueprint Medicines is not responsible for its content.</w:t>
      </w:r>
    </w:p>
    <w:p>
      <w:pPr>
        <w:spacing w:after="0" w:line="197"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BLU-285 is a highly targeted therapeutic candidate for genomically-selected patients with diseases driven by these mutations, including SM and genomically-defined patient subsets within GIST. We plan to initially develop BLU-285 for these targeted patient populations, which currently lack adequate treatments. BLU-285 has demonstrated tumor regression in pre-clinical models of GIST and SM, including activity in aggressive and patient-derived xenograft models that we believe to be highly predictive of clinical response. This provides clear rationale to develop BLU-285 in genomically-defined patient populations with tumors that harbor mutations in KIT Exon 17 or in PDGFRa and are most likely to respond.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9" w:lineRule="exact"/>
        <w:rPr>
          <w:sz w:val="20"/>
          <w:szCs w:val="20"/>
          <w:color w:val="auto"/>
        </w:rPr>
      </w:pPr>
    </w:p>
    <w:p>
      <w:pPr>
        <w:jc w:val="both"/>
        <w:ind w:firstLine="474"/>
        <w:spacing w:after="0" w:line="261" w:lineRule="auto"/>
        <w:rPr>
          <w:sz w:val="20"/>
          <w:szCs w:val="20"/>
          <w:color w:val="auto"/>
        </w:rPr>
      </w:pPr>
      <w:r>
        <w:rPr>
          <w:rFonts w:ascii="Arial" w:cs="Arial" w:eastAsia="Arial" w:hAnsi="Arial"/>
          <w:sz w:val="17"/>
          <w:szCs w:val="17"/>
          <w:color w:val="auto"/>
        </w:rPr>
        <w:t>We plan to initially develop BLU-285 for SM and GIST secondary mutations in KIT Exon 17 and for GIST with the PDGFRa D842V mutation. IND-enabling studies are nearly completed, and we anticipate clinical trials will start in mid-2015. We may expand opportunistically into additional indications including a subset of acute myelogenous leukemia, or AML, patients who harbor the D816V mutation and other diseases driven by KIT Exon 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Systemic Mastocytosis (SM)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 Disease Background</w:t>
      </w:r>
    </w:p>
    <w:p>
      <w:pPr>
        <w:spacing w:after="0" w:line="22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SM is a myeloproliferative disorder of the mast cells, the key effector cells of allergic inflammation, which have several physiologic roles including wound healing, regulation of vascular and epithelial permeability and immune cell recruitment. In myeloproliferative diseases, the bone marrow overproduces certain types of red blood cells, platelets, or white blood cells. The signature of SM is the accumulation of mast cell clusters in the bone marrow.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202"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Patients with SM are usually diagnosed in adulthood. The diagnosis involves a complex diagnostic algorithm that begins with confirmation of SM and subsequently categorizes patients into indolent or advanced subtypes of disease, a classification that has prognostic significance as shown below. Patients with indolent SM, or ISM, have a normal life expectancy; the primary burden of disease is the range of often unpredictable and debilitating allergic symptoms due to mast cell activation. Advanced SM includes three subsets with increasingly severe impact on life expectancy: aggressive SM, or ASM, SM with associated clonal hematological non-mast cell lineage diseases, or SM-AHNMD, and mast cell leukemia, or MCL. The advanced forms of SM have a median overall survival of three to five years and are characterized by prominent organopathy and dysfunction, as well as symptoms of mast cell activation. Smoldering SM, or SSM, previously listed as a subcategory of ISM, is increasingly considered as a variant of advanced SM. While SSM is not known to affect life expectancy, it has a greater degree of bone marrow infiltration, myeloproliferation, and/or presents with an enlarged liver and bears a greater risk of progression to ASM, SM-AHNMD or MCL.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278130</wp:posOffset>
            </wp:positionV>
            <wp:extent cx="2955290" cy="21062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5529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right="1860"/>
        <w:spacing w:after="0"/>
        <w:rPr>
          <w:sz w:val="20"/>
          <w:szCs w:val="20"/>
          <w:color w:val="auto"/>
        </w:rPr>
      </w:pPr>
      <w:r>
        <w:rPr>
          <w:rFonts w:ascii="Arial" w:cs="Arial" w:eastAsia="Arial" w:hAnsi="Arial"/>
          <w:sz w:val="14"/>
          <w:szCs w:val="14"/>
          <w:color w:val="auto"/>
        </w:rPr>
        <w:t xml:space="preserve">Overall survival of SM patients. Republished with permission of the American Society of Hematology, from "How I treat patients with indolent and smoldering mastocytosis", A. Pardanani, </w:t>
      </w:r>
      <w:r>
        <w:rPr>
          <w:rFonts w:ascii="Arial" w:cs="Arial" w:eastAsia="Arial" w:hAnsi="Arial"/>
          <w:sz w:val="14"/>
          <w:szCs w:val="14"/>
          <w:i w:val="1"/>
          <w:iCs w:val="1"/>
          <w:color w:val="auto"/>
        </w:rPr>
        <w:t>Blood</w:t>
      </w:r>
      <w:r>
        <w:rPr>
          <w:rFonts w:ascii="Arial" w:cs="Arial" w:eastAsia="Arial" w:hAnsi="Arial"/>
          <w:sz w:val="14"/>
          <w:szCs w:val="14"/>
          <w:color w:val="auto"/>
        </w:rPr>
        <w:t>, 121(16):3085 - 3094 (2013); permission conveyed through Copyright Clearance Center, Inc.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Population studies, including a population-based epidemiology study sponsored by Blueprint Medicines, based on the Danish National Health Registry, estimate the incidence of all subtypes of SM from 0.5 to 1/100,000 new patients per year. This represents approximately 3,200 new patients diagnosed per year in the United States. Of all SM patients, ISM accounts for 50-80% and advanced SM accounts for the remaining 20-50% of patients.</w:t>
      </w:r>
    </w:p>
    <w:p>
      <w:pPr>
        <w:spacing w:after="0" w:line="198"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current treatment paradigm for SM varies by disease subtype. With the exception of imatinib, which does not address more than 94% of patients with the KIT D816V mutation, there are no approved therapies. For patients with advanced forms of SM, treatments include interferon-alpha or cytoreductive agents to reduce mast cell burden or treatments aimed at addressing the associated blood disorder. There are no disease-modifying agents and patients with advanced SM inevitably progress, with a three to five-year overall survival prognosis. We believe there are approximately 4,500 addressable patients with advanced forms of SM in the Major Markets.</w:t>
      </w:r>
    </w:p>
    <w:p>
      <w:pPr>
        <w:spacing w:after="0" w:line="199"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For ISM, management is symptom-directed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the fraction of patients who have a heavy symptom burden that current therapies fail to address. We believe there are approximately 16,000 ISM patients in the Major Markets.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KIT Driver Mutations in SM</w:t>
      </w:r>
    </w:p>
    <w:p>
      <w:pPr>
        <w:spacing w:after="0" w:line="229"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In all subtypes of SM, the mast cells of more than 94% of patients display a mutation at the D816V position in KIT that activates the kinase. KIT D816V status is routinely assessed as part of the workup in SM diagnosis.</w:t>
      </w:r>
    </w:p>
    <w:p>
      <w:pPr>
        <w:spacing w:after="0" w:line="193"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Pre-clinical Development in SM</w:t>
      </w:r>
    </w:p>
    <w:p>
      <w:pPr>
        <w:spacing w:after="0" w:line="229" w:lineRule="exact"/>
        <w:rPr>
          <w:sz w:val="20"/>
          <w:szCs w:val="20"/>
          <w:color w:val="auto"/>
        </w:rPr>
      </w:pPr>
    </w:p>
    <w:p>
      <w:pPr>
        <w:ind w:right="220" w:firstLine="474"/>
        <w:spacing w:after="0" w:line="208" w:lineRule="auto"/>
        <w:rPr>
          <w:sz w:val="20"/>
          <w:szCs w:val="20"/>
          <w:color w:val="auto"/>
        </w:rPr>
      </w:pPr>
      <w:r>
        <w:rPr>
          <w:rFonts w:ascii="Arial" w:cs="Arial" w:eastAsia="Arial" w:hAnsi="Arial"/>
          <w:sz w:val="16"/>
          <w:szCs w:val="16"/>
          <w:color w:val="auto"/>
        </w:rPr>
        <w:t xml:space="preserve">We conducted comprehensive biochemical and cellular experiments to characterize the potency and selectivity of BLU-285. BLU-285 potently inhibits KIT D816V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or the compound concentration at which 50% of the activity is inhibited relative to control lacking compound, = 0.27</w:t>
      </w:r>
    </w:p>
    <w:p>
      <w:pPr>
        <w:spacing w:after="0" w:line="186" w:lineRule="auto"/>
        <w:rPr>
          <w:sz w:val="20"/>
          <w:szCs w:val="20"/>
          <w:color w:val="auto"/>
        </w:rPr>
      </w:pPr>
      <w:r>
        <w:rPr>
          <w:rFonts w:ascii="Arial" w:cs="Arial" w:eastAsia="Arial" w:hAnsi="Arial"/>
          <w:sz w:val="16"/>
          <w:szCs w:val="16"/>
          <w:color w:val="auto"/>
        </w:rPr>
        <w:t>nM). In contrast, imatinib inhibits KIT D816V at least 10,000-fold less potently (IC</w:t>
      </w:r>
      <w:r>
        <w:rPr>
          <w:rFonts w:ascii="Arial" w:cs="Arial" w:eastAsia="Arial" w:hAnsi="Arial"/>
          <w:sz w:val="25"/>
          <w:szCs w:val="25"/>
          <w:color w:val="auto"/>
          <w:vertAlign w:val="subscript"/>
        </w:rPr>
        <w:t>50</w:t>
      </w:r>
      <w:r>
        <w:rPr>
          <w:rFonts w:ascii="Arial" w:cs="Arial" w:eastAsia="Arial" w:hAnsi="Arial"/>
          <w:sz w:val="16"/>
          <w:szCs w:val="16"/>
          <w:color w:val="auto"/>
        </w:rPr>
        <w:t xml:space="preserve"> &gt; 8,000 nM). In several cellular models driven by activated KIT</w:t>
      </w:r>
    </w:p>
    <w:p>
      <w:pPr>
        <w:spacing w:after="0" w:line="1" w:lineRule="exact"/>
        <w:rPr>
          <w:sz w:val="20"/>
          <w:szCs w:val="20"/>
          <w:color w:val="auto"/>
        </w:rPr>
      </w:pPr>
    </w:p>
    <w:p>
      <w:pPr>
        <w:jc w:val="both"/>
        <w:ind w:right="280"/>
        <w:spacing w:after="0" w:line="207" w:lineRule="auto"/>
        <w:rPr>
          <w:sz w:val="20"/>
          <w:szCs w:val="20"/>
          <w:color w:val="auto"/>
        </w:rPr>
      </w:pPr>
      <w:r>
        <w:rPr>
          <w:rFonts w:ascii="Arial" w:cs="Arial" w:eastAsia="Arial" w:hAnsi="Arial"/>
          <w:sz w:val="17"/>
          <w:szCs w:val="17"/>
          <w:color w:val="auto"/>
        </w:rPr>
        <w:t>mutant proteins, BLU-285 potently inhibits signaling of the oncogenic KIT mutant protein, as measured by inhibition of KIT autophosphorylation and inhibition of cellular proliferation. In HMC 1.2 cells, a human mast cell leukemia model driven by the KIT D816V mutation, BLU-285 potently inhibits signaling of the mutant KIT protein as measured by inhibition of KIT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4 nM). In contrast, imatinib inhibits KIT</w:t>
      </w:r>
    </w:p>
    <w:p>
      <w:pPr>
        <w:spacing w:after="0" w:line="1" w:lineRule="exact"/>
        <w:rPr>
          <w:sz w:val="20"/>
          <w:szCs w:val="20"/>
          <w:color w:val="auto"/>
        </w:rPr>
      </w:pPr>
    </w:p>
    <w:p>
      <w:pPr>
        <w:jc w:val="both"/>
        <w:ind w:right="280"/>
        <w:spacing w:after="0" w:line="200" w:lineRule="auto"/>
        <w:rPr>
          <w:sz w:val="20"/>
          <w:szCs w:val="20"/>
          <w:color w:val="auto"/>
        </w:rPr>
      </w:pPr>
      <w:r>
        <w:rPr>
          <w:rFonts w:ascii="Arial" w:cs="Arial" w:eastAsia="Arial" w:hAnsi="Arial"/>
          <w:sz w:val="17"/>
          <w:szCs w:val="17"/>
          <w:color w:val="auto"/>
        </w:rPr>
        <w:t>autophosphorylation at least 2,000-fold less potently. In P815 cells, a mouse mastocytoma model driven by an Exon 17 mutation, BLU-285 potently inhibits signaling of the mutant KIT protein as measured by inhibition of KIT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22 nM) as well as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cellular proliferation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202 nM). By comparison, imatinib shows considerably lower cellular potency in the P815 model.</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KIT D816V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286385</wp:posOffset>
            </wp:positionV>
            <wp:extent cx="3346450" cy="1123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46450" cy="112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840"/>
        <w:spacing w:after="0" w:line="237" w:lineRule="auto"/>
        <w:rPr>
          <w:sz w:val="20"/>
          <w:szCs w:val="20"/>
          <w:color w:val="auto"/>
        </w:rPr>
      </w:pPr>
      <w:r>
        <w:rPr>
          <w:rFonts w:ascii="Arial" w:cs="Arial" w:eastAsia="Arial" w:hAnsi="Arial"/>
          <w:sz w:val="14"/>
          <w:szCs w:val="14"/>
          <w:color w:val="auto"/>
        </w:rPr>
        <w:t xml:space="preserve">Potency of BLU-285 against KIT D816 and other Exon 17 mutations compared to imatinib. The inhibitory potencies of BLU-285 and imatinib against the KIT D816V mutant protein were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 The inhibitory potencies of BLU-285 and imatinib were also evaluated in two cell lines harboring KIT Exon 17 mutations, HMC 1.2 cells and P815 cells. Inhibition of KIT cellular signaling was measured by inhibition of KIT autophosphorylation (P-KIT). Inhibition of cellular proliferation was also measured in P815 cells.</w:t>
      </w:r>
    </w:p>
    <w:p>
      <w:pPr>
        <w:spacing w:after="0" w:line="200"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The selectivity of BLU-285 was further evaluated by profiling BLU-285 at a concentration of 3 µM across a panel of over 450 kinases and disease-relevant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BLU-285 demonstrated exquisite selectivity for KIT Exon 17 mutant proteins and PDGFRa D842V in this assay, binding significantly (greater than 90% inhibition relative to control) to only 12 other kinases. We also profiled midostaurin, a multi-kinase inhibitor with KIT D816V inhibitory activity (an inhibitory activity not present in imatinib), that is being studied in clinical trials of SM patients. Midostaurin demonstrated significant binding (greater than 90% inhibition relative to control at 3 µM) to 118 kinases, as indicated by the number of dots on the kinome tree shown below. We believe multi-kinase inhibitors that demonstrate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KIT D816V may not achieve full inhibition of KIT D816V in the clinic due to poor selectivity and the resulting dose limitations imposed by off-target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276225</wp:posOffset>
            </wp:positionV>
            <wp:extent cx="3446145" cy="19812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4614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right="1800"/>
        <w:spacing w:after="0" w:line="237" w:lineRule="auto"/>
        <w:rPr>
          <w:sz w:val="20"/>
          <w:szCs w:val="20"/>
          <w:color w:val="auto"/>
        </w:rPr>
      </w:pPr>
      <w:r>
        <w:rPr>
          <w:rFonts w:ascii="Arial" w:cs="Arial" w:eastAsia="Arial" w:hAnsi="Arial"/>
          <w:sz w:val="14"/>
          <w:szCs w:val="14"/>
          <w:color w:val="auto"/>
        </w:rPr>
        <w:t xml:space="preserve">Kinome selectivity of BLU-285 and a reference compound that has been studied in clinical trials of SM. Compounds were screened at 3 µM against a panel of over 450 kinases and disease-relevant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4"/>
          <w:szCs w:val="14"/>
          <w:i w:val="1"/>
          <w:iCs w:val="1"/>
          <w:color w:val="auto"/>
        </w:rPr>
        <w:t>Kinome illustration reproduced courtesy of CSTI (www.cellsignal.com). The</w:t>
      </w:r>
      <w:r>
        <w:rPr>
          <w:rFonts w:ascii="Arial" w:cs="Arial" w:eastAsia="Arial" w:hAnsi="Arial"/>
          <w:sz w:val="14"/>
          <w:szCs w:val="14"/>
          <w:color w:val="auto"/>
        </w:rPr>
        <w:t xml:space="preserve"> </w:t>
      </w:r>
      <w:r>
        <w:rPr>
          <w:rFonts w:ascii="Arial" w:cs="Arial" w:eastAsia="Arial" w:hAnsi="Arial"/>
          <w:sz w:val="14"/>
          <w:szCs w:val="14"/>
          <w:i w:val="1"/>
          <w:iCs w:val="1"/>
          <w:color w:val="auto"/>
        </w:rPr>
        <w:t>foregoing website is maintained by CSTI, and Blueprint Medicines is not responsible for its content.</w:t>
      </w:r>
    </w:p>
    <w:p>
      <w:pPr>
        <w:spacing w:after="0" w:line="200"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demonstrated significant anti-tumor efficacy with BLU-285 in a P815 mouse mastocytoma xenograft model where tumor growth is driven by a KIT Exon 17 mutation. BLU-285 administered orally for nine days resulted in robust and dose-dependent growth inhibition of P815 tumors. At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dose of 30 mg/kg once daily, a well-tolerated dose, BLU-285 caused tumor regression. We observed a correlation between the concentration of BLU-285 in mouse plasma and the level of phosphorylated KIT in the tumor, which is a measure of KIT signaling activity. At a dose of 30 mg/kg, the level of phosphorylated KIT was inhibited by greater than or equal to 90% over the 24 hour dosing period. This is an expected consequence of inhibiting KIT signaling. This correlation between BLU-285 plasma concentration, the level of phosphorylated KIT protein and anti-tumor efficacy supports the observation that anti-tumor response is due to inhibition of KIT signaling. The anti-tumor efficacy of dasatinib, a multi-kinase inhibitor with KIT D816V activity, which has been studied in clinical trials of SM patients, was also evaluated in this study. Dasatinib dosed twice daily at 25 mg/kg, a dose that resulted in significant body weight loss in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2117725</wp:posOffset>
            </wp:positionH>
            <wp:positionV relativeFrom="paragraph">
              <wp:posOffset>275590</wp:posOffset>
            </wp:positionV>
            <wp:extent cx="3021965" cy="17481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21965"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BLU-285 elicits dose-dependent tumor regression in a mouse mastocytoma xenograft model of SM.</w:t>
      </w:r>
    </w:p>
    <w:p>
      <w:pPr>
        <w:spacing w:after="0" w:line="205" w:lineRule="exact"/>
        <w:rPr>
          <w:sz w:val="20"/>
          <w:szCs w:val="20"/>
          <w:color w:val="auto"/>
        </w:rPr>
      </w:pPr>
    </w:p>
    <w:p>
      <w:pPr>
        <w:jc w:val="both"/>
        <w:ind w:right="500" w:firstLine="470"/>
        <w:spacing w:after="0" w:line="246" w:lineRule="auto"/>
        <w:rPr>
          <w:sz w:val="20"/>
          <w:szCs w:val="20"/>
          <w:color w:val="auto"/>
        </w:rPr>
      </w:pPr>
      <w:r>
        <w:rPr>
          <w:rFonts w:ascii="Arial" w:cs="Arial" w:eastAsia="Arial" w:hAnsi="Arial"/>
          <w:sz w:val="17"/>
          <w:szCs w:val="17"/>
          <w:color w:val="auto"/>
        </w:rPr>
        <w:t>To emulate the systemic nature of the disease, we developed an aggressive systemic mouse model of SM. In this model, whereas vehicle-treated animals were terminated on day seven due to high disease burden, treatment with BLU-285 enabled significant disease control such that animals treated with BLU-285 at 30 mg/kg were terminated on day 22.</w:t>
      </w:r>
    </w:p>
    <w:p>
      <w:pPr>
        <w:spacing w:after="0" w:line="19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have completed the 28-day GLP toxicology studies and have identified what we believe to be the dose limiting toxicity and anticipated first-in-human dose for BLU-285.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Clinical Development Plan in SM</w:t>
      </w:r>
    </w:p>
    <w:p>
      <w:pPr>
        <w:spacing w:after="0" w:line="22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plan to initiate development of BLU-285 in SM in mid-2015. Based on our ongoing pre-IND discussions relating to our BLU-285 program, we may be required to submit pre-IND data from our ongoing 13-week toxicology studies to further support our recommended safe starting dose and define the dose limiting toxicity. In the event that we provide such data, the start of our clinical trials for BLU-285 may be delayed. We plan to file an IND for BLU-285 in SM in mid-2015, initiate our Phase 1 clinical trial in mid-2015 and we expect that expansion cohorts in genomically-selected patients will begin in 2016. We expect data to be available approximately 12 months after the start of the Phase 1 clinical trial. Our Phase 1 clinical trial will test the safety and tolerability in multiple ascending doses in patients with advanced SM, including ASM, SM-AHNMD and MCL, with the goal of establishing a maximum tolerated dose, or MTD, or a recommended dose if the MTD is not achieved. All patients will be tested retrospectively for KIT D816V mutational status. We will then open SM subtype-specific expansion cohorts for ASM patients, SM-AHNMD patients, and MCL patients. The key primary endpoints of the trial are to determine safety, tolerability and the MTD of BLU-285 in SM. Secondary endpoints include assessment of the pharmacokinetic profile of BLU-285, assessment of response rate by the International Working Group-Myeloproliferative Neoplasms Research and Treatment, or IWG-MRT, criteria and changes in quality of life.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Early signs of biological activity will be assessed as measured by changes in serum tryptase and KIT D816V allele burden. Serum tryptase is a recognized marker of mast cell burden and reduction of serum tryptase is one component of the IWG-MRT response criteria. In the expansion cohorts, clinical efficacy will be assessed by measuring overall response rate using IWG-MRT response criteria for SM, or a modified version thereof. In addition, change in total symptom score will be assessed to determine the effect of BLU-285 on symptom burden. As there is currently no validated patient reported outcomes tool for SM, we are collaborating with a health research outcomes group to develop a disease-specific tool to measure changes in total symptom score. We anticipate conducting additional trials to support development in SSM and ISM patients with high symptom burden who are refractory to current therapies.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working with patient advocacy groups relevant to SM in order to:</w:t>
      </w:r>
    </w:p>
    <w:p>
      <w:pPr>
        <w:spacing w:after="0" w:line="211"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raise awareness of our upcoming clinical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build a patient registry to identify patients for rapid enrollment;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 the SM patient perspective into our ongoing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Gastrointestinal Stromal Tumor (GIST)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GIST Disease Background</w:t>
      </w:r>
    </w:p>
    <w:p>
      <w:pPr>
        <w:spacing w:after="0" w:line="229"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GIST is the most common sarcoma of the gastrointestional tract, or GI tract. Tumors arise within cells in the wall of the GI tract and occur most often in the stomach or small intestine. Most patients are diagnosed between the ages of 50-80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98"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GIST treatment paradigm has advanced dramatically over the past 13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5-year median overall survival. Unresectable or metastatic patients typically receive imatinib, followed by sunitinib and regorafenib as the disease progresses.</w:t>
      </w:r>
    </w:p>
    <w:p>
      <w:pPr>
        <w:spacing w:after="0" w:line="187" w:lineRule="exact"/>
        <w:rPr>
          <w:sz w:val="20"/>
          <w:szCs w:val="20"/>
          <w:color w:val="auto"/>
        </w:rPr>
      </w:pPr>
    </w:p>
    <w:p>
      <w:pPr>
        <w:ind w:firstLine="474"/>
        <w:spacing w:after="0" w:line="265" w:lineRule="auto"/>
        <w:rPr>
          <w:sz w:val="20"/>
          <w:szCs w:val="20"/>
          <w:color w:val="auto"/>
        </w:rPr>
      </w:pPr>
      <w:r>
        <w:rPr>
          <w:rFonts w:ascii="Arial" w:cs="Arial" w:eastAsia="Arial" w:hAnsi="Arial"/>
          <w:sz w:val="17"/>
          <w:szCs w:val="17"/>
          <w:color w:val="auto"/>
        </w:rPr>
        <w:t>Patients with PDGFRa D842V-driven GIST have great unmet medical need, as no approved medical therapies are effective. Progression can occur within as little as three months, and the median overall survival is 15 months for patients with advanced disease. The PDGFRa D842V mutation is found in 5-6% of frontline unresectable or metastatic GIST patients. We believe there are up to 500 addressable patients with PDGFRa D842V-driven, unresectable or metastatic GIST in the Major Markets.</w:t>
      </w:r>
    </w:p>
    <w:p>
      <w:pPr>
        <w:spacing w:after="0" w:line="184"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For patients with KIT-driven GIST, current medical therapies slow the course of disease but progression is inevitable. Up to 50% of patients treated with frontline imatinib relapse within approximately 18 months. Of the secondary resistance mutations that lead to relapse, mutations in KIT Exon 17 (including D816 and other mutations) are not addressed by current therapies. KIT Exon 17 mutations are rare in treatment-naïve patients (&lt;1%); however selective pressure due to treatment with imatinib and sunitinib causes KIT Exon 17 mutations to emerge with increasing frequency (approximately 23% of second line imatinib-resistant patients and 100% of third line imatinib/sunitinib resistant patients). These mutations confer resistance to current treatments. A therapy that effectively suppresses these mutants and that is potentially amenable to combinations with existing agents is needed. We believe there are approximately 6,600 addressable patients in the Major Markets with KIT Exon 17 secondary mutations that have led to disease progression during treatment with imatinib or sunitinib. Finally, we believe frontline combinations with imatinib will have the potential to dramatically increase the duration of therapy. We estimate there 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20,000 addressable patients in the Major Markets with unresectable or metastatic frontline GIST.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KIT Primary, KIT Exon 17 and PDGFRa Driver Mutations in GIST</w:t>
      </w:r>
    </w:p>
    <w:p>
      <w:pPr>
        <w:spacing w:after="0" w:line="242"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color w:val="auto"/>
        </w:rPr>
        <w:t>GIST is a tumor type that depends on continued signaling of a single, aberrantly active kinase. Most GISTs result from primary mutations in KIT or PDGFRa. Up to 80% of patients have KIT-driven GIST. Imatinib effectively inhibits most of KIT primary mutations; however over time, secondary mutations occur elsewhere in the KIT gene that lead to kinase activation despite the presence of imatinib, thereby leading to disease progression. There is currently no therapeutic option for patients with PDGFRa-driven GIST. The most common mutation is PDGFRa D842V, found in approximately 5-6% of frontline unresectable or metastatic GIST patients. PDGFRa has a very similar active site structure to KIT and the PDGFRa D842V mutation is homologous to KIT D816V. As in the case of KIT D816V mutant receptors, PDGFRa D842V mutations confer ligand-independent constitutive signaling of the mutant PDGFRa kinase.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Pre-clinical Development in GIST</w:t>
      </w:r>
    </w:p>
    <w:p>
      <w:pPr>
        <w:spacing w:after="0" w:line="229" w:lineRule="exact"/>
        <w:rPr>
          <w:sz w:val="20"/>
          <w:szCs w:val="20"/>
          <w:color w:val="auto"/>
        </w:rPr>
      </w:pPr>
    </w:p>
    <w:p>
      <w:pPr>
        <w:ind w:right="180" w:firstLine="474"/>
        <w:spacing w:after="0" w:line="208" w:lineRule="auto"/>
        <w:rPr>
          <w:sz w:val="20"/>
          <w:szCs w:val="20"/>
          <w:color w:val="auto"/>
        </w:rPr>
      </w:pPr>
      <w:r>
        <w:rPr>
          <w:rFonts w:ascii="Arial" w:cs="Arial" w:eastAsia="Arial" w:hAnsi="Arial"/>
          <w:sz w:val="16"/>
          <w:szCs w:val="16"/>
          <w:color w:val="auto"/>
        </w:rPr>
        <w:t xml:space="preserve">We have conducted comprehensive pre-clinical experiments to characterize the potency and selectivity of BLU-285. BLU-285 potently inhibits PDGFRa D842V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0.24 nM). In contrast, imatinib inhibits PDGFRa D842V at least 3,000-fold less potently (IC </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759 nM). In a cellular</w:t>
      </w:r>
    </w:p>
    <w:p>
      <w:pPr>
        <w:spacing w:after="0" w:line="1" w:lineRule="exact"/>
        <w:rPr>
          <w:sz w:val="20"/>
          <w:szCs w:val="20"/>
          <w:color w:val="auto"/>
        </w:rPr>
      </w:pPr>
    </w:p>
    <w:p>
      <w:pPr>
        <w:ind w:right="120"/>
        <w:spacing w:after="0" w:line="191" w:lineRule="auto"/>
        <w:rPr>
          <w:sz w:val="20"/>
          <w:szCs w:val="20"/>
          <w:color w:val="auto"/>
        </w:rPr>
      </w:pPr>
      <w:r>
        <w:rPr>
          <w:rFonts w:ascii="Arial" w:cs="Arial" w:eastAsia="Arial" w:hAnsi="Arial"/>
          <w:sz w:val="17"/>
          <w:szCs w:val="17"/>
          <w:color w:val="auto"/>
        </w:rPr>
        <w:t>model driven by an activated PDGFRa D842V mutant protein, BLU-285 potently inhibits signaling of the oncogenic PDGFRa mutant protein as measured by inhibition of PDGFRa autophosphorylation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30 nM). By comparison, imatinib shows at least 100-fold lower potency in the cellular model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3,145 nM). The selectivity of BLU-285 has been discussed with the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data shown in the section on SM.</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PDGFRa D842V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294640</wp:posOffset>
            </wp:positionV>
            <wp:extent cx="2747010" cy="12484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47010"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660"/>
        <w:spacing w:after="0" w:line="320" w:lineRule="auto"/>
        <w:rPr>
          <w:sz w:val="20"/>
          <w:szCs w:val="20"/>
          <w:color w:val="auto"/>
        </w:rPr>
      </w:pPr>
      <w:r>
        <w:rPr>
          <w:rFonts w:ascii="Arial" w:cs="Arial" w:eastAsia="Arial" w:hAnsi="Arial"/>
          <w:sz w:val="13"/>
          <w:szCs w:val="13"/>
          <w:color w:val="auto"/>
        </w:rPr>
        <w:t xml:space="preserve">Inhibitory potency of BLU-285 compared to imatinib. The inhibitory potency of BLU-285 and imatinib against PDGFRa D842V was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and in a cellular model driven by an activated PDGFRa D842V mutant protein.</w:t>
      </w:r>
    </w:p>
    <w:p>
      <w:pPr>
        <w:spacing w:after="0" w:line="160" w:lineRule="exact"/>
        <w:rPr>
          <w:sz w:val="20"/>
          <w:szCs w:val="20"/>
          <w:color w:val="auto"/>
        </w:rPr>
      </w:pPr>
    </w:p>
    <w:p>
      <w:pPr>
        <w:jc w:val="both"/>
        <w:ind w:right="60" w:firstLine="474"/>
        <w:spacing w:after="0" w:line="246" w:lineRule="auto"/>
        <w:rPr>
          <w:sz w:val="20"/>
          <w:szCs w:val="20"/>
          <w:color w:val="auto"/>
        </w:rPr>
      </w:pPr>
      <w:r>
        <w:rPr>
          <w:rFonts w:ascii="Arial" w:cs="Arial" w:eastAsia="Arial" w:hAnsi="Arial"/>
          <w:sz w:val="17"/>
          <w:szCs w:val="17"/>
          <w:color w:val="auto"/>
        </w:rPr>
        <w:t>We have demonstrated significant anti-tumor efficacy with BLU-285 in an imatinib resistant patient-derived xenograft model with a KIT Exon 17 resistance mutation, similar to what is found in relapsed/refractory KIT-driven GIST as shown below. BLU-285 administered orally for 25 days resulted in tumor regression at both tested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273685</wp:posOffset>
            </wp:positionV>
            <wp:extent cx="3071495" cy="1231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71495" cy="123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720" w:right="1720"/>
        <w:spacing w:after="0" w:line="245" w:lineRule="auto"/>
        <w:rPr>
          <w:sz w:val="20"/>
          <w:szCs w:val="20"/>
          <w:color w:val="auto"/>
        </w:rPr>
      </w:pPr>
      <w:r>
        <w:rPr>
          <w:rFonts w:ascii="Arial" w:cs="Arial" w:eastAsia="Arial" w:hAnsi="Arial"/>
          <w:sz w:val="14"/>
          <w:szCs w:val="14"/>
          <w:color w:val="auto"/>
        </w:rPr>
        <w:t>BLU-285 elicits dose-dependent tumor regression in a patient-derived GIST xenograft model with a KIT Exon 11 mutation and a KIT Exon 17 resistance mutation.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 xml:space="preserve">In addition, we have developed an understanding of the biology that will inform the development of combinations to address these resistance mutations. We performed a comprehensive analysis of these secondary KIT Exon 17 mutations, analyzing the literature and unpublished data from opinion leaders to understand which mutations occur and to quantify their frequency in the clinical setting. We also conducted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biochemistry experiments using compounds from our proprietary compound library and currently available therapies (imatinib, sunitinib and regorafenib) to interrogate their activity against the range of KIT Exon 17 mutations. The result is a deep understanding of the spectrum of activity of BLU-285, additional compounds from our proprietary compound library and available therapies across the range of possible mutations. This will enable combination therapy development to address KIT Exon 17 secondary mutations.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BLU-285 Clinical Development Plan for GIST</w:t>
      </w:r>
    </w:p>
    <w:p>
      <w:pPr>
        <w:spacing w:after="0" w:line="22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plan to initiate development of BLU-285 in GIST in mid-2015. Based on our ongoing pre-IND discussions with the FDA relating to our BLU-285 program, we may be required to submit data from our ongoing 13-week toxicology studies to further support our recommended safe starting dose and define the dose limiting toxicity. In the event that we provide such data, the start of our clinical trials for BLU-285 may be delayed. We plan to file an IND for BLU-285 in GIST in mid-2015, initiate our Phase 1 clinical trial in mid-2015 and we expect that expansion cohorts in genomically-selected patients will begin in 2016. We expect data to be available approximately 12 months after the start of the Phase 1 clinical trial. The Phase 1 clinical trial will test the safety and tolerability of BLU-285 in multiple ascending doses in patients with GIST, with the goal of establishing an MTD, or a recommended dose if the MTD is not achieved. All patients will be tested retrospectively for KIT Exon 17 and PDGFRa D842V mutational status. Once the MTD is achieved, or a recommended dose is established, we will open expansion cohorts for patients with relapsed GIST carrying the PDGFRa D842V mutation and KIT Exon 17 mutations. The key primary endpoints of the trial are to determine safety, tolerability and the MTD of BLU-285 in GIST. Secondary endpoints include assessing response rate by Response Evaluation Criteria In Solid Tumors, or RECIST, criteria commonly used to measure clinical responses in solid tumors, and allelic burden using circulating tumor DNA.</w:t>
      </w:r>
    </w:p>
    <w:p>
      <w:pPr>
        <w:spacing w:after="0" w:line="204"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In the expansion cohorts, clinical efficacy will be assessed using MRI/CT imaging to assess overall response rate by RECIST criteria. Once the tolerability and biological activity of BLU-285 monotherapy is understood, we anticipate conducting additional studies with BLU-285 in combination with other therapies selected to address the broadest possible spectrum of mutations in GIST, including a potential front line study of BLU-285 with imatinib.</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working with patient advocacy groups relevant to GIST in order to:</w:t>
      </w:r>
    </w:p>
    <w:p>
      <w:pPr>
        <w:spacing w:after="0" w:line="211"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raise awareness of our upcoming clinical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identify and use existing patient registries to identify patients for rapid enrollment;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incorporate the GIST patient perspective into our ongoing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FGFR4 Inhibitor Program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9"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 xml:space="preserve">BLU-554 is an orally available, potent, selective and irreversible inhibitor of the kinase FGFR4. FGFR4 functions as a receptor whose aberrant activation is a driver of HCC. FGFR4 belongs to a family of highly homologous receptors, which include FGFR1-4. BLU-554 targets FGFR4, while sparing the other three FGFR paralogs, and demonstrates exquisite kinome selectivity.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data provides a strong rationale for the development of BLU-554 for the subset of HCC patients whose tumors are driven by aberrant FGFR4 signaling. Based on 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meta-analysis of publicly available HCC genomic datasets, we estimate that up to 30% of patients with HCC have tumors with aberrantly activated FGFR4 signaling.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HCC Disease Background</w:t>
      </w:r>
    </w:p>
    <w:p>
      <w:pPr>
        <w:spacing w:after="0" w:line="229"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Liver cancer is the second leading cause of cancer-related deaths worldwide, with HCC accounting for most liver cancers. The highest incidence of HCC occurs in regions with endemic hepatitis B virus, or HBV, including Southeast Asia and sub-Saharan Africa. In the United States, HCC is the fastest rising cause of cancer-related death; over the past two decades, the incidence of HCC has tripled while the five-year survival rate has remained below 12%.</w:t>
      </w:r>
    </w:p>
    <w:p>
      <w:pPr>
        <w:spacing w:after="0" w:line="198"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Cirrhosis is a key risk factor for HCC;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Europe, the main risk factors for cirrhosis are HCV, HBV and alcohol consumption. In Southeast Asia and sub-Saharan Africa, the major risk factor is chronic HBV infection.</w:t>
      </w:r>
    </w:p>
    <w:p>
      <w:pPr>
        <w:spacing w:after="0" w:line="198"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The diagnosis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For example, countries such as Taiwan and Japan with active national screening programs tend to diagnose many more patients in the early stages of disease. There are currently no treatments for genomically-defined patient subgroups in HCC.</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HCC treatment paradigm has advanced incrementally over the past decade. Patients diagnosed at an early stage receive potentially curative transplant, resection or ablative therapies. Intermediate to advanced stage patients receive high-dose chemotherapy delivered directly to the liver (transarterial chemoembolization) and ultimately sorafenib, the only approved systemic therapy for HCC, which became broadly available in the late 2000s. Sorafenib is a multi-kinase inhibitor that targets VEGFR and many other kinases and exhibits anti-angiogenic effects. In a pivotal trial conducted primarily in European Union and U.S. sites, sorafenib improved median overall survival by nearly three months and 2% of patients responded. In clinical practice, patients often require dose modifications or discontinue therapy due to tolerability issues. There is a clear need for medical therapies with a favorable risk-benefit profile.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FGFR4 as a Driver in HCC</w:t>
      </w:r>
    </w:p>
    <w:p>
      <w:pPr>
        <w:spacing w:after="0" w:line="229" w:lineRule="exact"/>
        <w:rPr>
          <w:sz w:val="20"/>
          <w:szCs w:val="20"/>
          <w:color w:val="auto"/>
        </w:rPr>
      </w:pPr>
    </w:p>
    <w:p>
      <w:pPr>
        <w:ind w:right="120" w:firstLine="470"/>
        <w:spacing w:after="0" w:line="248" w:lineRule="auto"/>
        <w:rPr>
          <w:sz w:val="20"/>
          <w:szCs w:val="20"/>
          <w:color w:val="auto"/>
        </w:rPr>
      </w:pPr>
      <w:r>
        <w:rPr>
          <w:rFonts w:ascii="Arial" w:cs="Arial" w:eastAsia="Arial" w:hAnsi="Arial"/>
          <w:sz w:val="17"/>
          <w:szCs w:val="17"/>
          <w:color w:val="auto"/>
        </w:rPr>
        <w:t>The link between aberrant FGFR4 signaling and HCC was first established when an amplicon, a region of replicated DNA, that includes FGF19, the ligand that activates FGFR4, was identified in 6-12% of HCC patients. The physiologic role of the receptor, FGFR4, and its ligand, FGF19, is to regulate bile acid metabolism in hepatocytes. FGF19 is normally produced in the small intestine and signals to hepatocytes through an endocrine mechanism. FGF19 forms an active signaling complex together with FGFR4 and its co-receptor Klotho-b. Signaling of the active complex leads to decreased CYP7A1 transcription with a resultant decrease in bile acid synthesis, as well as increased growth, proliferation and survival signals.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144780</wp:posOffset>
            </wp:positionV>
            <wp:extent cx="3895725" cy="2680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9572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474"/>
        <w:spacing w:after="0" w:line="248" w:lineRule="auto"/>
        <w:rPr>
          <w:sz w:val="20"/>
          <w:szCs w:val="20"/>
          <w:color w:val="auto"/>
        </w:rPr>
      </w:pPr>
      <w:r>
        <w:rPr>
          <w:rFonts w:ascii="Arial" w:cs="Arial" w:eastAsia="Arial" w:hAnsi="Arial"/>
          <w:sz w:val="17"/>
          <w:szCs w:val="17"/>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Klotho-b, are expressed together uniquely in HCC, although it is possible that they may also occur in rare cases of other solid tumors.</w:t>
      </w:r>
    </w:p>
    <w:p>
      <w:pPr>
        <w:spacing w:after="0" w:line="196"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 xml:space="preserve">We have used our platform to identify a broader target responder population in addition to the FGF19-amplified patient population. In collaboration with a key opinion leader, we have potentially identified an additional approximately one quarter of HCC tumors that overexpress FGF19 without amplification. We have demonstrated a significant anti-tumor response with an FGFR4 inhibitor in an HCC patient-derived xenograft model that overexpresses FGF19 in the absence of amplification. Some of these results were published this year in </w:t>
      </w:r>
      <w:r>
        <w:rPr>
          <w:rFonts w:ascii="Arial" w:cs="Arial" w:eastAsia="Arial" w:hAnsi="Arial"/>
          <w:sz w:val="17"/>
          <w:szCs w:val="17"/>
          <w:i w:val="1"/>
          <w:iCs w:val="1"/>
          <w:color w:val="auto"/>
        </w:rPr>
        <w:t>Cancer Discovery</w:t>
      </w:r>
      <w:r>
        <w:rPr>
          <w:rFonts w:ascii="Arial" w:cs="Arial" w:eastAsia="Arial" w:hAnsi="Arial"/>
          <w:sz w:val="17"/>
          <w:szCs w:val="17"/>
          <w:color w:val="auto"/>
        </w:rPr>
        <w:t>. Together, these data suggest that aberrant activation of the FGFR4 signaling pathway is the driver in up to 30% of all cases of HCC.</w:t>
      </w:r>
    </w:p>
    <w:p>
      <w:pPr>
        <w:spacing w:after="0" w:line="199" w:lineRule="exact"/>
        <w:rPr>
          <w:sz w:val="20"/>
          <w:szCs w:val="20"/>
          <w:color w:val="auto"/>
        </w:rPr>
      </w:pPr>
    </w:p>
    <w:p>
      <w:pPr>
        <w:jc w:val="both"/>
        <w:ind w:right="260" w:firstLine="470"/>
        <w:spacing w:after="0" w:line="246" w:lineRule="auto"/>
        <w:rPr>
          <w:sz w:val="20"/>
          <w:szCs w:val="20"/>
          <w:color w:val="auto"/>
        </w:rPr>
      </w:pPr>
      <w:r>
        <w:rPr>
          <w:rFonts w:ascii="Arial" w:cs="Arial" w:eastAsia="Arial" w:hAnsi="Arial"/>
          <w:sz w:val="17"/>
          <w:szCs w:val="17"/>
          <w:color w:val="auto"/>
        </w:rPr>
        <w:t>The FGFR4 signaling pathway is a promising new driver for the development of molecularly targeted therapy in HCC. We estimate that in the Major Markets, there are approximately 18,000 first line and 6,000 second line addressable HCC patients with aberrantly active FGFR4 signaling as indicated by FGF19 overexpression.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BLU-554 Pre-clinical Development in HCC</w:t>
      </w:r>
    </w:p>
    <w:p>
      <w:pPr>
        <w:spacing w:after="0" w:line="229" w:lineRule="exact"/>
        <w:rPr>
          <w:sz w:val="20"/>
          <w:szCs w:val="20"/>
          <w:color w:val="auto"/>
        </w:rPr>
      </w:pPr>
    </w:p>
    <w:p>
      <w:pPr>
        <w:ind w:firstLine="474"/>
        <w:spacing w:after="0" w:line="225" w:lineRule="auto"/>
        <w:rPr>
          <w:sz w:val="20"/>
          <w:szCs w:val="20"/>
          <w:color w:val="auto"/>
        </w:rPr>
      </w:pPr>
      <w:r>
        <w:rPr>
          <w:rFonts w:ascii="Arial" w:cs="Arial" w:eastAsia="Arial" w:hAnsi="Arial"/>
          <w:sz w:val="17"/>
          <w:szCs w:val="17"/>
          <w:color w:val="auto"/>
        </w:rPr>
        <w:t xml:space="preserve">Efforts to discover selective, reversible inhibitors of FGFR4 have been challenging given the high sequence similarity among the four FGFR paralogs. A cysteine located near the ATP binding site in FGFR4 is unique among the paralogs. We therefore focused on developing a covalent inhibitor with paralog specificity and kinome selectivity. Our team of experienced medicinal chemists applied structure-based design principles to develop a potent and selective FGFR4 inhibitor starting from known FGFR inhibitor templates. This effort yielded our development candidate, BLU-554. We have conducted comprehensive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to characterize the potency and selectivity of BLU-554. BLU-554 potently inhibits FGFR4 enzyme activity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5 nM) and inhibits the activity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FGFR1-3 at least 100-fold less potently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³ 600 nM). In contrast, pan-FGFR inhibitors such as BGJ-398 fail to exhibit paralog specificity. The</w:t>
      </w:r>
    </w:p>
    <w:p>
      <w:pPr>
        <w:spacing w:after="0" w:line="2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selectivity of BLU-554 was further evaluated by profiling BLU-554 at a concentration of 3 µM across a panel of over 450 kinases and disease 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BLU-554 displayed significant binding (greater than 90% inhibition relative to control) only to FGFR4 in this assay. In contrast, BGJ-398 significantly bound to 14 kinases (greater than 90% inhibition relative to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273685</wp:posOffset>
            </wp:positionV>
            <wp:extent cx="3154680" cy="168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54680"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20" w:right="1800"/>
        <w:spacing w:after="0" w:line="245" w:lineRule="auto"/>
        <w:rPr>
          <w:sz w:val="20"/>
          <w:szCs w:val="20"/>
          <w:color w:val="auto"/>
        </w:rPr>
      </w:pPr>
      <w:r>
        <w:rPr>
          <w:rFonts w:ascii="Arial" w:cs="Arial" w:eastAsia="Arial" w:hAnsi="Arial"/>
          <w:sz w:val="14"/>
          <w:szCs w:val="14"/>
          <w:color w:val="auto"/>
        </w:rPr>
        <w:t xml:space="preserve">Paralog selectivity of BLU-554 compared to the pan-FGFR inhibitor BGJ-398. The inhibitory potency of BLU-554 and BGJ-398 against each of the FGFR paralogs was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287655</wp:posOffset>
            </wp:positionV>
            <wp:extent cx="1248410" cy="19977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4841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20" w:right="1680"/>
        <w:spacing w:after="0" w:line="237" w:lineRule="auto"/>
        <w:rPr>
          <w:sz w:val="20"/>
          <w:szCs w:val="20"/>
          <w:color w:val="auto"/>
        </w:rPr>
      </w:pPr>
      <w:r>
        <w:rPr>
          <w:rFonts w:ascii="Arial" w:cs="Arial" w:eastAsia="Arial" w:hAnsi="Arial"/>
          <w:sz w:val="14"/>
          <w:szCs w:val="14"/>
          <w:color w:val="auto"/>
        </w:rPr>
        <w:t xml:space="preserve">Kinome selectivity of BLU-554 as determined using the KINOME scan assay. BLU-554 was screened at 3 µM against a panel of over 450 kinases and disease-relevant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4"/>
          <w:szCs w:val="14"/>
          <w:i w:val="1"/>
          <w:iCs w:val="1"/>
          <w:color w:val="auto"/>
        </w:rPr>
        <w:t>Kinome illustration reproduced courtesy of CSTI (www.cellsignal.com). The foregoing website is maintained by CSTI, and</w:t>
      </w:r>
      <w:r>
        <w:rPr>
          <w:rFonts w:ascii="Arial" w:cs="Arial" w:eastAsia="Arial" w:hAnsi="Arial"/>
          <w:sz w:val="14"/>
          <w:szCs w:val="14"/>
          <w:color w:val="auto"/>
        </w:rPr>
        <w:t xml:space="preserve"> </w:t>
      </w:r>
      <w:r>
        <w:rPr>
          <w:rFonts w:ascii="Arial" w:cs="Arial" w:eastAsia="Arial" w:hAnsi="Arial"/>
          <w:sz w:val="14"/>
          <w:szCs w:val="14"/>
          <w:i w:val="1"/>
          <w:iCs w:val="1"/>
          <w:color w:val="auto"/>
        </w:rPr>
        <w:t>Blueprint Medicines is not responsible for its content.</w:t>
      </w:r>
    </w:p>
    <w:p>
      <w:pPr>
        <w:spacing w:after="0" w:line="182" w:lineRule="exact"/>
        <w:rPr>
          <w:sz w:val="20"/>
          <w:szCs w:val="20"/>
          <w:color w:val="auto"/>
        </w:rPr>
      </w:pPr>
    </w:p>
    <w:p>
      <w:pPr>
        <w:ind w:right="120" w:firstLine="474"/>
        <w:spacing w:after="0" w:line="248" w:lineRule="auto"/>
        <w:rPr>
          <w:sz w:val="20"/>
          <w:szCs w:val="20"/>
          <w:color w:val="auto"/>
        </w:rPr>
      </w:pPr>
      <w:r>
        <w:rPr>
          <w:rFonts w:ascii="Arial" w:cs="Arial" w:eastAsia="Arial" w:hAnsi="Arial"/>
          <w:sz w:val="17"/>
          <w:szCs w:val="17"/>
          <w:color w:val="auto"/>
        </w:rPr>
        <w:t xml:space="preserve">We demonstrated significant anti-tumor efficacy with BLU-554 in two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HCC xenograft models where tumor growth is driven by FGFR4 signaling. BLU-554 administered orally for 21 days resulted in robust and dose-dependent growth inhibition of Hep3B tumors, an FGF19-amplified model. At a dose of 100 mg/kg twice daily, a well-tolerated dose, BLU-554 induced complete remission in a subset of mice for at least 30 days after cessation of treatment. We observed a correlation between the concentration of BLU-554 in mouse plasma and the level of expression of CYP7A1, a downstream biomarker, in the tumor. At the 100 mg/kg twice daily dose, significant induction of CYP7A1 expression was seen, which is an expected consequence of inhibiting FGFR4 signaling. This correlation between BLU-554 plasma concentration, the level of induction of CYP7A1</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expression and anti-tumor efficacy supports that the observed anti-tumor response is due to inhibition of FGFR4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281940</wp:posOffset>
            </wp:positionV>
            <wp:extent cx="3479800" cy="1898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79800" cy="189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20" w:right="1700"/>
        <w:spacing w:after="0" w:line="245" w:lineRule="auto"/>
        <w:rPr>
          <w:sz w:val="20"/>
          <w:szCs w:val="20"/>
          <w:color w:val="auto"/>
        </w:rPr>
      </w:pPr>
      <w:r>
        <w:rPr>
          <w:rFonts w:ascii="Arial" w:cs="Arial" w:eastAsia="Arial" w:hAnsi="Arial"/>
          <w:sz w:val="14"/>
          <w:szCs w:val="14"/>
          <w:color w:val="auto"/>
        </w:rPr>
        <w:t>BLU-554 elicits dose-dependent tumor inhibition in the Hep3B tumor xenograft mouse model, a model of FGF19 amplification. In the figure above, BID means twice a day and PO means orally.</w:t>
      </w:r>
    </w:p>
    <w:p>
      <w:pPr>
        <w:spacing w:after="0" w:line="194"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Aberrant FGFR4 signaling can also be driven by FGF19 overexpression in the absence of amplification. Hence, we have also evaluated the anti-tumor efficacy of BLU-554 in a patient-derived xenograft model driven by FGF19 overexpression in the absence of amplification. Treatment with BLU-554 led to dose-dependent tumor growth inhibition. The anti-tumor efficacy of sorafenib, the only approved systemic treatment for HCC, was also evaluated in this study. Sorafenib dosed once daily at 40 mg/kg, a dose that led to body weight loss in the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274320</wp:posOffset>
            </wp:positionV>
            <wp:extent cx="4827905" cy="2056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27905" cy="205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20" w:right="1740"/>
        <w:spacing w:after="0"/>
        <w:rPr>
          <w:sz w:val="20"/>
          <w:szCs w:val="20"/>
          <w:color w:val="auto"/>
        </w:rPr>
      </w:pPr>
      <w:r>
        <w:rPr>
          <w:rFonts w:ascii="Arial" w:cs="Arial" w:eastAsia="Arial" w:hAnsi="Arial"/>
          <w:sz w:val="14"/>
          <w:szCs w:val="14"/>
          <w:color w:val="auto"/>
        </w:rPr>
        <w:t>BLU-554 elicits dose-dependent tumor inhibition in a patient-derived tumor xenograft mouse model in which tumor growth is driven by FGF19 overexpression in the absence of FGF19 amplification. In the figure above, BID means twice a day; QD means once a day; and PO means orally.</w:t>
      </w:r>
    </w:p>
    <w:p>
      <w:pPr>
        <w:spacing w:after="0" w:line="179" w:lineRule="exact"/>
        <w:rPr>
          <w:sz w:val="20"/>
          <w:szCs w:val="20"/>
          <w:color w:val="auto"/>
        </w:rPr>
      </w:pPr>
    </w:p>
    <w:p>
      <w:pPr>
        <w:ind w:right="60" w:firstLine="470"/>
        <w:spacing w:after="0" w:line="252" w:lineRule="auto"/>
        <w:rPr>
          <w:sz w:val="20"/>
          <w:szCs w:val="20"/>
          <w:color w:val="auto"/>
        </w:rPr>
      </w:pPr>
      <w:r>
        <w:rPr>
          <w:rFonts w:ascii="Arial" w:cs="Arial" w:eastAsia="Arial" w:hAnsi="Arial"/>
          <w:sz w:val="17"/>
          <w:szCs w:val="17"/>
          <w:color w:val="auto"/>
        </w:rPr>
        <w:t xml:space="preserve">Taken together, the data presented above indicate that potent and selective FGFR4 inhibition leads to robust anti-tumor effects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where tumor growth is driven by FGF19 amplification or FGF19 overexpression in the absence of amplification. These findings, together with analysis of genomic data from HCC patients (indicating that up to 30% of HCC patients have FGF19 overexpression, with or without amplification), provide critical information to identify a potential responder population and will inform patient selection criteria in our planned clinical trial.</w:t>
      </w:r>
    </w:p>
    <w:p>
      <w:pPr>
        <w:spacing w:after="0" w:line="193" w:lineRule="exact"/>
        <w:rPr>
          <w:sz w:val="20"/>
          <w:szCs w:val="20"/>
          <w:color w:val="auto"/>
        </w:rPr>
      </w:pPr>
    </w:p>
    <w:p>
      <w:pPr>
        <w:ind w:right="240" w:firstLine="474"/>
        <w:spacing w:after="0" w:line="252" w:lineRule="auto"/>
        <w:rPr>
          <w:sz w:val="20"/>
          <w:szCs w:val="20"/>
          <w:color w:val="auto"/>
        </w:rPr>
      </w:pPr>
      <w:r>
        <w:rPr>
          <w:rFonts w:ascii="Arial" w:cs="Arial" w:eastAsia="Arial" w:hAnsi="Arial"/>
          <w:sz w:val="17"/>
          <w:szCs w:val="17"/>
          <w:color w:val="auto"/>
        </w:rPr>
        <w:t>We have completed 28-day GLP toxicology studies and have identified what we believe to be the dose limiting toxicity and anticipated first-in-human dose for BLU-554.</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BLU-554 Clinical Development Plan</w:t>
      </w:r>
    </w:p>
    <w:p>
      <w:pPr>
        <w:spacing w:after="0" w:line="229"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We plan to submit an IND for BLU-554 in mid-2015, initiate our Phase 1 clinical trial in mid-2015 and and expect that expansion cohorts in genomically-selected patients will begin in 2016. Our Phase 1 clinical trial will test the safety and tolerability of BLU-554 in multiple ascending doses in patients with HCC and other advanced solid tumors with the goal of establishing an MTD, or a recommended dose if the MTD is not achieved. In the dose escalation phase, FGF19 expression and amplification status will be assessed in patients with available archival tumor tissue. We will then open expansion cohorts for HCC patients selected based on FGF19 expression and stratified according to FGF19 amplification status. The key primary endpoints of the trial are to determine safety, tolerability and the MTD of BLU-554 in HCC. Secondary endpoints include assessing pharmacokinetics, pharmacodynamics and efficacy. We expect data to be available approximately 12 months after the start of Phase 1 clinical trial to determine activity of our BLU-554 in the target population.</w:t>
      </w:r>
    </w:p>
    <w:p>
      <w:pPr>
        <w:spacing w:after="0" w:line="206"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Early signs of biological activity will be assessed using disease-specific circulating biomarkers including serum alpha-fetoprotein and, when on-treatment biopsies are available, pharmacodynamic markers such as CYP7A1 expression. Clinical efficacy will be assessed in the expansion phase using MRI/CT imaging to assess overall response rate by RECIST criteria. We anticipate conducting additional trials to support development in front-line advanced HCC. Additional development beyond HCC will be considered pending further evidence of FGFR4 pathway relevance in cholangiocarcinoma and other solid tumors.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 Fusion Program</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third program targets RET fusions and predicted RET resistant mutants. RET is a receptor tyrosine kinase that activates multiple downstream pathways involved in cell proliferation and survival. Sometimes a portion of the RET gene that encodes the kinase domain is joined to part of another gene creating a fusion gene that encodes an aberrantly activated RET fusion protein. RET fusions are implicated in several cancers including papillary thyroid carcinoma (approximately 35% of patients) and non-small cell lung cancer (1-2% of patients). Our recently published genomics analyses on the landscape of kinase fusions identified RET fusions in breast and colon cancer patient samples (both &lt;1% of patients), providing a therapeutic rationale for the use of RET inhibitors in multiple patient subpopulations.</w:t>
      </w:r>
    </w:p>
    <w:p>
      <w:pPr>
        <w:spacing w:after="0" w:line="202" w:lineRule="exact"/>
        <w:rPr>
          <w:sz w:val="20"/>
          <w:szCs w:val="20"/>
          <w:color w:val="auto"/>
        </w:rPr>
      </w:pPr>
    </w:p>
    <w:p>
      <w:pPr>
        <w:ind w:right="140" w:firstLine="470"/>
        <w:spacing w:after="0" w:line="243" w:lineRule="auto"/>
        <w:rPr>
          <w:sz w:val="20"/>
          <w:szCs w:val="20"/>
          <w:color w:val="auto"/>
        </w:rPr>
      </w:pPr>
      <w:r>
        <w:rPr>
          <w:rFonts w:ascii="Arial" w:cs="Arial" w:eastAsia="Arial" w:hAnsi="Arial"/>
          <w:sz w:val="17"/>
          <w:szCs w:val="17"/>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Further, one of the greatest challenges in treating cancer is the ability of tumor cells to become resistant to therapy. Kinase reactivation via mutation is a common mechanism of resistance. We have predicted future resistance mutations of drugs with RET inhibitory activity and are collaborating with opinion leaders to understand patterns of emerging clinical resistance. Thus, there is a clear need for a selective RET inhibitor that targets both wild-type RET fusions and their predicted RET resistant mutants.</w:t>
      </w:r>
    </w:p>
    <w:p>
      <w:pPr>
        <w:spacing w:after="0" w:line="202"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We leveraged our proprietary compound library to identify compounds that fit this challenging drug profile. We have identified library compounds that inhibit both wild-type and mutant RET but not key off-target kinases and are using these as the basis for designing potent and selective RET inhibitors suitable for clinical development.</w:t>
      </w:r>
    </w:p>
    <w:p>
      <w:pPr>
        <w:spacing w:after="0" w:line="199" w:lineRule="exact"/>
        <w:rPr>
          <w:sz w:val="20"/>
          <w:szCs w:val="20"/>
          <w:color w:val="auto"/>
        </w:rPr>
      </w:pPr>
    </w:p>
    <w:p>
      <w:pPr>
        <w:ind w:firstLine="474"/>
        <w:spacing w:after="0" w:line="208" w:lineRule="auto"/>
        <w:rPr>
          <w:sz w:val="20"/>
          <w:szCs w:val="20"/>
          <w:color w:val="auto"/>
        </w:rPr>
      </w:pPr>
      <w:r>
        <w:rPr>
          <w:rFonts w:ascii="Arial" w:cs="Arial" w:eastAsia="Arial" w:hAnsi="Arial"/>
          <w:sz w:val="16"/>
          <w:szCs w:val="16"/>
          <w:color w:val="auto"/>
        </w:rPr>
        <w:t xml:space="preserve">We have conducted pre-clinical experiments to characterize the potency of one of our RET inhibitors in biochemical and cellular assays. This compound potently inhibits the kinase activity of both wild-type RET and a RET resistance mutant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1.5 nM and 0.9 nM, respectively). We</w:t>
      </w:r>
    </w:p>
    <w:p>
      <w:pPr>
        <w:spacing w:after="0" w:line="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have also assessed a panel of seven clinically-approved multi-kinase inhibitors with RET inhibitory activity in these assays. These compounds inhibit the kinase activity of the RET resistance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08" w:lineRule="auto"/>
        <w:rPr>
          <w:sz w:val="20"/>
          <w:szCs w:val="20"/>
          <w:color w:val="auto"/>
        </w:rPr>
      </w:pPr>
      <w:r>
        <w:rPr>
          <w:rFonts w:ascii="Arial" w:cs="Arial" w:eastAsia="Arial" w:hAnsi="Arial"/>
          <w:sz w:val="16"/>
          <w:szCs w:val="16"/>
          <w:color w:val="auto"/>
        </w:rPr>
        <w:t>mutant between 1 to &gt;1000-fold less potently than wild-type RET. In cellular models driven by either a wild-type RET fusion or a resistant RET fusion, our compound exhibited similar potent growth inhibitory activity in both cell lines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105 nM and 160 nM, respectively). In contrast, the multi-kinase</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inhibitors exhibited between 1 to &gt;100-fold less growth inhibitory activity against the cell line driven by the mutant RET fusion as compared to the wild-type RET 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269875</wp:posOffset>
            </wp:positionV>
            <wp:extent cx="2780665" cy="17233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80665"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20" w:right="1860"/>
        <w:spacing w:after="0" w:line="262" w:lineRule="auto"/>
        <w:rPr>
          <w:sz w:val="20"/>
          <w:szCs w:val="20"/>
          <w:color w:val="auto"/>
        </w:rPr>
      </w:pPr>
      <w:r>
        <w:rPr>
          <w:rFonts w:ascii="Arial" w:cs="Arial" w:eastAsia="Arial" w:hAnsi="Arial"/>
          <w:sz w:val="13"/>
          <w:szCs w:val="13"/>
          <w:color w:val="auto"/>
        </w:rPr>
        <w:t xml:space="preserve">Potency of a Blueprint RET inhibitor against wild-type RET and a RET resistance mutant compared to a panel of clinically-approved multi-kinase inhibitors with RET inhibitory activity. The inhibitory potencies of BLU and the multi-kinase inhibitors against RET wild type and RET resistance mutant protein were evaluated in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assays. The inhibitory potencies of these compounds were also evaluated in cell lines driven by either a wild-type RET fusion or a mutant RET fusion.</w:t>
      </w:r>
    </w:p>
    <w:p>
      <w:pPr>
        <w:spacing w:after="0" w:line="185" w:lineRule="exact"/>
        <w:rPr>
          <w:sz w:val="20"/>
          <w:szCs w:val="20"/>
          <w:color w:val="auto"/>
        </w:rPr>
      </w:pPr>
    </w:p>
    <w:p>
      <w:pPr>
        <w:ind w:right="400" w:firstLine="474"/>
        <w:spacing w:after="0" w:line="244" w:lineRule="auto"/>
        <w:rPr>
          <w:sz w:val="20"/>
          <w:szCs w:val="20"/>
          <w:color w:val="auto"/>
        </w:rPr>
      </w:pPr>
      <w:r>
        <w:rPr>
          <w:rFonts w:ascii="Arial" w:cs="Arial" w:eastAsia="Arial" w:hAnsi="Arial"/>
          <w:sz w:val="17"/>
          <w:szCs w:val="17"/>
          <w:color w:val="auto"/>
        </w:rPr>
        <w:t>We have demonstrated significant anti-tumor efficacy with our RET inhibitor in a wild-type RET fusion xenograft model. Administration of our compound orally twice daily for 15 days resulted in robust and dose-dependent tumor growth inhibition. At a dose of 50 mg/kg twice daily, a well-tolerated dose, the compound induced tumor regression. The anti-tumor efficacy of a multi-kinase inhibitor with RET inhibitory activity that is being evaluated in the clinic for treatment of patients with RET fusion positive lung cancer (reference compound) was also evaluated in this study. This reference compound dosed orally once daily at 20 mg/kg, a well-tolerated dose, had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274320</wp:posOffset>
            </wp:positionV>
            <wp:extent cx="3646170" cy="16484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46170"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 Blueprint RET inhibitor elicits dose-dependent tumor growth inhibition in a wild-type RET fusion xenograft model. In the figure</w:t>
      </w:r>
    </w:p>
    <w:p>
      <w:pPr>
        <w:jc w:val="center"/>
        <w:ind w:right="-19"/>
        <w:spacing w:after="0"/>
        <w:rPr>
          <w:sz w:val="20"/>
          <w:szCs w:val="20"/>
          <w:color w:val="auto"/>
        </w:rPr>
      </w:pPr>
      <w:r>
        <w:rPr>
          <w:rFonts w:ascii="Arial" w:cs="Arial" w:eastAsia="Arial" w:hAnsi="Arial"/>
          <w:sz w:val="14"/>
          <w:szCs w:val="14"/>
          <w:color w:val="auto"/>
        </w:rPr>
        <w:t>above, BID means twice a day, QD means once a day and PO means orally.</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Collaborations</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In March 2015, we entered into a research, development and commercialization agreement with Alexion to research, develop and commercialize drug candidates for an undisclosed activated kinase target, which is the cause of a rare genetic disease. Under the terms of this agreement, which we refer to as the Alexion agreement, we granted Alexion an exclusive, sublicenseable license under certain of our patents and technology. Under the Alexion agreement, we will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responsible for research and pre-clinical development activities related to drug candidates and Alexion will be responsible for all clinical development, manufacturing and commercialization activities related to drug candidates.</w:t>
      </w:r>
    </w:p>
    <w:p>
      <w:pPr>
        <w:spacing w:after="0" w:line="19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Alexion is responsible for funding 100% of our research and development costs incurred under the research plan, including pass-through costs and our employees' time devoted to the research plan at a negotiated yearly rate per full-time equivalent for our employees' time and associated overhead expenses. We received a $15.0 million non-refundable upfront payment in March 2015 upon execution of the Alexion agreement and are eligible to receive over $250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us tiered royalties, ranging from the mid-single to low-double digit percentages, on a country-by-country and licensed product-by-licensed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 whichever comes earlier.</w:t>
      </w:r>
    </w:p>
    <w:p>
      <w:pPr>
        <w:spacing w:after="0" w:line="205" w:lineRule="exact"/>
        <w:rPr>
          <w:sz w:val="20"/>
          <w:szCs w:val="20"/>
          <w:color w:val="auto"/>
        </w:rPr>
      </w:pPr>
    </w:p>
    <w:p>
      <w:pPr>
        <w:ind w:right="60" w:firstLine="470"/>
        <w:spacing w:after="0" w:line="244" w:lineRule="auto"/>
        <w:rPr>
          <w:sz w:val="20"/>
          <w:szCs w:val="20"/>
          <w:color w:val="auto"/>
        </w:rPr>
      </w:pPr>
      <w:r>
        <w:rPr>
          <w:rFonts w:ascii="Arial" w:cs="Arial" w:eastAsia="Arial" w:hAnsi="Arial"/>
          <w:sz w:val="17"/>
          <w:szCs w:val="17"/>
          <w:color w:val="auto"/>
        </w:rPr>
        <w:t>The term of the Alexion agreement will expire on a country-by-country basis and a licensed-product-by-licensed-product basis at the end of each applicable royalty term, unless terminated earlier by either party. Alexion has the right to terminate the Alexion agreement if we undergo a change of control or become an affiliate of a biotechnology or pharmaceutical company, and may terminate at-will upon 90 days, prior written notice. We and Alexion have the right to terminate the Alexion agreement in the event of the other party's uncured breach or insolvency, and in certain other circumstances agreed to by the parties.</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right="140" w:firstLine="474"/>
        <w:spacing w:after="0" w:line="24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drug candidates, including BLU-285 and BLU-554, and our core technologies, including our novel target discovery engine and our proprietary compound library,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March 31, 2015, we owned one issued U.S. patent, 16 pending U.S. patent applications, 41 foreign patent applications pending in a number of jurisdictions, including Australia, Brazil, Canada, China, Europe, Israel, India, Japan, South Korea, Mexico New Zealand, Russia, South Africa, and seven pending Patent Cooperation Treaty, or PCT, patent applications. A significant portion of our pending patent applications pertain to our key discovery programs, specifically novel recurrent fusions. Our issued U.S. patent is projected to expire in 2033, and any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patents that may issue from our pending U.S. applications would be projected to expire between 2034 and 2036.</w:t>
      </w:r>
    </w:p>
    <w:p>
      <w:pPr>
        <w:spacing w:after="0" w:line="211" w:lineRule="exact"/>
        <w:rPr>
          <w:sz w:val="20"/>
          <w:szCs w:val="20"/>
          <w:color w:val="auto"/>
        </w:rPr>
      </w:pPr>
    </w:p>
    <w:p>
      <w:pPr>
        <w:jc w:val="both"/>
        <w:ind w:right="60" w:firstLine="470"/>
        <w:spacing w:after="0" w:line="245" w:lineRule="auto"/>
        <w:rPr>
          <w:sz w:val="20"/>
          <w:szCs w:val="20"/>
          <w:color w:val="auto"/>
        </w:rPr>
      </w:pPr>
      <w:r>
        <w:rPr>
          <w:rFonts w:ascii="Arial" w:cs="Arial" w:eastAsia="Arial" w:hAnsi="Arial"/>
          <w:sz w:val="17"/>
          <w:szCs w:val="17"/>
          <w:color w:val="auto"/>
        </w:rPr>
        <w:t>The intellectual property portfolios for our most advanced drug candidates as of March 31, 2015 are summarized below. Each of these portfolios is in its very early stages and, with respect to most of the pending patent applications covering our drug candidates, prosecution has yet to commence. Prosecution is a lengthy process, during which the scope of the claims initially submitted for examination by the USPTO often significantly narrowed by the time they issue, if they issue at all. We expect this to be the case with respect to our pending patent applications referred to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 Exon 17</w:t>
      </w:r>
    </w:p>
    <w:p>
      <w:pPr>
        <w:spacing w:after="0" w:line="231"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intellectual property portfolio for our KIT Exon 17 program contains patent applications directed to compositions of matter for BLU-285 and analogs, compositions of matter for KIT Exon 17 inhibitors with different compound families, as well as methods of use for these novel compounds. As of March 31, 2015, we owned four pending U.S. patent applications, nine pending foreign patent applications in a number of jurisdictions, including Argentina, Bolivia, Pakistan, Taiwan and Venezuela, and three pending PCT patent applications directed to this program. Any U.S. or ex-U.S. patents issuing from the pending applications covering BLU-285 will have a statutory expiration date of October 2034. Patent term adjustments or patent term extensions could result in later expiration 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FGFR4</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intellectual property portfolio for our FGFR4 program contains patent applications directed to compositions of matter for BLU-554 and analogs, as well as compositions of matter for FGFR4 inhibitors with multiple compound families. The portfolio also includes patent applications directed to methods of use for the novel compounds as well as patent applications directed broadly to FGFR4 selective inhibitors. As of March 31, 2015, we owned one issued U.S. patent, three pending U.S. patent applications, 32 foreign patent applications in a number of jurisdictions, including Australia, Brazil, Canada, China, Europe, Israel, India, Japan, South Korea, Mexico New Zealand, Russia, South Africa, and two pending PCT patent applications directed to this program.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w:t>
      </w:r>
    </w:p>
    <w:p>
      <w:pPr>
        <w:spacing w:after="0" w:line="231" w:lineRule="exact"/>
        <w:rPr>
          <w:sz w:val="20"/>
          <w:szCs w:val="20"/>
          <w:color w:val="auto"/>
        </w:rPr>
      </w:pPr>
    </w:p>
    <w:p>
      <w:pPr>
        <w:ind w:right="340" w:firstLine="470"/>
        <w:spacing w:after="0" w:line="246" w:lineRule="auto"/>
        <w:rPr>
          <w:sz w:val="20"/>
          <w:szCs w:val="20"/>
          <w:color w:val="auto"/>
        </w:rPr>
      </w:pPr>
      <w:r>
        <w:rPr>
          <w:rFonts w:ascii="Arial" w:cs="Arial" w:eastAsia="Arial" w:hAnsi="Arial"/>
          <w:sz w:val="17"/>
          <w:szCs w:val="17"/>
          <w:color w:val="auto"/>
        </w:rPr>
        <w:t>The intellectual property portfolio for our RET program contains a patent application directed to compositions of matter for inhibitors of the predicted RET resistant mutants, as well as methods of use for these novel compounds. As of March 31, 2015, we owned one pending U.S. patent application directed to this program, which, if issued, will have a statutory expiration date of 2036.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w:t>
      </w:r>
    </w:p>
    <w:p>
      <w:pPr>
        <w:spacing w:after="0" w:line="231"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March 31, 2015, we owned eight pending U.S. patent applications and two pending PCT patent applications directed to this technology, which, if issued, will have a statutory expiration date of 2036.</w:t>
      </w:r>
    </w:p>
    <w:p>
      <w:pPr>
        <w:spacing w:after="0" w:line="199" w:lineRule="exact"/>
        <w:rPr>
          <w:sz w:val="20"/>
          <w:szCs w:val="20"/>
          <w:color w:val="auto"/>
        </w:rPr>
      </w:pPr>
    </w:p>
    <w:p>
      <w:pPr>
        <w:ind w:right="240" w:firstLine="470"/>
        <w:spacing w:after="0" w:line="252"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06"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 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205"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201" w:lineRule="exact"/>
        <w:rPr>
          <w:sz w:val="20"/>
          <w:szCs w:val="20"/>
          <w:color w:val="auto"/>
        </w:rPr>
      </w:pPr>
    </w:p>
    <w:p>
      <w:pPr>
        <w:jc w:val="both"/>
        <w:ind w:right="60" w:firstLine="474"/>
        <w:spacing w:after="0" w:line="246" w:lineRule="auto"/>
        <w:rPr>
          <w:sz w:val="20"/>
          <w:szCs w:val="20"/>
          <w:color w:val="auto"/>
        </w:rPr>
      </w:pPr>
      <w:r>
        <w:rPr>
          <w:rFonts w:ascii="Arial" w:cs="Arial" w:eastAsia="Arial" w:hAnsi="Arial"/>
          <w:sz w:val="17"/>
          <w:szCs w:val="17"/>
          <w:color w:val="auto"/>
        </w:rPr>
        <w:t>With respect to the building of our proprietary compound library, we consider trade secrets and know-how to be our primary intellectual property. Trade secrets and know-how can be difficult to protect. In particular, we anticipate that with respect to this technology platform, these trade secrets and know-how will over time be disseminated within the industry through independent development and public presentations describing the methodology.</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ind w:right="300" w:firstLine="470"/>
        <w:spacing w:after="0" w:line="252"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99" w:lineRule="exact"/>
        <w:rPr>
          <w:sz w:val="20"/>
          <w:szCs w:val="20"/>
          <w:color w:val="auto"/>
        </w:rPr>
      </w:pPr>
    </w:p>
    <w:p>
      <w:pPr>
        <w:jc w:val="both"/>
        <w:ind w:right="260" w:firstLine="474"/>
        <w:spacing w:after="0" w:line="246" w:lineRule="auto"/>
        <w:rPr>
          <w:sz w:val="20"/>
          <w:szCs w:val="20"/>
          <w:color w:val="auto"/>
        </w:rPr>
      </w:pPr>
      <w:r>
        <w:rPr>
          <w:rFonts w:ascii="Arial" w:cs="Arial" w:eastAsia="Arial" w:hAnsi="Arial"/>
          <w:sz w:val="17"/>
          <w:szCs w:val="17"/>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20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If the drug candidates for our priority programs are approved for the indications for which are currently planning clinical trials, they will compete with the drugs discussed below and will likely compete with other drugs that are currently in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BLU-285</w:t>
      </w:r>
    </w:p>
    <w:p>
      <w:pPr>
        <w:spacing w:after="0" w:line="23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We are initially developing BLU-285, which is designed to target KIT Exon 17, for advanced SM and GIST patients, as well as for patients with GIST with the PDGFRa D842V mutation.</w:t>
      </w:r>
    </w:p>
    <w:p>
      <w:pPr>
        <w:spacing w:after="0" w:line="206" w:lineRule="exact"/>
        <w:rPr>
          <w:sz w:val="20"/>
          <w:szCs w:val="20"/>
          <w:color w:val="auto"/>
        </w:rPr>
      </w:pPr>
    </w:p>
    <w:p>
      <w:pPr>
        <w:ind w:right="80" w:firstLine="474"/>
        <w:spacing w:after="0" w:line="248" w:lineRule="auto"/>
        <w:rPr>
          <w:sz w:val="20"/>
          <w:szCs w:val="20"/>
          <w:color w:val="auto"/>
        </w:rPr>
      </w:pPr>
      <w:r>
        <w:rPr>
          <w:rFonts w:ascii="Arial" w:cs="Arial" w:eastAsia="Arial" w:hAnsi="Arial"/>
          <w:sz w:val="17"/>
          <w:szCs w:val="17"/>
          <w:color w:val="auto"/>
        </w:rPr>
        <w:t>For advanced SM, the only approved medical therapy is imatinib for patients without the KIT D816V mutation or mutational status unknown. Several treatments are used off-label for cytoreduction including interferon-a and cytoreductive agents for advanced forms of SM. If BLU-285 receives marketing approval, it may face competition from other drug candidates in development for advanced SM, including drug candidates in development from AB Science S.A., Plexxikon Inc., a wholly-owned subsidiary of Daiichi Sankyo Company, Limited, Deciphera Pharmaceuticals, LLC and Novartis AG.</w:t>
      </w:r>
    </w:p>
    <w:p>
      <w:pPr>
        <w:spacing w:after="0" w:line="196" w:lineRule="exact"/>
        <w:rPr>
          <w:sz w:val="20"/>
          <w:szCs w:val="20"/>
          <w:color w:val="auto"/>
        </w:rPr>
      </w:pPr>
    </w:p>
    <w:p>
      <w:pPr>
        <w:ind w:right="100" w:firstLine="474"/>
        <w:spacing w:after="0" w:line="252" w:lineRule="auto"/>
        <w:rPr>
          <w:sz w:val="20"/>
          <w:szCs w:val="20"/>
          <w:color w:val="auto"/>
        </w:rPr>
      </w:pPr>
      <w:r>
        <w:rPr>
          <w:rFonts w:ascii="Arial" w:cs="Arial" w:eastAsia="Arial" w:hAnsi="Arial"/>
          <w:sz w:val="17"/>
          <w:szCs w:val="17"/>
          <w:color w:val="auto"/>
        </w:rPr>
        <w:t>For GIST, the current approved standards of care for unresectable or metastatic patients are first-line imatinib, followed by second-line sunitinib upon imatinib progression, followed by third-line regorafenib upon sunitinib progression. While these agents do not address patients with the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9" w:lineRule="exact"/>
        <w:rPr>
          <w:sz w:val="20"/>
          <w:szCs w:val="20"/>
          <w:color w:val="auto"/>
        </w:rPr>
      </w:pPr>
    </w:p>
    <w:p>
      <w:pPr>
        <w:ind w:right="540"/>
        <w:spacing w:after="0" w:line="261" w:lineRule="auto"/>
        <w:rPr>
          <w:sz w:val="20"/>
          <w:szCs w:val="20"/>
          <w:color w:val="auto"/>
        </w:rPr>
      </w:pPr>
      <w:r>
        <w:rPr>
          <w:rFonts w:ascii="Arial" w:cs="Arial" w:eastAsia="Arial" w:hAnsi="Arial"/>
          <w:sz w:val="17"/>
          <w:szCs w:val="17"/>
          <w:color w:val="auto"/>
        </w:rPr>
        <w:t>PDGFRa D842V mutation, they may be competitor therapies if the recommended mutational status testing is not performed. If BLU-285 receives marketing approval for this indication, it may also face competition from drug candidates in development by AROG Pharmaceuticals, Inc., Plexxikon Inc. and ARIAD Pharmaceuticals, Inc.</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BLU-554</w:t>
      </w:r>
    </w:p>
    <w:p>
      <w:pPr>
        <w:spacing w:after="0" w:line="231"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development of BLU-554 will focus on a subset of patients with HCC with FGF19 overexpression. The only approved systemic medical therapy for HCC is sorafenib. In addition, there are potentially competitive drug candidates in development by AstraZeneca plc, Bayer AG, Johnson &amp; Johnson, Novartis AG, Taiho Pharmaceutical Co., Ltd. and Xoma Ltd.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Commercialization Plans</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vision is to become a fully-integrated biopharmaceutical company. This will enable us to realize our goal of delivering transformative drugs to patients. Given our stage of development, we have not yet established our own commercial organization or distribution capabilities. Our initial focus is on genomically-defined patient populations in oncology allowing us to efficiently commercialize our drug candidates in the United States on our own initially and worldwide longer-term.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Supply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and drug substance for BLU-285 and BLU-554 for our pre-clinical and planned Phase 1 testing from one third-party manufacturer and drug product from another third party manufacturer. We obtain our supplies from these manufacturers on a purchase order basis and do not have a long-term supply arrangement in place. We do not currently have arrangements in place for redundant supply for API, drug product or drug substance. For all of our drug candidates, we intend to identify and qualify additional manufacturers to provide the API, drug product and drug substance prior to submission of a new drug application to the FDA and/or a marketing authorization application to the European Medicines Agency.</w:t>
      </w:r>
    </w:p>
    <w:p>
      <w:pPr>
        <w:spacing w:after="0" w:line="206" w:lineRule="exact"/>
        <w:rPr>
          <w:sz w:val="20"/>
          <w:szCs w:val="20"/>
          <w:color w:val="auto"/>
        </w:rPr>
      </w:pPr>
    </w:p>
    <w:p>
      <w:pPr>
        <w:ind w:right="380" w:firstLine="474"/>
        <w:spacing w:after="0" w:line="245" w:lineRule="auto"/>
        <w:rPr>
          <w:sz w:val="20"/>
          <w:szCs w:val="20"/>
          <w:color w:val="auto"/>
        </w:rPr>
      </w:pPr>
      <w:r>
        <w:rPr>
          <w:rFonts w:ascii="Arial" w:cs="Arial" w:eastAsia="Arial" w:hAnsi="Arial"/>
          <w:sz w:val="17"/>
          <w:szCs w:val="17"/>
          <w:color w:val="auto"/>
        </w:rPr>
        <w:t>BLU-285 and BLU-554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to develop drug candidates that can be produced cost-effectively at contract manufacturing facilities.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generally expect to rely on third parties for the manufacture of any companion diagnostics we develop.</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Government Regulation</w:t>
      </w:r>
    </w:p>
    <w:p>
      <w:pPr>
        <w:spacing w:after="0" w:line="231"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and export and import of drug products, such as those we are developing. Generally, before a new drug can be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marketed, considerable data demonstrating its quality, safety and efficacy must be obtained, organized into a format specific to each regulatory authority, submitted for review and approved by the regulatory authority.</w:t>
      </w:r>
    </w:p>
    <w:p>
      <w:pPr>
        <w:spacing w:after="0" w:line="193"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agency or judicial enforcement action could have a material adverse effect on us.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U.S. Drug Development</w:t>
      </w:r>
    </w:p>
    <w:p>
      <w:pPr>
        <w:spacing w:after="0" w:line="23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98" w:lineRule="exact"/>
        <w:rPr>
          <w:sz w:val="20"/>
          <w:szCs w:val="20"/>
          <w:color w:val="auto"/>
        </w:rPr>
      </w:pPr>
    </w:p>
    <w:p>
      <w:pPr>
        <w:ind w:left="1060" w:right="340" w:hanging="531"/>
        <w:spacing w:after="0" w:line="25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Completion of extensive pre-clinical, sometimes referred to as pre-clinical laboratory tests, pre-clinical animal studies and formulation studies all performed in accordance with applicable regulations, including the FDA's GLP regulations;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97" w:lineRule="exact"/>
        <w:rPr>
          <w:rFonts w:ascii="Arial" w:cs="Arial" w:eastAsia="Arial" w:hAnsi="Arial"/>
          <w:sz w:val="17"/>
          <w:szCs w:val="17"/>
          <w:color w:val="auto"/>
        </w:rPr>
      </w:pPr>
    </w:p>
    <w:p>
      <w:pPr>
        <w:ind w:left="1060" w:right="280" w:hanging="531"/>
        <w:spacing w:after="0" w:line="246"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Submission to the FDA of an NDA, for a new drug;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NDA for review;</w:t>
      </w:r>
    </w:p>
    <w:p>
      <w:pPr>
        <w:spacing w:after="0" w:line="197"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 or facilities at which the API and finished drug product are produced to assess compliance with the FDA's current good manufacturing practice requirements, or cGMP;</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Potential FDA audit of the pre-clinical and/or clinical trial sites that generated the data in support of the NDA;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FDA review and approval of the NDA prior to any commercial marketing or sale of the drug in the United States.</w:t>
      </w:r>
    </w:p>
    <w:p>
      <w:pPr>
        <w:spacing w:after="0" w:line="21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The sponsor must submit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06" w:lineRule="exact"/>
        <w:rPr>
          <w:sz w:val="20"/>
          <w:szCs w:val="20"/>
          <w:color w:val="auto"/>
        </w:rPr>
      </w:pPr>
    </w:p>
    <w:p>
      <w:pPr>
        <w:ind w:right="120" w:firstLine="470"/>
        <w:spacing w:after="0" w:line="242"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205"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Clinical trials are generally conducted in three sequential phases that may overlap or be combined, known as Phase 1, Phase 2 and Phase 3 clinical trials. Phase 1 clinical trials generally involve a small number of healthy volunteers who are initially exposed to a single dose and then multiple doses of the drug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drug for its intended use, its safety in use, and to establish the overall benefit/risk relationship of the drug and provide an adequate basis for drug approval.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w:t>
      </w:r>
    </w:p>
    <w:p>
      <w:pPr>
        <w:spacing w:after="0" w:line="205"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 pivotal study is a clinical study that adequately meets regulatory agency requirements for the evaluation of a drug candidate's efficacy and safety such that it can be used to justify the approval of the drug. Generally, pivotal studies are also Phase 3 studies but may be Phase 2 studies if the trial design provides a well-controlled and reliable assessment of clinical benefit, particularly in situations where there is an unmet medical need. 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in vitro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 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NDA and FDA Review Process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 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205" w:lineRule="exact"/>
        <w:rPr>
          <w:sz w:val="20"/>
          <w:szCs w:val="20"/>
          <w:color w:val="auto"/>
        </w:rPr>
      </w:pPr>
    </w:p>
    <w:p>
      <w:pPr>
        <w:ind w:right="360" w:firstLine="474"/>
        <w:spacing w:after="0" w:line="246"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99"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Under the Prescription Drug User Fee Act, or PDUFA, as amended, each NDA must be accompanied by a user fee. The FDA adjusts the PDUFA user fees on an annual basis. According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to the FDA's fee schedule, effective through September 30, 2015, the user fee for an application requiring clinical data, such as an NDA, is $2,335,200. PDUFA also imposes an annual product fee for human drugs ($110,370) and an annual establishment fee ($569,200)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202"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04"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FDA Expedited Review and Approval Programs</w:t>
      </w:r>
    </w:p>
    <w:p>
      <w:pPr>
        <w:spacing w:after="0" w:line="231"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a Fast Track Designation, the FDA must determine, based on the request of a sponsor, that a drug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0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 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spacing w:after="0" w:line="19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studies to verify and describe the predicted effect on irreversible morbidity or mortality or other clinical endpoint, and the drug may be subject to accelerated withdrawal procedures.</w:t>
      </w:r>
    </w:p>
    <w:p>
      <w:pPr>
        <w:spacing w:after="0" w:line="193"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Moreover, under the provisions of the new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1" w:lineRule="exact"/>
        <w:rPr>
          <w:sz w:val="20"/>
          <w:szCs w:val="20"/>
          <w:color w:val="auto"/>
        </w:rPr>
      </w:pPr>
    </w:p>
    <w:p>
      <w:pPr>
        <w:ind w:right="460" w:firstLine="474"/>
        <w:spacing w:after="0" w:line="245"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Trials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Pursuant to FDASIA, which was signed into law on July 9, 2012, a sponsor who is planning to submit a marketing application for a drug that includes a new active ingredient, new indication, new dosage form, new dosing regimen or new route of administration must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Post-Marketing Requirements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drug or its labeling or changes of the site of manufacture are often subject to the approval of the FDA and other regulators, which may or may not be received or may result in a lengthy review process.</w:t>
      </w:r>
    </w:p>
    <w:p>
      <w:pPr>
        <w:spacing w:after="0" w:line="206" w:lineRule="exact"/>
        <w:rPr>
          <w:sz w:val="20"/>
          <w:szCs w:val="20"/>
          <w:color w:val="auto"/>
        </w:rPr>
      </w:pPr>
    </w:p>
    <w:p>
      <w:pPr>
        <w:ind w:right="600" w:firstLine="474"/>
        <w:spacing w:after="0" w:line="252" w:lineRule="auto"/>
        <w:rPr>
          <w:sz w:val="20"/>
          <w:szCs w:val="20"/>
          <w:color w:val="auto"/>
        </w:rPr>
      </w:pPr>
      <w:r>
        <w:rPr>
          <w:rFonts w:ascii="Arial" w:cs="Arial" w:eastAsia="Arial" w:hAnsi="Arial"/>
          <w:sz w:val="17"/>
          <w:szCs w:val="17"/>
          <w:color w:val="auto"/>
        </w:rPr>
        <w:t>Prescription drug advertising is subject to federal, state and foreign regulations. In the United States, the FDA regulates prescription drug promotion, including direct-to-consumer advertising.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Prescription drug promotional materials must be submitted to the FDA in conjunction with their first use. Any distribution of prescription drugs and pharmaceutical samples must comply with the U.S. Prescription Drug Marketing Act, or the PDMA, a part of the FDCA.</w:t>
      </w:r>
    </w:p>
    <w:p>
      <w:pPr>
        <w:spacing w:after="0" w:line="19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03" w:lineRule="exact"/>
        <w:rPr>
          <w:sz w:val="20"/>
          <w:szCs w:val="20"/>
          <w:color w:val="auto"/>
        </w:rPr>
      </w:pPr>
    </w:p>
    <w:p>
      <w:pPr>
        <w:ind w:right="100" w:firstLine="470"/>
        <w:spacing w:after="0" w:line="242" w:lineRule="auto"/>
        <w:rPr>
          <w:sz w:val="20"/>
          <w:szCs w:val="20"/>
          <w:color w:val="auto"/>
        </w:rPr>
      </w:pPr>
      <w:r>
        <w:rPr>
          <w:rFonts w:ascii="Arial" w:cs="Arial" w:eastAsia="Arial" w:hAnsi="Arial"/>
          <w:sz w:val="17"/>
          <w:szCs w:val="17"/>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drugs under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Regulatory Matters</w:t>
      </w:r>
    </w:p>
    <w:p>
      <w:pPr>
        <w:spacing w:after="0" w:line="22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Education Reconciliation Act, or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99"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93"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1" w:lineRule="exact"/>
        <w:rPr>
          <w:sz w:val="20"/>
          <w:szCs w:val="20"/>
          <w:color w:val="auto"/>
        </w:rPr>
      </w:pPr>
    </w:p>
    <w:p>
      <w:pPr>
        <w:ind w:left="200" w:hanging="195"/>
        <w:spacing w:after="0"/>
        <w:tabs>
          <w:tab w:leader="none" w:pos="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(iii) the recall or discontinuation of our products; or</w:t>
      </w:r>
    </w:p>
    <w:p>
      <w:pPr>
        <w:spacing w:after="0" w:line="1" w:lineRule="exact"/>
        <w:rPr>
          <w:rFonts w:ascii="Arial" w:cs="Arial" w:eastAsia="Arial" w:hAnsi="Arial"/>
          <w:sz w:val="17"/>
          <w:szCs w:val="17"/>
          <w:color w:val="auto"/>
        </w:rPr>
      </w:pPr>
    </w:p>
    <w:p>
      <w:pPr>
        <w:ind w:left="280" w:hanging="275"/>
        <w:spacing w:after="0"/>
        <w:tabs>
          <w:tab w:leader="none" w:pos="2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Patent Term Restoration and Marketing Exclusivity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05"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European Commission, after receiving the opinion of the EMA's Committee for Orphan Medicinal Products, or COMP, grants Orphan Drug Designation to promote the development of products that are intended for the diagnosis, prevention or treatment of a life-threatening or chronically debilitating conditions affecting not more than five in 10,000 persons in the European Union Community.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206"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99" w:lineRule="exact"/>
        <w:rPr>
          <w:sz w:val="20"/>
          <w:szCs w:val="20"/>
          <w:color w:val="auto"/>
        </w:rPr>
      </w:pPr>
    </w:p>
    <w:p>
      <w:pPr>
        <w:ind w:right="400" w:firstLine="474"/>
        <w:spacing w:after="0" w:line="245" w:lineRule="auto"/>
        <w:rPr>
          <w:sz w:val="20"/>
          <w:szCs w:val="20"/>
          <w:color w:val="auto"/>
        </w:rPr>
      </w:pPr>
      <w:r>
        <w:rPr>
          <w:rFonts w:ascii="Arial" w:cs="Arial" w:eastAsia="Arial" w:hAnsi="Arial"/>
          <w:sz w:val="17"/>
          <w:szCs w:val="17"/>
          <w:color w:val="auto"/>
        </w:rPr>
        <w:t>In the European Union, Orphan Drug Designation also entitles a party to financial incentives such as reduction of fees or fee waivers and ten years of market exclusivity is granted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Diagnostic Tests</w:t>
      </w:r>
    </w:p>
    <w:p>
      <w:pPr>
        <w:spacing w:after="0" w:line="23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expect that our drug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drug candidates will utilize the PMA pathway.</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204"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On August 6, 2014, the FDA issued a final guidance document addressing the development and approval process for "In Vitro Companion Diagnostic Devices." According to the guidance, for novel drugs such as our drug candidates, a companion diagnostic device and its corresponding drug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93" w:lineRule="exact"/>
        <w:rPr>
          <w:sz w:val="20"/>
          <w:szCs w:val="20"/>
          <w:color w:val="auto"/>
        </w:rPr>
      </w:pPr>
    </w:p>
    <w:p>
      <w:pPr>
        <w:ind w:right="240" w:firstLine="474"/>
        <w:spacing w:after="0" w:line="243" w:lineRule="auto"/>
        <w:rPr>
          <w:sz w:val="20"/>
          <w:szCs w:val="20"/>
          <w:color w:val="auto"/>
        </w:rPr>
      </w:pPr>
      <w:r>
        <w:rPr>
          <w:rFonts w:ascii="Arial" w:cs="Arial" w:eastAsia="Arial" w:hAnsi="Arial"/>
          <w:sz w:val="17"/>
          <w:szCs w:val="17"/>
          <w:color w:val="auto"/>
        </w:rPr>
        <w:t>In the EEA, in vitro medical devices are required to conform with the essential requirements of the E.U. Directive on in vitro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Drug Development</w:t>
      </w:r>
    </w:p>
    <w:p>
      <w:pPr>
        <w:spacing w:after="0" w:line="231"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In Europe, our future drugs may also be subject to extensive regulatory requirements. As in the United States, medicinal products can only be marketed if a marketing authorization from the competent regulatory agencies has been obtained.</w:t>
      </w:r>
    </w:p>
    <w:p>
      <w:pPr>
        <w:spacing w:after="0" w:line="193"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Similar to the United States, the various phases of pre-clinical and clinical research in Europe are subject to significant regulatory controls. Although the EU Clinical Trials Directive 2001/20/EC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206"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European Union clinical trials legislation is currently undergoing a revision process mainly aimed at uniforming and streamlining the clinical trials authorization process, simplifying adverse event reporting procedures, improving the supervision of clinical trials, and increasing their transparency.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Drug Review and Approval</w:t>
      </w:r>
    </w:p>
    <w:p>
      <w:pPr>
        <w:spacing w:after="0" w:line="23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99"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States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205"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drug on the basis of scientific criteria concerning its quality, safety and efficacy.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Chemical Entity Exclusivity</w:t>
      </w:r>
    </w:p>
    <w:p>
      <w:pPr>
        <w:spacing w:after="0" w:line="23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 of the World Regulation</w:t>
      </w:r>
    </w:p>
    <w:p>
      <w:pPr>
        <w:spacing w:after="0" w:line="231" w:lineRule="exact"/>
        <w:rPr>
          <w:sz w:val="20"/>
          <w:szCs w:val="20"/>
          <w:color w:val="auto"/>
        </w:rPr>
      </w:pPr>
    </w:p>
    <w:p>
      <w:pPr>
        <w:ind w:right="240" w:firstLine="474"/>
        <w:spacing w:after="0" w:line="245" w:lineRule="auto"/>
        <w:rPr>
          <w:sz w:val="20"/>
          <w:szCs w:val="20"/>
          <w:color w:val="auto"/>
        </w:rPr>
      </w:pPr>
      <w:r>
        <w:rPr>
          <w:rFonts w:ascii="Arial" w:cs="Arial" w:eastAsia="Arial" w:hAnsi="Arial"/>
          <w:sz w:val="17"/>
          <w:szCs w:val="17"/>
          <w:color w:val="auto"/>
        </w:rPr>
        <w:t>For other countries outside of the Europe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98"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Additionally, the containment of healthcare costs has become a priority of federal and state governments, and the prices of drugs have been a focus in this effort. The U.S. government, state legislatures and foreign governments have shown significant interest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199"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05"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06" w:lineRule="exact"/>
        <w:rPr>
          <w:sz w:val="20"/>
          <w:szCs w:val="20"/>
          <w:color w:val="auto"/>
        </w:rPr>
      </w:pPr>
    </w:p>
    <w:p>
      <w:pPr>
        <w:ind w:right="60" w:firstLine="470"/>
        <w:spacing w:after="0" w:line="242"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enacted in March 2010, has had a significant impact on the health care industry. The ACA expanded coverage for the uninsured while at the same time containing overall healthcare costs. With regard to 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applicable brand drugs to eligible beneficiaries during their coverage gap period, as a condition for the manufacturer's outpatient drugs to be covered under Medicare Part D.</w:t>
      </w:r>
    </w:p>
    <w:p>
      <w:pPr>
        <w:spacing w:after="0" w:line="19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2024 unless additional Congressional action is taken. On January 2, 2013,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w:t>
      </w:r>
    </w:p>
    <w:p>
      <w:pPr>
        <w:spacing w:after="0" w:line="205" w:lineRule="exact"/>
        <w:rPr>
          <w:sz w:val="20"/>
          <w:szCs w:val="20"/>
          <w:color w:val="auto"/>
        </w:rPr>
      </w:pPr>
    </w:p>
    <w:p>
      <w:pPr>
        <w:ind w:right="220" w:firstLine="474"/>
        <w:spacing w:after="0" w:line="24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31"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and physician sunshine laws and regulations.</w:t>
      </w:r>
    </w:p>
    <w:p>
      <w:pPr>
        <w:spacing w:after="0" w:line="199"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firstLine="464"/>
        <w:spacing w:after="0" w:line="242" w:lineRule="auto"/>
        <w:rPr>
          <w:sz w:val="20"/>
          <w:szCs w:val="20"/>
          <w:color w:val="auto"/>
        </w:rPr>
      </w:pPr>
      <w:r>
        <w:rPr>
          <w:rFonts w:ascii="Arial" w:cs="Arial" w:eastAsia="Arial" w:hAnsi="Arial"/>
          <w:sz w:val="17"/>
          <w:szCs w:val="17"/>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6"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2"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submit reports to the government by March 31, 2014 and June 30, 2014, and the 90th day of each subsequent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of health information in certain circumstances, many of which differ from each other in significant ways, thus complicating compliance efforts.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80" w:firstLine="464"/>
        <w:spacing w:after="0" w:line="246" w:lineRule="auto"/>
        <w:rPr>
          <w:sz w:val="20"/>
          <w:szCs w:val="20"/>
          <w:color w:val="auto"/>
        </w:rPr>
      </w:pPr>
      <w:r>
        <w:rPr>
          <w:rFonts w:ascii="Arial" w:cs="Arial" w:eastAsia="Arial" w:hAnsi="Arial"/>
          <w:sz w:val="17"/>
          <w:szCs w:val="17"/>
          <w:color w:val="auto"/>
        </w:rPr>
        <w:t>As of March 31, 2015, we had 60 full-time employees, including 30 employees with M.D. or Ph.D. degrees. Of these full-time employees, 48 employees are engaged in research and development activities and 12 are engaged in general and administrative activities. None of our employees is represented by a labor union or covered by a collective bargaining agreement. We consider our relationship with our employees to be good.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Facilities</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occupy approximately 20,000 rentable square feet of office and laboratory space in Cambridge, Massachusetts under a lease that expires on October 31, 2015.</w:t>
      </w:r>
    </w:p>
    <w:p>
      <w:pPr>
        <w:spacing w:after="0" w:line="193"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On February 12, 2015, we entered into a lease for approximately 38,500 rentable square feet of office and laboratory space in Cambridge, Massachusetts, with a lease term commencing June 15, 2015 and ending on October 31, 2022, assuming occupancy in October 2015. We have an option to extend the lease term for five additional years. We believe that this new office and laboratory space is sufficient to meet our needs for the foreseeable future and that suitable additional space will be available as and when needed.</w:t>
      </w:r>
    </w:p>
    <w:p>
      <w:pPr>
        <w:spacing w:after="0" w:line="375"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not currently a party to any material legal proceedings.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Officers and Directors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the date hereof:</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580" w:type="dxa"/>
            <w:vAlign w:val="bottom"/>
            <w:gridSpan w:val="2"/>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Age</w:t>
            </w:r>
          </w:p>
        </w:tc>
        <w:tc>
          <w:tcPr>
            <w:tcW w:w="148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Position(s)</w:t>
            </w:r>
          </w:p>
        </w:tc>
        <w:tc>
          <w:tcPr>
            <w:tcW w:w="1300" w:type="dxa"/>
            <w:vAlign w:val="bottom"/>
          </w:tcPr>
          <w:p>
            <w:pPr>
              <w:spacing w:after="0"/>
              <w:rPr>
                <w:sz w:val="18"/>
                <w:szCs w:val="18"/>
                <w:color w:val="auto"/>
              </w:rPr>
            </w:pPr>
          </w:p>
        </w:tc>
      </w:tr>
      <w:tr>
        <w:trPr>
          <w:trHeight w:val="190"/>
        </w:trPr>
        <w:tc>
          <w:tcPr>
            <w:tcW w:w="50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Executive Officers:</w:t>
            </w: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Jeffrey W. Albers</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President, Chief Executive Officer and 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Anthony L. Boral, M.D.,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52</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 Clinical Development</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Kyle D. Kuvalanka</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Chief Business Officer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 Lengauer, Ph.D.</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Chief Scientific Officer</w:t>
            </w:r>
          </w:p>
        </w:tc>
      </w:tr>
      <w:tr>
        <w:trPr>
          <w:trHeight w:val="406"/>
        </w:trPr>
        <w:tc>
          <w:tcPr>
            <w:tcW w:w="5080" w:type="dxa"/>
            <w:vAlign w:val="bottom"/>
            <w:gridSpan w:val="3"/>
          </w:tcPr>
          <w:p>
            <w:pPr>
              <w:ind w:left="20"/>
              <w:spacing w:after="0"/>
              <w:rPr>
                <w:sz w:val="20"/>
                <w:szCs w:val="20"/>
                <w:color w:val="auto"/>
              </w:rPr>
            </w:pPr>
            <w:r>
              <w:rPr>
                <w:rFonts w:ascii="Arial" w:cs="Arial" w:eastAsia="Arial" w:hAnsi="Arial"/>
                <w:sz w:val="17"/>
                <w:szCs w:val="17"/>
                <w:b w:val="1"/>
                <w:bCs w:val="1"/>
                <w:color w:val="auto"/>
              </w:rPr>
              <w:t>Directors: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Daniel S. Lynch(1)(2)</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56</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Chairman</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Alexis Borisy(3)(4)</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George D. Demetri, M.D.(1)(2)(3)(4)</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Stephen C. Knight, M.D.(5)</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Nicholas Lydon, Ph.D.(4)</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tcPr>
          <w:p>
            <w:pPr>
              <w:ind w:left="20"/>
              <w:spacing w:after="0"/>
              <w:rPr>
                <w:sz w:val="20"/>
                <w:szCs w:val="20"/>
                <w:color w:val="auto"/>
              </w:rPr>
            </w:pPr>
            <w:r>
              <w:rPr>
                <w:rFonts w:ascii="Arial" w:cs="Arial" w:eastAsia="Arial" w:hAnsi="Arial"/>
                <w:sz w:val="17"/>
                <w:szCs w:val="17"/>
                <w:color w:val="auto"/>
              </w:rPr>
              <w:t>Charles A. Rowland, Jr., MBA(1)(2)(3)</w:t>
            </w: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370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19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Thilo Schroeder, Ph.D.(5)</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33</w:t>
            </w:r>
          </w:p>
        </w:tc>
        <w:tc>
          <w:tcPr>
            <w:tcW w:w="3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Director</w:t>
            </w:r>
          </w:p>
        </w:tc>
      </w:tr>
      <w:tr>
        <w:trPr>
          <w:trHeight w:val="105"/>
        </w:trPr>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213" w:lineRule="exact"/>
        <w:rPr>
          <w:sz w:val="20"/>
          <w:szCs w:val="20"/>
          <w:color w:val="auto"/>
        </w:rPr>
      </w:pPr>
    </w:p>
    <w:p>
      <w:pPr>
        <w:ind w:left="1680" w:hanging="533"/>
        <w:spacing w:after="0"/>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4" w:lineRule="exact"/>
        <w:rPr>
          <w:rFonts w:ascii="Arial" w:cs="Arial" w:eastAsia="Arial" w:hAnsi="Arial"/>
          <w:sz w:val="17"/>
          <w:szCs w:val="17"/>
          <w:color w:val="auto"/>
        </w:rPr>
      </w:pPr>
    </w:p>
    <w:p>
      <w:pPr>
        <w:ind w:left="1680" w:hanging="533"/>
        <w:spacing w:after="0"/>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 w:lineRule="exact"/>
        <w:rPr>
          <w:rFonts w:ascii="Arial" w:cs="Arial" w:eastAsia="Arial" w:hAnsi="Arial"/>
          <w:sz w:val="17"/>
          <w:szCs w:val="17"/>
          <w:color w:val="auto"/>
        </w:rPr>
      </w:pPr>
    </w:p>
    <w:p>
      <w:pPr>
        <w:ind w:left="1680" w:hanging="533"/>
        <w:spacing w:after="0"/>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 w:lineRule="exact"/>
        <w:rPr>
          <w:rFonts w:ascii="Arial" w:cs="Arial" w:eastAsia="Arial" w:hAnsi="Arial"/>
          <w:sz w:val="17"/>
          <w:szCs w:val="17"/>
          <w:color w:val="auto"/>
        </w:rPr>
      </w:pPr>
    </w:p>
    <w:p>
      <w:pPr>
        <w:ind w:left="1680" w:hanging="533"/>
        <w:spacing w:after="0"/>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research and development committee.</w:t>
      </w:r>
    </w:p>
    <w:p>
      <w:pPr>
        <w:spacing w:after="0" w:line="14" w:lineRule="exact"/>
        <w:rPr>
          <w:rFonts w:ascii="Arial" w:cs="Arial" w:eastAsia="Arial" w:hAnsi="Arial"/>
          <w:sz w:val="17"/>
          <w:szCs w:val="17"/>
          <w:color w:val="auto"/>
        </w:rPr>
      </w:pPr>
    </w:p>
    <w:p>
      <w:pPr>
        <w:ind w:left="1680" w:right="220" w:hanging="533"/>
        <w:spacing w:after="0" w:line="252"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of Drs. Knight and Schroeder resigned from our board of directors immediately prior to the declaration of effectiveness of the registration statement of which this prospectus forms a part.</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Officers</w:t>
      </w:r>
    </w:p>
    <w:p>
      <w:pPr>
        <w:spacing w:after="0" w:line="211" w:lineRule="exact"/>
        <w:rPr>
          <w:sz w:val="20"/>
          <w:szCs w:val="20"/>
          <w:color w:val="auto"/>
        </w:rPr>
      </w:pPr>
    </w:p>
    <w:p>
      <w:pPr>
        <w:ind w:right="60" w:firstLine="473"/>
        <w:spacing w:after="0" w:line="246"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has served as our Chief Executive Officer and President and a member of our board of directors since July 2014. Mr. Albers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nearly a decade of experience in leadership roles in the biopharmaceutical industry. Prior to joining us, from January 2012 to April 2014, he was president of the U.S. subsidiary of Algeta ASA, or Algeta U.S., a Norwegian biopharmaceutical company, where he oversaw the commercial and business functions. At Algeta U.S., Mr. Albers was responsible for the U.S. launch of Radium-223 in metastatic castrate resistant prostate cancer. Prior to Algeta U.S., from July 2005 to November 2011, Mr. Albers was at Genzyme Corporation, or Genzyme, a biotechnology company which is now a wholly-owned subsidiary of Sanofi S.A., most recently as vice president of the U.S. hematology and oncology business unit. Mr. Albers received his B.S. from Indiana University and an M.B.A. and a J.D. from Georgetown University. We believe that Mr. Albers' leadership in the life sciences industry qualifies him to serve on our board of directors.</w:t>
      </w:r>
    </w:p>
    <w:p>
      <w:pPr>
        <w:spacing w:after="0" w:line="180" w:lineRule="exact"/>
        <w:rPr>
          <w:sz w:val="20"/>
          <w:szCs w:val="20"/>
          <w:color w:val="auto"/>
        </w:rPr>
      </w:pPr>
    </w:p>
    <w:p>
      <w:pPr>
        <w:ind w:firstLine="473"/>
        <w:spacing w:after="0" w:line="250" w:lineRule="auto"/>
        <w:rPr>
          <w:sz w:val="20"/>
          <w:szCs w:val="20"/>
          <w:color w:val="auto"/>
        </w:rPr>
      </w:pPr>
      <w:r>
        <w:rPr>
          <w:rFonts w:ascii="Arial" w:cs="Arial" w:eastAsia="Arial" w:hAnsi="Arial"/>
          <w:sz w:val="17"/>
          <w:szCs w:val="17"/>
          <w:b w:val="1"/>
          <w:bCs w:val="1"/>
          <w:i w:val="1"/>
          <w:iCs w:val="1"/>
          <w:color w:val="auto"/>
        </w:rPr>
        <w:t xml:space="preserve">Anthony L. Boral, M.D., Ph.D. </w:t>
      </w:r>
      <w:r>
        <w:rPr>
          <w:rFonts w:ascii="Arial" w:cs="Arial" w:eastAsia="Arial" w:hAnsi="Arial"/>
          <w:sz w:val="17"/>
          <w:szCs w:val="17"/>
          <w:color w:val="auto"/>
        </w:rPr>
        <w:t>has served as our Senior Vice President, Clinical Development since February 2015. Prior to joining us,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Pharmaceuticals, Inc., or Millennium, a biotechnology company in Cambridge, Massachusetts, which is now a wholly-owned subsidiary of Takeda Pharmaceutical Company Limited, or Takeda, including as Vice President of Oncology Clinical Research from October 2007 to October 2010. At Millennium, Dr. Boral was responsible for various aspects of the development of VELCADE®, a first-in-class cancer therapy now approved to treat multiple myeloma and non-Hodgkins lymphoma. Dr. Boral received his B.A. from Wesleyan University, and an M.D. and a Ph.D. from the Albert Einstein College of Medicine, in New York.</w:t>
      </w:r>
    </w:p>
    <w:p>
      <w:pPr>
        <w:spacing w:after="0" w:line="179" w:lineRule="exact"/>
        <w:rPr>
          <w:sz w:val="20"/>
          <w:szCs w:val="20"/>
          <w:color w:val="auto"/>
        </w:rPr>
      </w:pPr>
    </w:p>
    <w:p>
      <w:pPr>
        <w:ind w:firstLine="473"/>
        <w:spacing w:after="0" w:line="248" w:lineRule="auto"/>
        <w:rPr>
          <w:sz w:val="20"/>
          <w:szCs w:val="20"/>
          <w:color w:val="auto"/>
        </w:rPr>
      </w:pPr>
      <w:r>
        <w:rPr>
          <w:rFonts w:ascii="Arial" w:cs="Arial" w:eastAsia="Arial" w:hAnsi="Arial"/>
          <w:sz w:val="17"/>
          <w:szCs w:val="17"/>
          <w:b w:val="1"/>
          <w:bCs w:val="1"/>
          <w:i w:val="1"/>
          <w:iCs w:val="1"/>
          <w:color w:val="auto"/>
        </w:rPr>
        <w:t xml:space="preserve">Kyle D. Kuvalanka </w:t>
      </w:r>
      <w:r>
        <w:rPr>
          <w:rFonts w:ascii="Arial" w:cs="Arial" w:eastAsia="Arial" w:hAnsi="Arial"/>
          <w:sz w:val="17"/>
          <w:szCs w:val="17"/>
          <w:color w:val="auto"/>
        </w:rPr>
        <w:t>has served as our Chief Business Officer since September 2013. Mr. Kuvalanka has more than 15 years of business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experience in the biopharmaceutical industry. Prior to joining us, from March 2002 to September 2013, Mr. Kuvalanka worked at Takeda and Millennium, prior to its takeover by Takeda, including as Vice President, Corporate Strategy and Development from 2009 to 2012 and as Vice President, Business Development, Corporate Strategy and Alliance Management from 2012 to 2013. Earlier in his career at Millennium, Mr. Kuvalanka held leadership positions in finance and led the investor relations effort until the company's acquisition by Takeda. Mr. Kuvalanka holds a B.A. from Wesleyan University and an M.B.A. from The Wharton Business School at the University of Pennsylvania.</w:t>
      </w:r>
    </w:p>
    <w:p>
      <w:pPr>
        <w:spacing w:after="0" w:line="178" w:lineRule="exact"/>
        <w:rPr>
          <w:sz w:val="20"/>
          <w:szCs w:val="20"/>
          <w:color w:val="auto"/>
        </w:rPr>
      </w:pPr>
    </w:p>
    <w:p>
      <w:pPr>
        <w:ind w:right="40" w:firstLine="473"/>
        <w:spacing w:after="0" w:line="250" w:lineRule="auto"/>
        <w:rPr>
          <w:sz w:val="20"/>
          <w:szCs w:val="20"/>
          <w:color w:val="auto"/>
        </w:rPr>
      </w:pPr>
      <w:r>
        <w:rPr>
          <w:rFonts w:ascii="Arial" w:cs="Arial" w:eastAsia="Arial" w:hAnsi="Arial"/>
          <w:sz w:val="17"/>
          <w:szCs w:val="17"/>
          <w:b w:val="1"/>
          <w:bCs w:val="1"/>
          <w:i w:val="1"/>
          <w:iCs w:val="1"/>
          <w:color w:val="auto"/>
        </w:rPr>
        <w:t xml:space="preserve">Christoph Lengauer, Ph.D. </w:t>
      </w:r>
      <w:r>
        <w:rPr>
          <w:rFonts w:ascii="Arial" w:cs="Arial" w:eastAsia="Arial" w:hAnsi="Arial"/>
          <w:sz w:val="17"/>
          <w:szCs w:val="17"/>
          <w:color w:val="auto"/>
        </w:rPr>
        <w:t>has served as our Chief Scientific Officer since January 2012. Prior to joining us, Dr. Lengauer was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Global Head of Oncology Drug Discovery and Pre-Clinical Development at Sanofi S.A., a multinational pharmaceutical company, from May 2008 to January 2012. Dr. Lengauer has served as an adjunct associate professor of oncology at the Sidney Kimmel Comprehensive Cancer Center at Johns Hopkins University since 2005. Dr. Lengauer received an M.Sc. from the University of Salzburg, Austria, a Ph.D. in biology from the University of Heidelberg, Germany, and an M.B.A. in medical services management from The Johns Hopkins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Non-Management Directors</w:t>
      </w:r>
    </w:p>
    <w:p>
      <w:pPr>
        <w:spacing w:after="0" w:line="211" w:lineRule="exact"/>
        <w:rPr>
          <w:sz w:val="20"/>
          <w:szCs w:val="20"/>
          <w:color w:val="auto"/>
        </w:rPr>
      </w:pPr>
    </w:p>
    <w:p>
      <w:pPr>
        <w:ind w:right="60" w:firstLine="473"/>
        <w:spacing w:after="0" w:line="246" w:lineRule="auto"/>
        <w:rPr>
          <w:sz w:val="20"/>
          <w:szCs w:val="20"/>
          <w:color w:val="auto"/>
        </w:rPr>
      </w:pPr>
      <w:r>
        <w:rPr>
          <w:rFonts w:ascii="Arial" w:cs="Arial" w:eastAsia="Arial" w:hAnsi="Arial"/>
          <w:sz w:val="17"/>
          <w:szCs w:val="17"/>
          <w:b w:val="1"/>
          <w:bCs w:val="1"/>
          <w:i w:val="1"/>
          <w:iCs w:val="1"/>
          <w:color w:val="auto"/>
        </w:rPr>
        <w:t xml:space="preserve">Daniel S. Lynch </w:t>
      </w:r>
      <w:r>
        <w:rPr>
          <w:rFonts w:ascii="Arial" w:cs="Arial" w:eastAsia="Arial" w:hAnsi="Arial"/>
          <w:sz w:val="17"/>
          <w:szCs w:val="17"/>
          <w:color w:val="auto"/>
        </w:rPr>
        <w:t>has served as Chairman of our board of directors since September 2012. Mr. Lynch has served as a venture partner at Third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Rock Ventures, or Third Rock, a life sciences venture capital firm focused on the formation, development and strategy of new companies, since May 2013 and as an entrepreneur-in-residence from May 2011 to May 2013. Since 2005, Mr. Lynch has served on the boards of directors of several life sciences companies, including on the board of directors of BIND Therapeutics, Inc. since 2012, on the board of directors of bluebird bio, Inc. since 2011, and on the board of directors of U.S. Oncology, Inc. from 2005 to 2010. Prior to that,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180" w:lineRule="exact"/>
        <w:rPr>
          <w:sz w:val="20"/>
          <w:szCs w:val="20"/>
          <w:color w:val="auto"/>
        </w:rPr>
      </w:pPr>
    </w:p>
    <w:p>
      <w:pPr>
        <w:ind w:right="20" w:firstLine="473"/>
        <w:spacing w:after="0" w:line="246" w:lineRule="auto"/>
        <w:rPr>
          <w:sz w:val="20"/>
          <w:szCs w:val="20"/>
          <w:color w:val="auto"/>
        </w:rPr>
      </w:pPr>
      <w:r>
        <w:rPr>
          <w:rFonts w:ascii="Arial" w:cs="Arial" w:eastAsia="Arial" w:hAnsi="Arial"/>
          <w:sz w:val="17"/>
          <w:szCs w:val="17"/>
          <w:b w:val="1"/>
          <w:bCs w:val="1"/>
          <w:i w:val="1"/>
          <w:iCs w:val="1"/>
          <w:color w:val="auto"/>
        </w:rPr>
        <w:t xml:space="preserve">Alexis Borisy </w:t>
      </w:r>
      <w:r>
        <w:rPr>
          <w:rFonts w:ascii="Arial" w:cs="Arial" w:eastAsia="Arial" w:hAnsi="Arial"/>
          <w:sz w:val="17"/>
          <w:szCs w:val="17"/>
          <w:color w:val="auto"/>
        </w:rPr>
        <w:t>has served as a member of our board of directors since April 2011. Mr. Borisy co-founded Blueprint Medicines and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interim Chief Executive Officer from May 2013 through July 2014. Since 2010, Mr. Borisy has been a partner at Third Rock. In addition, since 2011, Mr. Borisy has served as executive chairman of Warp Drive Bio, LLC, a life sciences company focusing on genomics where he served as chief executive officer from 2011 to July 2013. From 2007 to 2012, Mr. Borisy served as chairman of FORMA Therapeutics, Inc., a biopharmaceutical company focused on discovering and developing medicines in cancer and other genetically-driven diseases. Mr. Borisy co-founded Foundation Medicine, Inc. and served as its interim Chief Executive Officer from 2009 to 2011. Mr. Borisy holds an A.B. in chemistry from the University of Chicago, and an A.M. from Harvard University. We believe Mr. Borisy's detailed knowledge of our company and long tenure with us, having served as one of our founders, along with his experience working with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and serving on the boards of directors of life sciences companies and his experience working in the venture capital industry qualifies him to serve on our board of directors.</w:t>
      </w:r>
    </w:p>
    <w:p>
      <w:pPr>
        <w:spacing w:after="0" w:line="173" w:lineRule="exact"/>
        <w:rPr>
          <w:sz w:val="20"/>
          <w:szCs w:val="20"/>
          <w:color w:val="auto"/>
        </w:rPr>
      </w:pPr>
    </w:p>
    <w:p>
      <w:pPr>
        <w:ind w:firstLine="473"/>
        <w:spacing w:after="0" w:line="245" w:lineRule="auto"/>
        <w:rPr>
          <w:sz w:val="20"/>
          <w:szCs w:val="20"/>
          <w:color w:val="auto"/>
        </w:rPr>
      </w:pPr>
      <w:r>
        <w:rPr>
          <w:rFonts w:ascii="Arial" w:cs="Arial" w:eastAsia="Arial" w:hAnsi="Arial"/>
          <w:sz w:val="17"/>
          <w:szCs w:val="17"/>
          <w:b w:val="1"/>
          <w:bCs w:val="1"/>
          <w:i w:val="1"/>
          <w:iCs w:val="1"/>
          <w:color w:val="auto"/>
        </w:rPr>
        <w:t xml:space="preserve">George D. Demetri, M.D. </w:t>
      </w:r>
      <w:r>
        <w:rPr>
          <w:rFonts w:ascii="Arial" w:cs="Arial" w:eastAsia="Arial" w:hAnsi="Arial"/>
          <w:sz w:val="17"/>
          <w:szCs w:val="17"/>
          <w:color w:val="auto"/>
        </w:rPr>
        <w:t>has served as a member of our board of directors since December 2014. Since 1988, he has served as a Professor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Medicine at Harvard Medical School and as an academic medical oncologist at the Dana-Farber Cancer Institute, or Dana-Farber, and Harvard Medical School. Dr. Demetri's research and clinical interests have centered on mechanism-based drug development for solid tumors, with a particular emphasis on molecularly-defined subsets of sarcomas such as gastrointestinal stromal tumours. Dr. Demetri has contributed to the development of several new drugs for sarcomas and other malignancies, including imatinib, sunitinib, dasatinib, trabectedin, vemurafenib, everolimus, pazopanib and regorafenib. Dr. Demetri serves as chair of the medical advisory board for the Sarcoma Foundation of America as well as several scientific and editorial advisory boards. With an interest in internet-based patient support, he also serves on the Medical Advisory Board of ASCO's CancerNet as well as CancerCommons.org. He received an A.B. in biochemistry from Harvard College and his M.D. from Stanford University School of Medicine. We believe that Dr. Demetri's more than 25 years of experience as an oncologist and his significant leadership experience on various scientific and editorial advisory boards qualifies him to serve as a member of our board of directors.</w:t>
      </w:r>
    </w:p>
    <w:p>
      <w:pPr>
        <w:spacing w:after="0" w:line="181" w:lineRule="exact"/>
        <w:rPr>
          <w:sz w:val="20"/>
          <w:szCs w:val="20"/>
          <w:color w:val="auto"/>
        </w:rPr>
      </w:pPr>
    </w:p>
    <w:p>
      <w:pPr>
        <w:ind w:right="80" w:firstLine="473"/>
        <w:spacing w:after="0" w:line="244" w:lineRule="auto"/>
        <w:rPr>
          <w:sz w:val="20"/>
          <w:szCs w:val="20"/>
          <w:color w:val="auto"/>
        </w:rPr>
      </w:pPr>
      <w:r>
        <w:rPr>
          <w:rFonts w:ascii="Arial" w:cs="Arial" w:eastAsia="Arial" w:hAnsi="Arial"/>
          <w:sz w:val="17"/>
          <w:szCs w:val="17"/>
          <w:b w:val="1"/>
          <w:bCs w:val="1"/>
          <w:i w:val="1"/>
          <w:iCs w:val="1"/>
          <w:color w:val="auto"/>
        </w:rPr>
        <w:t xml:space="preserve">Stephen C. Knight, M.D. </w:t>
      </w:r>
      <w:r>
        <w:rPr>
          <w:rFonts w:ascii="Arial" w:cs="Arial" w:eastAsia="Arial" w:hAnsi="Arial"/>
          <w:sz w:val="17"/>
          <w:szCs w:val="17"/>
          <w:color w:val="auto"/>
        </w:rPr>
        <w:t>has served as a member of our board of directors since March 2012. Dr. Knight is currently the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Fidelity Biosciences Corp., or Fidelity, a healthcare venture firm owned by Fidelity Investments, which he joined in 2003. Prior to joining Fidelity in 2003, Dr. Knight was president and chief operating officer for EPIX Pharmaceuticals, Inc. in Cambridge, Massachusetts. Dr. Knight currently serves as chairman of the board of directors for FORUM Pharmaceuticals, Inc., a biopharmaceutical company based in Watertown, Massachusetts. Dr. Knight previously served on the boards of several public healthcare companies including FoldRx Pharmaceuticals, Inc., now a wholly-owned subsidiary of Pfizer Inc., Ironwood Pharmaceuticals, Inc. and Respivert, Ltd., which was acquired by Centocor Ortho Biotech Inc., a division of Johnson &amp; Johnson. Dr. Knight holds an M.D. from the Yale University School of Medicine, an M.B.A. from the Yale School of Organization and Management, and a B.S. in biology from Columbia University. We believe that Dr. Knight's detailed knowledge of the life sciences industry and substantial experience as member of the board of directors of numerous other life sciences companies qualifies him to serve on our board of directors. Dr. Knight resigned from our board of directors immediately prior to the declaration of effectiveness of the registration statement of which this prospectus forms a part.</w:t>
      </w:r>
    </w:p>
    <w:p>
      <w:pPr>
        <w:spacing w:after="0" w:line="187" w:lineRule="exact"/>
        <w:rPr>
          <w:sz w:val="20"/>
          <w:szCs w:val="20"/>
          <w:color w:val="auto"/>
        </w:rPr>
      </w:pPr>
    </w:p>
    <w:p>
      <w:pPr>
        <w:ind w:right="20" w:firstLine="473"/>
        <w:spacing w:after="0" w:line="247" w:lineRule="auto"/>
        <w:rPr>
          <w:sz w:val="20"/>
          <w:szCs w:val="20"/>
          <w:color w:val="auto"/>
        </w:rPr>
      </w:pPr>
      <w:r>
        <w:rPr>
          <w:rFonts w:ascii="Arial" w:cs="Arial" w:eastAsia="Arial" w:hAnsi="Arial"/>
          <w:sz w:val="17"/>
          <w:szCs w:val="17"/>
          <w:b w:val="1"/>
          <w:bCs w:val="1"/>
          <w:i w:val="1"/>
          <w:iCs w:val="1"/>
          <w:color w:val="auto"/>
        </w:rPr>
        <w:t xml:space="preserve">Nicholas Lydon, Ph.D. </w:t>
      </w:r>
      <w:r>
        <w:rPr>
          <w:rFonts w:ascii="Arial" w:cs="Arial" w:eastAsia="Arial" w:hAnsi="Arial"/>
          <w:sz w:val="17"/>
          <w:szCs w:val="17"/>
          <w:color w:val="auto"/>
        </w:rPr>
        <w:t>has served as a member of our board of directors since April 2011. He is a scientific founder of Blueprint Medicines.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Dr. Lydon has served as a scientific advisor and member of the board of directors of AnaptysBio Inc., a company he co-founded. From 2003 to 2011, Dr. Lydon served as a scientific advisor and member of the board of directors of Ambit Biosciences Corp., a biopharmaceutical company. From 2000 to 2002, Dr. Lydon served as vice president, small molecule drug discovery at Amgen, Inc., or Amgen. Prior to joining Amgen, in 1997</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Dr. Lydon founded Kinetix Pharmaceuticals, Inc., or Kinetix, a biotechnology company focused on the discovery and development of selective protein kinase inhibitors, which was acquired by Amgen in 2000, and served as its chief executive officer and on its board of directors. Dr. Lydon earned a B.S. in biochemistry and zoology from the University of Leeds, England, and received his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firstLine="473"/>
        <w:spacing w:after="0" w:line="243" w:lineRule="auto"/>
        <w:rPr>
          <w:sz w:val="20"/>
          <w:szCs w:val="20"/>
          <w:color w:val="auto"/>
        </w:rPr>
      </w:pPr>
      <w:r>
        <w:rPr>
          <w:rFonts w:ascii="Arial" w:cs="Arial" w:eastAsia="Arial" w:hAnsi="Arial"/>
          <w:sz w:val="17"/>
          <w:szCs w:val="17"/>
          <w:b w:val="1"/>
          <w:bCs w:val="1"/>
          <w:i w:val="1"/>
          <w:iCs w:val="1"/>
          <w:color w:val="auto"/>
        </w:rPr>
        <w:t xml:space="preserve">Charles A. Rowland, Jr., MBA </w:t>
      </w:r>
      <w:r>
        <w:rPr>
          <w:rFonts w:ascii="Arial" w:cs="Arial" w:eastAsia="Arial" w:hAnsi="Arial"/>
          <w:sz w:val="17"/>
          <w:szCs w:val="17"/>
          <w:color w:val="auto"/>
        </w:rPr>
        <w:t>has served as a member of our board of directors since March 2015. Mr. Rowland was the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ViroPharma Incorporated, or ViroPharma, an international biopharmaceutical company, from October 2008 until it was acquired by Shire plc in January 2014. Prior to joining ViroPharma, Mr. Rowland was the Executive Vice President and Chief Financial Officer, as well as the interim Co-Chief Executive Officer, for Endo Pharmaceuticals Inc., a specialty pharmaceutical company with a primary focus in pain management, where he served from 2006 to 2008. Mr. Rowland previously held positions of increasing responsibility at Biovail Corporation, Breakaway Technologies, Inc., Pharmacia Corporation, Novartis AG and Bristol-Myers Squibb Co., each a biopharmaceutical company. Mr. Rowland joined the board of directors of Idenix Pharmaceuticals, Inc., a biopharmaceutical company, in June 2013 and served as a member of its audit committee until Idenix was acquired by Merck &amp; Co., Inc. in August 2014. He is a member of the board of directors and chairs the audit committee of Bind Therapeutics, Inc. as of May 2014, Aurinia Pharmaceuticals Inc. as of July 2014 and Vitae Pharmaceuticals, Inc. as of September 2014, each a biotechnology company. Since January 2015, he has served as a member of the supervisory board and chair of the audit committee of Nabriva Therapeutics, AG, a biotechnology company based in Vienna Austria. He is also a member of the board of the Philadelphia chapter of Financial Executives International. Mr. Rowland holds an M.B.A. with a finance concentration from Rutgers University and a B.S. in Accounting from Saint Joseph's University. We believe that 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Thilo Schroeder, Ph.D. </w:t>
      </w:r>
      <w:r>
        <w:rPr>
          <w:rFonts w:ascii="Arial" w:cs="Arial" w:eastAsia="Arial" w:hAnsi="Arial"/>
          <w:sz w:val="17"/>
          <w:szCs w:val="17"/>
          <w:color w:val="auto"/>
        </w:rPr>
        <w:t>has served as a member of our board of directors since January 2014. Since 2013, he has served as a partner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Nextech Invest Ltd., or Nextech, a global venture fund, focused on investing in oncology companies. Prior to joining Nextech, from 2007 to 2013,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Dr. Schroeder was president of SiROP Global, a web based technology company that connects universities in Europe and world-wide. Dr. Schroeder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served as an observer of the board of Tracon Pharmaceuticals, a biopharmaceutical company from December 2012 to January 2014. He received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B.Sc. in biology from the Technical University of Darmstadt in Germany, an M.Sc. in biotechnology from the Ecole Supérieure de Biotechnologie de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Strasbourg in France, and a Ph.D. in biochemistry from the University of Zurich in Switzerland. We believe that Dr. Schroeder's extensive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working with various life sciences companies as an executive and a member of the board of directors qualifies him to serve as a member of our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directors. Dr. Schroeder resigned from our board of directors immediately prior to the effectiveness of the registration statement of which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prospectus forms a part.</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Composition</w:t>
      </w:r>
    </w:p>
    <w:p>
      <w:pPr>
        <w:spacing w:after="0" w:line="231"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As of the date hereof, our board of directors consisted of eight members, and we anticipate that it will consist of six members upon the effectiveness of the registration statement of which this prospectus forms a part. Currently, each of our directors are members pursuant to the board composition provisions of our existing certificate of incorporation and Second Amended and Restated Stockholders Agreement, dated November 7, 2014, which agreement is described under "Certain Relationships and Related Party Transactions" in this prospectus.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death, resignation or removal. Our amended and restated certificate of incorporation and amended and restated bylaws that will become effective upon the completion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8"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i w:val="1"/>
          <w:iCs w:val="1"/>
          <w:color w:val="auto"/>
        </w:rPr>
        <w:t xml:space="preserve">Director Independence. </w:t>
      </w:r>
      <w:r>
        <w:rPr>
          <w:rFonts w:ascii="Arial" w:cs="Arial" w:eastAsia="Arial" w:hAnsi="Arial"/>
          <w:sz w:val="17"/>
          <w:szCs w:val="17"/>
          <w:color w:val="auto"/>
        </w:rPr>
        <w:t>Our board of directors currently consists of six members. Our board of directors has determined that two of our six</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Dr. Demetri and Mr. Rowland, are independent directors, including for purposes of the rules of The NASDAQ Stock Market and relevant federal securities laws and regulations. Pursuant to The NASDAQ Stock Market rules, within a year of the effectiveness of the registration statement of which this prospectus is a part, our board must consist of a majority of independent directors. We intend to be in compliance with these rules within a year of the effectiveness of the registration statement of which this prospectus is a part. The NASDAQ Stock Market independence definition includes a series of objective tests, including that a director is not, and has not been for at least three years, one of our employees and that neither a director nor any of his family members has engaged in various types of business dealings with us. In addition, as required by The NASDAQ Stock Market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7"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i w:val="1"/>
          <w:iCs w:val="1"/>
          <w:color w:val="auto"/>
        </w:rPr>
        <w:t xml:space="preserve">Staggered Board. </w:t>
      </w:r>
      <w:r>
        <w:rPr>
          <w:rFonts w:ascii="Arial" w:cs="Arial" w:eastAsia="Arial" w:hAnsi="Arial"/>
          <w:sz w:val="17"/>
          <w:szCs w:val="17"/>
          <w:color w:val="auto"/>
        </w:rPr>
        <w:t>In accordance with the terms of our amended and restated certificate of incorporation and amended and restated bylaws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become effective upon the completion of this offering, our board of directors will be divided into three staggered classes of directors of the same or nearly the same number and each will be assigned to one of the three classes. Each of Drs. Knight and Schroeder will resign from our board of directors upon the declaration of effectiveness of the registration statement of which this prospectus forms a part.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2016 for Class I directors, 2017 for Class II directors and 2018 for Class III directors:</w:t>
      </w:r>
    </w:p>
    <w:p>
      <w:pPr>
        <w:spacing w:after="0" w:line="202"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Class I directors will be Jeffrey W. Albers and Nicholas Lydon;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Class II directors will be Alexis Borisy and Charles A. Rowland, Jr.;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Class III directors will be Daniel S. Lynch and George D. Demetri.</w:t>
      </w:r>
    </w:p>
    <w:p>
      <w:pPr>
        <w:spacing w:after="0" w:line="21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firstLine="470"/>
        <w:spacing w:after="0" w:line="25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Committees</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board of directors plans on establishing four standing committees: an audit committee, a compensation committee, a nominating and corporate governance committee and a research and development committee, each of which will operate pursuant to a charter to be adopted by our board of directors and will be effective upon completion of the offering. Upon the completion of this offering, the composition and functioning of all of our committees will comply with all applicable requirements of the Sarbanes-Oxley Act of 2002, The NASDAQ Stock Market and SEC rules and regulations.</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Effective upon completion of this offering, our audit committee will be comprised of Charles A. Rowland, Jr., George D. Demetri and Daniel S. Lynch, with Charles A. Rowland, Jr. serving as chairman of the committee. Our board of directors has determined that Charles A. Rowland, Jr. and George D. Demetri meet the independence requirements of Rule 10A-3 under the Exchange Act and the applicable NASDAQ Stock Market rules, and have sufficient knowledge in financial and auditing matters to serve on the audit committee. The composition of our audit committee meets the requirements for independence under the listing standards of The NASDAQ Stock Market and the applicable rules of the SEC, including the applicable transition rules. Our board of directors intends to cause our audit committee to be comprised of only directors that are independent under the rules of both The NASDAQ Stock Market and the SEC within one year of the date of this prospectus. Our board of directors has determined that Charles A. Rowland, Jr. is an "audit committee financial expert" within the meaning of the SEC regulations and the applicable rules of The NASDAQ Stock Market. The audit committee's responsibilities upon completion of this offering will include:</w:t>
      </w:r>
    </w:p>
    <w:p>
      <w:pPr>
        <w:spacing w:after="0" w:line="206"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10"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spacing w:after="0" w:line="179"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the overall audit plan with our independent registered public accounting firm and members of management responsible for preparing our financial statements;</w:t>
      </w:r>
    </w:p>
    <w:p>
      <w:pPr>
        <w:spacing w:after="0" w:line="179"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197"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approving all Quarterly Reports on Form 10-Q;</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460" w:hanging="531"/>
        <w:spacing w:after="0" w:line="25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reviewing all related party transactions for potential conflict of interest situations and approving all such transactions;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reviewing quarterly earnings releases and scripts as well as any other press releases containing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1"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Effective upon completion of this offering, our compensation committee will be composed of Charles A. Rowland, Jr., George D. Demetri and Daniel S. Lynch, with Charles A. Rowland, Jr. serving as chairman of the committee. Our board of directors has determined that each of Charles A. Rowland, Jr. and George D. Demetri is "independent" as defined in the rules of The NASDAQ Stock Market. The composition of our compensation committee meets the requirements for independence under the listing standards of The NASDAQ Stock Market, including the applicable transition rules. Our board of directors intends to cause our compensation committee to be comprised of only directors that are independent under the rules of The NASDAQ Stock Market within one year of the date of this prospectus. The compensation committee's responsibilities upon completion of this offering will include:</w:t>
      </w:r>
    </w:p>
    <w:p>
      <w:pPr>
        <w:spacing w:after="0" w:line="214"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our chief executive officer;</w:t>
      </w:r>
    </w:p>
    <w:p>
      <w:pPr>
        <w:spacing w:after="0" w:line="197" w:lineRule="exact"/>
        <w:rPr>
          <w:rFonts w:ascii="Arial" w:cs="Arial" w:eastAsia="Arial" w:hAnsi="Arial"/>
          <w:sz w:val="17"/>
          <w:szCs w:val="17"/>
          <w:color w:val="auto"/>
        </w:rPr>
      </w:pPr>
    </w:p>
    <w:p>
      <w:pPr>
        <w:ind w:left="1060" w:right="96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determining the compensation of our chief executive officer;</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approving the compensation of our other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establishing our overall management compensation, philosophy and policy;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overseeing and administering our compensation and similar plans;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approving our policies and procedures for the grant of equity-based awards;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director compensation;</w:t>
      </w:r>
    </w:p>
    <w:p>
      <w:pPr>
        <w:spacing w:after="0" w:line="197"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to be included in our annual proxy statement or Annual Report on Form 10-K; and</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corporate succession plans for the chief executive officer and other key officers.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Effective upon completion of this offering, our nominating and corporate governance committee will be composed of George D. Demetri, Alexis Borisy and Charles A. Rowland, Jr., with George D. Demetri serving as chairman of the committee. Our board of directors has determined that each of Charles A. Rowland, Jr. and George D. Demetri is "independent" as defined in the applicable rules of The NASDAQ Stock Market. The composition of our nominating and corporate governance committee meets the requirements for independence under the listing standards of The NASDAQ Stock Market, including the applicable transition rules. Our board of directors intends to cause our nominating and corporate governance committee to be comprised of only directors that</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20"/>
        <w:spacing w:after="0" w:line="252" w:lineRule="auto"/>
        <w:rPr>
          <w:sz w:val="20"/>
          <w:szCs w:val="20"/>
          <w:color w:val="auto"/>
        </w:rPr>
      </w:pPr>
      <w:r>
        <w:rPr>
          <w:rFonts w:ascii="Arial" w:cs="Arial" w:eastAsia="Arial" w:hAnsi="Arial"/>
          <w:sz w:val="17"/>
          <w:szCs w:val="17"/>
          <w:color w:val="auto"/>
        </w:rPr>
        <w:t>are independent under the rules of The NASDAQ Stock Market within one year of the date of this prospectus. The nominating and corporate governance committee's responsibilities upon completion of this offering will include:</w:t>
      </w:r>
    </w:p>
    <w:p>
      <w:pPr>
        <w:spacing w:after="0" w:line="193"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shareholders;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set of corporate governance guidelines;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establish other committees from time to time.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Committee</w:t>
      </w:r>
    </w:p>
    <w:p>
      <w:pPr>
        <w:spacing w:after="0" w:line="231" w:lineRule="exact"/>
        <w:rPr>
          <w:sz w:val="20"/>
          <w:szCs w:val="20"/>
          <w:color w:val="auto"/>
        </w:rPr>
      </w:pPr>
    </w:p>
    <w:p>
      <w:pPr>
        <w:jc w:val="both"/>
        <w:ind w:right="440" w:firstLine="474"/>
        <w:spacing w:after="0" w:line="246" w:lineRule="auto"/>
        <w:rPr>
          <w:sz w:val="20"/>
          <w:szCs w:val="20"/>
          <w:color w:val="auto"/>
        </w:rPr>
      </w:pPr>
      <w:r>
        <w:rPr>
          <w:rFonts w:ascii="Arial" w:cs="Arial" w:eastAsia="Arial" w:hAnsi="Arial"/>
          <w:sz w:val="17"/>
          <w:szCs w:val="17"/>
          <w:color w:val="auto"/>
        </w:rPr>
        <w:t>Effective upon completion of this offering, our research and development committee will be composed of Nicholas Lydon, Alexis Borisy and George D. Demetri, with Nicholas Lydon serving as chairman of the committee. The research and development committee's responsibilities upon completion of this offering will include:</w:t>
      </w:r>
    </w:p>
    <w:p>
      <w:pPr>
        <w:spacing w:after="0" w:line="199" w:lineRule="exact"/>
        <w:rPr>
          <w:sz w:val="20"/>
          <w:szCs w:val="20"/>
          <w:color w:val="auto"/>
        </w:rPr>
      </w:pPr>
    </w:p>
    <w:p>
      <w:pPr>
        <w:ind w:left="106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providing a general oversight function regarding pre-clinical and clinical decision-making through a series of semi-annual pipeline reviews and in-depth assessments of select project strategies and plans;</w:t>
      </w:r>
    </w:p>
    <w:p>
      <w:pPr>
        <w:spacing w:after="0" w:line="192"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providing recommendations regarding key molecules in our discovery and development pipelines through reports and select in-depth project reviews;</w:t>
      </w:r>
    </w:p>
    <w:p>
      <w:pPr>
        <w:spacing w:after="0" w:line="179"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providing recommendations regarding our pipeline/portfolio balance from a scientific and clinical perspective, including new molecular entity versus new indication balance, mechanism balance, target balance and general risk balance;</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providing recommendations regarding key discovery and development strategies to align with our business needs;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providing feedback to the board of directors and to our research and development group.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Leadership Structure and Risk Oversight</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Our board of directors is currently chaired by Mr. Lynch. 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As such, Mr. Albers serves as our president and chief executive officer while Mr. Lynch serves as our chairman of the board of directors but is not an officer.</w:t>
      </w:r>
    </w:p>
    <w:p>
      <w:pPr>
        <w:spacing w:after="0" w:line="198"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9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Each of our board committees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For a description of transactions between us and members of our compensation committee and affiliates of such members, please see "Certain Relationships and Related Party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We plan to adopt a code of business conduct and ethics that applies to all of our employees, officers and directors, including those officers responsible for financial reporting, which will be effective upon completion of this offering. Upon the completion of this offering, our code of business conduct and ethics will be available on our website at www.blueprintmedicines.com. We intend to disclose any amendments to the code, or any waivers of its requirements, on our website or in a Current Report on Form 8-K.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jc w:val="both"/>
        <w:ind w:right="220" w:firstLine="470"/>
        <w:spacing w:after="0" w:line="246" w:lineRule="auto"/>
        <w:rPr>
          <w:sz w:val="20"/>
          <w:szCs w:val="20"/>
          <w:color w:val="auto"/>
        </w:rPr>
      </w:pPr>
      <w:r>
        <w:rPr>
          <w:rFonts w:ascii="Arial" w:cs="Arial" w:eastAsia="Arial" w:hAnsi="Arial"/>
          <w:sz w:val="17"/>
          <w:szCs w:val="17"/>
          <w:color w:val="auto"/>
        </w:rPr>
        <w:t>The following table sets forth the compensation paid or accrued during the fiscal year ended December 31, 2014 to our chief executive officer, our interim chief executive officer and our next two highest-paid executive officers as of December 31, 2014. We refer to these officers as our named executive officers.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Non-equity</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right"/>
              <w:ind w:right="410"/>
              <w:spacing w:after="0" w:line="157"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7"/>
        </w:trPr>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9"/>
              </w:rPr>
              <w:t>Salary</w:t>
            </w:r>
          </w:p>
        </w:tc>
        <w:tc>
          <w:tcPr>
            <w:tcW w:w="8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right="290"/>
              <w:spacing w:after="0" w:line="157" w:lineRule="exact"/>
              <w:rPr>
                <w:sz w:val="20"/>
                <w:szCs w:val="20"/>
                <w:color w:val="auto"/>
              </w:rPr>
            </w:pPr>
            <w:r>
              <w:rPr>
                <w:rFonts w:ascii="Arial" w:cs="Arial" w:eastAsia="Arial" w:hAnsi="Arial"/>
                <w:sz w:val="14"/>
                <w:szCs w:val="14"/>
                <w:b w:val="1"/>
                <w:bCs w:val="1"/>
                <w:color w:val="auto"/>
              </w:rPr>
              <w:t>Awards(2)</w:t>
            </w:r>
          </w:p>
        </w:tc>
        <w:tc>
          <w:tcPr>
            <w:tcW w:w="12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3"/>
          </w:tcPr>
          <w:p>
            <w:pPr>
              <w:jc w:val="center"/>
              <w:ind w:right="30"/>
              <w:spacing w:after="0" w:line="157" w:lineRule="exact"/>
              <w:rPr>
                <w:sz w:val="20"/>
                <w:szCs w:val="20"/>
                <w:color w:val="auto"/>
              </w:rPr>
            </w:pPr>
            <w:r>
              <w:rPr>
                <w:rFonts w:ascii="Arial" w:cs="Arial" w:eastAsia="Arial" w:hAnsi="Arial"/>
                <w:sz w:val="14"/>
                <w:szCs w:val="14"/>
                <w:b w:val="1"/>
                <w:bCs w:val="1"/>
                <w:color w:val="auto"/>
                <w:w w:val="95"/>
              </w:rPr>
              <w:t>Total</w:t>
            </w:r>
          </w:p>
        </w:tc>
      </w:tr>
      <w:tr>
        <w:trPr>
          <w:trHeight w:val="169"/>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50"/>
        </w:trPr>
        <w:tc>
          <w:tcPr>
            <w:tcW w:w="194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Jeffrey W. Albers(3)</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color w:val="auto"/>
              </w:rPr>
              <w:t>2014</w:t>
            </w:r>
          </w:p>
        </w:tc>
        <w:tc>
          <w:tcPr>
            <w:tcW w:w="74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w w:val="94"/>
              </w:rPr>
              <w:t>169,231</w:t>
            </w:r>
          </w:p>
        </w:tc>
        <w:tc>
          <w:tcPr>
            <w:tcW w:w="84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w w:val="98"/>
              </w:rPr>
              <w:t>141,986</w:t>
            </w:r>
          </w:p>
        </w:tc>
        <w:tc>
          <w:tcPr>
            <w:tcW w:w="1040" w:type="dxa"/>
            <w:vAlign w:val="bottom"/>
            <w:gridSpan w:val="2"/>
            <w:shd w:val="clear" w:color="auto" w:fill="CCEEFF"/>
          </w:tcPr>
          <w:p>
            <w:pPr>
              <w:jc w:val="right"/>
              <w:ind w:right="130"/>
              <w:spacing w:after="0" w:line="151" w:lineRule="exact"/>
              <w:rPr>
                <w:sz w:val="20"/>
                <w:szCs w:val="20"/>
                <w:color w:val="auto"/>
              </w:rPr>
            </w:pPr>
            <w:r>
              <w:rPr>
                <w:rFonts w:ascii="Arial" w:cs="Arial" w:eastAsia="Arial" w:hAnsi="Arial"/>
                <w:sz w:val="14"/>
                <w:szCs w:val="14"/>
                <w:color w:val="auto"/>
              </w:rPr>
              <w:t>2,060,939</w:t>
            </w:r>
          </w:p>
        </w:tc>
        <w:tc>
          <w:tcPr>
            <w:tcW w:w="1200" w:type="dxa"/>
            <w:vAlign w:val="bottom"/>
            <w:gridSpan w:val="2"/>
            <w:shd w:val="clear" w:color="auto" w:fill="CCEEFF"/>
          </w:tcPr>
          <w:p>
            <w:pPr>
              <w:ind w:left="860"/>
              <w:spacing w:after="0" w:line="151"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80"/>
              <w:spacing w:after="0" w:line="151"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70"/>
              <w:spacing w:after="0" w:line="151" w:lineRule="exact"/>
              <w:rPr>
                <w:sz w:val="20"/>
                <w:szCs w:val="20"/>
                <w:color w:val="auto"/>
              </w:rPr>
            </w:pPr>
            <w:r>
              <w:rPr>
                <w:rFonts w:ascii="Arial" w:cs="Arial" w:eastAsia="Arial" w:hAnsi="Arial"/>
                <w:sz w:val="14"/>
                <w:szCs w:val="14"/>
                <w:color w:val="auto"/>
              </w:rPr>
              <w:t>2,372,156</w:t>
            </w: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i w:val="1"/>
                <w:iCs w:val="1"/>
                <w:color w:val="auto"/>
              </w:rPr>
              <w:t>Chief Executive Officer and President</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8"/>
        </w:trPr>
        <w:tc>
          <w:tcPr>
            <w:tcW w:w="2540" w:type="dxa"/>
            <w:vAlign w:val="bottom"/>
            <w:gridSpan w:val="3"/>
          </w:tcPr>
          <w:p>
            <w:pPr>
              <w:spacing w:after="0" w:line="148" w:lineRule="exact"/>
              <w:rPr>
                <w:sz w:val="20"/>
                <w:szCs w:val="20"/>
                <w:color w:val="auto"/>
              </w:rPr>
            </w:pPr>
            <w:r>
              <w:rPr>
                <w:rFonts w:ascii="Arial" w:cs="Arial" w:eastAsia="Arial" w:hAnsi="Arial"/>
                <w:sz w:val="14"/>
                <w:szCs w:val="14"/>
                <w:color w:val="auto"/>
              </w:rPr>
              <w:t>Alexis Borisy(4)</w:t>
            </w:r>
          </w:p>
        </w:tc>
        <w:tc>
          <w:tcPr>
            <w:tcW w:w="840" w:type="dxa"/>
            <w:vAlign w:val="bottom"/>
            <w:gridSpan w:val="3"/>
          </w:tcPr>
          <w:p>
            <w:pPr>
              <w:jc w:val="right"/>
              <w:ind w:right="260"/>
              <w:spacing w:after="0" w:line="148" w:lineRule="exact"/>
              <w:rPr>
                <w:sz w:val="20"/>
                <w:szCs w:val="20"/>
                <w:color w:val="auto"/>
              </w:rPr>
            </w:pPr>
            <w:r>
              <w:rPr>
                <w:rFonts w:ascii="Arial" w:cs="Arial" w:eastAsia="Arial" w:hAnsi="Arial"/>
                <w:sz w:val="14"/>
                <w:szCs w:val="14"/>
                <w:color w:val="auto"/>
              </w:rPr>
              <w:t>2014</w:t>
            </w: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360" w:type="dxa"/>
            <w:vAlign w:val="bottom"/>
          </w:tcPr>
          <w:p>
            <w:pPr>
              <w:jc w:val="right"/>
              <w:ind w:right="130"/>
              <w:spacing w:after="0" w:line="148" w:lineRule="exact"/>
              <w:rPr>
                <w:sz w:val="20"/>
                <w:szCs w:val="20"/>
                <w:color w:val="auto"/>
              </w:rPr>
            </w:pPr>
            <w:r>
              <w:rPr>
                <w:rFonts w:ascii="Arial" w:cs="Arial" w:eastAsia="Arial" w:hAnsi="Arial"/>
                <w:sz w:val="14"/>
                <w:szCs w:val="14"/>
                <w:color w:val="auto"/>
                <w:w w:val="99"/>
              </w:rPr>
              <w:t>—</w:t>
            </w:r>
          </w:p>
        </w:tc>
        <w:tc>
          <w:tcPr>
            <w:tcW w:w="1200" w:type="dxa"/>
            <w:vAlign w:val="bottom"/>
            <w:gridSpan w:val="2"/>
          </w:tcPr>
          <w:p>
            <w:pPr>
              <w:ind w:left="86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jc w:val="right"/>
              <w:ind w:right="70"/>
              <w:spacing w:after="0" w:line="148"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Interim Chief Executive Officer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Kyle D. Kuvalanka</w:t>
            </w:r>
          </w:p>
        </w:tc>
        <w:tc>
          <w:tcPr>
            <w:tcW w:w="840" w:type="dxa"/>
            <w:vAlign w:val="bottom"/>
            <w:gridSpan w:val="3"/>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2014</w:t>
            </w:r>
          </w:p>
        </w:tc>
        <w:tc>
          <w:tcPr>
            <w:tcW w:w="7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w w:val="94"/>
              </w:rPr>
              <w:t>330,000</w:t>
            </w:r>
          </w:p>
        </w:tc>
        <w:tc>
          <w:tcPr>
            <w:tcW w:w="84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82,500</w:t>
            </w:r>
          </w:p>
        </w:tc>
        <w:tc>
          <w:tcPr>
            <w:tcW w:w="1040" w:type="dxa"/>
            <w:vAlign w:val="bottom"/>
            <w:gridSpan w:val="2"/>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52,405</w:t>
            </w:r>
          </w:p>
        </w:tc>
        <w:tc>
          <w:tcPr>
            <w:tcW w:w="1200" w:type="dxa"/>
            <w:vAlign w:val="bottom"/>
            <w:gridSpan w:val="2"/>
            <w:shd w:val="clear" w:color="auto" w:fill="CCEEFF"/>
          </w:tcPr>
          <w:p>
            <w:pPr>
              <w:ind w:left="86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8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464,905</w:t>
            </w:r>
          </w:p>
        </w:tc>
      </w:tr>
      <w:tr>
        <w:trPr>
          <w:trHeight w:val="157"/>
        </w:trPr>
        <w:tc>
          <w:tcPr>
            <w:tcW w:w="25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i w:val="1"/>
                <w:iCs w:val="1"/>
                <w:color w:val="auto"/>
              </w:rPr>
              <w:t>Chief Business Officer</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8"/>
        </w:trPr>
        <w:tc>
          <w:tcPr>
            <w:tcW w:w="2540" w:type="dxa"/>
            <w:vAlign w:val="bottom"/>
            <w:gridSpan w:val="3"/>
          </w:tcPr>
          <w:p>
            <w:pPr>
              <w:spacing w:after="0" w:line="148" w:lineRule="exact"/>
              <w:rPr>
                <w:sz w:val="20"/>
                <w:szCs w:val="20"/>
                <w:color w:val="auto"/>
              </w:rPr>
            </w:pPr>
            <w:r>
              <w:rPr>
                <w:rFonts w:ascii="Arial" w:cs="Arial" w:eastAsia="Arial" w:hAnsi="Arial"/>
                <w:sz w:val="14"/>
                <w:szCs w:val="14"/>
                <w:color w:val="auto"/>
              </w:rPr>
              <w:t>Christoph Lengauer, Ph.D.</w:t>
            </w:r>
          </w:p>
        </w:tc>
        <w:tc>
          <w:tcPr>
            <w:tcW w:w="840" w:type="dxa"/>
            <w:vAlign w:val="bottom"/>
            <w:gridSpan w:val="3"/>
          </w:tcPr>
          <w:p>
            <w:pPr>
              <w:jc w:val="right"/>
              <w:ind w:right="260"/>
              <w:spacing w:after="0" w:line="148" w:lineRule="exact"/>
              <w:rPr>
                <w:sz w:val="20"/>
                <w:szCs w:val="20"/>
                <w:color w:val="auto"/>
              </w:rPr>
            </w:pPr>
            <w:r>
              <w:rPr>
                <w:rFonts w:ascii="Arial" w:cs="Arial" w:eastAsia="Arial" w:hAnsi="Arial"/>
                <w:sz w:val="14"/>
                <w:szCs w:val="14"/>
                <w:color w:val="auto"/>
              </w:rPr>
              <w:t>2014</w:t>
            </w: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w w:val="94"/>
              </w:rPr>
              <w:t>400,000</w:t>
            </w: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color w:val="auto"/>
                <w:w w:val="98"/>
              </w:rPr>
              <w:t>120,000</w:t>
            </w:r>
          </w:p>
        </w:tc>
        <w:tc>
          <w:tcPr>
            <w:tcW w:w="1040" w:type="dxa"/>
            <w:vAlign w:val="bottom"/>
            <w:gridSpan w:val="2"/>
          </w:tcPr>
          <w:p>
            <w:pPr>
              <w:jc w:val="right"/>
              <w:ind w:right="130"/>
              <w:spacing w:after="0" w:line="148" w:lineRule="exact"/>
              <w:rPr>
                <w:sz w:val="20"/>
                <w:szCs w:val="20"/>
                <w:color w:val="auto"/>
              </w:rPr>
            </w:pPr>
            <w:r>
              <w:rPr>
                <w:rFonts w:ascii="Arial" w:cs="Arial" w:eastAsia="Arial" w:hAnsi="Arial"/>
                <w:sz w:val="14"/>
                <w:szCs w:val="14"/>
                <w:color w:val="auto"/>
              </w:rPr>
              <w:t>104,809</w:t>
            </w:r>
          </w:p>
        </w:tc>
        <w:tc>
          <w:tcPr>
            <w:tcW w:w="1200" w:type="dxa"/>
            <w:vAlign w:val="bottom"/>
            <w:gridSpan w:val="2"/>
          </w:tcPr>
          <w:p>
            <w:pPr>
              <w:ind w:left="86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70"/>
              <w:spacing w:after="0" w:line="148" w:lineRule="exact"/>
              <w:rPr>
                <w:sz w:val="20"/>
                <w:szCs w:val="20"/>
                <w:color w:val="auto"/>
              </w:rPr>
            </w:pPr>
            <w:r>
              <w:rPr>
                <w:rFonts w:ascii="Arial" w:cs="Arial" w:eastAsia="Arial" w:hAnsi="Arial"/>
                <w:sz w:val="14"/>
                <w:szCs w:val="14"/>
                <w:color w:val="auto"/>
              </w:rPr>
              <w:t>624,809</w:t>
            </w:r>
          </w:p>
        </w:tc>
      </w:tr>
      <w:tr>
        <w:trPr>
          <w:trHeight w:val="182"/>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Chief Scientific Officer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89"/>
        </w:trPr>
        <w:tc>
          <w:tcPr>
            <w:tcW w:w="64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r>
    </w:tbl>
    <w:p>
      <w:pPr>
        <w:spacing w:after="0" w:line="214" w:lineRule="exact"/>
        <w:rPr>
          <w:sz w:val="20"/>
          <w:szCs w:val="20"/>
          <w:color w:val="auto"/>
        </w:rPr>
      </w:pPr>
    </w:p>
    <w:p>
      <w:pPr>
        <w:ind w:left="1680" w:right="20" w:hanging="533"/>
        <w:spacing w:after="0" w:line="245" w:lineRule="auto"/>
        <w:tabs>
          <w:tab w:leader="none" w:pos="16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Amounts represent cash bonuses earned for the 12-month period from January 1, 2014 to December 31, 2014 and exclude payments made in 2014 for 2013 bonuses. For Mr. Albers, this amount also includes a $75,000 sign-on bonus paid to him when he commenced employment with us.</w:t>
      </w:r>
    </w:p>
    <w:p>
      <w:pPr>
        <w:spacing w:after="0" w:line="143" w:lineRule="exact"/>
        <w:rPr>
          <w:rFonts w:ascii="Arial" w:cs="Arial" w:eastAsia="Arial" w:hAnsi="Arial"/>
          <w:sz w:val="14"/>
          <w:szCs w:val="14"/>
          <w:color w:val="auto"/>
        </w:rPr>
      </w:pPr>
    </w:p>
    <w:p>
      <w:pPr>
        <w:ind w:left="1680" w:hanging="533"/>
        <w:spacing w:after="0" w:line="237" w:lineRule="auto"/>
        <w:tabs>
          <w:tab w:leader="none" w:pos="16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Amounts represent the aggregate grant-date fair value of option awards granted to our named executive officers in 2014 computed in accordance with FASB ASC Topic 718. The assumptions used in the valuation of these awards are consistent with the valuation methodologies specified in the notes to our financial statements and discussions in "Management's Discussion and Analysis of Financial Condition and Results of Operations" included elsewhere in this prospectus. The amounts above reflect our aggregate accounting expense for these awards and do not necessarily correspond to the actual value that will be recognized by the named executive officers.</w:t>
      </w:r>
    </w:p>
    <w:p>
      <w:pPr>
        <w:spacing w:after="0" w:line="148" w:lineRule="exact"/>
        <w:rPr>
          <w:rFonts w:ascii="Arial" w:cs="Arial" w:eastAsia="Arial" w:hAnsi="Arial"/>
          <w:sz w:val="14"/>
          <w:szCs w:val="14"/>
          <w:color w:val="auto"/>
        </w:rPr>
      </w:pPr>
    </w:p>
    <w:p>
      <w:pPr>
        <w:ind w:left="1680" w:hanging="533"/>
        <w:spacing w:after="0"/>
        <w:tabs>
          <w:tab w:leader="none" w:pos="16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Albers became our Chief Executive Officer and President in July 2014. Amounts shown represent compensation earned by Mr. Albers since July 2014.</w:t>
      </w:r>
    </w:p>
    <w:p>
      <w:pPr>
        <w:spacing w:after="0" w:line="153" w:lineRule="exact"/>
        <w:rPr>
          <w:rFonts w:ascii="Arial" w:cs="Arial" w:eastAsia="Arial" w:hAnsi="Arial"/>
          <w:sz w:val="14"/>
          <w:szCs w:val="14"/>
          <w:color w:val="auto"/>
        </w:rPr>
      </w:pPr>
    </w:p>
    <w:p>
      <w:pPr>
        <w:jc w:val="both"/>
        <w:ind w:left="1680" w:right="180" w:hanging="533"/>
        <w:spacing w:after="0"/>
        <w:tabs>
          <w:tab w:leader="none" w:pos="16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Borisy served as Interim Chief Executive Officer from May 2013 to July 2014. Pursuant to our arrangement with Third Rock Ventures, LLC, we incurred consulting fees to Third Rock Ventures, LLC for Mr. Borisy's services as interim Chief Executive Officer. None of these consulting fees were paid directly to Mr. Borisy.</w:t>
      </w:r>
    </w:p>
    <w:p>
      <w:pPr>
        <w:spacing w:after="0" w:line="37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with our Named Executive Officers</w:t>
      </w:r>
    </w:p>
    <w:p>
      <w:pPr>
        <w:spacing w:after="0" w:line="23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We have entered into an offer letter agreement with each of the named executive officers in connection with their employment with us. Except as noted below, these offer letters provide for "at will" employment and were each subject to execution of our standard confidential information and invention assignment agreement.</w:t>
      </w:r>
    </w:p>
    <w:p>
      <w:pPr>
        <w:spacing w:after="0" w:line="179" w:lineRule="exact"/>
        <w:rPr>
          <w:sz w:val="20"/>
          <w:szCs w:val="20"/>
          <w:color w:val="auto"/>
        </w:rPr>
      </w:pPr>
    </w:p>
    <w:p>
      <w:pPr>
        <w:ind w:right="80" w:firstLine="474"/>
        <w:spacing w:after="0" w:line="247" w:lineRule="auto"/>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We entered into a letter agreement with Mr. Albers on May 29, 2014, and he assumed the role of Chief Executive Officer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2014. The agreement entitles Mr. Albers to an initial base salary of $375,000 and eligibility to participate in our bonus pool with a target bonus of 40% of his base salary, with the actual bonus earned based upon the achievement of corporate and individual goals, all as determined by the Board in its discretion. Under the agreement, we agreed to pay Mr. Albers a one-time sign-on bonus of $75,000, reflecting his 12 month commitment to the Company, which was paid in 2014 and which must be repaid if he is terminated by the Company for "cause" within one year of commencing employment. We agreed to make an equity award to Mr. Albers in the form of options to purchase 573,945 shares of our common stock with an exercise price equal to the fair market value of our common stock on the day of the option grant, with such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options vesting on the terms set forth in the applicable option agreements with Mr. Albers. This amount represented approximately 4% of our shares on a fully-diluted basis. Pursuant to his letter agreement, Mr. Albers is entitled to 12 months of base salary as severance in the event we terminate his employment without Cause or Mr. Albers terminates his employment for Good Reason (each as defined in the letter agreement), subject to his executing a release of claims in our favor. In addition, in the event Mr. Albers' employment is terminated by us without Cause or by Mr. Albers for Good Reason within 12 months following a change in control, all stock options and other stock based awards held by Mr. Albers will vest and become exercisable and nonforfeitable.</w:t>
      </w:r>
    </w:p>
    <w:p>
      <w:pPr>
        <w:spacing w:after="0" w:line="182" w:lineRule="exact"/>
        <w:rPr>
          <w:sz w:val="20"/>
          <w:szCs w:val="20"/>
          <w:color w:val="auto"/>
        </w:rPr>
      </w:pPr>
    </w:p>
    <w:p>
      <w:pPr>
        <w:ind w:left="480"/>
        <w:spacing w:after="0"/>
        <w:tabs>
          <w:tab w:leader="none" w:pos="1960" w:val="left"/>
        </w:tabs>
        <w:rPr>
          <w:sz w:val="20"/>
          <w:szCs w:val="20"/>
          <w:color w:val="auto"/>
        </w:rPr>
      </w:pPr>
      <w:r>
        <w:rPr>
          <w:rFonts w:ascii="Arial" w:cs="Arial" w:eastAsia="Arial" w:hAnsi="Arial"/>
          <w:sz w:val="17"/>
          <w:szCs w:val="17"/>
          <w:b w:val="1"/>
          <w:bCs w:val="1"/>
          <w:i w:val="1"/>
          <w:iCs w:val="1"/>
          <w:color w:val="auto"/>
        </w:rPr>
        <w:t>Kyle Kuvalanka.</w:t>
      </w:r>
      <w:r>
        <w:rPr>
          <w:sz w:val="20"/>
          <w:szCs w:val="20"/>
          <w:color w:val="auto"/>
        </w:rPr>
        <w:tab/>
      </w:r>
      <w:r>
        <w:rPr>
          <w:rFonts w:ascii="Arial" w:cs="Arial" w:eastAsia="Arial" w:hAnsi="Arial"/>
          <w:sz w:val="16"/>
          <w:szCs w:val="16"/>
          <w:color w:val="auto"/>
        </w:rPr>
        <w:t>We entered into a letter agreement with Mr. Kuvalanka on August 1, 2013, and he assumed the role of Chief Business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2013. The agreement entitles Mr. Kuvalanka to an initial base salary of $330,000 and eligibility to participate in our bonus pool with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target bonus of 25% of his base salary, with the actual bonus earned based upon the achievement of corporate and individual goals agreed to between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Kuvalanka and the Company's Chief Executive Officer. Under the agreement, we agreed to pay Mr. Kuvalanka a one-time sign-on bonus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$50,000, reflecting his 12-month commitment to the Company, which was paid in 2013. We agreed to make an equity award to Mr. Kuvalanka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form of options to purchase 136,363 shares of our common stock with an exercise price equal to the fair market value of our common stock on the day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the option grant, with such options vesting on the terms set forth in the applicable option agreements with Mr. Kuvalanka. Pursuant to his letter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Mr. Kuvalanka is entitled to 12 months of base salary as severance in the event we terminate his employment without Cause (as defined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letter agreement).</w:t>
      </w:r>
    </w:p>
    <w:p>
      <w:pPr>
        <w:spacing w:after="0" w:line="191"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b w:val="1"/>
          <w:bCs w:val="1"/>
          <w:i w:val="1"/>
          <w:iCs w:val="1"/>
          <w:color w:val="auto"/>
        </w:rPr>
        <w:t xml:space="preserve">Christoph Lengauer. </w:t>
      </w:r>
      <w:r>
        <w:rPr>
          <w:rFonts w:ascii="Arial" w:cs="Arial" w:eastAsia="Arial" w:hAnsi="Arial"/>
          <w:sz w:val="17"/>
          <w:szCs w:val="17"/>
          <w:color w:val="auto"/>
        </w:rPr>
        <w:t>We entered into a letter agreement with Dr. Lengauer on November 22, 2011, which was later amended on November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He assumed the role of Chief Scientific Officer in January 2012. The amended agreement entitles Dr. Lengauer to an initial base salary of</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$400,000 and eligibility to participate in our bonus pool with a target bonus of 30% of his base salary, with the actual bonus earned based upon the achievement of corporate and individual goals agreed to between Dr. Lengauer and the Company's Chief Executive Officer. Under the agreement, we agreed to pay Dr. Lengauer a one-time sign-on bonus of $50,000, reflecting his 12 month commitment to the Company, which was paid in 2013. We agreed to make an equity award to Dr. Lengauer in the form of options to purchase 136,363 shares of our common stock with an exercise price equal to the fair market value of our common stock on the day of the option grant, with such options vesting on the terms set forth in the applicable option agreements with Dr. Lengauer. Pursuant to his letter agreement, as amended, Mr. Lengauer is entitled to 12 months of base salary as severance in the event we terminate his employment without Cause (as defined in the letter agreement), subject to his executing a release of claims in our favor. In addition, upon a change in control, Mr. Lengauer's currently outstanding awards of restricted stock will vest and become nonforfeitable upon such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Confidentiality, Non-competition, Non-solicitation and Assignment Agreements</w:t>
      </w:r>
    </w:p>
    <w:p>
      <w:pPr>
        <w:spacing w:after="0" w:line="231"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Equity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Equity Awards at December 31, 2014</w:t>
      </w:r>
    </w:p>
    <w:p>
      <w:pPr>
        <w:spacing w:after="0" w:line="231" w:lineRule="exact"/>
        <w:rPr>
          <w:sz w:val="20"/>
          <w:szCs w:val="20"/>
          <w:color w:val="auto"/>
        </w:rPr>
      </w:pPr>
    </w:p>
    <w:p>
      <w:pPr>
        <w:ind w:right="840" w:firstLine="470"/>
        <w:spacing w:after="0" w:line="252" w:lineRule="auto"/>
        <w:rPr>
          <w:sz w:val="20"/>
          <w:szCs w:val="20"/>
          <w:color w:val="auto"/>
        </w:rPr>
      </w:pPr>
      <w:r>
        <w:rPr>
          <w:rFonts w:ascii="Arial" w:cs="Arial" w:eastAsia="Arial" w:hAnsi="Arial"/>
          <w:sz w:val="17"/>
          <w:szCs w:val="17"/>
          <w:color w:val="auto"/>
        </w:rPr>
        <w:t>The following table sets forth information concerning the outstanding equity awards held by each of the named executive officers as of December 31, 2014.</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ind w:left="88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720"/>
              <w:spacing w:after="0"/>
              <w:rPr>
                <w:sz w:val="20"/>
                <w:szCs w:val="20"/>
                <w:color w:val="auto"/>
              </w:rPr>
            </w:pPr>
            <w:r>
              <w:rPr>
                <w:rFonts w:ascii="Arial" w:cs="Arial" w:eastAsia="Arial" w:hAnsi="Arial"/>
                <w:sz w:val="14"/>
                <w:szCs w:val="14"/>
                <w:b w:val="1"/>
                <w:bCs w:val="1"/>
                <w:color w:val="auto"/>
              </w:rPr>
              <w:t>Stock Awards</w:t>
            </w:r>
          </w:p>
        </w:tc>
      </w:tr>
      <w:tr>
        <w:trPr>
          <w:trHeight w:val="139"/>
        </w:trPr>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7"/>
              </w:rPr>
              <w:t>Number of</w:t>
            </w: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tcBorders>
              <w:top w:val="single" w:sz="8" w:color="auto"/>
            </w:tcBorders>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securities</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securities</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securities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underlying</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Number of</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unexercised</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unexercised</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unexercised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shares or</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8"/>
              </w:rPr>
              <w:t>options</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86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exercise</w:t>
            </w:r>
          </w:p>
        </w:tc>
        <w:tc>
          <w:tcPr>
            <w:tcW w:w="8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7"/>
              </w:rPr>
              <w:t>Option</w:t>
            </w:r>
          </w:p>
        </w:tc>
        <w:tc>
          <w:tcPr>
            <w:tcW w:w="40" w:type="dxa"/>
            <w:vAlign w:val="bottom"/>
          </w:tcPr>
          <w:p>
            <w:pPr>
              <w:spacing w:after="0"/>
              <w:rPr>
                <w:sz w:val="13"/>
                <w:szCs w:val="13"/>
                <w:color w:val="auto"/>
              </w:rPr>
            </w:pP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Units of Stock</w:t>
            </w:r>
          </w:p>
        </w:tc>
        <w:tc>
          <w:tcPr>
            <w:tcW w:w="13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Market value of</w:t>
            </w:r>
          </w:p>
        </w:tc>
      </w:tr>
      <w:tr>
        <w:trPr>
          <w:trHeight w:val="157"/>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exercisable</w:t>
            </w:r>
          </w:p>
        </w:tc>
        <w:tc>
          <w:tcPr>
            <w:tcW w:w="1280" w:type="dxa"/>
            <w:vAlign w:val="bottom"/>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rPr>
              <w:t>unexercisable</w:t>
            </w:r>
          </w:p>
        </w:tc>
        <w:tc>
          <w:tcPr>
            <w:tcW w:w="9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5"/>
              </w:rPr>
              <w:t>price</w:t>
            </w:r>
          </w:p>
        </w:tc>
        <w:tc>
          <w:tcPr>
            <w:tcW w:w="8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rPr>
              <w:t>expiration</w:t>
            </w:r>
          </w:p>
        </w:tc>
        <w:tc>
          <w:tcPr>
            <w:tcW w:w="40" w:type="dxa"/>
            <w:vAlign w:val="bottom"/>
          </w:tcPr>
          <w:p>
            <w:pPr>
              <w:spacing w:after="0"/>
              <w:rPr>
                <w:sz w:val="13"/>
                <w:szCs w:val="13"/>
                <w:color w:val="auto"/>
              </w:rPr>
            </w:pPr>
          </w:p>
        </w:tc>
        <w:tc>
          <w:tcPr>
            <w:tcW w:w="12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that have not</w:t>
            </w:r>
          </w:p>
        </w:tc>
        <w:tc>
          <w:tcPr>
            <w:tcW w:w="13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shares that have</w:t>
            </w:r>
          </w:p>
        </w:tc>
      </w:tr>
      <w:tr>
        <w:trPr>
          <w:trHeight w:val="169"/>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/share)</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not vested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)(1)</w:t>
            </w:r>
          </w:p>
        </w:tc>
        <w:tc>
          <w:tcPr>
            <w:tcW w:w="180" w:type="dxa"/>
            <w:vAlign w:val="bottom"/>
            <w:gridSpan w:val="2"/>
          </w:tcPr>
          <w:p>
            <w:pPr>
              <w:spacing w:after="0"/>
              <w:rPr>
                <w:sz w:val="14"/>
                <w:szCs w:val="14"/>
                <w:color w:val="auto"/>
              </w:rPr>
            </w:pPr>
          </w:p>
        </w:tc>
      </w:tr>
      <w:tr>
        <w:trPr>
          <w:trHeight w:val="150"/>
        </w:trPr>
        <w:tc>
          <w:tcPr>
            <w:tcW w:w="1320" w:type="dxa"/>
            <w:vAlign w:val="bottom"/>
            <w:gridSpan w:val="3"/>
            <w:shd w:val="clear" w:color="auto" w:fill="CCEEFF"/>
          </w:tcPr>
          <w:p>
            <w:pPr>
              <w:spacing w:after="0" w:line="151" w:lineRule="exact"/>
              <w:rPr>
                <w:sz w:val="20"/>
                <w:szCs w:val="20"/>
                <w:color w:val="auto"/>
              </w:rPr>
            </w:pPr>
            <w:r>
              <w:rPr>
                <w:rFonts w:ascii="Arial" w:cs="Arial" w:eastAsia="Arial" w:hAnsi="Arial"/>
                <w:sz w:val="14"/>
                <w:szCs w:val="14"/>
                <w:color w:val="auto"/>
              </w:rPr>
              <w:t>Jeffrey W. Albers</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line="151"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74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143,486(2)</w:t>
            </w:r>
          </w:p>
        </w:tc>
        <w:tc>
          <w:tcPr>
            <w:tcW w:w="1300" w:type="dxa"/>
            <w:vAlign w:val="bottom"/>
            <w:gridSpan w:val="3"/>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2,582,755</w:t>
            </w: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213,903(3)</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163,080(4)</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53,475(5)</w:t>
            </w: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7/30/2024</w:t>
            </w: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330"/>
        </w:trPr>
        <w:tc>
          <w:tcPr>
            <w:tcW w:w="1320" w:type="dxa"/>
            <w:vAlign w:val="bottom"/>
            <w:gridSpan w:val="3"/>
          </w:tcPr>
          <w:p>
            <w:pPr>
              <w:spacing w:after="0"/>
              <w:rPr>
                <w:sz w:val="20"/>
                <w:szCs w:val="20"/>
                <w:color w:val="auto"/>
              </w:rPr>
            </w:pPr>
            <w:r>
              <w:rPr>
                <w:rFonts w:ascii="Arial" w:cs="Arial" w:eastAsia="Arial" w:hAnsi="Arial"/>
                <w:sz w:val="14"/>
                <w:szCs w:val="14"/>
                <w:color w:val="auto"/>
              </w:rPr>
              <w:t>Kyle D. Kuvalanka</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23,148(6)</w:t>
            </w: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416,667</w:t>
            </w:r>
          </w:p>
        </w:tc>
      </w:tr>
      <w:tr>
        <w:trPr>
          <w:trHeight w:val="210"/>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32,091</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70,602(7)</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1.48</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9/17/2023</w:t>
            </w:r>
          </w:p>
        </w:tc>
        <w:tc>
          <w:tcPr>
            <w:tcW w:w="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r>
      <w:tr>
        <w:trPr>
          <w:trHeight w:val="194"/>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4"/>
                <w:szCs w:val="14"/>
                <w:color w:val="auto"/>
              </w:rPr>
              <w:t>1,212</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13,333(8)</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1.87</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8/14/2024</w:t>
            </w:r>
          </w:p>
        </w:tc>
        <w:tc>
          <w:tcPr>
            <w:tcW w:w="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r>
      <w:tr>
        <w:trPr>
          <w:trHeight w:val="315"/>
        </w:trPr>
        <w:tc>
          <w:tcPr>
            <w:tcW w:w="1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Christoph Lengauer</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51,136(9)</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920,455</w:t>
            </w: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14,772</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39,772(10)</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1.48</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11/1/2023</w:t>
            </w: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10"/>
        </w:trPr>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2,424</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26,666(11)</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8/14/2024</w:t>
            </w: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05"/>
        </w:trPr>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right="180" w:hanging="533"/>
        <w:spacing w:after="0" w:line="245"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There was no public market for our common stock at December 31, 2014. We have estimated the market value of the unvested stock awards based on the initial public offering price of $18.00 per share.</w:t>
      </w:r>
    </w:p>
    <w:p>
      <w:pPr>
        <w:spacing w:after="0" w:line="143" w:lineRule="exact"/>
        <w:rPr>
          <w:rFonts w:ascii="Arial" w:cs="Arial" w:eastAsia="Arial" w:hAnsi="Arial"/>
          <w:sz w:val="14"/>
          <w:szCs w:val="14"/>
          <w:color w:val="auto"/>
        </w:rPr>
      </w:pPr>
    </w:p>
    <w:p>
      <w:pPr>
        <w:ind w:left="1680" w:right="40" w:hanging="533"/>
        <w:spacing w:after="0" w:line="238"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July 30, 2014, Mr. Albers was granted an option for 143,486 shares of our common stock, 100% of such option to vest on July 21, 2015. Pursuant to the terms of his option agreement, Mr. Albers early exercised his option on August 8, 2014 in exchange for shares of restricted stock. Pursuant to the terms of Mr. Albers' corresponding restricted stock agreement, the unvested shares will be fully vested on July 21, 2015. Vesting of the restricted shares subject to the agreement accelerates in connection with a change in control.</w:t>
      </w:r>
    </w:p>
    <w:p>
      <w:pPr>
        <w:spacing w:after="0" w:line="147" w:lineRule="exact"/>
        <w:rPr>
          <w:rFonts w:ascii="Arial" w:cs="Arial" w:eastAsia="Arial" w:hAnsi="Arial"/>
          <w:sz w:val="14"/>
          <w:szCs w:val="14"/>
          <w:color w:val="auto"/>
        </w:rPr>
      </w:pPr>
    </w:p>
    <w:p>
      <w:pPr>
        <w:ind w:left="1680" w:right="100" w:hanging="533"/>
        <w:spacing w:after="0" w:line="234"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The shares underlying these options vest in four equal tranches and installments as follows: (i) 53,476 vests in five installments at a rate of 11,957 on each of August 21, 2015, September 21, 2015, October 21, 2015 and November 21, 2015, and the remaining 5,648 vests on December 21, 2015, (ii) 53,476 vests in five installments at a rate of 11,957 on each of January 21, 2016, February 21, 2016, March 21, 2016 and April 21, 2016, and the remaining 5,648 vests on May 21, 2016, (iii) 53,476 vests in five installments at a rate of 11,957 on each of January 21, 2017, February 21, 2017, March 21, 2017 and April 21, 2017, and the remaining 5,648 vests on May 21, 2017, and</w:t>
      </w:r>
    </w:p>
    <w:p>
      <w:pPr>
        <w:spacing w:after="0" w:line="1" w:lineRule="exact"/>
        <w:rPr>
          <w:rFonts w:ascii="Arial" w:cs="Arial" w:eastAsia="Arial" w:hAnsi="Arial"/>
          <w:sz w:val="14"/>
          <w:szCs w:val="14"/>
          <w:color w:val="auto"/>
        </w:rPr>
      </w:pPr>
    </w:p>
    <w:p>
      <w:pPr>
        <w:ind w:left="1680" w:right="560"/>
        <w:spacing w:after="0" w:line="245" w:lineRule="auto"/>
        <w:rPr>
          <w:rFonts w:ascii="Arial" w:cs="Arial" w:eastAsia="Arial" w:hAnsi="Arial"/>
          <w:sz w:val="14"/>
          <w:szCs w:val="14"/>
          <w:color w:val="auto"/>
        </w:rPr>
      </w:pPr>
      <w:r>
        <w:rPr>
          <w:rFonts w:ascii="Arial" w:cs="Arial" w:eastAsia="Arial" w:hAnsi="Arial"/>
          <w:sz w:val="14"/>
          <w:szCs w:val="14"/>
          <w:color w:val="auto"/>
        </w:rPr>
        <w:t>(iv) 53,475 vests in five installments at a rate of 11,957 on each of January 21, 2018, February 21, 2018, March 21, 2018 and April 21, 2018, and the remaining 5,647 vests on May 21, 2018. Vesting of the options subject to the agreement accelerates in connection with a change in control.</w:t>
      </w:r>
    </w:p>
    <w:p>
      <w:pPr>
        <w:spacing w:after="0" w:line="143" w:lineRule="exact"/>
        <w:rPr>
          <w:rFonts w:ascii="Arial" w:cs="Arial" w:eastAsia="Arial" w:hAnsi="Arial"/>
          <w:sz w:val="14"/>
          <w:szCs w:val="14"/>
          <w:color w:val="auto"/>
        </w:rPr>
      </w:pPr>
    </w:p>
    <w:p>
      <w:pPr>
        <w:ind w:left="1680" w:hanging="533"/>
        <w:spacing w:after="0" w:line="237"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The shares underlying these options vest in three tranches and installments as follows: (i) 42,845 vests in four installments at a rate of 6,974 on September 21, 2016, and 11,957 on each of October 21, 2016 and November 21, 2016, and 11,957 on December 21, 2016, (ii) 90,010 vests in eight installments at a rate of 6,311 on May 21, 2017 and 11,957 on each of June 21, 2017, July 21, 2017, August 21, 2017, September 21, 2017, October 21, 2017, November 21, 2017 and December 21, 2017, and (iii) 30,225 vests in three installments at a rate of 6,311 on May 21, 2018, 11,957 on June 21, 2018 and 11,957 on July 21, 2018. Vesting of the options subject to the agreement accelerates in connection with a change in control.</w:t>
      </w:r>
    </w:p>
    <w:p>
      <w:pPr>
        <w:spacing w:after="0" w:line="147" w:lineRule="exact"/>
        <w:rPr>
          <w:rFonts w:ascii="Arial" w:cs="Arial" w:eastAsia="Arial" w:hAnsi="Arial"/>
          <w:sz w:val="14"/>
          <w:szCs w:val="14"/>
          <w:color w:val="auto"/>
        </w:rPr>
      </w:pPr>
    </w:p>
    <w:p>
      <w:pPr>
        <w:ind w:left="1680" w:right="20" w:hanging="533"/>
        <w:spacing w:after="0" w:line="238"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July 30, 2014, none of which are vested but are eligible for early exercise. The shares underlying these options vest as follows: (i) 6,310 vests on each of December 21, 2015 and May 21, 2016, (ii) 11,957 vests on each of June 21, 2016, July 21, 2016 and August 21, 2016, and (iii) 4,984 vests on September 21, 2016. Vesting of the options subject to the agreement accelerates in connection with a change in control.</w:t>
      </w:r>
    </w:p>
    <w:p>
      <w:pPr>
        <w:spacing w:after="0" w:line="147" w:lineRule="exact"/>
        <w:rPr>
          <w:rFonts w:ascii="Arial" w:cs="Arial" w:eastAsia="Arial" w:hAnsi="Arial"/>
          <w:sz w:val="14"/>
          <w:szCs w:val="14"/>
          <w:color w:val="auto"/>
        </w:rPr>
      </w:pPr>
    </w:p>
    <w:p>
      <w:pPr>
        <w:ind w:left="1680" w:right="140" w:hanging="533"/>
        <w:spacing w:after="0" w:line="252"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On September 17, 2013, Mr. Kuvalanka was granted an option for 33,670 shares of our common stock, 25% of such option to vest on September 16, 2014, and the remaining unvested shares to vest in equal monthly installments through September 16, 2017. Pursuant to the terms of his option agreement,</w:t>
      </w:r>
    </w:p>
    <w:p>
      <w:pPr>
        <w:ind w:left="1680" w:right="220"/>
        <w:spacing w:after="0"/>
        <w:rPr>
          <w:rFonts w:ascii="Arial" w:cs="Arial" w:eastAsia="Arial" w:hAnsi="Arial"/>
          <w:sz w:val="13"/>
          <w:szCs w:val="13"/>
          <w:color w:val="auto"/>
        </w:rPr>
      </w:pPr>
      <w:r>
        <w:rPr>
          <w:rFonts w:ascii="Arial" w:cs="Arial" w:eastAsia="Arial" w:hAnsi="Arial"/>
          <w:sz w:val="14"/>
          <w:szCs w:val="14"/>
          <w:color w:val="auto"/>
        </w:rPr>
        <w:t>Mr. Kuvalanka early exercised his option on October 2, 2013 in exchange for shares of restricted stock. Under the terms of Mr. Kuvalanka's corresponding restricted stock agreement, 25% of the shares vested on September 16, 2014 and the remaining unvested shares will vest in equal monthly installments through September 16,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1680" w:right="20" w:hanging="533"/>
        <w:spacing w:after="0" w:line="283" w:lineRule="auto"/>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September 17, 2013. The shares underlying these options vest as follows: 25% vest on September 16, 2014, with the remainder of the shares vesting in equal monthly installments over the following three years through September 16, 2017.</w:t>
      </w:r>
    </w:p>
    <w:p>
      <w:pPr>
        <w:spacing w:after="0" w:line="119" w:lineRule="exact"/>
        <w:rPr>
          <w:rFonts w:ascii="Arial" w:cs="Arial" w:eastAsia="Arial" w:hAnsi="Arial"/>
          <w:sz w:val="13"/>
          <w:szCs w:val="13"/>
          <w:color w:val="auto"/>
        </w:rPr>
      </w:pPr>
    </w:p>
    <w:p>
      <w:pPr>
        <w:ind w:left="1680" w:right="520" w:hanging="533"/>
        <w:spacing w:after="0" w:line="245" w:lineRule="auto"/>
        <w:tabs>
          <w:tab w:leader="none" w:pos="16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August 14, 2014. The shares underlying these options vest in equal monthly installments over four years through August 18, 2018.</w:t>
      </w:r>
    </w:p>
    <w:p>
      <w:pPr>
        <w:spacing w:after="0" w:line="143" w:lineRule="exact"/>
        <w:rPr>
          <w:rFonts w:ascii="Arial" w:cs="Arial" w:eastAsia="Arial" w:hAnsi="Arial"/>
          <w:sz w:val="14"/>
          <w:szCs w:val="14"/>
          <w:color w:val="auto"/>
        </w:rPr>
      </w:pPr>
    </w:p>
    <w:p>
      <w:pPr>
        <w:jc w:val="both"/>
        <w:ind w:left="1680" w:right="140" w:hanging="533"/>
        <w:spacing w:after="0"/>
        <w:tabs>
          <w:tab w:leader="none" w:pos="16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the terms of Dr. Lengauer's December 15, 2011 and January 31, 2013 restricted stock agreements, the remaining unvested shares will vest in equal monthly installments through January 1, 2016 and January 1, 2017, respectively. Vesting of the restricted shares accelerates in connection with a change in control.</w:t>
      </w:r>
    </w:p>
    <w:p>
      <w:pPr>
        <w:spacing w:after="0" w:line="146" w:lineRule="exact"/>
        <w:rPr>
          <w:rFonts w:ascii="Arial" w:cs="Arial" w:eastAsia="Arial" w:hAnsi="Arial"/>
          <w:sz w:val="14"/>
          <w:szCs w:val="14"/>
          <w:color w:val="auto"/>
        </w:rPr>
      </w:pPr>
    </w:p>
    <w:p>
      <w:pPr>
        <w:ind w:left="1680" w:right="160" w:hanging="533"/>
        <w:spacing w:after="0" w:line="283" w:lineRule="auto"/>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November 3, 2013. The shares underlying these options vest in equal monthly installments over four years through November 1, 2017. Vesting of the options subject to the agreement accelerates in connection with a change in control.</w:t>
      </w:r>
    </w:p>
    <w:p>
      <w:pPr>
        <w:spacing w:after="0" w:line="119" w:lineRule="exact"/>
        <w:rPr>
          <w:rFonts w:ascii="Arial" w:cs="Arial" w:eastAsia="Arial" w:hAnsi="Arial"/>
          <w:sz w:val="13"/>
          <w:szCs w:val="13"/>
          <w:color w:val="auto"/>
        </w:rPr>
      </w:pPr>
    </w:p>
    <w:p>
      <w:pPr>
        <w:ind w:left="1680" w:right="520" w:hanging="533"/>
        <w:spacing w:after="0" w:line="245" w:lineRule="auto"/>
        <w:tabs>
          <w:tab w:leader="none" w:pos="16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options to purchase shares of our common stock granted on August 14, 2014. The shares underlying these options vest in equal monthly installments over four years through August 18, 2018.</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 Compensation</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following table sets forth a summary of the compensation we paid to our non-employee directors during 2014. Other than as set forth in the table and described more fully below, we did not pay any compensation, reimburse any expense of, make any equity awards or non-equity awards to, or pay any other compensation to any of the other non-employee members of our board of directors in 2014. Jeffrey W. Albers, our President and Chief Executive Officer, receives no compensation for his service as a director, and, consequently, is not included in this table. The compensation received by Mr. Albers as an employee during 2014 is presented in the "Summary Compensation Table" above.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Fees Earned or</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7"/>
        </w:trPr>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Paid in Cash</w:t>
            </w:r>
          </w:p>
        </w:tc>
        <w:tc>
          <w:tcPr>
            <w:tcW w:w="74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Awards</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3"/>
                <w:szCs w:val="13"/>
                <w:color w:val="auto"/>
              </w:rPr>
            </w:pPr>
          </w:p>
        </w:tc>
        <w:tc>
          <w:tcPr>
            <w:tcW w:w="6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5"/>
              </w:rPr>
              <w:t>Total</w:t>
            </w:r>
          </w:p>
        </w:tc>
      </w:tr>
      <w:tr>
        <w:trPr>
          <w:trHeight w:val="16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Name</w:t>
            </w:r>
          </w:p>
        </w:tc>
        <w:tc>
          <w:tcPr>
            <w:tcW w:w="4760" w:type="dxa"/>
            <w:vAlign w:val="bottom"/>
            <w:gridSpan w:val="2"/>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r>
      <w:tr>
        <w:trPr>
          <w:trHeight w:val="150"/>
        </w:trPr>
        <w:tc>
          <w:tcPr>
            <w:tcW w:w="518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Daniel S. Lynch(1)</w:t>
            </w:r>
          </w:p>
        </w:tc>
        <w:tc>
          <w:tcPr>
            <w:tcW w:w="12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line="151"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130,000</w:t>
            </w:r>
          </w:p>
        </w:tc>
        <w:tc>
          <w:tcPr>
            <w:tcW w:w="780" w:type="dxa"/>
            <w:vAlign w:val="bottom"/>
            <w:gridSpan w:val="3"/>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130,000</w:t>
            </w:r>
          </w:p>
        </w:tc>
      </w:tr>
      <w:tr>
        <w:trPr>
          <w:trHeight w:val="157"/>
        </w:trPr>
        <w:tc>
          <w:tcPr>
            <w:tcW w:w="51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Nicholas Lydon, Ph.D.(2)</w:t>
            </w:r>
          </w:p>
        </w:tc>
        <w:tc>
          <w:tcPr>
            <w:tcW w:w="12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65,000</w:t>
            </w: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65,000</w:t>
            </w:r>
          </w:p>
        </w:tc>
      </w:tr>
      <w:tr>
        <w:trPr>
          <w:trHeight w:val="157"/>
        </w:trPr>
        <w:tc>
          <w:tcPr>
            <w:tcW w:w="51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David Schenkein, M.D.(3)</w:t>
            </w:r>
          </w:p>
        </w:tc>
        <w:tc>
          <w:tcPr>
            <w:tcW w:w="12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35,000</w:t>
            </w:r>
          </w:p>
        </w:tc>
        <w:tc>
          <w:tcPr>
            <w:tcW w:w="740" w:type="dxa"/>
            <w:vAlign w:val="bottom"/>
            <w:gridSpan w:val="2"/>
            <w:shd w:val="clear" w:color="auto" w:fill="CCEEFF"/>
          </w:tcPr>
          <w:p>
            <w:pPr>
              <w:ind w:left="4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35,000</w:t>
            </w:r>
          </w:p>
        </w:tc>
      </w:tr>
      <w:tr>
        <w:trPr>
          <w:trHeight w:val="173"/>
        </w:trPr>
        <w:tc>
          <w:tcPr>
            <w:tcW w:w="5180" w:type="dxa"/>
            <w:vAlign w:val="bottom"/>
            <w:gridSpan w:val="3"/>
          </w:tcPr>
          <w:p>
            <w:pPr>
              <w:ind w:left="20"/>
              <w:spacing w:after="0"/>
              <w:rPr>
                <w:sz w:val="20"/>
                <w:szCs w:val="20"/>
                <w:color w:val="auto"/>
              </w:rPr>
            </w:pPr>
            <w:r>
              <w:rPr>
                <w:rFonts w:ascii="Arial" w:cs="Arial" w:eastAsia="Arial" w:hAnsi="Arial"/>
                <w:sz w:val="14"/>
                <w:szCs w:val="14"/>
                <w:color w:val="auto"/>
              </w:rPr>
              <w:t>George D. Demetri, M.D.(4)</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100,000</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100,000</w:t>
            </w:r>
          </w:p>
        </w:tc>
      </w:tr>
      <w:tr>
        <w:trPr>
          <w:trHeight w:val="89"/>
        </w:trPr>
        <w:tc>
          <w:tcPr>
            <w:tcW w:w="4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214" w:lineRule="exact"/>
        <w:rPr>
          <w:sz w:val="20"/>
          <w:szCs w:val="20"/>
          <w:color w:val="auto"/>
        </w:rPr>
      </w:pPr>
    </w:p>
    <w:p>
      <w:pPr>
        <w:ind w:left="1680" w:right="80" w:hanging="533"/>
        <w:spacing w:after="0" w:line="283"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Mr. Lynch received payment for service as a director and consultant pursuant to a consulting agreement. Amount includes cash bonus of $30,000 earned for the 12-month period from January 1, 2014 to December 31, 2014. As of December 31, 2014, Mr. Lynch held 272,727 shares of restricted common stock.</w:t>
      </w:r>
    </w:p>
    <w:p>
      <w:pPr>
        <w:spacing w:after="0" w:line="119" w:lineRule="exact"/>
        <w:rPr>
          <w:rFonts w:ascii="Arial" w:cs="Arial" w:eastAsia="Arial" w:hAnsi="Arial"/>
          <w:sz w:val="13"/>
          <w:szCs w:val="13"/>
          <w:color w:val="auto"/>
        </w:rPr>
      </w:pPr>
    </w:p>
    <w:p>
      <w:pPr>
        <w:ind w:left="1680" w:right="280" w:hanging="533"/>
        <w:spacing w:after="0" w:line="245"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Lydon received payment for service as a consultant pursuant to a consulting agreement. As of December 31, 2014, Mr. Lydon held 272,727 shares of restricted common stock.</w:t>
      </w:r>
    </w:p>
    <w:p>
      <w:pPr>
        <w:spacing w:after="0" w:line="143" w:lineRule="exact"/>
        <w:rPr>
          <w:rFonts w:ascii="Arial" w:cs="Arial" w:eastAsia="Arial" w:hAnsi="Arial"/>
          <w:sz w:val="14"/>
          <w:szCs w:val="14"/>
          <w:color w:val="auto"/>
        </w:rPr>
      </w:pPr>
    </w:p>
    <w:p>
      <w:pPr>
        <w:ind w:left="1680" w:right="20" w:hanging="533"/>
        <w:spacing w:after="0"/>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Dr. Schenkein, our former director who resigned on February 26, 2015, received payment for service as a director during the 2014 fiscal year pursuant to a board service agreement. As of December 31, 2014, trusts for the benefit of Dr. Schenkein and certain of his family members held 33,636 shares of restricted common stock.</w:t>
      </w:r>
    </w:p>
    <w:p>
      <w:pPr>
        <w:spacing w:after="0" w:line="146" w:lineRule="exact"/>
        <w:rPr>
          <w:rFonts w:ascii="Arial" w:cs="Arial" w:eastAsia="Arial" w:hAnsi="Arial"/>
          <w:sz w:val="14"/>
          <w:szCs w:val="14"/>
          <w:color w:val="auto"/>
        </w:rPr>
      </w:pPr>
    </w:p>
    <w:p>
      <w:pPr>
        <w:ind w:left="1680" w:hanging="533"/>
        <w:spacing w:after="0" w:line="245"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Dr. Demetri received payment for service as an advisor pursuant to an advisory agreement. As of December 31, 2014, Dr. Demetri held an option to purchase 9,090 shares of common stock and 18,181 shares of restricted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Risk Assessment</w:t>
      </w:r>
    </w:p>
    <w:p>
      <w:pPr>
        <w:spacing w:after="0" w:line="23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believe that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Plans and Other Benefit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2011 Stock Option Plan</w:t>
      </w:r>
    </w:p>
    <w:p>
      <w:pPr>
        <w:spacing w:after="0" w:line="231"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2011 Stock Option Plan, was approved by our board of directors and our stockholders on April 4, 2011 and was most recently amended on February 10, 2015. Under the 2011 Stock Option Plan, 3,590,927 shares of common stock have been reserved for issuance in the form of incentive stock options, non-qualified stock options, restricted stock, unrestricted stock, restricted stock units, or any combination of the foregoing. The shares issuable pursuant to awards granted under the 2011 Stock Option Plan are authorized but unissued shares.</w:t>
      </w:r>
    </w:p>
    <w:p>
      <w:pPr>
        <w:spacing w:after="0" w:line="198"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 2011 Stock Option Plan is administered by our board or at the discretion of the board, a committee of the board comprised of not less than two (2) directors, which has full power to select the employees, directors and service providers to whom awards will be granted and to determine the specific terms and conditions of each award, subject to the provisions of the 2011 Stock Option Plan.</w:t>
      </w:r>
    </w:p>
    <w:p>
      <w:pPr>
        <w:spacing w:after="0" w:line="199" w:lineRule="exact"/>
        <w:rPr>
          <w:sz w:val="20"/>
          <w:szCs w:val="20"/>
          <w:color w:val="auto"/>
        </w:rPr>
      </w:pPr>
    </w:p>
    <w:p>
      <w:pPr>
        <w:ind w:right="60" w:firstLine="470"/>
        <w:spacing w:after="0" w:line="246" w:lineRule="auto"/>
        <w:rPr>
          <w:sz w:val="20"/>
          <w:szCs w:val="20"/>
          <w:color w:val="auto"/>
        </w:rPr>
      </w:pPr>
      <w:r>
        <w:rPr>
          <w:rFonts w:ascii="Arial" w:cs="Arial" w:eastAsia="Arial" w:hAnsi="Arial"/>
          <w:sz w:val="17"/>
          <w:szCs w:val="17"/>
          <w:color w:val="auto"/>
        </w:rPr>
        <w:t>The option exercise price of each option granted under the 2011 Stock Option Plan is determined by our board and may not be less than the fair market value of a share of common stock on the date of grant. The term of each option is fixed by the board and may not exceed ten years from the date of grant. The board determines at what time or times each option may be exercised when granting the option.</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board of directors may grant awards under the 2011 Stock Option Plan entitling the participants to acquire shares of common stock subject to the right of repurchase (or forfeiture if issued at no cost) in the event the conditions specified by the board in connection with the awards are not met. The board may also grant awards of restricted stock units under the 2011 Stock Option Plan entitling the participants to receive shares of common stock or cash at the time the awards vest.</w:t>
      </w:r>
    </w:p>
    <w:p>
      <w:pPr>
        <w:spacing w:after="0" w:line="198" w:lineRule="exact"/>
        <w:rPr>
          <w:sz w:val="20"/>
          <w:szCs w:val="20"/>
          <w:color w:val="auto"/>
        </w:rPr>
      </w:pPr>
    </w:p>
    <w:p>
      <w:pPr>
        <w:ind w:right="180" w:firstLine="470"/>
        <w:spacing w:after="0" w:line="252" w:lineRule="auto"/>
        <w:rPr>
          <w:sz w:val="20"/>
          <w:szCs w:val="20"/>
          <w:color w:val="auto"/>
        </w:rPr>
      </w:pPr>
      <w:r>
        <w:rPr>
          <w:rFonts w:ascii="Arial" w:cs="Arial" w:eastAsia="Arial" w:hAnsi="Arial"/>
          <w:sz w:val="17"/>
          <w:szCs w:val="17"/>
          <w:color w:val="auto"/>
        </w:rPr>
        <w:t>The board of directors may also grant other stock-based awards under the 2011 Stock Option Plan such as stock appreciation rights and other types of awards which entitle the participants to receive shares of common stock or cash in the future.</w:t>
      </w:r>
    </w:p>
    <w:p>
      <w:pPr>
        <w:spacing w:after="0" w:line="193" w:lineRule="exact"/>
        <w:rPr>
          <w:sz w:val="20"/>
          <w:szCs w:val="20"/>
          <w:color w:val="auto"/>
        </w:rPr>
      </w:pPr>
    </w:p>
    <w:p>
      <w:pPr>
        <w:ind w:right="280" w:firstLine="470"/>
        <w:spacing w:after="0" w:line="245" w:lineRule="auto"/>
        <w:rPr>
          <w:sz w:val="20"/>
          <w:szCs w:val="20"/>
          <w:color w:val="auto"/>
        </w:rPr>
      </w:pPr>
      <w:r>
        <w:rPr>
          <w:rFonts w:ascii="Arial" w:cs="Arial" w:eastAsia="Arial" w:hAnsi="Arial"/>
          <w:sz w:val="17"/>
          <w:szCs w:val="17"/>
          <w:color w:val="auto"/>
        </w:rPr>
        <w:t>The 2011 Stock Option Plan provides that, upon a sale transaction of the Company, unless provision is made in connection with the sale transaction in the sole discretion of the parties thereto for the assumption or continuation of the awards by the successor entity or substitution of the awards with new awards of the successor entity, with appropriate adjustment, all options not exercised will terminate upon the closing of the sale transaction, and all restricted stock and restricted stock unit awards will be forfeited immediately prior to the closing of the sale transaction.</w:t>
      </w:r>
    </w:p>
    <w:p>
      <w:pPr>
        <w:spacing w:after="0" w:line="198"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Our board may amend the 2011 Stock Option Plan but no such action may adversely affect the rights of an award holder without such holder's consent. Approval by our stockholders of amendments to the 2011 Stock Option Plan must be obtained if required by law.</w:t>
      </w:r>
    </w:p>
    <w:p>
      <w:pPr>
        <w:spacing w:after="0" w:line="193" w:lineRule="exact"/>
        <w:rPr>
          <w:sz w:val="20"/>
          <w:szCs w:val="20"/>
          <w:color w:val="auto"/>
        </w:rPr>
      </w:pPr>
    </w:p>
    <w:p>
      <w:pPr>
        <w:jc w:val="both"/>
        <w:ind w:right="100" w:firstLine="464"/>
        <w:spacing w:after="0" w:line="246" w:lineRule="auto"/>
        <w:rPr>
          <w:sz w:val="20"/>
          <w:szCs w:val="20"/>
          <w:color w:val="auto"/>
        </w:rPr>
      </w:pPr>
      <w:r>
        <w:rPr>
          <w:rFonts w:ascii="Arial" w:cs="Arial" w:eastAsia="Arial" w:hAnsi="Arial"/>
          <w:sz w:val="17"/>
          <w:szCs w:val="17"/>
          <w:color w:val="auto"/>
        </w:rPr>
        <w:t>As of March 31, 2015, options to purchase 1,887,098 shares of common stock were outstanding, and 1,502,906 shares of restricted stock were outstanding under the 2011 Stock Option Plan. Our board has determined not to make any further awards under the 2011 Stock Option Plan following the completion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Stock Option Plan</w:t>
      </w:r>
    </w:p>
    <w:p>
      <w:pPr>
        <w:spacing w:after="0" w:line="23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2015 Stock Option Plan, or the 2015 Stock Option Plan, was adopted by our board of directors and approved by our stockholders on April 8, 2015 and will become effective immediately prior to the closing of this offering. The 2015 Stock Option Plan will replace the 2011 Stock Option Plan. The 2015 Stock Option Plan provides us flexibility to use various equity-based incentive and</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other awards as compensation tools to motivate our workforce. These tools include stock options, stock appreciation rights, restricted stock, restricted stock units, unrestricted stock, performance share awards and cash-based awards.</w:t>
      </w:r>
    </w:p>
    <w:p>
      <w:pPr>
        <w:spacing w:after="0" w:line="193" w:lineRule="exact"/>
        <w:rPr>
          <w:sz w:val="20"/>
          <w:szCs w:val="20"/>
          <w:color w:val="auto"/>
        </w:rPr>
      </w:pPr>
    </w:p>
    <w:p>
      <w:pPr>
        <w:ind w:right="260" w:firstLine="474"/>
        <w:spacing w:after="0" w:line="245" w:lineRule="auto"/>
        <w:rPr>
          <w:sz w:val="20"/>
          <w:szCs w:val="20"/>
          <w:color w:val="auto"/>
        </w:rPr>
      </w:pPr>
      <w:r>
        <w:rPr>
          <w:rFonts w:ascii="Arial" w:cs="Arial" w:eastAsia="Arial" w:hAnsi="Arial"/>
          <w:sz w:val="17"/>
          <w:szCs w:val="17"/>
          <w:color w:val="auto"/>
        </w:rPr>
        <w:t>We have initially reserved 1,460,084 shares of our common stock for the issuance of awards under the 2015 Stock Option Plan, which will be cumulatively increased on January 1 of each calendar year by 4% of the number of shares of common stock issued and outstanding on the immediately preceding December 31. This number is subject to adjustment in the event of a stock split, stock dividend or other change in our capitalization.</w:t>
      </w:r>
    </w:p>
    <w:p>
      <w:pPr>
        <w:spacing w:after="0" w:line="198"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shares issuable pursuant to awards granted under the 2015 Stock Option Plan will be authorized but unissued shares or shares that we reacquire. The shares of common stock underlying any awards from the 2015 Stock Option Plan and the 2011 Stock Option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2015 Stock Option Plan or the 2011 Stock Option Plan, as applicable, will be added back to the shares available for issuance under the 2015 Stock Option Plan.</w:t>
      </w:r>
    </w:p>
    <w:p>
      <w:pPr>
        <w:spacing w:after="0" w:line="199"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Under the 2015 Stock Option Plan, stock options or stock appreciation rights with respect to no more than 1,460,084 shares may be granted to any one individual in any one calendar year and the maximum aggregate number of shares that may be issued in the form of incentive stock options shall not exceed the initial number of shares reserved and available for issuance under the 2015 Stock Option Plan, cumulatively increased on January 1 of each calendar year.</w:t>
      </w:r>
    </w:p>
    <w:p>
      <w:pPr>
        <w:spacing w:after="0" w:line="198"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2015 Stock Option Plan will be administered by the compensation committee of the board of directors. The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2015 Stock Option Plan. Employees, nonemployee directors and other key persons (including consultants) are eligible to receive awards under the 2015 Stock Option Plan.</w:t>
      </w:r>
    </w:p>
    <w:p>
      <w:pPr>
        <w:spacing w:after="0" w:line="198"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2015 Stock Option Plan permits the granting of both options to purchase common stock intended to qualify as incentive stock options under Section 422 of the Code and options that do not so qualify. The exercise price of each stock option will be determined by our compensation committee but may not be less than 100% of the fair market value of our common stock on the date of grant or, in the case of an incentive stock option granted to a 10% owner, less than 110% of the fair market value of our common stock on the date of grant. The term of each stock option will be fixed by the compensation committee and may not exceed ten years from the date of grant (or five years in the case of an incentive stock option granted to a 10% owner). The compensation committee will also determine the vesting schedule for granted stock options.</w:t>
      </w:r>
    </w:p>
    <w:p>
      <w:pPr>
        <w:spacing w:after="0" w:line="202" w:lineRule="exact"/>
        <w:rPr>
          <w:sz w:val="20"/>
          <w:szCs w:val="20"/>
          <w:color w:val="auto"/>
        </w:rPr>
      </w:pPr>
    </w:p>
    <w:p>
      <w:pPr>
        <w:ind w:right="20" w:firstLine="470"/>
        <w:spacing w:after="0" w:line="246" w:lineRule="auto"/>
        <w:rPr>
          <w:sz w:val="20"/>
          <w:szCs w:val="20"/>
          <w:color w:val="auto"/>
        </w:rPr>
      </w:pPr>
      <w:r>
        <w:rPr>
          <w:rFonts w:ascii="Arial" w:cs="Arial" w:eastAsia="Arial" w:hAnsi="Arial"/>
          <w:sz w:val="17"/>
          <w:szCs w:val="17"/>
          <w:color w:val="auto"/>
        </w:rPr>
        <w:t>The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99" w:lineRule="exact"/>
        <w:rPr>
          <w:sz w:val="20"/>
          <w:szCs w:val="20"/>
          <w:color w:val="auto"/>
        </w:rPr>
      </w:pPr>
    </w:p>
    <w:p>
      <w:pPr>
        <w:jc w:val="both"/>
        <w:ind w:right="100" w:firstLine="470"/>
        <w:spacing w:after="0" w:line="245" w:lineRule="auto"/>
        <w:rPr>
          <w:sz w:val="20"/>
          <w:szCs w:val="20"/>
          <w:color w:val="auto"/>
        </w:rPr>
      </w:pPr>
      <w:r>
        <w:rPr>
          <w:rFonts w:ascii="Arial" w:cs="Arial" w:eastAsia="Arial" w:hAnsi="Arial"/>
          <w:sz w:val="17"/>
          <w:szCs w:val="17"/>
          <w:color w:val="auto"/>
        </w:rPr>
        <w:t>The compensation committee may award restricted stock or restricted stock units to participants subject to such conditions and restrictions as it may determine. These conditions and restrictions may include the achievement of certain performance goals and/or continued employment or service with us through a specified vesting period. The compensation committee may also grant cash-based awards to participants subject to such conditions and restrictions as it may determine. Our compensation committee may also grant shares of common stock that are free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from any restrictions under the 2015 Stock Option Plan. Unrestricted stock may be granted to participants in recognition of past services or for other valid consideration and may be issued in lieu of cash compensation due to such participant.</w:t>
      </w:r>
    </w:p>
    <w:p>
      <w:pPr>
        <w:spacing w:after="0" w:line="193" w:lineRule="exact"/>
        <w:rPr>
          <w:sz w:val="20"/>
          <w:szCs w:val="20"/>
          <w:color w:val="auto"/>
        </w:rPr>
      </w:pPr>
    </w:p>
    <w:p>
      <w:pPr>
        <w:ind w:right="120" w:firstLine="470"/>
        <w:spacing w:after="0" w:line="252" w:lineRule="auto"/>
        <w:rPr>
          <w:sz w:val="20"/>
          <w:szCs w:val="20"/>
          <w:color w:val="auto"/>
        </w:rPr>
      </w:pPr>
      <w:r>
        <w:rPr>
          <w:rFonts w:ascii="Arial" w:cs="Arial" w:eastAsia="Arial" w:hAnsi="Arial"/>
          <w:sz w:val="17"/>
          <w:szCs w:val="17"/>
          <w:color w:val="auto"/>
        </w:rPr>
        <w:t>The compensation committee may grant performance share awards to participants that entitle the recipient to receive share awards of common stock upon the achievement of certain performance goals and such other conditions as our compensation committee shall determine.</w:t>
      </w:r>
    </w:p>
    <w:p>
      <w:pPr>
        <w:spacing w:after="0" w:line="193" w:lineRule="exact"/>
        <w:rPr>
          <w:sz w:val="20"/>
          <w:szCs w:val="20"/>
          <w:color w:val="auto"/>
        </w:rPr>
      </w:pPr>
    </w:p>
    <w:p>
      <w:pPr>
        <w:ind w:right="180" w:firstLine="470"/>
        <w:spacing w:after="0" w:line="252" w:lineRule="auto"/>
        <w:rPr>
          <w:sz w:val="20"/>
          <w:szCs w:val="20"/>
          <w:color w:val="auto"/>
        </w:rPr>
      </w:pPr>
      <w:r>
        <w:rPr>
          <w:rFonts w:ascii="Arial" w:cs="Arial" w:eastAsia="Arial" w:hAnsi="Arial"/>
          <w:sz w:val="17"/>
          <w:szCs w:val="17"/>
          <w:color w:val="auto"/>
        </w:rPr>
        <w:t>The compensation committee may grant cash bonuses under the 2015 Stock Option Plan to participants, subject to the achievement of certain performance goals.</w:t>
      </w:r>
    </w:p>
    <w:p>
      <w:pPr>
        <w:spacing w:after="0" w:line="19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compensation committee may grant performance-based awards to participants in the form of restricted stock, restricted stock units, performance shares or cash-based awards upon the achievement of certain performance goals and such other conditions as the compensation committee shall determine. The compensation committee may grant such performance-based awards under the 2015 Stock Option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could be used with respect to any such awards include: total shareholder return, earnings before interest, taxes, depreciation and amortization, net income (loss) (either before or after interest, taxes, depreciation and/or amortization), changes in the market price of our common stock, economic value-added, sales or revenue, development, clinical or regulatory milestones,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From and after the time that we become subject to Section 162(m) of the Code, the maximum award that is intended to qualify as "performance-based compensation" under Section 162(m) of the Code that may be made to any one employee during any one calendar year period is 1,460,084 shares with respect to a stock-based award and $2,000,000 with respect to a cash-based award.</w:t>
      </w:r>
    </w:p>
    <w:p>
      <w:pPr>
        <w:spacing w:after="0" w:line="203" w:lineRule="exact"/>
        <w:rPr>
          <w:sz w:val="20"/>
          <w:szCs w:val="20"/>
          <w:color w:val="auto"/>
        </w:rPr>
      </w:pPr>
    </w:p>
    <w:p>
      <w:pPr>
        <w:ind w:right="140" w:firstLine="470"/>
        <w:spacing w:after="0" w:line="242" w:lineRule="auto"/>
        <w:rPr>
          <w:sz w:val="20"/>
          <w:szCs w:val="20"/>
          <w:color w:val="auto"/>
        </w:rPr>
      </w:pPr>
      <w:r>
        <w:rPr>
          <w:rFonts w:ascii="Arial" w:cs="Arial" w:eastAsia="Arial" w:hAnsi="Arial"/>
          <w:sz w:val="17"/>
          <w:szCs w:val="17"/>
          <w:color w:val="auto"/>
        </w:rPr>
        <w:t>The 2015 Stock Option Plan provides that upon the effectiveness of a "sale event," as defined in the 2015 Stock Option Plan,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all awards granted under the 2015 Stock Option Plan shall terminate. In addition, in connection with the termination of the 2015 Stock Option Plan upon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206"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Our board of directors may amend or discontinue the 2015 Stock Option Plan and our compensation committee may amend or cancel outstanding awards for purposes of satisfying changes in law or any other lawful purpose, including option repricing, but no such action may adversely affect rights under an award without the holder's consent. Certain amendments to the 2015 Stock Option Plan may require the approval of our stockholders.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firstLine="474"/>
        <w:spacing w:after="0" w:line="252" w:lineRule="auto"/>
        <w:rPr>
          <w:sz w:val="20"/>
          <w:szCs w:val="20"/>
          <w:color w:val="auto"/>
        </w:rPr>
      </w:pPr>
      <w:r>
        <w:rPr>
          <w:rFonts w:ascii="Arial" w:cs="Arial" w:eastAsia="Arial" w:hAnsi="Arial"/>
          <w:sz w:val="17"/>
          <w:szCs w:val="17"/>
          <w:color w:val="auto"/>
        </w:rPr>
        <w:t>No awards may be granted under the 2015 Stock Option Plan after the date that is ten years from the date of stockholder approval of the 2015 Stock Option Plan.</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Other Compensation</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currently maintain broad-based benefits that are provided to all employees, including health insurance, life and disability insurance and dental insurance.</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401(k) Plan</w:t>
      </w:r>
    </w:p>
    <w:p>
      <w:pPr>
        <w:spacing w:after="0" w:line="231" w:lineRule="exact"/>
        <w:rPr>
          <w:sz w:val="20"/>
          <w:szCs w:val="20"/>
          <w:color w:val="auto"/>
        </w:rPr>
      </w:pPr>
    </w:p>
    <w:p>
      <w:pPr>
        <w:ind w:right="240" w:firstLine="474"/>
        <w:spacing w:after="0" w:line="243" w:lineRule="auto"/>
        <w:rPr>
          <w:sz w:val="20"/>
          <w:szCs w:val="20"/>
          <w:color w:val="auto"/>
        </w:rPr>
      </w:pPr>
      <w:r>
        <w:rPr>
          <w:rFonts w:ascii="Arial" w:cs="Arial" w:eastAsia="Arial" w:hAnsi="Arial"/>
          <w:sz w:val="17"/>
          <w:szCs w:val="17"/>
          <w:color w:val="auto"/>
        </w:rPr>
        <w:t>We maintain a 401(k) plan for employees. The 401(k) plan is intended to qualify under Section 401(k) of the Internal Revenue Service Code of 1986, as amended, so that contributions to the 401(k) plan by employees or by us, and the investment earnings thereon, are not taxable to the employees until withdrawn from the 401(k) plan, and so that contributions by us, if any, will be deductible by us when made. Under the 401(k) plan, employees may elect to reduce their current compensation by up to the statutorily prescribed annual limit and to have the amount of such reduction contributed to the 401(k) plan. The 401(k) plan permits us to make contributions up to the limits allowed by law on behalf of all eligible employees. Historically, we have not made any matching contributions to the 401(k) plan.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Rule 10b5-1 Sales Plans</w:t>
      </w:r>
    </w:p>
    <w:p>
      <w:pPr>
        <w:spacing w:after="0" w:line="23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limited circumstances. Our directors and executive officers may also buy or sell additional shares of our common stock outside of a Rule 10b5-1 plan when they are not in possession of material, nonpublic information.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1" w:lineRule="exact"/>
        <w:rPr>
          <w:sz w:val="20"/>
          <w:szCs w:val="20"/>
          <w:color w:val="auto"/>
        </w:rPr>
      </w:pPr>
    </w:p>
    <w:p>
      <w:pPr>
        <w:ind w:right="140" w:firstLine="470"/>
        <w:spacing w:after="0" w:line="244" w:lineRule="auto"/>
        <w:rPr>
          <w:sz w:val="20"/>
          <w:szCs w:val="20"/>
          <w:color w:val="auto"/>
        </w:rPr>
      </w:pPr>
      <w:r>
        <w:rPr>
          <w:rFonts w:ascii="Arial" w:cs="Arial" w:eastAsia="Arial" w:hAnsi="Arial"/>
          <w:sz w:val="17"/>
          <w:szCs w:val="17"/>
          <w:color w:val="auto"/>
        </w:rPr>
        <w:t>The following is a description of transactions since January 1, 2012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206" w:lineRule="exact"/>
        <w:rPr>
          <w:sz w:val="20"/>
          <w:szCs w:val="20"/>
          <w:color w:val="auto"/>
        </w:rPr>
      </w:pPr>
    </w:p>
    <w:p>
      <w:pPr>
        <w:ind w:right="20" w:firstLine="464"/>
        <w:spacing w:after="0" w:line="245" w:lineRule="auto"/>
        <w:rPr>
          <w:sz w:val="20"/>
          <w:szCs w:val="20"/>
          <w:color w:val="auto"/>
        </w:rPr>
      </w:pPr>
      <w:r>
        <w:rPr>
          <w:rFonts w:ascii="Arial" w:cs="Arial" w:eastAsia="Arial" w:hAnsi="Arial"/>
          <w:sz w:val="17"/>
          <w:szCs w:val="17"/>
          <w:color w:val="auto"/>
        </w:rPr>
        <w:t>All of the transactions described below were entered into prior to the adoption of this written policy but each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 Our current policy with respect to approval of related person transactions is not set forth in writing.</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Sales and Purchases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Financing</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 April 2011, we entered into a Series A convertible preferred stock purchase agreement, or the Series A purchase agreement, pursuant to which we agreed to issue and sell to investors an aggregate of 25,000,000 shares of our Series A Preferred Stock at a purchase price of $1.00 per share. These shares were to be issued in three tranches with the first tranche consisting of 10,000,000 shares and the last two tranches of 7,500,000 shares each. The first tranche of Series A Preferred Stock was issued in April 2011. In connection with the first tranche described above, certain convertible promissory notes, along with accrued but unpaid interest thereon, were automatically converted into an aggregate of 525,315 shares of our Series A Preferred Stock.</w:t>
      </w:r>
    </w:p>
    <w:p>
      <w:pPr>
        <w:spacing w:after="0" w:line="202"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Series A purchase agreement was subsequently amended in February 2012 to provide for the issuance of the remaining 15,000,000 shares in three tranches of 5,000,000 shares each. These tranches were issued in February 2012, March 2012 and October 2012, respectively. In January 2013, the Series A purchase agreement was further amended to provide for the issuance of an additional 15,000,000 shares of Series A Preferred Stock in three tranches. These tranches were issued in January and September of 2013.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table below sets forth the aggregate number of shares of Series A Preferred Stock sold to our directors, executive officers or holders of more than 5% of our capital stock, or an affiliate or immediate family member thereof:</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30,000,000</w:t>
            </w:r>
          </w:p>
        </w:tc>
        <w:tc>
          <w:tcPr>
            <w:tcW w:w="860" w:type="dxa"/>
            <w:vAlign w:val="bottom"/>
            <w:gridSpan w:val="2"/>
            <w:shd w:val="clear" w:color="auto" w:fill="CCEEFF"/>
          </w:tcPr>
          <w:p>
            <w:pPr>
              <w:jc w:val="right"/>
              <w:ind w:right="595"/>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30,000,000</w:t>
            </w:r>
          </w:p>
        </w:tc>
      </w:tr>
      <w:tr>
        <w:trPr>
          <w:trHeight w:val="207"/>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920" w:type="dxa"/>
            <w:vAlign w:val="bottom"/>
            <w:gridSpan w:val="3"/>
          </w:tcPr>
          <w:p>
            <w:pPr>
              <w:jc w:val="right"/>
              <w:ind w:right="80"/>
              <w:spacing w:after="0"/>
              <w:rPr>
                <w:sz w:val="20"/>
                <w:szCs w:val="20"/>
                <w:color w:val="auto"/>
              </w:rPr>
            </w:pPr>
            <w:r>
              <w:rPr>
                <w:rFonts w:ascii="Arial" w:cs="Arial" w:eastAsia="Arial" w:hAnsi="Arial"/>
                <w:sz w:val="17"/>
                <w:szCs w:val="17"/>
                <w:color w:val="auto"/>
              </w:rPr>
              <w:t>10,000,000</w:t>
            </w:r>
          </w:p>
        </w:tc>
        <w:tc>
          <w:tcPr>
            <w:tcW w:w="860" w:type="dxa"/>
            <w:vAlign w:val="bottom"/>
            <w:gridSpan w:val="2"/>
          </w:tcPr>
          <w:p>
            <w:pPr>
              <w:jc w:val="right"/>
              <w:ind w:right="59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Financing</w:t>
      </w:r>
    </w:p>
    <w:p>
      <w:pPr>
        <w:spacing w:after="0" w:line="231"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In January 2014, we issued an aggregate of 20,916,663 shares of our Series B Preferred Stock at a purchase price of $1.20 per share for aggregate consideration of $25.1 million to seven investors. The table below sets forth the number of shares of Series B Preferred Stock sold to our directors, executive officers or holders of more than 5% of our capital stock at the time of such issuance, or an affiliate or immediate family member thereof:</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7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8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7,833,333</w:t>
            </w:r>
          </w:p>
        </w:tc>
        <w:tc>
          <w:tcPr>
            <w:tcW w:w="780" w:type="dxa"/>
            <w:vAlign w:val="bottom"/>
            <w:gridSpan w:val="2"/>
            <w:shd w:val="clear" w:color="auto" w:fill="CCEEFF"/>
          </w:tcPr>
          <w:p>
            <w:pPr>
              <w:jc w:val="right"/>
              <w:ind w:right="515"/>
              <w:spacing w:after="0" w:line="189"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9,399,999.60</w:t>
            </w:r>
          </w:p>
        </w:tc>
      </w:tr>
      <w:tr>
        <w:trPr>
          <w:trHeight w:val="19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2,583,333</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3,099,999.60</w:t>
            </w:r>
          </w:p>
        </w:tc>
      </w:tr>
      <w:tr>
        <w:trPr>
          <w:trHeight w:val="197"/>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Schenkein 2004 Revocable Trust</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41,666</w:t>
            </w:r>
          </w:p>
        </w:tc>
        <w:tc>
          <w:tcPr>
            <w:tcW w:w="78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49,999.20</w:t>
            </w:r>
          </w:p>
        </w:tc>
      </w:tr>
      <w:tr>
        <w:trPr>
          <w:trHeight w:val="20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Amy Schenkein 2004 Revocable Trust</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41,666</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49,999.20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 Financing</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In November 2014, we issued an aggregate of 24,154,589 shares of our Series C Preferred Stock at a purchase price of $2.07 per share for aggregate consideration of $49.9 million to eighteen investors. The table below sets forth the number of shares of Series C Preferred Stock sold to our directors, executive officers or holders of more than 5% of our capital stock at the time of such issuance, or an affiliate or immediate family member thereof:</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4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Aggregate Purchase Price</w:t>
            </w:r>
          </w:p>
        </w:tc>
        <w:tc>
          <w:tcPr>
            <w:tcW w:w="180" w:type="dxa"/>
            <w:vAlign w:val="bottom"/>
          </w:tcPr>
          <w:p>
            <w:pPr>
              <w:spacing w:after="0"/>
              <w:rPr>
                <w:sz w:val="18"/>
                <w:szCs w:val="18"/>
                <w:color w:val="auto"/>
              </w:rPr>
            </w:pPr>
          </w:p>
        </w:tc>
      </w:tr>
      <w:tr>
        <w:trPr>
          <w:trHeight w:val="190"/>
        </w:trPr>
        <w:tc>
          <w:tcPr>
            <w:tcW w:w="47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Third Rock Ventures II, L.P.</w:t>
            </w:r>
          </w:p>
        </w:tc>
        <w:tc>
          <w:tcPr>
            <w:tcW w:w="18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1,328,502</w:t>
            </w:r>
          </w:p>
        </w:tc>
        <w:tc>
          <w:tcPr>
            <w:tcW w:w="780" w:type="dxa"/>
            <w:vAlign w:val="bottom"/>
            <w:gridSpan w:val="2"/>
            <w:shd w:val="clear" w:color="auto" w:fill="CCEEFF"/>
          </w:tcPr>
          <w:p>
            <w:pPr>
              <w:jc w:val="right"/>
              <w:ind w:right="515"/>
              <w:spacing w:after="0" w:line="189"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2,749,999.14</w:t>
            </w:r>
          </w:p>
        </w:tc>
      </w:tr>
      <w:tr>
        <w:trPr>
          <w:trHeight w:val="19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483,092</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1,000,000.44</w:t>
            </w:r>
          </w:p>
        </w:tc>
      </w:tr>
      <w:tr>
        <w:trPr>
          <w:trHeight w:val="197"/>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David P. Schenkein 2004 Revocable Trust</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60,386</w:t>
            </w:r>
          </w:p>
        </w:tc>
        <w:tc>
          <w:tcPr>
            <w:tcW w:w="78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124,999.02</w:t>
            </w:r>
          </w:p>
        </w:tc>
      </w:tr>
      <w:tr>
        <w:trPr>
          <w:trHeight w:val="207"/>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Amy Schenkein 2004 Revocable Trust</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60,386</w:t>
            </w:r>
          </w:p>
        </w:tc>
        <w:tc>
          <w:tcPr>
            <w:tcW w:w="7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124,999.02</w:t>
            </w: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Agreements with Stockholders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connection with the Series C Preferred Stock financing, we entered into the Second Amended and Restated Investors' Rights Agreement, or Investor's Rights Agreement, dated as of November 7, 2014, with certain of our stockholders, including our principal stockholders and their affiliates and the Second Amended and Restated Stockholders Agreement, or Stockholders Agreement, dated as of November 7, 2014, with certain of our stockholders, including our principal stockholders and their affiliates. All of the provisions of these agreements will terminate immediately upon completion of the offering, other than the provisions relating to registration rights, which will continue in effect following completion of the offering and entitle the holders of such rights to have us register their shares of our common stock for sale in the United States. See "Description of Capital Stock — Registration Rights."</w:t>
      </w:r>
    </w:p>
    <w:p>
      <w:pPr>
        <w:spacing w:after="0" w:line="20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Since inception, we have received consulting and management services from Third Rock Ventures LLC, or Third Rock Ventures, which through its affiliates, has a controlling interest in us. We have paid Third Rock Ventures $3.3 million for these services, including the reimbursement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expenses, from inception through the date of this prospectus. We do not have a written agreement in place with Third Rock Ventures with respect to the provision of consulting and management services. From time to time and at our request, partners and associates of Third Rock Ventures provide us with certain strategic and ordinary course business operations consulting services at fees mutually agreed upon in advance by us and Third Rock Ventures. For example, Third Rock Ventures provided us with the services of Entrepreneurs in Residence, who provided us with scientific leadership services and with executive services. Third Rock Ventures also provided us with the services of its partners, who provided business development advice and executive advice. The consulting and management services fees are payable to Third Rock Ventures pursuant to invoices submitted to us by Third Rock Ventures from time to time. The consulting and management services fees paid to Third Rock Ventures did not exceed 5% of the consolidated gross revenue of Third Rock Ventures during any of the past three fiscal years.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 and Executive Officer Compensation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Please see "Executive and Director Compensation — Director Compensation" for a discussion of options granted to our non-employee directors.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Please see "Executive and Director Compensation — Equity Compensation" for additional information regarding compensation of executive officers.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Employment Agreements</w:t>
      </w:r>
    </w:p>
    <w:p>
      <w:pPr>
        <w:spacing w:after="0" w:line="231"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We have entered into offer letters with our executive officers. For more information regarding these agreements, see "Executive and Director Compensation — Employment Agreements with Our Named Executive Officers."</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Indemnification Agreements and Directors' and Officers' Liability Insurance</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 connection with this offering, we have entered into indemnification agreements with each of our executive officers and directors. We also maintain a general liability insurance policy which covers certain liabilities of directors and officers of our company arising out of claims based on acts or omissions in their capacities as directors or officers.</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Registration Rights Agreements</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We and certain holders of our convertible preferred stock have entered into an Investor's Rights Agreement pursuant to which these stockholders will have, among other things, registration rights under the Securities Act of 1933, as amended, with respect to common stock that they will hold following this offering. Upon the closing of this offering, all outstanding shares of our convertible preferred stock will be converted into common stock. See "Description of Capital Stock — Registration Rights" for a further description of the terms of these agreements.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relating to the beneficial ownership of our common stock as of December 31, 2014, by:</w:t>
      </w:r>
    </w:p>
    <w:p>
      <w:pPr>
        <w:spacing w:after="0" w:line="211"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outstanding shares of common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211" w:lineRule="exact"/>
        <w:rPr>
          <w:sz w:val="20"/>
          <w:szCs w:val="20"/>
          <w:color w:val="auto"/>
        </w:rPr>
      </w:pPr>
    </w:p>
    <w:p>
      <w:pPr>
        <w:ind w:right="220" w:firstLine="470"/>
        <w:spacing w:after="0" w:line="243" w:lineRule="auto"/>
        <w:rPr>
          <w:sz w:val="20"/>
          <w:szCs w:val="20"/>
          <w:color w:val="auto"/>
        </w:rPr>
      </w:pPr>
      <w:r>
        <w:rPr>
          <w:rFonts w:ascii="Arial" w:cs="Arial" w:eastAsia="Arial" w:hAnsi="Arial"/>
          <w:sz w:val="17"/>
          <w:szCs w:val="17"/>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December 31,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percentage of shares beneficially owned is computed on the basis of 17,686,131 shares of our common stock outstanding as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which reflects the assumed conversion of all of our outstanding shares of preferred stock into an aggregate of 15,467,479 shares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Shares of our common stock that a person has the right to acquire within 60 days of December 31, 2014 are deemed outstanding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purposes of computing the percentage ownership of the person holding such rights, but are not deemed outstanding for purposes of computing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percentage ownership of any other person, except with respect to the percentage ownership of all directors and executive officers as a group. Unless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otherwise indicated below, the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address for each beneficial owner listed is c/o Blueprint Medicines Corporation, 215 First Street, Cambridge, MA 02142.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7"/>
                <w:szCs w:val="17"/>
                <w:b w:val="1"/>
                <w:bCs w:val="1"/>
                <w:color w:val="auto"/>
              </w:rPr>
              <w:t>Percentage of shares</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20" w:type="dxa"/>
            <w:vAlign w:val="bottom"/>
            <w:gridSpan w:val="2"/>
            <w:vMerge w:val="restart"/>
          </w:tcPr>
          <w:p>
            <w:pPr>
              <w:jc w:val="center"/>
              <w:ind w:right="420"/>
              <w:spacing w:after="0"/>
              <w:rPr>
                <w:sz w:val="20"/>
                <w:szCs w:val="20"/>
                <w:color w:val="auto"/>
              </w:rPr>
            </w:pPr>
            <w:r>
              <w:rPr>
                <w:rFonts w:ascii="Arial" w:cs="Arial" w:eastAsia="Arial" w:hAnsi="Arial"/>
                <w:sz w:val="17"/>
                <w:szCs w:val="17"/>
                <w:b w:val="1"/>
                <w:bCs w:val="1"/>
                <w:color w:val="auto"/>
                <w:w w:val="99"/>
              </w:rPr>
              <w:t>Number of shares</w:t>
            </w:r>
          </w:p>
        </w:tc>
        <w:tc>
          <w:tcPr>
            <w:tcW w:w="60" w:type="dxa"/>
            <w:vAlign w:val="bottom"/>
          </w:tcPr>
          <w:p>
            <w:pPr>
              <w:spacing w:after="0"/>
              <w:rPr>
                <w:sz w:val="18"/>
                <w:szCs w:val="18"/>
                <w:color w:val="auto"/>
              </w:rPr>
            </w:pPr>
          </w:p>
        </w:tc>
        <w:tc>
          <w:tcPr>
            <w:tcW w:w="2180" w:type="dxa"/>
            <w:vAlign w:val="bottom"/>
            <w:gridSpan w:val="6"/>
          </w:tcPr>
          <w:p>
            <w:pPr>
              <w:jc w:val="right"/>
              <w:ind w:right="440"/>
              <w:spacing w:after="0"/>
              <w:rPr>
                <w:sz w:val="20"/>
                <w:szCs w:val="20"/>
                <w:color w:val="auto"/>
              </w:rPr>
            </w:pPr>
            <w:r>
              <w:rPr>
                <w:rFonts w:ascii="Arial" w:cs="Arial" w:eastAsia="Arial" w:hAnsi="Arial"/>
                <w:sz w:val="17"/>
                <w:szCs w:val="17"/>
                <w:b w:val="1"/>
                <w:bCs w:val="1"/>
                <w:color w:val="auto"/>
              </w:rPr>
              <w:t>beneficially owned</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660"/>
              <w:spacing w:after="0" w:line="173" w:lineRule="exact"/>
              <w:rPr>
                <w:sz w:val="20"/>
                <w:szCs w:val="20"/>
                <w:color w:val="auto"/>
              </w:rPr>
            </w:pPr>
            <w:r>
              <w:rPr>
                <w:rFonts w:ascii="Arial" w:cs="Arial" w:eastAsia="Arial" w:hAnsi="Arial"/>
                <w:sz w:val="17"/>
                <w:szCs w:val="17"/>
                <w:b w:val="1"/>
                <w:bCs w:val="1"/>
                <w:color w:val="auto"/>
              </w:rPr>
              <w:t>Before</w:t>
            </w:r>
          </w:p>
        </w:tc>
        <w:tc>
          <w:tcPr>
            <w:tcW w:w="700" w:type="dxa"/>
            <w:vAlign w:val="bottom"/>
            <w:tcBorders>
              <w:top w:val="single" w:sz="8" w:color="auto"/>
            </w:tcBorders>
            <w:gridSpan w:val="2"/>
          </w:tcPr>
          <w:p>
            <w:pPr>
              <w:jc w:val="right"/>
              <w:ind w:right="180"/>
              <w:spacing w:after="0" w:line="173" w:lineRule="exact"/>
              <w:rPr>
                <w:sz w:val="20"/>
                <w:szCs w:val="20"/>
                <w:color w:val="auto"/>
              </w:rPr>
            </w:pPr>
            <w:r>
              <w:rPr>
                <w:rFonts w:ascii="Arial" w:cs="Arial" w:eastAsia="Arial" w:hAnsi="Arial"/>
                <w:sz w:val="17"/>
                <w:szCs w:val="17"/>
                <w:b w:val="1"/>
                <w:bCs w:val="1"/>
                <w:color w:val="auto"/>
              </w:rPr>
              <w:t>After</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Name and address of beneficial owner(1)</w:t>
            </w:r>
          </w:p>
        </w:tc>
        <w:tc>
          <w:tcPr>
            <w:tcW w:w="13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beneficially owned</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offering</w:t>
            </w:r>
          </w:p>
        </w:tc>
        <w:tc>
          <w:tcPr>
            <w:tcW w:w="6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offering</w:t>
            </w:r>
          </w:p>
        </w:tc>
        <w:tc>
          <w:tcPr>
            <w:tcW w:w="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5% or greater stockholders:</w:t>
            </w:r>
          </w:p>
        </w:tc>
        <w:tc>
          <w:tcPr>
            <w:tcW w:w="1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Third Rock Ventures II, L.P.(2)</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7,393,059</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41.80%</w:t>
            </w: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27.33%</w:t>
            </w: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Beacon Bioventures Fund III Limited Partnership(3)</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2,375,711</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13.43%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4880" w:type="dxa"/>
            <w:vAlign w:val="bottom"/>
            <w:gridSpan w:val="3"/>
          </w:tcPr>
          <w:p>
            <w:pPr>
              <w:ind w:left="20"/>
              <w:spacing w:after="0"/>
              <w:rPr>
                <w:sz w:val="20"/>
                <w:szCs w:val="20"/>
                <w:color w:val="auto"/>
              </w:rPr>
            </w:pPr>
            <w:r>
              <w:rPr>
                <w:rFonts w:ascii="Arial" w:cs="Arial" w:eastAsia="Arial" w:hAnsi="Arial"/>
                <w:sz w:val="17"/>
                <w:szCs w:val="17"/>
                <w:b w:val="1"/>
                <w:bCs w:val="1"/>
                <w:color w:val="auto"/>
              </w:rPr>
              <w:t>Directors and named executive officers: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Jeffrey W. Albers(4)</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196,961</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1.11%</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Anthony L. Boral</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Alexis Borisy(5)</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18,181</w:t>
            </w: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George Demetri(6)</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27,271</w:t>
            </w:r>
          </w:p>
        </w:tc>
        <w:tc>
          <w:tcPr>
            <w:tcW w:w="1380" w:type="dxa"/>
            <w:vAlign w:val="bottom"/>
            <w:gridSpan w:val="3"/>
          </w:tcPr>
          <w:p>
            <w:pPr>
              <w:jc w:val="right"/>
              <w:ind w:right="620"/>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 Lengauer(7)</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184,317</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1.04%</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Stephen C. Knight</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Kyle Kuvalanka(8)</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71,856</w:t>
            </w: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Nicholas Lydon(9)</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272,727</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1.54%</w:t>
            </w: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7"/>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Daniel S. Lynch(10)</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272,727</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1.54%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Thilo Schroeder(11)</w:t>
            </w:r>
          </w:p>
        </w:tc>
        <w:tc>
          <w:tcPr>
            <w:tcW w:w="2020" w:type="dxa"/>
            <w:vAlign w:val="bottom"/>
            <w:gridSpan w:val="2"/>
          </w:tcPr>
          <w:p>
            <w:pPr>
              <w:jc w:val="right"/>
              <w:ind w:right="420"/>
              <w:spacing w:after="0"/>
              <w:rPr>
                <w:sz w:val="20"/>
                <w:szCs w:val="20"/>
                <w:color w:val="auto"/>
              </w:rPr>
            </w:pPr>
            <w:r>
              <w:rPr>
                <w:rFonts w:ascii="Arial" w:cs="Arial" w:eastAsia="Arial" w:hAnsi="Arial"/>
                <w:sz w:val="17"/>
                <w:szCs w:val="17"/>
                <w:color w:val="auto"/>
              </w:rPr>
              <w:t>662,054</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3.74%</w:t>
            </w: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180"/>
        </w:trPr>
        <w:tc>
          <w:tcPr>
            <w:tcW w:w="4880" w:type="dxa"/>
            <w:vAlign w:val="bottom"/>
            <w:gridSpan w:val="3"/>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All executive officers and directors as a group</w:t>
            </w: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880" w:type="dxa"/>
            <w:vAlign w:val="bottom"/>
            <w:gridSpan w:val="3"/>
            <w:shd w:val="clear" w:color="auto" w:fill="CCEEFF"/>
          </w:tcPr>
          <w:p>
            <w:pPr>
              <w:ind w:left="180"/>
              <w:spacing w:after="0"/>
              <w:rPr>
                <w:sz w:val="20"/>
                <w:szCs w:val="20"/>
                <w:color w:val="auto"/>
              </w:rPr>
            </w:pPr>
            <w:r>
              <w:rPr>
                <w:rFonts w:ascii="Arial" w:cs="Arial" w:eastAsia="Arial" w:hAnsi="Arial"/>
                <w:sz w:val="17"/>
                <w:szCs w:val="17"/>
                <w:b w:val="1"/>
                <w:bCs w:val="1"/>
                <w:color w:val="auto"/>
              </w:rPr>
              <w:t>(10 persons)</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1,706,093</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9.58%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hanging="533"/>
        <w:spacing w:after="0"/>
        <w:tabs>
          <w:tab w:leader="none" w:pos="1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 of our outstanding common stock.</w:t>
      </w:r>
    </w:p>
    <w:p>
      <w:pPr>
        <w:spacing w:after="0" w:line="211" w:lineRule="exact"/>
        <w:rPr>
          <w:sz w:val="20"/>
          <w:szCs w:val="20"/>
          <w:color w:val="auto"/>
        </w:rPr>
      </w:pPr>
    </w:p>
    <w:p>
      <w:pPr>
        <w:ind w:left="1680" w:right="500" w:hanging="533"/>
        <w:spacing w:after="0" w:line="252" w:lineRule="auto"/>
        <w:tabs>
          <w:tab w:leader="none" w:pos="1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Unless otherwise indicated, the address for each beneficial owner is c/o Blueprint Medicines Corporation, 215 First Street, Cambridge, Massachusetts 02142.</w:t>
      </w:r>
    </w:p>
    <w:p>
      <w:pPr>
        <w:spacing w:after="0" w:line="179" w:lineRule="exact"/>
        <w:rPr>
          <w:rFonts w:ascii="Arial" w:cs="Arial" w:eastAsia="Arial" w:hAnsi="Arial"/>
          <w:sz w:val="17"/>
          <w:szCs w:val="17"/>
          <w:color w:val="auto"/>
        </w:rPr>
      </w:pPr>
    </w:p>
    <w:p>
      <w:pPr>
        <w:ind w:left="1680" w:hanging="533"/>
        <w:spacing w:after="0" w:line="243" w:lineRule="auto"/>
        <w:tabs>
          <w:tab w:leader="none" w:pos="1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Consists of (i) 5,454,545 shares of common stock issuable upon conversion of series A convertible preferred stock held by Third Rock Ventures II, L.P. ("TRV LP"), (ii) 1,424,242 shares of common stock issuable upon conversion of series B convertible preferred stock held by TRV LP, (iii) 241,545 shares of common stock issuable upon conversion of series C convertible preferred stock held by TRV LP, and (d) 272,727 shares of common stock held by TRV LP. Each of Third Rock Ventures II GP, LP ("TRV GP"), the general partner of TRV LP, and Third Rock Ventures GP, LLC ("TRV LLC"), the general partner of TRV GP, and Mark Levin, Kevin Starr and Robert Tepper, the managers of TRV LLC, may be deemed to share voting and investment power over the shares held of record by TRV LP. The address of TRV LP is 29 Newbury Street, Suite 401, Boston, MA 02142.</w:t>
      </w:r>
    </w:p>
    <w:p>
      <w:pPr>
        <w:spacing w:after="0" w:line="187" w:lineRule="exact"/>
        <w:rPr>
          <w:rFonts w:ascii="Arial" w:cs="Arial" w:eastAsia="Arial" w:hAnsi="Arial"/>
          <w:sz w:val="17"/>
          <w:szCs w:val="17"/>
          <w:color w:val="auto"/>
        </w:rPr>
      </w:pPr>
    </w:p>
    <w:p>
      <w:pPr>
        <w:ind w:left="1680" w:right="20" w:hanging="533"/>
        <w:spacing w:after="0" w:line="242" w:lineRule="auto"/>
        <w:tabs>
          <w:tab w:leader="none" w:pos="1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Consists of (i) 1,818,181 shares of common stock issuable upon conversion of series A convertible preferred stock held by Beacon Bioventures Fund III Limited Partnership ("Beacon Fund"), (ii) 469,696 shares of common stock issuable upon conversion of series B convertible preferred stock held by Beacon Fund, and (iii) 87,834 shares of common stock issuable upon conversion of series C convertible preferred stock held by Beacon Fund. Beacon Bioventures Advisors Fund III Limited Partnership ("Advisors Fund") is the general partner of Beacon Fund. Advisors Fund is solely managed by Impresa Management LLC ("Impresa"), its general partner and investment manager. Each of the individuals and entities listed above expressly disclaims beneficial ownership of the securities listed above except to the extent of any pecuniary interest therein. The address for each of the individuals and entities listed above is One Main Street, Cambridge, MA 02142.</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right="120" w:hanging="533"/>
        <w:spacing w:after="0" w:line="245" w:lineRule="auto"/>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(i) 53,475 shares of common stock issuable upon exercise of stock options within 60 days of December 31, 2014, none of which are vested but are eligible for early exercise, and (ii) 143,486 shares acquired upon an early exercise and held of record by Mr. Albers, all of which are subject to a right of repurchase by us if Mr. Albers does not satisfy the option's vesting requirements. Shares acquired upon an early exercise may not be disposed of until the vesting period has been satisfied.</w:t>
      </w:r>
    </w:p>
    <w:p>
      <w:pPr>
        <w:spacing w:after="0" w:line="198" w:lineRule="exact"/>
        <w:rPr>
          <w:rFonts w:ascii="Arial" w:cs="Arial" w:eastAsia="Arial" w:hAnsi="Arial"/>
          <w:sz w:val="17"/>
          <w:szCs w:val="17"/>
          <w:color w:val="auto"/>
        </w:rPr>
      </w:pPr>
    </w:p>
    <w:p>
      <w:pPr>
        <w:ind w:left="1680" w:hanging="533"/>
        <w:spacing w:after="0"/>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18,181 shares of restricted stock Mr. Borisy holds in his individual capacity.</w:t>
      </w:r>
    </w:p>
    <w:p>
      <w:pPr>
        <w:spacing w:after="0" w:line="197" w:lineRule="exact"/>
        <w:rPr>
          <w:rFonts w:ascii="Arial" w:cs="Arial" w:eastAsia="Arial" w:hAnsi="Arial"/>
          <w:sz w:val="17"/>
          <w:szCs w:val="17"/>
          <w:color w:val="auto"/>
        </w:rPr>
      </w:pPr>
    </w:p>
    <w:p>
      <w:pPr>
        <w:ind w:left="1680" w:right="100" w:hanging="533"/>
        <w:spacing w:after="0" w:line="252" w:lineRule="auto"/>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(i) 18,181 shares of restricted stock, and (ii) 9,090 options to purchase shares of common stock that are exercisable as of December 31, 2014 or will become exercisable within 60 days after such date.</w:t>
      </w:r>
    </w:p>
    <w:p>
      <w:pPr>
        <w:spacing w:after="0" w:line="179" w:lineRule="exact"/>
        <w:rPr>
          <w:rFonts w:ascii="Arial" w:cs="Arial" w:eastAsia="Arial" w:hAnsi="Arial"/>
          <w:sz w:val="17"/>
          <w:szCs w:val="17"/>
          <w:color w:val="auto"/>
        </w:rPr>
      </w:pPr>
    </w:p>
    <w:p>
      <w:pPr>
        <w:ind w:left="1680" w:right="240" w:hanging="533"/>
        <w:spacing w:after="0" w:line="252" w:lineRule="auto"/>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(i) 163,636 shares of restricted stock, and (ii) 20,681 options to purchase common stock that are exercisable as of December 31, 2014 or will become exercisable within 60 days after such date.</w:t>
      </w:r>
    </w:p>
    <w:p>
      <w:pPr>
        <w:spacing w:after="0" w:line="192" w:lineRule="exact"/>
        <w:rPr>
          <w:rFonts w:ascii="Arial" w:cs="Arial" w:eastAsia="Arial" w:hAnsi="Arial"/>
          <w:sz w:val="17"/>
          <w:szCs w:val="17"/>
          <w:color w:val="auto"/>
        </w:rPr>
      </w:pPr>
    </w:p>
    <w:p>
      <w:pPr>
        <w:ind w:left="1680" w:right="700" w:hanging="533"/>
        <w:spacing w:after="0" w:line="241" w:lineRule="auto"/>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(i) 38,186 options to purchase common stock that are exercisable as of December 31, 2014 or will become exercisable within 60 days after such date, and (ii) 33,670 shares acquired upon an early exercise and held of record by</w:t>
      </w:r>
    </w:p>
    <w:p>
      <w:pPr>
        <w:ind w:left="1680"/>
        <w:spacing w:after="0" w:line="252" w:lineRule="auto"/>
        <w:rPr>
          <w:rFonts w:ascii="Arial" w:cs="Arial" w:eastAsia="Arial" w:hAnsi="Arial"/>
          <w:sz w:val="17"/>
          <w:szCs w:val="17"/>
          <w:color w:val="auto"/>
        </w:rPr>
      </w:pPr>
      <w:r>
        <w:rPr>
          <w:rFonts w:ascii="Arial" w:cs="Arial" w:eastAsia="Arial" w:hAnsi="Arial"/>
          <w:sz w:val="17"/>
          <w:szCs w:val="17"/>
          <w:color w:val="auto"/>
        </w:rPr>
        <w:t>Mr. Kuvalanka, of which 23,148 shares are subject to a right of repurchase by us if Mr. Kuvalanka does not satisfy the option's vesting requirements. Shares acquired upon an early exercise may not be disposed of until the vesting period has been satisfied.</w:t>
      </w:r>
    </w:p>
    <w:p>
      <w:pPr>
        <w:spacing w:after="0" w:line="179" w:lineRule="exact"/>
        <w:rPr>
          <w:rFonts w:ascii="Arial" w:cs="Arial" w:eastAsia="Arial" w:hAnsi="Arial"/>
          <w:sz w:val="17"/>
          <w:szCs w:val="17"/>
          <w:color w:val="auto"/>
        </w:rPr>
      </w:pPr>
    </w:p>
    <w:p>
      <w:pPr>
        <w:ind w:left="1680" w:hanging="533"/>
        <w:spacing w:after="0"/>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272,727 shares of restricted stock.</w:t>
      </w:r>
    </w:p>
    <w:p>
      <w:pPr>
        <w:spacing w:after="0" w:line="197" w:lineRule="exact"/>
        <w:rPr>
          <w:rFonts w:ascii="Arial" w:cs="Arial" w:eastAsia="Arial" w:hAnsi="Arial"/>
          <w:sz w:val="17"/>
          <w:szCs w:val="17"/>
          <w:color w:val="auto"/>
        </w:rPr>
      </w:pPr>
    </w:p>
    <w:p>
      <w:pPr>
        <w:ind w:left="1680" w:hanging="533"/>
        <w:spacing w:after="0"/>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272,727 shares of restricted stock.</w:t>
      </w:r>
    </w:p>
    <w:p>
      <w:pPr>
        <w:spacing w:after="0" w:line="210" w:lineRule="exact"/>
        <w:rPr>
          <w:rFonts w:ascii="Arial" w:cs="Arial" w:eastAsia="Arial" w:hAnsi="Arial"/>
          <w:sz w:val="17"/>
          <w:szCs w:val="17"/>
          <w:color w:val="auto"/>
        </w:rPr>
      </w:pPr>
    </w:p>
    <w:p>
      <w:pPr>
        <w:ind w:left="1680" w:right="120" w:hanging="533"/>
        <w:spacing w:after="0" w:line="242" w:lineRule="auto"/>
        <w:tabs>
          <w:tab w:leader="none" w:pos="1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Represents (a) 530,302 shares of common stock issuable upon conversion of Series B convertible preferred stock held by Nextech III Oncology, LPCI ("Nextech III"), and (b) 131,752 shares of common stock issuable upon conversion of Series C convertible preferred stock held by Nextech III. The general partner of Nextech III is Nextech III GP Ltd. Alfred Scheidegger and Roland Ruckstuhl are the managing members of Nextech III GP Ltd. and may be deemed to share dispositive voting and investment power over the shares held by Nextech III. Each of these individuals disclaims beneficial ownership of such shares except to the extent of his pecuniary interest therein. Mr. Schroeder, a member of our board of directors, is a partner of Nextech Invest AG, the investment advisor of Nextech III GP Ltd., and may be deemed to have voting and investment power over the shares held by Nextech III. Mr. Schroeder disclaims beneficial ownership of such shares except to the extent of any pecuniary interest therein.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CAPITAL STOCK</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General</w:t>
      </w:r>
    </w:p>
    <w:p>
      <w:pPr>
        <w:spacing w:after="0" w:line="23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Upon the completion of this offering, our authorized capital stock will consist of 120,000,000 shares of common stock, par value $0.001 per share, and 5,000,000 shares of preferred stock, par value $0.001 per share, all of which will be undesignated, and there will be 25,831,965 shares of common stock outstanding and no shares of convertible preferred stock outstanding. As of March 31, 2015, we had approximately 90 record holders of our capital stock. All of our outstanding shares of convertible preferred stock will automatically convert into shares of our common stock upon the completion of this offering.</w:t>
      </w:r>
    </w:p>
    <w:p>
      <w:pPr>
        <w:spacing w:after="0" w:line="199"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 The descriptions of our common stock and preferred stock reflect amendments to our amended and restated certificate of incorporation and amended and restated by-laws that will become effective immediately prior to the completion of this offering</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Common Stock</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convertible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under "Antitakeover Effects of Delaware Law and Provisions of our Amended and Restated Certificate of Incorporation and Amended and Restated By-laws" below, a majority vote of the holders of common stock is generally required to take action under our amended and restated certificate of incorporation and amended and restated by-laws.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Upon the completion of this offering, our board of directors will be authorized, without action by the stockholders, to designate and issue up to an aggregate of 5,000,000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"Antitakeover Effects of Delaware Law and Provisions of our Amended and Restated Certificate of Incorporation and Amended and Restated By-laws — Provisions of Our Amended and Restated Certificate of Incorporation and Amended and Restated By-Laws — Undesignated Preferred Stock" below.</w:t>
      </w:r>
    </w:p>
    <w:p>
      <w:pPr>
        <w:spacing w:after="0" w:line="199" w:lineRule="exact"/>
        <w:rPr>
          <w:sz w:val="20"/>
          <w:szCs w:val="20"/>
          <w:color w:val="auto"/>
        </w:rPr>
      </w:pPr>
    </w:p>
    <w:p>
      <w:pPr>
        <w:jc w:val="both"/>
        <w:ind w:right="120" w:firstLine="474"/>
        <w:spacing w:after="0" w:line="246" w:lineRule="auto"/>
        <w:rPr>
          <w:sz w:val="20"/>
          <w:szCs w:val="20"/>
          <w:color w:val="auto"/>
        </w:rPr>
      </w:pPr>
      <w:r>
        <w:rPr>
          <w:rFonts w:ascii="Arial" w:cs="Arial" w:eastAsia="Arial" w:hAnsi="Arial"/>
          <w:sz w:val="17"/>
          <w:szCs w:val="17"/>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Warrants</w:t>
      </w:r>
    </w:p>
    <w:p>
      <w:pPr>
        <w:spacing w:after="0" w:line="231" w:lineRule="exact"/>
        <w:rPr>
          <w:sz w:val="20"/>
          <w:szCs w:val="20"/>
          <w:color w:val="auto"/>
        </w:rPr>
      </w:pPr>
    </w:p>
    <w:p>
      <w:pPr>
        <w:ind w:right="140" w:firstLine="464"/>
        <w:spacing w:after="0" w:line="243" w:lineRule="auto"/>
        <w:rPr>
          <w:sz w:val="20"/>
          <w:szCs w:val="20"/>
          <w:color w:val="auto"/>
        </w:rPr>
      </w:pPr>
      <w:r>
        <w:rPr>
          <w:rFonts w:ascii="Arial" w:cs="Arial" w:eastAsia="Arial" w:hAnsi="Arial"/>
          <w:sz w:val="17"/>
          <w:szCs w:val="17"/>
          <w:color w:val="auto"/>
        </w:rPr>
        <w:t>As of December 31, 2014, warrants to purchase a total of 150,000 shares of our Series A Preferred Stock were outstanding with an exercise price of $1.00 per share. These warrants to purchase 150,000 shares of Series A Preferred Stock, which will be converted into warrants to purchase 27,272 shares of common stock upon completion of this offering, are exercisable immediately and expire on May 24, 2023. As of December 31, 2014, warrants to purchase a total of 83,333 shares of our Series B Preferred Stock were outstanding with an exercise price of $1.20 per share. These warrants to purchase 83,333 shares of Series B Preferred Stock, which will be converted into warrants to purchase 15,151 shares of common stock upon completion of this offering, are exercisable immediately and expire on November 3, 2024.</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ind w:right="300" w:firstLine="474"/>
        <w:spacing w:after="0" w:line="244" w:lineRule="auto"/>
        <w:rPr>
          <w:sz w:val="20"/>
          <w:szCs w:val="20"/>
          <w:color w:val="auto"/>
        </w:rPr>
      </w:pPr>
      <w:r>
        <w:rPr>
          <w:rFonts w:ascii="Arial" w:cs="Arial" w:eastAsia="Arial" w:hAnsi="Arial"/>
          <w:sz w:val="17"/>
          <w:szCs w:val="17"/>
          <w:color w:val="auto"/>
        </w:rPr>
        <w:t>We entered into a second amended and restated investors' rights agreement, dated as of November 7, 2014, or Investors' Rights Agreement, with the holders of shares of our common stock issuable upon conversion of the shares of convertible preferred stock. These shares will represent approximately 59.9% of our outstanding common stock after this offering, or 57.2% if the underwriters exercise their option to purchase additional shares in full. These shares also may be sold under Rule 144 under the Securities Act of 1933, as amended, depending on their holding period and subject to restrictions in the case of shares held by persons deemed to be our affiliates.</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registration within 60 days before or 180 days following any offering of our securities, including this offering or a requested S-3 registration within 30 days before or 90 days following any offering of our securities, including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31" w:lineRule="exact"/>
        <w:rPr>
          <w:sz w:val="20"/>
          <w:szCs w:val="20"/>
          <w:color w:val="auto"/>
        </w:rPr>
      </w:pPr>
    </w:p>
    <w:p>
      <w:pPr>
        <w:ind w:right="240" w:firstLine="474"/>
        <w:spacing w:after="0" w:line="246" w:lineRule="auto"/>
        <w:rPr>
          <w:sz w:val="20"/>
          <w:szCs w:val="20"/>
          <w:color w:val="auto"/>
        </w:rPr>
      </w:pPr>
      <w:r>
        <w:rPr>
          <w:rFonts w:ascii="Arial" w:cs="Arial" w:eastAsia="Arial" w:hAnsi="Arial"/>
          <w:sz w:val="17"/>
          <w:szCs w:val="17"/>
          <w:color w:val="auto"/>
        </w:rPr>
        <w:t>Following the six month anniversary of the date of this prospectus, the holders of at least a majority of our registrable shares may require us to file a registration statement under the Securities Act on a Form S-1 or S-3, if available, at our expense with respect to the resale of their registrable shares, and we are required to use our best efforts to effect the registration.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31"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If we propose to register any of our securities under the Securities Act for our own account or the account of any other holder, the holders of registrable shares are entitled to notice of such registration and to request that we include registrable shares for resale on such registration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statement, subject to the right of any underwriter to limit the number of shares included in such registration.</w:t>
      </w:r>
    </w:p>
    <w:p>
      <w:pPr>
        <w:spacing w:after="0" w:line="21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We will pay all registration expenses, other than underwriting discounts and commissions, related to any demand or piggyback registration. The 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8" w:lineRule="exact"/>
        <w:rPr>
          <w:sz w:val="20"/>
          <w:szCs w:val="20"/>
          <w:color w:val="auto"/>
        </w:rPr>
      </w:pPr>
    </w:p>
    <w:p>
      <w:pPr>
        <w:ind w:right="400" w:firstLine="470"/>
        <w:spacing w:after="0" w:line="252" w:lineRule="auto"/>
        <w:rPr>
          <w:sz w:val="20"/>
          <w:szCs w:val="20"/>
          <w:color w:val="auto"/>
        </w:rPr>
      </w:pPr>
      <w:r>
        <w:rPr>
          <w:rFonts w:ascii="Arial" w:cs="Arial" w:eastAsia="Arial" w:hAnsi="Arial"/>
          <w:sz w:val="17"/>
          <w:szCs w:val="17"/>
          <w:color w:val="auto"/>
        </w:rPr>
        <w:t>The registration rights will terminate upon the later of the date on which all registrable shares have been sold and the fifth anniversary of the closing date of this offering.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 Agreement</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entered into a second amended and restated stockholders agreement, dated as of November 7, 2014, or Stockholders Agreement, with all holders of our convertible preferred stock and certain holders of our common stock. This agreement provides for certain rights and obligations, such as board composition requirements and stock transfer restrictions. This agreement will terminate upon the completion of this offering; however, the lock-up provision under the Stockholders Agreement will survive termination pursuant to the terms of the agreement. The lock-up provision under the Investors' Rights Agreement will also be in effect in connection with this offering. See "Shares Eligible for Future Sales — Lock-up Agreements."</w:t>
      </w:r>
    </w:p>
    <w:p>
      <w:pPr>
        <w:spacing w:after="0" w:line="37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Anti-takeover Effects of Delaware Law, Our Amended and Restated Certificate of Incorporation and Our Amended and Restated By-laws</w:t>
      </w:r>
    </w:p>
    <w:p>
      <w:pPr>
        <w:spacing w:after="0" w:line="231" w:lineRule="exact"/>
        <w:rPr>
          <w:sz w:val="20"/>
          <w:szCs w:val="20"/>
          <w:color w:val="auto"/>
        </w:rPr>
      </w:pPr>
    </w:p>
    <w:p>
      <w:pPr>
        <w:jc w:val="both"/>
        <w:ind w:right="240" w:firstLine="474"/>
        <w:spacing w:after="0" w:line="245" w:lineRule="auto"/>
        <w:rPr>
          <w:sz w:val="20"/>
          <w:szCs w:val="20"/>
          <w:color w:val="auto"/>
        </w:rPr>
      </w:pPr>
      <w:r>
        <w:rPr>
          <w:rFonts w:ascii="Arial" w:cs="Arial" w:eastAsia="Arial" w:hAnsi="Arial"/>
          <w:sz w:val="17"/>
          <w:szCs w:val="17"/>
          <w:color w:val="auto"/>
        </w:rPr>
        <w:t>Our amended and restated certificate of incorporation and amended and restated by-laws that will take effect in connection with the closing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Composition and Filling Vacancies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In accordance with our amended and restated certificate of incorporation, our board is divided into three classes serving three-year terms, with one class being elected each year. Our amended and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Written Consent of Stockholders</w:t>
      </w:r>
    </w:p>
    <w:p>
      <w:pPr>
        <w:spacing w:after="0" w:line="231"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231"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stockholders. Our amended and restated by-laws limit the business that may be conducted at an annual meeting of stockholders to those matters properly brought before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23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By-laws and Certificate of Incorporation</w:t>
      </w:r>
    </w:p>
    <w:p>
      <w:pPr>
        <w:spacing w:after="0" w:line="23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Blank Check Preferred Stock</w:t>
      </w:r>
    </w:p>
    <w:p>
      <w:pPr>
        <w:spacing w:after="0" w:line="231"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Our amended and restated certificate of incorporation provides for 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rights, of these holders and may have the effect of delaying, deterring or preventing a change in control of us.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02" w:lineRule="exact"/>
        <w:rPr>
          <w:sz w:val="20"/>
          <w:szCs w:val="20"/>
          <w:color w:val="auto"/>
        </w:rPr>
      </w:pPr>
    </w:p>
    <w:p>
      <w:pPr>
        <w:ind w:right="540" w:firstLine="474"/>
        <w:spacing w:after="0" w:line="252"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w:t>
      </w:r>
    </w:p>
    <w:p>
      <w:pPr>
        <w:spacing w:after="0" w:line="193" w:lineRule="exact"/>
        <w:rPr>
          <w:sz w:val="20"/>
          <w:szCs w:val="20"/>
          <w:color w:val="auto"/>
        </w:rPr>
      </w:pPr>
    </w:p>
    <w:p>
      <w:pPr>
        <w:ind w:left="1060" w:right="480" w:hanging="531"/>
        <w:spacing w:after="0" w:line="25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92" w:lineRule="exact"/>
        <w:rPr>
          <w:rFonts w:ascii="Arial" w:cs="Arial" w:eastAsia="Arial" w:hAnsi="Arial"/>
          <w:sz w:val="17"/>
          <w:szCs w:val="17"/>
          <w:color w:val="auto"/>
        </w:rPr>
      </w:pPr>
    </w:p>
    <w:p>
      <w:pPr>
        <w:ind w:left="1060" w:right="180" w:hanging="531"/>
        <w:spacing w:after="0" w:line="245"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85" w:lineRule="exact"/>
        <w:rPr>
          <w:rFonts w:ascii="Arial" w:cs="Arial" w:eastAsia="Arial" w:hAnsi="Arial"/>
          <w:sz w:val="17"/>
          <w:szCs w:val="17"/>
          <w:color w:val="auto"/>
        </w:rPr>
      </w:pPr>
    </w:p>
    <w:p>
      <w:pPr>
        <w:ind w:left="1060" w:right="680" w:hanging="531"/>
        <w:spacing w:after="0" w:line="246"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9"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amended and restated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NASDAQ Global Select Market Listing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common stock has been approved for listing on The NASDAQ Global Select Market under the trading symbol "BPMC."</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250 Royall Street, Canton, Massachusetts, 02021.</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Sale of Restricted Shares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Upon the closing of this offering, based on the number of shares of our common stock outstanding as of December 31, 2014, including 425,279 shares of unvested restricted stock subject to repurchase by us and 166,635 stock options that were exercised prior to vesting, and assuming (1) the conversion of our outstanding convertible preferred stock into common stock, (2) no exercise of the underwriters' option to purchase additional shares of common stock and (3) no exercise of outstanding options or warrants, we will have outstanding an aggregate of approximately 25,831,965 shares of common stock. Of these shares, all of the 8,145,834 shares of common stock to be sold in this offering, and any shares sold upon exercise of the underwriters' option to purchase 1,221,874 additional shares will be freely tradable in the public market without restriction or further registration under the Securities Act of 1933, as amended, or the Securities Act, unless the shares are held by any of our "affiliates" as such term is defined in Rule 144 of the Securities Act.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05" w:lineRule="exact"/>
        <w:rPr>
          <w:sz w:val="20"/>
          <w:szCs w:val="20"/>
          <w:color w:val="auto"/>
        </w:rPr>
      </w:pPr>
    </w:p>
    <w:p>
      <w:pPr>
        <w:ind w:right="160" w:firstLine="464"/>
        <w:spacing w:after="0" w:line="252" w:lineRule="auto"/>
        <w:rPr>
          <w:sz w:val="20"/>
          <w:szCs w:val="20"/>
          <w:color w:val="auto"/>
        </w:rPr>
      </w:pPr>
      <w:r>
        <w:rPr>
          <w:rFonts w:ascii="Arial" w:cs="Arial" w:eastAsia="Arial" w:hAnsi="Arial"/>
          <w:sz w:val="17"/>
          <w:szCs w:val="17"/>
          <w:color w:val="auto"/>
        </w:rPr>
        <w:t>As a result of the lock-up agreements referred to below and the provisions of Rule 144 and Rule 701 under the Securities Act, the shares of our common stock (excluding the shares sold in this offering) that will be available for sale in the public market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Approximate Number of Shares</w:t>
            </w:r>
          </w:p>
        </w:tc>
        <w:tc>
          <w:tcPr>
            <w:tcW w:w="380" w:type="dxa"/>
            <w:vAlign w:val="bottom"/>
          </w:tcPr>
          <w:p>
            <w:pPr>
              <w:spacing w:after="0"/>
              <w:rPr>
                <w:sz w:val="17"/>
                <w:szCs w:val="17"/>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First Date Available for Sale into Public Market</w:t>
            </w:r>
          </w:p>
        </w:tc>
      </w:tr>
      <w:tr>
        <w:trPr>
          <w:trHeight w:val="430"/>
        </w:trPr>
        <w:tc>
          <w:tcPr>
            <w:tcW w:w="2920" w:type="dxa"/>
            <w:vAlign w:val="bottom"/>
          </w:tcPr>
          <w:p>
            <w:pPr>
              <w:ind w:left="20"/>
              <w:spacing w:after="0"/>
              <w:rPr>
                <w:sz w:val="20"/>
                <w:szCs w:val="20"/>
                <w:color w:val="auto"/>
              </w:rPr>
            </w:pPr>
            <w:r>
              <w:rPr>
                <w:rFonts w:ascii="Arial" w:cs="Arial" w:eastAsia="Arial" w:hAnsi="Arial"/>
                <w:sz w:val="17"/>
                <w:szCs w:val="17"/>
                <w:color w:val="auto"/>
              </w:rPr>
              <w:t>13,294,402 shares</w:t>
            </w:r>
          </w:p>
        </w:tc>
        <w:tc>
          <w:tcPr>
            <w:tcW w:w="3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180 days after the date of this prospectus upon expiration of the lock-up</w:t>
            </w:r>
          </w:p>
        </w:tc>
      </w:tr>
      <w:tr>
        <w:trPr>
          <w:trHeight w:val="197"/>
        </w:trPr>
        <w:tc>
          <w:tcPr>
            <w:tcW w:w="2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agreements referred to below, subject in some cases to applicable volume</w:t>
            </w:r>
          </w:p>
        </w:tc>
      </w:tr>
      <w:tr>
        <w:trPr>
          <w:trHeight w:val="204"/>
        </w:trPr>
        <w:tc>
          <w:tcPr>
            <w:tcW w:w="2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limitations under Rule 144</w:t>
            </w:r>
          </w:p>
        </w:tc>
      </w:tr>
    </w:tbl>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jc w:val="both"/>
        <w:ind w:right="40" w:firstLine="474"/>
        <w:spacing w:after="0" w:line="244" w:lineRule="auto"/>
        <w:rPr>
          <w:sz w:val="20"/>
          <w:szCs w:val="20"/>
          <w:color w:val="auto"/>
        </w:rPr>
      </w:pPr>
      <w:r>
        <w:rPr>
          <w:rFonts w:ascii="Arial" w:cs="Arial" w:eastAsia="Arial" w:hAnsi="Arial"/>
          <w:sz w:val="17"/>
          <w:szCs w:val="17"/>
          <w:color w:val="auto"/>
        </w:rPr>
        <w:t>In connection with this offering, we, our directors, our executive officers and stockholders holding substantially all of our shares of common stock outstanding as of December 31, 2014 (assuming conversion of all of our outstanding shares of convertible preferred stock), and substantially all of our option holders who are not also stockholders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180 days after the date of this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prospectus, except with the prior written consent of Goldman, Sachs &amp; Co. and Cowen and Company, LLC, together the representatives of the underwriters. The representatives of the underwriters have advised us that they have no current intent or arrangement to release any of the shares subject to the lock-up agreements prior to the expiration of the lock-up period.</w:t>
      </w:r>
    </w:p>
    <w:p>
      <w:pPr>
        <w:spacing w:after="0" w:line="199" w:lineRule="exact"/>
        <w:rPr>
          <w:sz w:val="20"/>
          <w:szCs w:val="20"/>
          <w:color w:val="auto"/>
        </w:rPr>
      </w:pPr>
    </w:p>
    <w:p>
      <w:pPr>
        <w:jc w:val="both"/>
        <w:ind w:right="340" w:firstLine="474"/>
        <w:spacing w:after="0" w:line="24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99"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In addition, pursuant to each of our second amended and restated investors' rights agreement and second amended and restated stockholders' agreement, the parties thereto have agreed that, if requested in writing by the representatives of the underwriters of the initial public offering of our securities, they will not sell, make any short sale of, grant any option for the purchase of, or otherwise dispose of any shares of our stock during the same 180-day restricted period referred to above. We expect the representatives of the underwriters to invoke this written request prior to the completion of this offering and, accordingly, that the parties to these agreements will be subject to the related transaction restrictions.</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Rule 144</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Securities Exchange Act of 1934, as amended, or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sales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204" w:lineRule="exact"/>
        <w:rPr>
          <w:sz w:val="20"/>
          <w:szCs w:val="20"/>
          <w:color w:val="auto"/>
        </w:rPr>
      </w:pPr>
    </w:p>
    <w:p>
      <w:pPr>
        <w:ind w:left="1060" w:right="340" w:hanging="531"/>
        <w:spacing w:after="0" w:line="245"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1% of the number of common shares then outstanding, which will equal approximately 258,319 shares of common stock immediately after this offering (calculated on the basis of the number of shares of our common stock outstanding as of December 31, 2014, the assumptions described above and assuming no exercise of the underwriter's option to purchase additional shares and no exercise of outstanding options or warrants); or</w:t>
      </w:r>
    </w:p>
    <w:p>
      <w:pPr>
        <w:spacing w:after="0" w:line="198" w:lineRule="exact"/>
        <w:rPr>
          <w:rFonts w:ascii="Arial" w:cs="Arial" w:eastAsia="Arial" w:hAnsi="Arial"/>
          <w:sz w:val="17"/>
          <w:szCs w:val="17"/>
          <w:color w:val="auto"/>
        </w:rPr>
      </w:pPr>
    </w:p>
    <w:p>
      <w:pPr>
        <w:ind w:left="1060" w:right="740" w:hanging="531"/>
        <w:spacing w:after="0" w:line="25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Select Market during the four calendar weeks preceding the filing of a notice on Form 144 with respect to such sale.</w:t>
      </w:r>
    </w:p>
    <w:p>
      <w:pPr>
        <w:spacing w:after="0" w:line="193" w:lineRule="exact"/>
        <w:rPr>
          <w:sz w:val="20"/>
          <w:szCs w:val="20"/>
          <w:color w:val="auto"/>
        </w:rPr>
      </w:pPr>
    </w:p>
    <w:p>
      <w:pPr>
        <w:ind w:right="440" w:firstLine="474"/>
        <w:spacing w:after="0" w:line="252"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Rule 701</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below, if applicable).</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Equity Incentive Plans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We intend to file with the SEC a registration statement under the Securities Act covering the shares of common stock that we may issue upon exercise of outstanding options reserved for issuance under the 2011 Stock Option Plan and the 2015 Plan.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31"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and will not seek any ruling from the Internal Revenue Service (the "IRS"), with respect to the statements made and the conclusions reached in the following summary, and there can be no assurance that the IRS or a court will agree with such statements and conclusions.</w:t>
      </w:r>
    </w:p>
    <w:p>
      <w:pPr>
        <w:spacing w:after="0" w:line="20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This summary also does not address the tax considerations arising under the laws of any U.S. state or local or any non-U.S. jurisdiction, the Medicare tax on net investment income or any alternative minimum tax consequences. In addition, this discussion does not address tax considerations applicable to a Non-U.S. Holder's particular circumstances or to a Non-U.S. Holder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tax-exempt or government organizations;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capital stock;</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97"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192"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 (generally, for investment purposes);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pension plans;</w:t>
      </w:r>
    </w:p>
    <w:p>
      <w:pPr>
        <w:spacing w:after="0" w:line="197"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 corporations, partnerships, or other entities or arrangements treated as partnerships for U.S. federal income tax purposes, or investors in any such entities);</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for whom our stock constitutes "qualified small business stock" within the meaning of Section 1202 of the Code;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integral parts or controlled entities of foreign sovereigns;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passive foreign investment companies and corporations that accumulate earnings to avoid U.S. federal income tax;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that acquire our common stock as compensation for services.</w:t>
      </w:r>
    </w:p>
    <w:p>
      <w:pPr>
        <w:spacing w:after="0" w:line="211" w:lineRule="exact"/>
        <w:rPr>
          <w:sz w:val="20"/>
          <w:szCs w:val="20"/>
          <w:color w:val="auto"/>
        </w:rPr>
      </w:pPr>
    </w:p>
    <w:p>
      <w:pPr>
        <w:ind w:right="520" w:firstLine="474"/>
        <w:spacing w:after="0" w:line="252" w:lineRule="auto"/>
        <w:rPr>
          <w:sz w:val="20"/>
          <w:szCs w:val="20"/>
          <w:color w:val="auto"/>
        </w:rPr>
      </w:pPr>
      <w:r>
        <w:rPr>
          <w:rFonts w:ascii="Arial" w:cs="Arial" w:eastAsia="Arial" w:hAnsi="Arial"/>
          <w:sz w:val="17"/>
          <w:szCs w:val="17"/>
          <w:color w:val="auto"/>
        </w:rPr>
        <w:t>In addition, if a partnership, including any entity or arrangement classified as a partnership for U.S. federal income tax purposes, holds our common stock, the tax treatment of a partner generally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purchase, ownership, and disposition of our common stock.</w:t>
      </w:r>
    </w:p>
    <w:p>
      <w:pPr>
        <w:spacing w:after="0" w:line="199"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 of a Non-U.S. Holder</w:t>
      </w:r>
    </w:p>
    <w:p>
      <w:pPr>
        <w:spacing w:after="0" w:line="231"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For purposes of this summary, a "Non-U.S. Holder" is any beneficial owner of our common stock that is not a "U.S. person," a partnership, or an entity disregarded from its owner, each for U.S. federal income tax purposes. A U.S. person is any person that, for U.S. federal income tax purposes, is or is treated as any of the following:</w:t>
      </w:r>
    </w:p>
    <w:p>
      <w:pPr>
        <w:spacing w:after="0" w:line="199"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10"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United States, any state thereof, or the District of Columbia;</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97"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Distributions</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but not below zero. Any excess will be treated as capital gain and will be treated as described below under "Gain on Sale or Other Disposition of Common Stock."</w:t>
      </w:r>
    </w:p>
    <w:p>
      <w:pPr>
        <w:spacing w:after="0" w:line="19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In order to receive a reduced treaty rate, a Non-U.S. Holder must provide us with an IRS Form W-8BEN (generally including a U.S. taxpayer identification number), IRS Form W-8-BEN-E or another appropriate version of IRS Form W-8 (or a successor form), in each case,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Dividends paid to a Non-U.S. Holder that are effectively connected with the Non-U.S. Holder's conduct of a U.S. trade or business within the United States (and, if required by an applicable income tax treaty, are attributable to a permanent establishment maintained by the Non-U.S. Holder in the United States) generally are exempt from the withholding tax described above. In order to</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obtain this exemption, the Non-U.S. Holder must provide the applicable withholding agent with an IRS Form W-8ECI or successor form or other applicable IRS Form W-8 certifying that the dividends are effectively connected with the Non-U.S. Holder's conduct of a trade or business within the United States. Such effectively connected dividends, although not subject to withholding tax, are taxed at the same graduated rates applicable to U.S. persons, net of certain deductions and credits, subject to an applicable income tax treaty providing otherwise. In addition, if you are Non-U.S. Holder that is a corporation, dividends you receive that are effectively connected with your conduct of a U.S. trade or business (and, if an income tax treaty applies, are attributable to a permanent establishment maintained by the you in the United States) may also be subject to a branch profits tax at a rate of 30% (or such lower rate as may be specified by an applicable income tax treaty) on such effectively connected dividends, as adjusted for certain items.</w:t>
      </w:r>
    </w:p>
    <w:p>
      <w:pPr>
        <w:spacing w:after="0" w:line="206" w:lineRule="exact"/>
        <w:rPr>
          <w:sz w:val="20"/>
          <w:szCs w:val="20"/>
          <w:color w:val="auto"/>
        </w:rPr>
      </w:pPr>
    </w:p>
    <w:p>
      <w:pPr>
        <w:ind w:right="540" w:firstLine="474"/>
        <w:spacing w:after="0" w:line="25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file an appropriate claim for refund with the IRS.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Gain on Sale or Other Disposition of Common Stock</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Subject to the discussion below regarding backup withholding and FATCA, a Non-U.S. Holder generally will not be required to pay U.S. federal income tax on any gain realized upon the sale or other disposition of our common stock unless:</w:t>
      </w:r>
    </w:p>
    <w:p>
      <w:pPr>
        <w:spacing w:after="0" w:line="193" w:lineRule="exact"/>
        <w:rPr>
          <w:sz w:val="20"/>
          <w:szCs w:val="20"/>
          <w:color w:val="auto"/>
        </w:rPr>
      </w:pPr>
    </w:p>
    <w:p>
      <w:pPr>
        <w:ind w:left="1060" w:hanging="531"/>
        <w:spacing w:after="0" w:line="24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an income tax treaty applies, the gain is attributable to a permanent establishment maintained by the Non-U.S. Holder in the U.S.), in which case the Non-U.S. Holder will be required to pay tax on the net gain derived from the sale under regular graduated U.S. federal income tax rates, and for a Non-U.S. Holder that is a corporation, such Non-U.S. Holder may be subject to the branch profits tax at a 30% rate (or such lower rate as may be specified by an applicable income tax treaty) on such effectively connected dividends, as adjusted for certain items;</w:t>
      </w:r>
    </w:p>
    <w:p>
      <w:pPr>
        <w:spacing w:after="0" w:line="199" w:lineRule="exact"/>
        <w:rPr>
          <w:rFonts w:ascii="Arial" w:cs="Arial" w:eastAsia="Arial" w:hAnsi="Arial"/>
          <w:sz w:val="17"/>
          <w:szCs w:val="17"/>
          <w:color w:val="auto"/>
        </w:rPr>
      </w:pPr>
    </w:p>
    <w:p>
      <w:pPr>
        <w:ind w:left="1060" w:right="80" w:hanging="531"/>
        <w:spacing w:after="0" w:line="245"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during the calendar year in which the sale or disposition occurs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or</w:t>
      </w:r>
    </w:p>
    <w:p>
      <w:pPr>
        <w:spacing w:after="0" w:line="185" w:lineRule="exact"/>
        <w:rPr>
          <w:rFonts w:ascii="Arial" w:cs="Arial" w:eastAsia="Arial" w:hAnsi="Arial"/>
          <w:sz w:val="17"/>
          <w:szCs w:val="17"/>
          <w:color w:val="auto"/>
        </w:rPr>
      </w:pPr>
    </w:p>
    <w:p>
      <w:pPr>
        <w:ind w:left="1060" w:right="80" w:hanging="531"/>
        <w:spacing w:after="0" w:line="24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a USRPHC, at any time within the shorter of the five-year period preceding the disposition or the Non-U.S. Holder's holding period for our common stock. We believe we are not currently and do not anticipate becoming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U.S. federal income tax as long as our common stock is regularly traded on an established securities market and such Non-U.S. Holder does not, actually or constructively, hold more than five percent of our common stock at any time during the applicable period that is specified in the Code. If the foregoing exception does not apply, then if we are or were to become a USRPHC a 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Generally, we must file information returns annually to the IRS in connection with any dividends on our common stock paid to a Non-U.S. Holder, regardless of whether any tax was actually withheld. A similar report will be sent to the Non-U.S. Holder. Pursuant to applicable income tax treaties or other agreements, the IRS may make these reports available to tax authorities in the Non-U.S. Holder's country of residence.</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additional information reporting and backup withholding at a current rate of 28% unless such Non-U.S. Holder establishes an exemption, for example by properly certifying its non-U.S. status on an IRS Form W-8BEN, IRS Form W-8BEN-E, IRS Form W-8ECI, or another appropriate version of IRS Form W-8 (or a successor form). Notwithstanding the foregoing, backup withholding and information reporting may apply if either we or our paying agent has actual knowledge, or reason to know, that a holder is a U.S. person.</w:t>
      </w:r>
    </w:p>
    <w:p>
      <w:pPr>
        <w:spacing w:after="0" w:line="199" w:lineRule="exact"/>
        <w:rPr>
          <w:sz w:val="20"/>
          <w:szCs w:val="20"/>
          <w:color w:val="auto"/>
        </w:rPr>
      </w:pPr>
    </w:p>
    <w:p>
      <w:pPr>
        <w:jc w:val="both"/>
        <w:ind w:right="160" w:firstLine="474"/>
        <w:spacing w:after="0" w:line="246"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Foreign Account Tax Compliance Act ("FATCA")</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Foreign Account Tax Compliance Act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Treasury requiring, among other things, that it undertake to identify accounts held by "specified United States persons" or "United States-owned foreign entities" (each as defined in the Code),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Department of the Treasury. Under final regulations and published guidance, the obligation to withhold from payments made to a foreign financial institution or a foreign non-financial entity under FATCA with respect to dividends on our common stock began on July 1, 2014, but with respect to the gross proceeds of a sale or other disposition of our common stock will not begin until January 1, 2017. Prospective investors should consult their tax advisors regarding FATCA.</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Federal Estate Tax</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Common stock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9" w:lineRule="exact"/>
        <w:rPr>
          <w:sz w:val="20"/>
          <w:szCs w:val="20"/>
          <w:color w:val="auto"/>
        </w:rPr>
      </w:pPr>
    </w:p>
    <w:p>
      <w:pPr>
        <w:ind w:right="220" w:firstLine="473"/>
        <w:spacing w:after="0" w:line="259" w:lineRule="auto"/>
        <w:rPr>
          <w:sz w:val="20"/>
          <w:szCs w:val="20"/>
          <w:color w:val="auto"/>
        </w:rPr>
      </w:pPr>
      <w:r>
        <w:rPr>
          <w:rFonts w:ascii="Arial" w:cs="Arial" w:eastAsia="Arial" w:hAnsi="Arial"/>
          <w:sz w:val="17"/>
          <w:szCs w:val="17"/>
          <w:b w:val="1"/>
          <w:bCs w:val="1"/>
          <w:color w:val="auto"/>
        </w:rPr>
        <w:t>The preceding discussion of U.S. federal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UNDERWRITING</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have entered into an underwriting agreement with the underwriters named below with respect to the shares being offered. Subject to certain conditions, each underwriter has severally agreed to purchase the number of shares indicated in the following table. Goldman, Sachs &amp; Co. and Cowen and Company, LLC are the representatives of the underwriters.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110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Number</w:t>
            </w:r>
          </w:p>
        </w:tc>
      </w:tr>
      <w:tr>
        <w:trPr>
          <w:trHeight w:val="214"/>
        </w:trPr>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Underwriters</w:t>
            </w:r>
          </w:p>
        </w:tc>
        <w:tc>
          <w:tcPr>
            <w:tcW w:w="5860" w:type="dxa"/>
            <w:vAlign w:val="bottom"/>
            <w:gridSpan w:val="2"/>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of Shares</w:t>
            </w:r>
          </w:p>
        </w:tc>
        <w:tc>
          <w:tcPr>
            <w:tcW w:w="200" w:type="dxa"/>
            <w:vAlign w:val="bottom"/>
            <w:gridSpan w:val="2"/>
          </w:tcPr>
          <w:p>
            <w:pPr>
              <w:spacing w:after="0"/>
              <w:rPr>
                <w:sz w:val="18"/>
                <w:szCs w:val="18"/>
                <w:color w:val="auto"/>
              </w:rPr>
            </w:pPr>
          </w:p>
        </w:tc>
      </w:tr>
      <w:tr>
        <w:trPr>
          <w:trHeight w:val="190"/>
        </w:trPr>
        <w:tc>
          <w:tcPr>
            <w:tcW w:w="69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Goldman, Sachs &amp; Co.</w:t>
            </w:r>
          </w:p>
        </w:tc>
        <w:tc>
          <w:tcPr>
            <w:tcW w:w="8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3,665,626</w:t>
            </w:r>
          </w:p>
        </w:tc>
        <w:tc>
          <w:tcPr>
            <w:tcW w:w="160" w:type="dxa"/>
            <w:vAlign w:val="bottom"/>
            <w:shd w:val="clear" w:color="auto" w:fill="CCEEFF"/>
          </w:tcPr>
          <w:p>
            <w:pPr>
              <w:spacing w:after="0"/>
              <w:rPr>
                <w:sz w:val="16"/>
                <w:szCs w:val="16"/>
                <w:color w:val="auto"/>
              </w:rPr>
            </w:pPr>
          </w:p>
        </w:tc>
      </w:tr>
      <w:tr>
        <w:trPr>
          <w:trHeight w:val="197"/>
        </w:trPr>
        <w:tc>
          <w:tcPr>
            <w:tcW w:w="6960" w:type="dxa"/>
            <w:vAlign w:val="bottom"/>
            <w:gridSpan w:val="3"/>
          </w:tcPr>
          <w:p>
            <w:pPr>
              <w:spacing w:after="0"/>
              <w:rPr>
                <w:sz w:val="20"/>
                <w:szCs w:val="20"/>
                <w:color w:val="auto"/>
              </w:rPr>
            </w:pPr>
            <w:r>
              <w:rPr>
                <w:rFonts w:ascii="Arial" w:cs="Arial" w:eastAsia="Arial" w:hAnsi="Arial"/>
                <w:sz w:val="17"/>
                <w:szCs w:val="17"/>
                <w:color w:val="auto"/>
              </w:rPr>
              <w:t>Cowen and Company, LLC</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2,647,396</w:t>
            </w:r>
          </w:p>
        </w:tc>
        <w:tc>
          <w:tcPr>
            <w:tcW w:w="160" w:type="dxa"/>
            <w:vAlign w:val="bottom"/>
          </w:tcPr>
          <w:p>
            <w:pPr>
              <w:spacing w:after="0"/>
              <w:rPr>
                <w:sz w:val="17"/>
                <w:szCs w:val="17"/>
                <w:color w:val="auto"/>
              </w:rPr>
            </w:pPr>
          </w:p>
        </w:tc>
      </w:tr>
      <w:tr>
        <w:trPr>
          <w:trHeight w:val="197"/>
        </w:trPr>
        <w:tc>
          <w:tcPr>
            <w:tcW w:w="6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JMP Securities LLC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916,406</w:t>
            </w:r>
          </w:p>
        </w:tc>
        <w:tc>
          <w:tcPr>
            <w:tcW w:w="160" w:type="dxa"/>
            <w:vAlign w:val="bottom"/>
            <w:shd w:val="clear" w:color="auto" w:fill="CCEEFF"/>
          </w:tcPr>
          <w:p>
            <w:pPr>
              <w:spacing w:after="0"/>
              <w:rPr>
                <w:sz w:val="17"/>
                <w:szCs w:val="17"/>
                <w:color w:val="auto"/>
              </w:rPr>
            </w:pPr>
          </w:p>
        </w:tc>
      </w:tr>
      <w:tr>
        <w:trPr>
          <w:trHeight w:val="197"/>
        </w:trPr>
        <w:tc>
          <w:tcPr>
            <w:tcW w:w="6920" w:type="dxa"/>
            <w:vAlign w:val="bottom"/>
            <w:gridSpan w:val="2"/>
          </w:tcPr>
          <w:p>
            <w:pPr>
              <w:spacing w:after="0"/>
              <w:rPr>
                <w:sz w:val="20"/>
                <w:szCs w:val="20"/>
                <w:color w:val="auto"/>
              </w:rPr>
            </w:pPr>
            <w:r>
              <w:rPr>
                <w:rFonts w:ascii="Arial" w:cs="Arial" w:eastAsia="Arial" w:hAnsi="Arial"/>
                <w:sz w:val="17"/>
                <w:szCs w:val="17"/>
                <w:color w:val="auto"/>
              </w:rPr>
              <w:t>Wedbush Securities Inc.</w:t>
            </w: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916,406</w:t>
            </w:r>
          </w:p>
        </w:tc>
        <w:tc>
          <w:tcPr>
            <w:tcW w:w="160" w:type="dxa"/>
            <w:vAlign w:val="bottom"/>
          </w:tcPr>
          <w:p>
            <w:pPr>
              <w:spacing w:after="0"/>
              <w:rPr>
                <w:sz w:val="17"/>
                <w:szCs w:val="17"/>
                <w:color w:val="auto"/>
              </w:rPr>
            </w:pPr>
          </w:p>
        </w:tc>
      </w:tr>
      <w:tr>
        <w:trPr>
          <w:trHeight w:val="190"/>
        </w:trPr>
        <w:tc>
          <w:tcPr>
            <w:tcW w:w="696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Total</w:t>
            </w:r>
          </w:p>
        </w:tc>
        <w:tc>
          <w:tcPr>
            <w:tcW w:w="8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8,145,834</w:t>
            </w:r>
          </w:p>
        </w:tc>
        <w:tc>
          <w:tcPr>
            <w:tcW w:w="160" w:type="dxa"/>
            <w:vAlign w:val="bottom"/>
            <w:shd w:val="clear" w:color="auto" w:fill="CCEEFF"/>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20" w:firstLine="470"/>
        <w:spacing w:after="0" w:line="252"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93" w:lineRule="exact"/>
        <w:rPr>
          <w:sz w:val="20"/>
          <w:szCs w:val="20"/>
          <w:color w:val="auto"/>
        </w:rPr>
      </w:pPr>
    </w:p>
    <w:p>
      <w:pPr>
        <w:ind w:right="220" w:firstLine="470"/>
        <w:spacing w:after="0" w:line="246" w:lineRule="auto"/>
        <w:rPr>
          <w:sz w:val="20"/>
          <w:szCs w:val="20"/>
          <w:color w:val="auto"/>
        </w:rPr>
      </w:pPr>
      <w:r>
        <w:rPr>
          <w:rFonts w:ascii="Arial" w:cs="Arial" w:eastAsia="Arial" w:hAnsi="Arial"/>
          <w:sz w:val="17"/>
          <w:szCs w:val="17"/>
          <w:color w:val="auto"/>
        </w:rPr>
        <w:t>The underwriters have an option to buy up to an additional 1,221,874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9"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Such amounts are shown assuming both no exercise and full exercise of the underwriters' option to purchase 1,221,874 additional shares.</w:t>
      </w:r>
    </w:p>
    <w:p>
      <w:pPr>
        <w:spacing w:after="0" w:line="369" w:lineRule="exact"/>
        <w:rPr>
          <w:sz w:val="20"/>
          <w:szCs w:val="20"/>
          <w:color w:val="auto"/>
        </w:rPr>
      </w:pPr>
    </w:p>
    <w:tbl>
      <w:tblPr>
        <w:tblLayout w:type="fixed"/>
        <w:tblInd w:w="1720" w:type="dxa"/>
        <w:tblCellMar>
          <w:top w:w="0" w:type="dxa"/>
          <w:left w:w="0" w:type="dxa"/>
          <w:bottom w:w="0" w:type="dxa"/>
          <w:right w:w="0" w:type="dxa"/>
        </w:tblCellMar>
      </w:tblPr>
      <w:tr>
        <w:trPr>
          <w:trHeight w:val="224"/>
        </w:trPr>
        <w:tc>
          <w:tcPr>
            <w:tcW w:w="1940" w:type="dxa"/>
            <w:vAlign w:val="bottom"/>
          </w:tcPr>
          <w:p>
            <w:pPr>
              <w:spacing w:after="0"/>
              <w:rPr>
                <w:sz w:val="19"/>
                <w:szCs w:val="19"/>
                <w:color w:val="auto"/>
              </w:rPr>
            </w:pPr>
          </w:p>
        </w:tc>
        <w:tc>
          <w:tcPr>
            <w:tcW w:w="4760" w:type="dxa"/>
            <w:vAlign w:val="bottom"/>
            <w:gridSpan w:val="3"/>
          </w:tcPr>
          <w:p>
            <w:pPr>
              <w:jc w:val="right"/>
              <w:ind w:right="1860"/>
              <w:spacing w:after="0"/>
              <w:rPr>
                <w:sz w:val="20"/>
                <w:szCs w:val="20"/>
                <w:color w:val="auto"/>
              </w:rPr>
            </w:pPr>
            <w:r>
              <w:rPr>
                <w:rFonts w:ascii="Arial" w:cs="Arial" w:eastAsia="Arial" w:hAnsi="Arial"/>
                <w:sz w:val="17"/>
                <w:szCs w:val="17"/>
                <w:b w:val="1"/>
                <w:bCs w:val="1"/>
                <w:color w:val="auto"/>
              </w:rPr>
              <w:t>Paid by the Company</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9"/>
        </w:trPr>
        <w:tc>
          <w:tcPr>
            <w:tcW w:w="1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rPr>
              <w:t>No</w:t>
            </w:r>
          </w:p>
        </w:tc>
        <w:tc>
          <w:tcPr>
            <w:tcW w:w="20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Full</w:t>
            </w:r>
          </w:p>
        </w:tc>
      </w:tr>
      <w:tr>
        <w:trPr>
          <w:trHeight w:val="214"/>
        </w:trPr>
        <w:tc>
          <w:tcPr>
            <w:tcW w:w="19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rPr>
              <w:t>Exercise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7"/>
              </w:rPr>
              <w:t>Exercise</w:t>
            </w:r>
          </w:p>
        </w:tc>
      </w:tr>
      <w:tr>
        <w:trPr>
          <w:trHeight w:val="20"/>
        </w:trPr>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0"/>
        </w:trPr>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 Share</w:t>
            </w:r>
          </w:p>
        </w:tc>
        <w:tc>
          <w:tcPr>
            <w:tcW w:w="36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$1.26</w:t>
            </w:r>
          </w:p>
        </w:tc>
        <w:tc>
          <w:tcPr>
            <w:tcW w:w="128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$1.26</w:t>
            </w:r>
          </w:p>
        </w:tc>
      </w:tr>
      <w:tr>
        <w:trPr>
          <w:trHeight w:val="207"/>
        </w:trPr>
        <w:tc>
          <w:tcPr>
            <w:tcW w:w="1940" w:type="dxa"/>
            <w:vAlign w:val="bottom"/>
          </w:tcPr>
          <w:p>
            <w:pPr>
              <w:spacing w:after="0"/>
              <w:rPr>
                <w:sz w:val="20"/>
                <w:szCs w:val="20"/>
                <w:color w:val="auto"/>
              </w:rPr>
            </w:pPr>
            <w:r>
              <w:rPr>
                <w:rFonts w:ascii="Arial" w:cs="Arial" w:eastAsia="Arial" w:hAnsi="Arial"/>
                <w:sz w:val="17"/>
                <w:szCs w:val="17"/>
                <w:color w:val="auto"/>
              </w:rPr>
              <w:t>Total</w:t>
            </w:r>
          </w:p>
        </w:tc>
        <w:tc>
          <w:tcPr>
            <w:tcW w:w="4760" w:type="dxa"/>
            <w:vAlign w:val="bottom"/>
            <w:gridSpan w:val="3"/>
          </w:tcPr>
          <w:p>
            <w:pPr>
              <w:jc w:val="right"/>
              <w:ind w:right="180"/>
              <w:spacing w:after="0"/>
              <w:rPr>
                <w:sz w:val="20"/>
                <w:szCs w:val="20"/>
                <w:color w:val="auto"/>
              </w:rPr>
            </w:pPr>
            <w:r>
              <w:rPr>
                <w:rFonts w:ascii="Arial" w:cs="Arial" w:eastAsia="Arial" w:hAnsi="Arial"/>
                <w:sz w:val="17"/>
                <w:szCs w:val="17"/>
                <w:color w:val="auto"/>
              </w:rPr>
              <w:t>$10,263,751</w:t>
            </w: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$11,803,312</w:t>
            </w:r>
          </w:p>
        </w:tc>
      </w:tr>
    </w:tbl>
    <w:p>
      <w:pPr>
        <w:spacing w:after="0" w:line="202"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of $18.00. Any shares sold by the underwriters to securities dealers may be sold at a discount of up to $0.756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8"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We and our officers, directors, and holders of substantially all of our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99" w:lineRule="exact"/>
        <w:rPr>
          <w:sz w:val="20"/>
          <w:szCs w:val="20"/>
          <w:color w:val="auto"/>
        </w:rPr>
      </w:pPr>
    </w:p>
    <w:p>
      <w:pPr>
        <w:ind w:right="500" w:firstLine="474"/>
        <w:spacing w:after="0" w:line="252"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"BPMC."</w:t>
      </w:r>
    </w:p>
    <w:p>
      <w:pPr>
        <w:spacing w:after="0" w:line="21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4"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underwriters do not expect sales to discretionary accounts to exceed five percent of the total number of shares offered.</w:t>
      </w:r>
    </w:p>
    <w:p>
      <w:pPr>
        <w:spacing w:after="0" w:line="211"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$2,600,000. We have also agreed to reimburse the underwriters for certain of their expenses in an amount up to $50,000.</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of 1933.</w:t>
      </w:r>
    </w:p>
    <w:p>
      <w:pPr>
        <w:spacing w:after="0" w:line="211" w:lineRule="exact"/>
        <w:rPr>
          <w:sz w:val="20"/>
          <w:szCs w:val="20"/>
          <w:color w:val="auto"/>
        </w:rPr>
      </w:pPr>
    </w:p>
    <w:p>
      <w:pPr>
        <w:ind w:right="200" w:firstLine="470"/>
        <w:spacing w:after="0" w:line="246"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3"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European Economic Area</w:t>
      </w:r>
    </w:p>
    <w:p>
      <w:pPr>
        <w:spacing w:after="0" w:line="231" w:lineRule="exact"/>
        <w:rPr>
          <w:sz w:val="20"/>
          <w:szCs w:val="20"/>
          <w:color w:val="auto"/>
        </w:rPr>
      </w:pPr>
    </w:p>
    <w:p>
      <w:pPr>
        <w:ind w:right="180" w:firstLine="474"/>
        <w:spacing w:after="0" w:line="243"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1" w:lineRule="exact"/>
        <w:rPr>
          <w:sz w:val="20"/>
          <w:szCs w:val="20"/>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any legal entity that is a qualified investor as defined in the Prospectus Directive;</w:t>
      </w:r>
    </w:p>
    <w:p>
      <w:pPr>
        <w:spacing w:after="0" w:line="210" w:lineRule="exact"/>
        <w:rPr>
          <w:rFonts w:ascii="Arial" w:cs="Arial" w:eastAsia="Arial" w:hAnsi="Arial"/>
          <w:sz w:val="17"/>
          <w:szCs w:val="17"/>
          <w:color w:val="auto"/>
        </w:rPr>
      </w:pPr>
    </w:p>
    <w:p>
      <w:pPr>
        <w:ind w:left="1060" w:right="420" w:hanging="531"/>
        <w:spacing w:after="0" w:line="246"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85" w:lineRule="exact"/>
        <w:rPr>
          <w:rFonts w:ascii="Arial" w:cs="Arial" w:eastAsia="Arial" w:hAnsi="Arial"/>
          <w:sz w:val="17"/>
          <w:szCs w:val="17"/>
          <w:color w:val="auto"/>
        </w:rPr>
      </w:pPr>
    </w:p>
    <w:p>
      <w:pPr>
        <w:jc w:val="both"/>
        <w:ind w:left="1060" w:right="360" w:hanging="531"/>
        <w:spacing w:after="0" w:line="246"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Kingdom</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Each underwriter has represented and agreed that:</w:t>
      </w:r>
    </w:p>
    <w:p>
      <w:pPr>
        <w:spacing w:after="0" w:line="211" w:lineRule="exact"/>
        <w:rPr>
          <w:sz w:val="20"/>
          <w:szCs w:val="20"/>
          <w:color w:val="auto"/>
        </w:rPr>
      </w:pPr>
    </w:p>
    <w:p>
      <w:pPr>
        <w:ind w:left="1060" w:right="20" w:hanging="531"/>
        <w:spacing w:after="0" w:line="246"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98"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France</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98" w:lineRule="exact"/>
        <w:rPr>
          <w:sz w:val="20"/>
          <w:szCs w:val="20"/>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released, issued, distributed or caused to be released, issued or distributed to the public in France;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shares to the public in France.</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Such offers, sales and distributions will be made in France only:</w:t>
      </w:r>
    </w:p>
    <w:p>
      <w:pPr>
        <w:spacing w:after="0" w:line="224" w:lineRule="exact"/>
        <w:rPr>
          <w:sz w:val="20"/>
          <w:szCs w:val="20"/>
          <w:color w:val="auto"/>
        </w:rPr>
      </w:pPr>
    </w:p>
    <w:p>
      <w:pPr>
        <w:ind w:left="1060" w:right="200" w:hanging="531"/>
        <w:spacing w:after="0" w:line="246"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investment services providers authorized to engage in portfolio management on behalf of third parties; or</w:t>
      </w:r>
    </w:p>
    <w:p>
      <w:pPr>
        <w:spacing w:after="0" w:line="197"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99"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shares may be resold directly or indirectly, only in compliance with articles L.411-1, L.411-2, L.412-1 and L.621-8 through L.621-8-3 of the French Code monétaire et financier.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Australia</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212" w:lineRule="exact"/>
        <w:rPr>
          <w:sz w:val="20"/>
          <w:szCs w:val="20"/>
          <w:color w:val="auto"/>
        </w:rPr>
      </w:pPr>
    </w:p>
    <w:p>
      <w:pPr>
        <w:ind w:left="1060" w:hanging="531"/>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5580" w:right="3780" w:hanging="4526"/>
        <w:spacing w:after="0" w:line="509" w:lineRule="auto"/>
        <w:tabs>
          <w:tab w:leader="none" w:pos="1586" w:val="left"/>
        </w:tabs>
        <w:numPr>
          <w:ilvl w:val="1"/>
          <w:numId w:val="89"/>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580" w:right="140" w:hanging="526"/>
        <w:spacing w:after="0" w:line="246" w:lineRule="auto"/>
        <w:tabs>
          <w:tab w:leader="none" w:pos="15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8" w:lineRule="exact"/>
        <w:rPr>
          <w:rFonts w:ascii="Arial" w:cs="Arial" w:eastAsia="Arial" w:hAnsi="Arial"/>
          <w:sz w:val="17"/>
          <w:szCs w:val="17"/>
          <w:color w:val="auto"/>
        </w:rPr>
      </w:pPr>
    </w:p>
    <w:p>
      <w:pPr>
        <w:ind w:left="1580" w:hanging="526"/>
        <w:spacing w:after="0"/>
        <w:tabs>
          <w:tab w:leader="none" w:pos="15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197" w:lineRule="exact"/>
        <w:rPr>
          <w:rFonts w:ascii="Arial" w:cs="Arial" w:eastAsia="Arial" w:hAnsi="Arial"/>
          <w:sz w:val="17"/>
          <w:szCs w:val="17"/>
          <w:color w:val="auto"/>
        </w:rPr>
      </w:pPr>
    </w:p>
    <w:p>
      <w:pPr>
        <w:ind w:left="1580" w:right="200" w:hanging="526"/>
        <w:spacing w:after="0" w:line="246" w:lineRule="auto"/>
        <w:tabs>
          <w:tab w:leader="none" w:pos="15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395" w:lineRule="exact"/>
        <w:rPr>
          <w:rFonts w:ascii="Arial" w:cs="Arial" w:eastAsia="Arial" w:hAnsi="Arial"/>
          <w:sz w:val="17"/>
          <w:szCs w:val="17"/>
          <w:color w:val="auto"/>
        </w:rPr>
      </w:pPr>
    </w:p>
    <w:p>
      <w:pPr>
        <w:jc w:val="both"/>
        <w:ind w:left="1060" w:hanging="531"/>
        <w:spacing w:after="0" w:line="246"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Hong Kong</w:t>
      </w:r>
    </w:p>
    <w:p>
      <w:pPr>
        <w:spacing w:after="0" w:line="231"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Singapore</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2"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Japan</w:t>
      </w:r>
    </w:p>
    <w:p>
      <w:pPr>
        <w:spacing w:after="0" w:line="23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Israel</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680" w:firstLine="470"/>
        <w:spacing w:after="0" w:line="252"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Goodwin Procter LLP, Boston, Massachusetts. Certain legal matters in connection with this offering will be passed upon for the underwriters by Latham &amp; Watkins LLP.</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Ernst &amp; Young LLP, independent registered public accounting firm, has audited our financial statements at December 31, 2013 and December 31, 2014 and for each of the two years in the period ended December 31, 2014, as set forth in their report, which is included in this prospectus and elsewhere in the registration statement. We have included our financial statements in the prospectus and elsewhere in the registration statement in reliance on Ernst &amp; Young LLP's report, given on their authority as experts in accounting and auditing.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that registers the shares of our common stock to be sold in this offering. This prospectus does not contain all the information contained in the registration statement and the exhibits and schedules filed as part of the registration statement. For further information with respect to us and our common stock, we refer you to the registration statement and the exhibits and schedules filed as part of the registration statement. Statements contained in this prospectus as to the contents of any contract or other document are not necessarily complete. If a contract or document has been filed as an exhibit to the registration statement, we refer you to the copies of the contract or document that has been filed. Each statement in this prospectus relating to a contract or document filed as an exhibit is qualified in all respects by the filed exhibit.</w:t>
      </w:r>
    </w:p>
    <w:p>
      <w:pPr>
        <w:spacing w:after="0" w:line="20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Upon the consummation of this offering, we will file annual, quarterly and current reports, proxy statements and other information with the SEC under the Exchange Act. You can read our SEC filings, including the registration statement, at the SEC's website at www.sec.gov.</w:t>
      </w:r>
    </w:p>
    <w:p>
      <w:pPr>
        <w:spacing w:after="0" w:line="19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You may read and copy this information at the SEC's Public Reference Room at 100 F Street, N.E., Washington D.C. 20549, at prescribed rates. You may obtain information regarding the operation of the public reference room by calling the SEC at 1-800-SEC-0330. The SEC also maintains a website (http://www.sec.gov) that contains reports, proxy and information statements and other information regarding issuers that file electronically with the SEC.</w:t>
      </w:r>
    </w:p>
    <w:p>
      <w:pPr>
        <w:spacing w:after="0" w:line="198"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Our website address is www.blueprintmedicines.com. The information contained in, and that can be accessed through, our website is not incorporated into and is not part of this prospectus.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5"/>
        </w:trPr>
        <w:tc>
          <w:tcPr>
            <w:tcW w:w="9860" w:type="dxa"/>
            <w:vAlign w:val="bottom"/>
            <w:gridSpan w:val="9"/>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92"/>
        </w:trPr>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3"/>
          </w:tcPr>
          <w:p>
            <w:pPr>
              <w:jc w:val="center"/>
              <w:ind w:right="1840"/>
              <w:spacing w:after="0"/>
              <w:rPr>
                <w:sz w:val="20"/>
                <w:szCs w:val="20"/>
                <w:color w:val="auto"/>
              </w:rPr>
            </w:pPr>
            <w:r>
              <w:rPr>
                <w:rFonts w:ascii="Arial" w:cs="Arial" w:eastAsia="Arial" w:hAnsi="Arial"/>
                <w:sz w:val="17"/>
                <w:szCs w:val="17"/>
                <w:b w:val="1"/>
                <w:bCs w:val="1"/>
                <w:color w:val="auto"/>
              </w:rPr>
              <w:t>Blueprint Medicines Corporation</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40" w:type="dxa"/>
            <w:vAlign w:val="bottom"/>
            <w:gridSpan w:val="3"/>
          </w:tcPr>
          <w:p>
            <w:pPr>
              <w:ind w:left="500"/>
              <w:spacing w:after="0"/>
              <w:rPr>
                <w:sz w:val="20"/>
                <w:szCs w:val="20"/>
                <w:color w:val="auto"/>
              </w:rPr>
            </w:pPr>
            <w:r>
              <w:rPr>
                <w:rFonts w:ascii="Arial" w:cs="Arial" w:eastAsia="Arial" w:hAnsi="Arial"/>
                <w:sz w:val="17"/>
                <w:szCs w:val="17"/>
                <w:b w:val="1"/>
                <w:bCs w:val="1"/>
                <w:color w:val="auto"/>
              </w:rPr>
              <w:t>Index to Consolidated Financial Statements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69"/>
        </w:trPr>
        <w:tc>
          <w:tcPr>
            <w:tcW w:w="1160" w:type="dxa"/>
            <w:vAlign w:val="bottom"/>
          </w:tcPr>
          <w:p>
            <w:pPr>
              <w:spacing w:after="0"/>
              <w:rPr>
                <w:sz w:val="24"/>
                <w:szCs w:val="24"/>
                <w:color w:val="auto"/>
              </w:rPr>
            </w:pPr>
          </w:p>
        </w:tc>
        <w:tc>
          <w:tcPr>
            <w:tcW w:w="8700" w:type="dxa"/>
            <w:vAlign w:val="bottom"/>
            <w:gridSpan w:val="8"/>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Report of Independent Registered Public Accounting Firm</w:t>
              </w:r>
            </w:hyperlink>
          </w:p>
        </w:tc>
        <w:tc>
          <w:tcPr>
            <w:tcW w:w="1560" w:type="dxa"/>
            <w:vAlign w:val="bottom"/>
            <w:gridSpan w:val="2"/>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F-2</w:t>
              </w:r>
            </w:hyperlink>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6"/>
          </w:tcPr>
          <w:p>
            <w:pPr>
              <w:spacing w:after="0" w:line="176" w:lineRule="exact"/>
              <w:rPr>
                <w:rFonts w:ascii="Arial" w:cs="Arial" w:eastAsia="Arial" w:hAnsi="Arial"/>
                <w:sz w:val="17"/>
                <w:szCs w:val="17"/>
                <w:color w:val="0000EE"/>
              </w:rPr>
            </w:pPr>
            <w:hyperlink w:anchor="page168">
              <w:r>
                <w:rPr>
                  <w:rFonts w:ascii="Arial" w:cs="Arial" w:eastAsia="Arial" w:hAnsi="Arial"/>
                  <w:sz w:val="17"/>
                  <w:szCs w:val="17"/>
                  <w:color w:val="0000EE"/>
                </w:rPr>
                <w:t>Balance Sheets</w:t>
              </w:r>
            </w:hyperlink>
          </w:p>
        </w:tc>
        <w:tc>
          <w:tcPr>
            <w:tcW w:w="4360" w:type="dxa"/>
            <w:vAlign w:val="bottom"/>
            <w:gridSpan w:val="2"/>
          </w:tcPr>
          <w:p>
            <w:pPr>
              <w:spacing w:after="0"/>
              <w:rPr>
                <w:sz w:val="15"/>
                <w:szCs w:val="15"/>
                <w:color w:val="auto"/>
              </w:rPr>
            </w:pPr>
          </w:p>
        </w:tc>
        <w:tc>
          <w:tcPr>
            <w:tcW w:w="260" w:type="dxa"/>
            <w:vAlign w:val="bottom"/>
            <w:tcBorders>
              <w:top w:val="single" w:sz="8" w:color="0000EE"/>
            </w:tcBorders>
          </w:tcPr>
          <w:p>
            <w:pPr>
              <w:spacing w:after="0" w:line="176" w:lineRule="exact"/>
              <w:rPr>
                <w:rFonts w:ascii="Arial" w:cs="Arial" w:eastAsia="Arial" w:hAnsi="Arial"/>
                <w:sz w:val="17"/>
                <w:szCs w:val="17"/>
                <w:color w:val="0000EE"/>
                <w:w w:val="93"/>
              </w:rPr>
            </w:pPr>
            <w:hyperlink w:anchor="page168">
              <w:r>
                <w:rPr>
                  <w:rFonts w:ascii="Arial" w:cs="Arial" w:eastAsia="Arial" w:hAnsi="Arial"/>
                  <w:sz w:val="17"/>
                  <w:szCs w:val="17"/>
                  <w:color w:val="0000EE"/>
                  <w:w w:val="93"/>
                </w:rPr>
                <w:t>F-3</w:t>
              </w:r>
            </w:hyperlink>
          </w:p>
        </w:tc>
        <w:tc>
          <w:tcPr>
            <w:tcW w:w="130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Statements of Operations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740" w:type="dxa"/>
            <w:vAlign w:val="bottom"/>
            <w:tcBorders>
              <w:bottom w:val="single" w:sz="8" w:color="0000EE"/>
            </w:tcBorders>
            <w:gridSpan w:val="7"/>
          </w:tcPr>
          <w:p>
            <w:pPr>
              <w:spacing w:after="0" w:line="176" w:lineRule="exact"/>
              <w:rPr>
                <w:rFonts w:ascii="Arial" w:cs="Arial" w:eastAsia="Arial" w:hAnsi="Arial"/>
                <w:sz w:val="17"/>
                <w:szCs w:val="17"/>
                <w:color w:val="0000EE"/>
                <w:w w:val="99"/>
              </w:rPr>
            </w:pPr>
            <w:hyperlink w:anchor="page170">
              <w:r>
                <w:rPr>
                  <w:rFonts w:ascii="Arial" w:cs="Arial" w:eastAsia="Arial" w:hAnsi="Arial"/>
                  <w:sz w:val="17"/>
                  <w:szCs w:val="17"/>
                  <w:color w:val="0000EE"/>
                  <w:w w:val="99"/>
                </w:rPr>
                <w:t>Statements of Convertible Preferred Stock and Stockholders' (Deficit) Equity</w:t>
              </w:r>
            </w:hyperlink>
          </w:p>
        </w:tc>
        <w:tc>
          <w:tcPr>
            <w:tcW w:w="2960" w:type="dxa"/>
            <w:vAlign w:val="bottom"/>
          </w:tcPr>
          <w:p>
            <w:pPr>
              <w:spacing w:after="0"/>
              <w:rPr>
                <w:sz w:val="15"/>
                <w:szCs w:val="15"/>
                <w:color w:val="auto"/>
              </w:rPr>
            </w:pPr>
          </w:p>
        </w:tc>
        <w:tc>
          <w:tcPr>
            <w:tcW w:w="260" w:type="dxa"/>
            <w:vAlign w:val="bottom"/>
            <w:tcBorders>
              <w:bottom w:val="single" w:sz="8" w:color="0000EE"/>
            </w:tcBorders>
          </w:tcPr>
          <w:p>
            <w:pPr>
              <w:spacing w:after="0" w:line="176" w:lineRule="exact"/>
              <w:rPr>
                <w:rFonts w:ascii="Arial" w:cs="Arial" w:eastAsia="Arial" w:hAnsi="Arial"/>
                <w:sz w:val="17"/>
                <w:szCs w:val="17"/>
                <w:color w:val="0000EE"/>
                <w:w w:val="93"/>
              </w:rPr>
            </w:pPr>
            <w:hyperlink w:anchor="page170">
              <w:r>
                <w:rPr>
                  <w:rFonts w:ascii="Arial" w:cs="Arial" w:eastAsia="Arial" w:hAnsi="Arial"/>
                  <w:sz w:val="17"/>
                  <w:szCs w:val="17"/>
                  <w:color w:val="0000EE"/>
                  <w:w w:val="93"/>
                </w:rPr>
                <w:t>F-5</w:t>
              </w:r>
            </w:hyperlink>
          </w:p>
        </w:tc>
        <w:tc>
          <w:tcPr>
            <w:tcW w:w="130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Statements of Cash Flows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700" w:type="dxa"/>
            <w:vAlign w:val="bottom"/>
            <w:gridSpan w:val="8"/>
          </w:tcPr>
          <w:p>
            <w:pPr>
              <w:spacing w:after="0" w:line="176" w:lineRule="exact"/>
              <w:rPr>
                <w:rFonts w:ascii="Arial" w:cs="Arial" w:eastAsia="Arial" w:hAnsi="Arial"/>
                <w:sz w:val="17"/>
                <w:szCs w:val="17"/>
                <w:color w:val="0000EE"/>
              </w:rPr>
            </w:pPr>
            <w:hyperlink w:anchor="page172">
              <w:r>
                <w:rPr>
                  <w:rFonts w:ascii="Arial" w:cs="Arial" w:eastAsia="Arial" w:hAnsi="Arial"/>
                  <w:sz w:val="17"/>
                  <w:szCs w:val="17"/>
                  <w:color w:val="0000EE"/>
                </w:rPr>
                <w:t>Notes to Financial Statements</w:t>
              </w:r>
            </w:hyperlink>
          </w:p>
        </w:tc>
        <w:tc>
          <w:tcPr>
            <w:tcW w:w="1560" w:type="dxa"/>
            <w:vAlign w:val="bottom"/>
            <w:gridSpan w:val="2"/>
          </w:tcPr>
          <w:p>
            <w:pPr>
              <w:spacing w:after="0" w:line="176" w:lineRule="exact"/>
              <w:rPr>
                <w:rFonts w:ascii="Arial" w:cs="Arial" w:eastAsia="Arial" w:hAnsi="Arial"/>
                <w:sz w:val="17"/>
                <w:szCs w:val="17"/>
                <w:color w:val="0000EE"/>
              </w:rPr>
            </w:pPr>
            <w:hyperlink w:anchor="page172">
              <w:r>
                <w:rPr>
                  <w:rFonts w:ascii="Arial" w:cs="Arial" w:eastAsia="Arial" w:hAnsi="Arial"/>
                  <w:sz w:val="17"/>
                  <w:szCs w:val="17"/>
                  <w:color w:val="0000EE"/>
                </w:rPr>
                <w:t>F-7</w:t>
              </w:r>
            </w:hyperlink>
          </w:p>
        </w:tc>
      </w:tr>
      <w:tr>
        <w:trPr>
          <w:trHeight w:val="423"/>
        </w:trPr>
        <w:tc>
          <w:tcPr>
            <w:tcW w:w="1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4360" w:type="dxa"/>
            <w:vAlign w:val="bottom"/>
            <w:gridSpan w:val="2"/>
          </w:tcPr>
          <w:p>
            <w:pPr>
              <w:jc w:val="center"/>
              <w:ind w:right="3940"/>
              <w:spacing w:after="0"/>
              <w:rPr>
                <w:sz w:val="20"/>
                <w:szCs w:val="20"/>
                <w:color w:val="auto"/>
              </w:rPr>
            </w:pPr>
            <w:r>
              <w:rPr>
                <w:rFonts w:ascii="Arial" w:cs="Arial" w:eastAsia="Arial" w:hAnsi="Arial"/>
                <w:sz w:val="17"/>
                <w:szCs w:val="17"/>
                <w:color w:val="auto"/>
              </w:rPr>
              <w:t>F-1</w:t>
            </w:r>
          </w:p>
        </w:tc>
        <w:tc>
          <w:tcPr>
            <w:tcW w:w="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66" w:name="page167"/>
    <w:bookmarkEnd w:id="166"/>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w:t>
      </w:r>
    </w:p>
    <w:p>
      <w:pPr>
        <w:spacing w:after="0" w:line="21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have audited the accompanying balance sheets of Blueprint Medicines Corporation (the "Company") as of December 31, 2013 and 2014, and the related statements of operations, convertible preferred stock and stockholders' (deficit) equity, and cash flows for the years then ended.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6" w:lineRule="exact"/>
        <w:rPr>
          <w:sz w:val="20"/>
          <w:szCs w:val="20"/>
          <w:color w:val="auto"/>
        </w:rPr>
      </w:pPr>
    </w:p>
    <w:p>
      <w:pPr>
        <w:jc w:val="both"/>
        <w:ind w:right="520" w:firstLine="474"/>
        <w:spacing w:after="0" w:line="24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Blueprint Medicines Corporation at December 31, 2013 and 2014, and the results of its operations and its cash flows for the years then ended in conformity with U.S. generally accepted accounting principles.</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February 19, 2015, except for Note 12B,</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to which the date is April 20,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Blueprint Medicines Corporation</w:t>
      </w:r>
    </w:p>
    <w:p>
      <w:pPr>
        <w:spacing w:after="0" w:line="19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198"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59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gridSpan w:val="2"/>
          </w:tcPr>
          <w:p>
            <w:pPr>
              <w:jc w:val="center"/>
              <w:ind w:left="210"/>
              <w:spacing w:after="0" w:line="151"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5"/>
          </w:tcPr>
          <w:p>
            <w:pPr>
              <w:jc w:val="center"/>
              <w:ind w:right="20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90"/>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1,987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47,240</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47,240</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461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915</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2,448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48,274</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48,274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1,404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1,482</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jc w:val="right"/>
              <w:ind w:right="190"/>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4,135</w:t>
            </w:r>
          </w:p>
        </w:tc>
        <w:tc>
          <w:tcPr>
            <w:tcW w:w="160" w:type="dxa"/>
            <w:vAlign w:val="bottom"/>
          </w:tcPr>
          <w:p>
            <w:pPr>
              <w:spacing w:after="0"/>
              <w:rPr>
                <w:sz w:val="13"/>
                <w:szCs w:val="13"/>
                <w:color w:val="auto"/>
              </w:rPr>
            </w:pPr>
          </w:p>
        </w:tc>
        <w:tc>
          <w:tcPr>
            <w:tcW w:w="160" w:type="dxa"/>
            <w:vAlign w:val="bottom"/>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8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9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Liabilities, convertible preferred stock and stockholders' (deficit) equity</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1,414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866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3,810</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Deferred rent</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Restricted stock liability</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Current portion of term loan payable</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3,153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6,764</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Deferred rent, net of current portion</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Restricted stock liability, net of current portion</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Warrant liability</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Term loan payable, net of current portion</w:t>
            </w:r>
          </w:p>
        </w:tc>
        <w:tc>
          <w:tcPr>
            <w:tcW w:w="3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2,155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7,338</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7" w:lineRule="exact"/>
              <w:rPr>
                <w:sz w:val="20"/>
                <w:szCs w:val="20"/>
                <w:color w:val="auto"/>
              </w:rPr>
            </w:pPr>
            <w:r>
              <w:rPr>
                <w:rFonts w:ascii="Arial" w:cs="Arial" w:eastAsia="Arial" w:hAnsi="Arial"/>
                <w:sz w:val="14"/>
                <w:szCs w:val="14"/>
                <w:color w:val="auto"/>
              </w:rPr>
              <w:t>7,338</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Commitments (Note 10)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Series A convertible preferred stock, $0.001 par value: 40,150,000 shares authorized;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40,000,000, 40,000,000 and no shares issued and outstanding at December 31, 2013,</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December 31, 2014 and December 31, 2014 pro forma, respectively (liquidation</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preference of $48,238 at December 31, 2014)</w:t>
            </w:r>
          </w:p>
        </w:tc>
        <w:tc>
          <w:tcPr>
            <w:tcW w:w="340" w:type="dxa"/>
            <w:vAlign w:val="bottom"/>
          </w:tcPr>
          <w:p>
            <w:pPr>
              <w:spacing w:after="0"/>
              <w:rPr>
                <w:sz w:val="13"/>
                <w:szCs w:val="13"/>
                <w:color w:val="auto"/>
              </w:rPr>
            </w:pPr>
          </w:p>
        </w:tc>
        <w:tc>
          <w:tcPr>
            <w:tcW w:w="84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39,958</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39,958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 convertible preferred stock, $0.001 par value: no shares and 20,999,996 shares</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authorized at December 31, 2013 and 2014, respectively; no shares, 20,916,663 and no</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shares issued and outstanding at December 31, 2013, December 31, 2014 and</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December 31, 2014 pro forma, respectively (liquidation preference of $27,075 at</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December 31, 2014)</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24,985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Series C convertible preferred stock, $0.001 par value: no shares and 24,154,589 shares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authorized at December 31, 2013 and 2014, respectively; no shares, 24,154,589 and no</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shares issued and outstanding at December 31, 2013, December 31, 2014 and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December 31, 2014 pro forma, respectively (liquidation preference of $50,592 at</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December 31, 2014)</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49,868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Stockholders' (deficit) equity:</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color w:val="auto"/>
              </w:rPr>
              <w:t>Common stock, $0.001 par value; 110,000,000 shares authorized; 2,087,808 and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2,218,652 shares issued at December 31, 2013 and 2014, respectively, and 1,221,330 and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1,626,738 shares outstanding at December 31, 2013 and 2014, respectively, and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60"/>
              <w:spacing w:after="0" w:line="157" w:lineRule="exact"/>
              <w:rPr>
                <w:sz w:val="20"/>
                <w:szCs w:val="20"/>
                <w:color w:val="auto"/>
              </w:rPr>
            </w:pPr>
            <w:r>
              <w:rPr>
                <w:rFonts w:ascii="Arial" w:cs="Arial" w:eastAsia="Arial" w:hAnsi="Arial"/>
                <w:sz w:val="14"/>
                <w:szCs w:val="14"/>
                <w:color w:val="auto"/>
              </w:rPr>
              <w:t>17,686,131 and 17,094,217 shares issued and outstanding at December 31, 2014 pro</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60"/>
              <w:spacing w:after="0" w:line="153" w:lineRule="exact"/>
              <w:rPr>
                <w:sz w:val="20"/>
                <w:szCs w:val="20"/>
                <w:color w:val="auto"/>
              </w:rPr>
            </w:pPr>
            <w:r>
              <w:rPr>
                <w:rFonts w:ascii="Arial" w:cs="Arial" w:eastAsia="Arial" w:hAnsi="Arial"/>
                <w:sz w:val="14"/>
                <w:szCs w:val="14"/>
                <w:color w:val="auto"/>
              </w:rPr>
              <w:t>forma, respectively</w:t>
            </w:r>
          </w:p>
        </w:tc>
        <w:tc>
          <w:tcPr>
            <w:tcW w:w="340" w:type="dxa"/>
            <w:vAlign w:val="bottom"/>
          </w:tcPr>
          <w:p>
            <w:pPr>
              <w:spacing w:after="0"/>
              <w:rPr>
                <w:sz w:val="13"/>
                <w:szCs w:val="13"/>
                <w:color w:val="auto"/>
              </w:rPr>
            </w:pPr>
          </w:p>
        </w:tc>
        <w:tc>
          <w:tcPr>
            <w:tcW w:w="6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120" w:type="dxa"/>
            <w:vAlign w:val="bottom"/>
            <w:gridSpan w:val="5"/>
          </w:tcPr>
          <w:p>
            <w:pPr>
              <w:jc w:val="right"/>
              <w:ind w:right="140"/>
              <w:spacing w:after="0" w:line="153"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466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2,822</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117,983</w:t>
            </w:r>
          </w:p>
        </w:tc>
        <w:tc>
          <w:tcPr>
            <w:tcW w:w="0" w:type="dxa"/>
            <w:vAlign w:val="bottom"/>
          </w:tcPr>
          <w:p>
            <w:pPr>
              <w:spacing w:after="0"/>
              <w:rPr>
                <w:sz w:val="1"/>
                <w:szCs w:val="1"/>
                <w:color w:val="auto"/>
              </w:rPr>
            </w:pPr>
          </w:p>
        </w:tc>
      </w:tr>
      <w:tr>
        <w:trPr>
          <w:trHeight w:val="157"/>
        </w:trPr>
        <w:tc>
          <w:tcPr>
            <w:tcW w:w="5940" w:type="dxa"/>
            <w:vAlign w:val="bottom"/>
          </w:tcPr>
          <w:p>
            <w:pPr>
              <w:ind w:left="20"/>
              <w:spacing w:after="0" w:line="157" w:lineRule="exact"/>
              <w:rPr>
                <w:sz w:val="20"/>
                <w:szCs w:val="20"/>
                <w:color w:val="auto"/>
              </w:rPr>
            </w:pPr>
            <w:r>
              <w:rPr>
                <w:rFonts w:ascii="Arial" w:cs="Arial" w:eastAsia="Arial" w:hAnsi="Arial"/>
                <w:sz w:val="14"/>
                <w:szCs w:val="14"/>
                <w:color w:val="auto"/>
              </w:rPr>
              <w:t>Accumulated deficit</w:t>
            </w:r>
          </w:p>
        </w:tc>
        <w:tc>
          <w:tcPr>
            <w:tcW w:w="340" w:type="dxa"/>
            <w:vAlign w:val="bottom"/>
          </w:tcPr>
          <w:p>
            <w:pPr>
              <w:spacing w:after="0"/>
              <w:rPr>
                <w:sz w:val="13"/>
                <w:szCs w:val="13"/>
                <w:color w:val="auto"/>
              </w:rPr>
            </w:pPr>
          </w:p>
        </w:tc>
        <w:tc>
          <w:tcPr>
            <w:tcW w:w="84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(41,921)</w:t>
            </w:r>
          </w:p>
        </w:tc>
        <w:tc>
          <w:tcPr>
            <w:tcW w:w="160" w:type="dxa"/>
            <w:vAlign w:val="bottom"/>
          </w:tcPr>
          <w:p>
            <w:pPr>
              <w:spacing w:after="0"/>
              <w:rPr>
                <w:sz w:val="13"/>
                <w:szCs w:val="13"/>
                <w:color w:val="auto"/>
              </w:rPr>
            </w:pPr>
          </w:p>
        </w:tc>
        <w:tc>
          <w:tcPr>
            <w:tcW w:w="64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w w:val="99"/>
              </w:rPr>
              <w:t>(82,206)</w:t>
            </w:r>
          </w:p>
        </w:tc>
        <w:tc>
          <w:tcPr>
            <w:tcW w:w="80" w:type="dxa"/>
            <w:vAlign w:val="bottom"/>
          </w:tcPr>
          <w:p>
            <w:pPr>
              <w:spacing w:after="0"/>
              <w:rPr>
                <w:sz w:val="13"/>
                <w:szCs w:val="13"/>
                <w:color w:val="auto"/>
              </w:rPr>
            </w:pPr>
          </w:p>
        </w:tc>
        <w:tc>
          <w:tcPr>
            <w:tcW w:w="1120" w:type="dxa"/>
            <w:vAlign w:val="bottom"/>
            <w:gridSpan w:val="5"/>
          </w:tcPr>
          <w:p>
            <w:pPr>
              <w:jc w:val="right"/>
              <w:ind w:right="100"/>
              <w:spacing w:after="0" w:line="157" w:lineRule="exact"/>
              <w:rPr>
                <w:sz w:val="20"/>
                <w:szCs w:val="20"/>
                <w:color w:val="auto"/>
              </w:rPr>
            </w:pPr>
            <w:r>
              <w:rPr>
                <w:rFonts w:ascii="Arial" w:cs="Arial" w:eastAsia="Arial" w:hAnsi="Arial"/>
                <w:sz w:val="14"/>
                <w:szCs w:val="14"/>
                <w:color w:val="auto"/>
              </w:rPr>
              <w:t>(82,206)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Total stockholders' (deficit) equity</w:t>
            </w:r>
          </w:p>
        </w:tc>
        <w:tc>
          <w:tcPr>
            <w:tcW w:w="3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(41,454)</w:t>
            </w: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w w:val="99"/>
              </w:rPr>
              <w:t>(79,382)</w:t>
            </w:r>
          </w:p>
        </w:tc>
        <w:tc>
          <w:tcPr>
            <w:tcW w:w="8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35,794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Total liabilities, convertible preferred stock, and stockholders' (deficit) equity</w:t>
            </w: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40" w:type="dxa"/>
            <w:vAlign w:val="bottom"/>
            <w:vMerge w:val="continue"/>
          </w:tcPr>
          <w:p>
            <w:pPr>
              <w:spacing w:after="0"/>
              <w:rPr>
                <w:sz w:val="13"/>
                <w:szCs w:val="13"/>
                <w:color w:val="auto"/>
              </w:rPr>
            </w:pPr>
          </w:p>
        </w:tc>
        <w:tc>
          <w:tcPr>
            <w:tcW w:w="340" w:type="dxa"/>
            <w:vAlign w:val="bottom"/>
          </w:tcPr>
          <w:p>
            <w:pPr>
              <w:jc w:val="right"/>
              <w:ind w:right="190"/>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4,135</w:t>
            </w:r>
          </w:p>
        </w:tc>
        <w:tc>
          <w:tcPr>
            <w:tcW w:w="160" w:type="dxa"/>
            <w:vAlign w:val="bottom"/>
          </w:tcPr>
          <w:p>
            <w:pPr>
              <w:spacing w:after="0"/>
              <w:rPr>
                <w:sz w:val="13"/>
                <w:szCs w:val="13"/>
                <w:color w:val="auto"/>
              </w:rPr>
            </w:pPr>
          </w:p>
        </w:tc>
        <w:tc>
          <w:tcPr>
            <w:tcW w:w="160" w:type="dxa"/>
            <w:vAlign w:val="bottom"/>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8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5"/>
          </w:tcPr>
          <w:p>
            <w:pPr>
              <w:jc w:val="right"/>
              <w:ind w:right="140"/>
              <w:spacing w:after="0" w:line="151" w:lineRule="exact"/>
              <w:rPr>
                <w:sz w:val="20"/>
                <w:szCs w:val="20"/>
                <w:color w:val="auto"/>
              </w:rPr>
            </w:pPr>
            <w:r>
              <w:rPr>
                <w:rFonts w:ascii="Arial" w:cs="Arial" w:eastAsia="Arial" w:hAnsi="Arial"/>
                <w:sz w:val="14"/>
                <w:szCs w:val="14"/>
                <w:color w:val="auto"/>
              </w:rPr>
              <w:t>49,925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95"/>
        </w:trPr>
        <w:tc>
          <w:tcPr>
            <w:tcW w:w="8320" w:type="dxa"/>
            <w:vAlign w:val="bottom"/>
            <w:gridSpan w:val="3"/>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rPr>
              <w:t>Blueprint Medicines Corporation</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w w:val="99"/>
              </w:rPr>
              <w:t>Statements of Operations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jc w:val="center"/>
              <w:ind w:left="1635"/>
              <w:spacing w:after="0"/>
              <w:rPr>
                <w:sz w:val="20"/>
                <w:szCs w:val="20"/>
                <w:color w:val="auto"/>
              </w:rPr>
            </w:pPr>
            <w:r>
              <w:rPr>
                <w:rFonts w:ascii="Arial" w:cs="Arial" w:eastAsia="Arial" w:hAnsi="Arial"/>
                <w:sz w:val="17"/>
                <w:szCs w:val="17"/>
                <w:b w:val="1"/>
                <w:bCs w:val="1"/>
                <w:color w:val="auto"/>
              </w:rPr>
              <w:t>(in thousands, except per share data)</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8"/>
          </w:tcPr>
          <w:p>
            <w:pPr>
              <w:jc w:val="center"/>
              <w:ind w:right="150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8"/>
          </w:tcPr>
          <w:p>
            <w:pPr>
              <w:jc w:val="center"/>
              <w:ind w:right="150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15,928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31,844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5,072</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7,890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21,000</w:t>
            </w:r>
          </w:p>
        </w:tc>
        <w:tc>
          <w:tcPr>
            <w:tcW w:w="20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39,734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tcPr>
          <w:p>
            <w:pPr>
              <w:ind w:left="18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226</w:t>
            </w:r>
          </w:p>
        </w:tc>
        <w:tc>
          <w:tcPr>
            <w:tcW w:w="2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(98)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and other expense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(453)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other income (expense)</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88</w:t>
            </w:r>
          </w:p>
        </w:tc>
        <w:tc>
          <w:tcPr>
            <w:tcW w:w="20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(551)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(20,912)</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(40,285)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Convertible preferred stock dividends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(2,870)</w:t>
            </w:r>
          </w:p>
        </w:tc>
        <w:tc>
          <w:tcPr>
            <w:tcW w:w="200" w:type="dxa"/>
            <w:vAlign w:val="bottom"/>
          </w:tcPr>
          <w:p>
            <w:pPr>
              <w:spacing w:after="0"/>
              <w:rPr>
                <w:sz w:val="15"/>
                <w:szCs w:val="15"/>
                <w:color w:val="auto"/>
              </w:rPr>
            </w:pPr>
          </w:p>
        </w:tc>
        <w:tc>
          <w:tcPr>
            <w:tcW w:w="760" w:type="dxa"/>
            <w:vAlign w:val="bottom"/>
            <w:gridSpan w:val="3"/>
          </w:tcPr>
          <w:p>
            <w:pPr>
              <w:jc w:val="right"/>
              <w:ind w:right="80"/>
              <w:spacing w:after="0" w:line="176" w:lineRule="exact"/>
              <w:rPr>
                <w:sz w:val="20"/>
                <w:szCs w:val="20"/>
                <w:color w:val="auto"/>
              </w:rPr>
            </w:pPr>
            <w:r>
              <w:rPr>
                <w:rFonts w:ascii="Arial" w:cs="Arial" w:eastAsia="Arial" w:hAnsi="Arial"/>
                <w:sz w:val="17"/>
                <w:szCs w:val="17"/>
                <w:color w:val="auto"/>
              </w:rPr>
              <w:t>(5,765)</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applicable to common stockholders</w:t>
            </w:r>
          </w:p>
        </w:tc>
        <w:tc>
          <w:tcPr>
            <w:tcW w:w="2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(23,782)</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(46,050)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share applicable to common stockholders —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jc w:val="right"/>
              <w:ind w:right="15"/>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60"/>
              <w:spacing w:after="0" w:line="176" w:lineRule="exact"/>
              <w:rPr>
                <w:sz w:val="20"/>
                <w:szCs w:val="20"/>
                <w:color w:val="auto"/>
              </w:rPr>
            </w:pPr>
            <w:r>
              <w:rPr>
                <w:rFonts w:ascii="Arial" w:cs="Arial" w:eastAsia="Arial" w:hAnsi="Arial"/>
                <w:sz w:val="17"/>
                <w:szCs w:val="17"/>
                <w:color w:val="auto"/>
              </w:rPr>
              <w:t>23.43</w:t>
            </w:r>
          </w:p>
        </w:tc>
        <w:tc>
          <w:tcPr>
            <w:tcW w:w="200" w:type="dxa"/>
            <w:vAlign w:val="bottom"/>
          </w:tcPr>
          <w:p>
            <w:pPr>
              <w:jc w:val="right"/>
              <w:ind w:right="15"/>
              <w:spacing w:after="0" w:line="176" w:lineRule="exact"/>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140"/>
              <w:spacing w:after="0" w:line="176" w:lineRule="exact"/>
              <w:rPr>
                <w:sz w:val="20"/>
                <w:szCs w:val="20"/>
                <w:color w:val="auto"/>
              </w:rPr>
            </w:pPr>
            <w:r>
              <w:rPr>
                <w:rFonts w:ascii="Arial" w:cs="Arial" w:eastAsia="Arial" w:hAnsi="Arial"/>
                <w:sz w:val="17"/>
                <w:szCs w:val="17"/>
                <w:color w:val="auto"/>
              </w:rPr>
              <w:t>32.41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7"/>
                <w:szCs w:val="17"/>
                <w:color w:val="auto"/>
              </w:rPr>
              <w:t>Weighted-average number of common shares used in net loss per share applicable to</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common stockholders — basic and diluted</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1,015</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1,421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80" w:type="dxa"/>
            <w:vAlign w:val="bottom"/>
            <w:gridSpan w:val="2"/>
            <w:vMerge w:val="restart"/>
          </w:tcPr>
          <w:p>
            <w:pPr>
              <w:ind w:left="20"/>
              <w:spacing w:after="0"/>
              <w:rPr>
                <w:sz w:val="20"/>
                <w:szCs w:val="20"/>
                <w:color w:val="auto"/>
              </w:rPr>
            </w:pPr>
            <w:r>
              <w:rPr>
                <w:rFonts w:ascii="Arial" w:cs="Arial" w:eastAsia="Arial" w:hAnsi="Arial"/>
                <w:sz w:val="17"/>
                <w:szCs w:val="17"/>
                <w:color w:val="auto"/>
              </w:rPr>
              <w:t>Pro forma net loss per share applicable to common stockholders —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(unaudited)</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jc w:val="right"/>
              <w:ind w:right="15"/>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(3.07)</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71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weighted average number of common shares used in net loss per share</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18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applicable to common stockholders — basic and diluted (unaudited)</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13,083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vMerge w:val="restart"/>
          </w:tcPr>
          <w:p>
            <w:pPr>
              <w:jc w:val="center"/>
              <w:ind w:left="1675"/>
              <w:spacing w:after="0"/>
              <w:rPr>
                <w:sz w:val="20"/>
                <w:szCs w:val="20"/>
                <w:color w:val="auto"/>
              </w:rPr>
            </w:pPr>
            <w:r>
              <w:rPr>
                <w:rFonts w:ascii="Arial" w:cs="Arial" w:eastAsia="Arial" w:hAnsi="Arial"/>
                <w:sz w:val="17"/>
                <w:szCs w:val="17"/>
                <w:color w:val="auto"/>
              </w:rPr>
              <w:t>F-4</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9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919"/>
        <w:spacing w:after="0"/>
        <w:rPr>
          <w:sz w:val="20"/>
          <w:szCs w:val="20"/>
          <w:color w:val="auto"/>
        </w:rPr>
      </w:pPr>
      <w:r>
        <w:rPr>
          <w:rFonts w:ascii="Arial" w:cs="Arial" w:eastAsia="Arial" w:hAnsi="Arial"/>
          <w:sz w:val="17"/>
          <w:szCs w:val="17"/>
          <w:b w:val="1"/>
          <w:bCs w:val="1"/>
          <w:color w:val="auto"/>
        </w:rPr>
        <w:t>Statements of Convertible Preferred Stock and Stockholders' (Deficit) Equity</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9"/>
              </w:rPr>
              <w:t>Series A</w:t>
            </w:r>
          </w:p>
        </w:tc>
        <w:tc>
          <w:tcPr>
            <w:tcW w:w="180" w:type="dxa"/>
            <w:vAlign w:val="bottom"/>
          </w:tcPr>
          <w:p>
            <w:pPr>
              <w:spacing w:after="0"/>
              <w:rPr>
                <w:sz w:val="14"/>
                <w:szCs w:val="14"/>
                <w:color w:val="auto"/>
              </w:rPr>
            </w:pPr>
          </w:p>
        </w:tc>
        <w:tc>
          <w:tcPr>
            <w:tcW w:w="12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Series B</w:t>
            </w:r>
          </w:p>
        </w:tc>
        <w:tc>
          <w:tcPr>
            <w:tcW w:w="200" w:type="dxa"/>
            <w:vAlign w:val="bottom"/>
          </w:tcPr>
          <w:p>
            <w:pPr>
              <w:spacing w:after="0"/>
              <w:rPr>
                <w:sz w:val="14"/>
                <w:szCs w:val="14"/>
                <w:color w:val="auto"/>
              </w:rPr>
            </w:pPr>
          </w:p>
        </w:tc>
        <w:tc>
          <w:tcPr>
            <w:tcW w:w="12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Series C</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8"/>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180" w:type="dxa"/>
            <w:vAlign w:val="bottom"/>
          </w:tcPr>
          <w:p>
            <w:pPr>
              <w:spacing w:after="0"/>
              <w:rPr>
                <w:sz w:val="13"/>
                <w:szCs w:val="13"/>
                <w:color w:val="auto"/>
              </w:rPr>
            </w:pPr>
          </w:p>
        </w:tc>
        <w:tc>
          <w:tcPr>
            <w:tcW w:w="1260" w:type="dxa"/>
            <w:vAlign w:val="bottom"/>
            <w:gridSpan w:val="8"/>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200" w:type="dxa"/>
            <w:vAlign w:val="bottom"/>
          </w:tcPr>
          <w:p>
            <w:pPr>
              <w:spacing w:after="0"/>
              <w:rPr>
                <w:sz w:val="13"/>
                <w:szCs w:val="13"/>
                <w:color w:val="auto"/>
              </w:rPr>
            </w:pPr>
          </w:p>
        </w:tc>
        <w:tc>
          <w:tcPr>
            <w:tcW w:w="1260" w:type="dxa"/>
            <w:vAlign w:val="bottom"/>
            <w:gridSpan w:val="8"/>
          </w:tcPr>
          <w:p>
            <w:pPr>
              <w:jc w:val="center"/>
              <w:ind w:right="240"/>
              <w:spacing w:after="0" w:line="157" w:lineRule="exact"/>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6"/>
          </w:tcPr>
          <w:p>
            <w:pPr>
              <w:ind w:left="20"/>
              <w:spacing w:after="0" w:line="157" w:lineRule="exact"/>
              <w:rPr>
                <w:sz w:val="20"/>
                <w:szCs w:val="20"/>
                <w:color w:val="auto"/>
              </w:rPr>
            </w:pPr>
            <w:r>
              <w:rPr>
                <w:rFonts w:ascii="Arial" w:cs="Arial" w:eastAsia="Arial" w:hAnsi="Arial"/>
                <w:sz w:val="14"/>
                <w:szCs w:val="14"/>
                <w:b w:val="1"/>
                <w:bCs w:val="1"/>
                <w:color w:val="auto"/>
              </w:rPr>
              <w:t>Additional</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w w:val="97"/>
              </w:rPr>
              <w:t>Stockholders'</w:t>
            </w:r>
          </w:p>
        </w:tc>
      </w:tr>
      <w:tr>
        <w:trPr>
          <w:trHeight w:val="169"/>
        </w:trPr>
        <w:tc>
          <w:tcPr>
            <w:tcW w:w="1240" w:type="dxa"/>
            <w:vAlign w:val="bottom"/>
          </w:tcPr>
          <w:p>
            <w:pPr>
              <w:spacing w:after="0"/>
              <w:rPr>
                <w:sz w:val="14"/>
                <w:szCs w:val="14"/>
                <w:color w:val="auto"/>
              </w:rPr>
            </w:pPr>
          </w:p>
        </w:tc>
        <w:tc>
          <w:tcPr>
            <w:tcW w:w="14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60" w:type="dxa"/>
            <w:vAlign w:val="bottom"/>
          </w:tcPr>
          <w:p>
            <w:pPr>
              <w:spacing w:after="0"/>
              <w:rPr>
                <w:sz w:val="14"/>
                <w:szCs w:val="14"/>
                <w:color w:val="auto"/>
              </w:rPr>
            </w:pPr>
          </w:p>
        </w:tc>
        <w:tc>
          <w:tcPr>
            <w:tcW w:w="14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40" w:type="dxa"/>
            <w:vAlign w:val="bottom"/>
          </w:tcPr>
          <w:p>
            <w:pPr>
              <w:spacing w:after="0"/>
              <w:rPr>
                <w:sz w:val="14"/>
                <w:szCs w:val="14"/>
                <w:color w:val="auto"/>
              </w:rPr>
            </w:pPr>
          </w:p>
        </w:tc>
        <w:tc>
          <w:tcPr>
            <w:tcW w:w="14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9"/>
              </w:rPr>
              <w:t>Preferred Stock</w:t>
            </w:r>
          </w:p>
        </w:tc>
        <w:tc>
          <w:tcPr>
            <w:tcW w:w="40" w:type="dxa"/>
            <w:vAlign w:val="bottom"/>
          </w:tcPr>
          <w:p>
            <w:pPr>
              <w:spacing w:after="0"/>
              <w:rPr>
                <w:sz w:val="14"/>
                <w:szCs w:val="14"/>
                <w:color w:val="auto"/>
              </w:rPr>
            </w:pPr>
          </w:p>
        </w:tc>
        <w:tc>
          <w:tcPr>
            <w:tcW w:w="12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98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7"/>
              </w:rPr>
              <w:t>Accumulated</w:t>
            </w: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r>
      <w:tr>
        <w:trPr>
          <w:trHeight w:val="150"/>
        </w:trPr>
        <w:tc>
          <w:tcPr>
            <w:tcW w:w="1240" w:type="dxa"/>
            <w:vAlign w:val="bottom"/>
          </w:tcPr>
          <w:p>
            <w:pPr>
              <w:spacing w:after="0"/>
              <w:rPr>
                <w:sz w:val="13"/>
                <w:szCs w:val="13"/>
                <w:color w:val="auto"/>
              </w:rPr>
            </w:pP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580" w:type="dxa"/>
            <w:vAlign w:val="bottom"/>
            <w:gridSpan w:val="4"/>
          </w:tcPr>
          <w:p>
            <w:pPr>
              <w:jc w:val="right"/>
              <w:ind w:right="40"/>
              <w:spacing w:after="0" w:line="151" w:lineRule="exact"/>
              <w:rPr>
                <w:sz w:val="20"/>
                <w:szCs w:val="20"/>
                <w:color w:val="auto"/>
              </w:rPr>
            </w:pPr>
            <w:r>
              <w:rPr>
                <w:rFonts w:ascii="Arial" w:cs="Arial" w:eastAsia="Arial" w:hAnsi="Arial"/>
                <w:sz w:val="14"/>
                <w:szCs w:val="14"/>
                <w:b w:val="1"/>
                <w:bCs w:val="1"/>
                <w:color w:val="auto"/>
                <w:w w:val="98"/>
              </w:rPr>
              <w:t>Amount</w:t>
            </w: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5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4"/>
          </w:tcPr>
          <w:p>
            <w:pPr>
              <w:jc w:val="right"/>
              <w:ind w:right="180"/>
              <w:spacing w:after="0" w:line="15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5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60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w w:val="87"/>
              </w:rPr>
              <w:t>Amoun</w:t>
            </w:r>
          </w:p>
        </w:tc>
        <w:tc>
          <w:tcPr>
            <w:tcW w:w="680" w:type="dxa"/>
            <w:vAlign w:val="bottom"/>
            <w:gridSpan w:val="5"/>
          </w:tcPr>
          <w:p>
            <w:pPr>
              <w:ind w:left="40"/>
              <w:spacing w:after="0" w:line="151" w:lineRule="exact"/>
              <w:rPr>
                <w:sz w:val="20"/>
                <w:szCs w:val="20"/>
                <w:color w:val="auto"/>
              </w:rPr>
            </w:pPr>
            <w:r>
              <w:rPr>
                <w:rFonts w:ascii="Arial" w:cs="Arial" w:eastAsia="Arial" w:hAnsi="Arial"/>
                <w:sz w:val="14"/>
                <w:szCs w:val="14"/>
                <w:b w:val="1"/>
                <w:bCs w:val="1"/>
                <w:color w:val="auto"/>
              </w:rPr>
              <w:t>t 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310"/>
              <w:spacing w:after="0" w:line="151" w:lineRule="exact"/>
              <w:rPr>
                <w:sz w:val="20"/>
                <w:szCs w:val="20"/>
                <w:color w:val="auto"/>
              </w:rPr>
            </w:pPr>
            <w:r>
              <w:rPr>
                <w:rFonts w:ascii="Arial" w:cs="Arial" w:eastAsia="Arial" w:hAnsi="Arial"/>
                <w:sz w:val="14"/>
                <w:szCs w:val="14"/>
                <w:b w:val="1"/>
                <w:bCs w:val="1"/>
                <w:color w:val="auto"/>
              </w:rPr>
              <w:t>Deficit</w:t>
            </w:r>
          </w:p>
        </w:tc>
        <w:tc>
          <w:tcPr>
            <w:tcW w:w="820" w:type="dxa"/>
            <w:vAlign w:val="bottom"/>
            <w:gridSpan w:val="3"/>
          </w:tcPr>
          <w:p>
            <w:pPr>
              <w:jc w:val="center"/>
              <w:ind w:right="220"/>
              <w:spacing w:after="0" w:line="151" w:lineRule="exact"/>
              <w:rPr>
                <w:sz w:val="20"/>
                <w:szCs w:val="20"/>
                <w:color w:val="auto"/>
              </w:rPr>
            </w:pPr>
            <w:r>
              <w:rPr>
                <w:rFonts w:ascii="Arial" w:cs="Arial" w:eastAsia="Arial" w:hAnsi="Arial"/>
                <w:sz w:val="14"/>
                <w:szCs w:val="14"/>
                <w:b w:val="1"/>
                <w:bCs w:val="1"/>
                <w:color w:val="auto"/>
              </w:rPr>
              <w:t>Equity</w:t>
            </w:r>
          </w:p>
        </w:tc>
      </w:tr>
      <w:tr>
        <w:trPr>
          <w:trHeight w:val="155"/>
        </w:trPr>
        <w:tc>
          <w:tcPr>
            <w:tcW w:w="1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2012</w:t>
            </w:r>
          </w:p>
        </w:tc>
        <w:tc>
          <w:tcPr>
            <w:tcW w:w="840" w:type="dxa"/>
            <w:vAlign w:val="bottom"/>
            <w:gridSpan w:val="4"/>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25,000,000</w:t>
            </w:r>
          </w:p>
        </w:tc>
        <w:tc>
          <w:tcPr>
            <w:tcW w:w="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24,970</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720,031</w:t>
            </w:r>
          </w:p>
        </w:tc>
        <w:tc>
          <w:tcPr>
            <w:tcW w:w="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w:t>
            </w:r>
          </w:p>
        </w:tc>
        <w:tc>
          <w:tcPr>
            <w:tcW w:w="1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92</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(21,009)$</w:t>
            </w:r>
          </w:p>
        </w:tc>
        <w:tc>
          <w:tcPr>
            <w:tcW w:w="780" w:type="dxa"/>
            <w:vAlign w:val="bottom"/>
            <w:tcBorders>
              <w:right w:val="single" w:sz="8" w:color="CCEEFF"/>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(20,916)</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Series A</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at $1.00 per</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of $12</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15,000,000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14,988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w:t>
            </w: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under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plan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501,299</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Stock-based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expense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351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351</w:t>
            </w: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(20,912)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(20,912)</w:t>
            </w:r>
          </w:p>
        </w:tc>
        <w:tc>
          <w:tcPr>
            <w:tcW w:w="40" w:type="dxa"/>
            <w:vAlign w:val="bottom"/>
          </w:tcPr>
          <w:p>
            <w:pPr>
              <w:spacing w:after="0"/>
              <w:rPr>
                <w:sz w:val="13"/>
                <w:szCs w:val="1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2013</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40,000,000</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39,958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auto"/>
              </w:rPr>
              <w:t>1,221,320</w:t>
            </w:r>
          </w:p>
        </w:tc>
        <w:tc>
          <w:tcPr>
            <w:tcW w:w="20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w:t>
            </w:r>
          </w:p>
        </w:tc>
        <w:tc>
          <w:tcPr>
            <w:tcW w:w="10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466</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tcPr>
          <w:p>
            <w:pPr>
              <w:jc w:val="right"/>
              <w:spacing w:after="0" w:line="153" w:lineRule="exact"/>
              <w:rPr>
                <w:sz w:val="20"/>
                <w:szCs w:val="20"/>
                <w:color w:val="auto"/>
              </w:rPr>
            </w:pPr>
            <w:r>
              <w:rPr>
                <w:rFonts w:ascii="Arial" w:cs="Arial" w:eastAsia="Arial" w:hAnsi="Arial"/>
                <w:sz w:val="14"/>
                <w:szCs w:val="14"/>
                <w:color w:val="auto"/>
              </w:rPr>
              <w:t>(41,921)$</w:t>
            </w:r>
          </w:p>
        </w:tc>
        <w:tc>
          <w:tcPr>
            <w:tcW w:w="7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(41,454)</w:t>
            </w:r>
          </w:p>
        </w:tc>
        <w:tc>
          <w:tcPr>
            <w:tcW w:w="40" w:type="dxa"/>
            <w:vAlign w:val="bottom"/>
          </w:tcPr>
          <w:p>
            <w:pPr>
              <w:spacing w:after="0"/>
              <w:rPr>
                <w:sz w:val="13"/>
                <w:szCs w:val="13"/>
                <w:color w:val="auto"/>
              </w:rPr>
            </w:pP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Series B</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at $1.20 per</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of $115</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20,916,663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24,985</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Series C</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convertible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at $2.07 per</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share, net of</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issuance costs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of $131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40"/>
              <w:spacing w:after="0" w:line="153" w:lineRule="exact"/>
              <w:rPr>
                <w:sz w:val="20"/>
                <w:szCs w:val="20"/>
                <w:color w:val="auto"/>
              </w:rPr>
            </w:pPr>
            <w:r>
              <w:rPr>
                <w:rFonts w:ascii="Arial" w:cs="Arial" w:eastAsia="Arial" w:hAnsi="Arial"/>
                <w:sz w:val="14"/>
                <w:szCs w:val="14"/>
                <w:color w:val="auto"/>
              </w:rPr>
              <w:t>24,154,589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49,868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w:t>
            </w: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under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plan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405,408</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31</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Stock-based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expense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2,326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2,326</w:t>
            </w: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(40,285)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(40,285)</w:t>
            </w:r>
          </w:p>
        </w:tc>
        <w:tc>
          <w:tcPr>
            <w:tcW w:w="40" w:type="dxa"/>
            <w:vAlign w:val="bottom"/>
          </w:tcPr>
          <w:p>
            <w:pPr>
              <w:spacing w:after="0"/>
              <w:rPr>
                <w:sz w:val="13"/>
                <w:szCs w:val="1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Balance at</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2014</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40,000,000</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39,958</w:t>
            </w:r>
          </w:p>
        </w:tc>
        <w:tc>
          <w:tcPr>
            <w:tcW w:w="840" w:type="dxa"/>
            <w:vAlign w:val="bottom"/>
            <w:gridSpan w:val="4"/>
          </w:tcPr>
          <w:p>
            <w:pPr>
              <w:jc w:val="right"/>
              <w:ind w:right="60"/>
              <w:spacing w:after="0" w:line="153" w:lineRule="exact"/>
              <w:rPr>
                <w:sz w:val="20"/>
                <w:szCs w:val="20"/>
                <w:color w:val="auto"/>
              </w:rPr>
            </w:pPr>
            <w:r>
              <w:rPr>
                <w:rFonts w:ascii="Arial" w:cs="Arial" w:eastAsia="Arial" w:hAnsi="Arial"/>
                <w:sz w:val="14"/>
                <w:szCs w:val="14"/>
                <w:color w:val="auto"/>
              </w:rPr>
              <w:t>20,916,663</w:t>
            </w:r>
          </w:p>
        </w:tc>
        <w:tc>
          <w:tcPr>
            <w:tcW w:w="8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24,985</w:t>
            </w:r>
          </w:p>
        </w:tc>
        <w:tc>
          <w:tcPr>
            <w:tcW w:w="840" w:type="dxa"/>
            <w:vAlign w:val="bottom"/>
            <w:gridSpan w:val="4"/>
          </w:tcPr>
          <w:p>
            <w:pPr>
              <w:jc w:val="right"/>
              <w:ind w:right="40"/>
              <w:spacing w:after="0" w:line="153" w:lineRule="exact"/>
              <w:rPr>
                <w:sz w:val="20"/>
                <w:szCs w:val="20"/>
                <w:color w:val="auto"/>
              </w:rPr>
            </w:pPr>
            <w:r>
              <w:rPr>
                <w:rFonts w:ascii="Arial" w:cs="Arial" w:eastAsia="Arial" w:hAnsi="Arial"/>
                <w:sz w:val="14"/>
                <w:szCs w:val="14"/>
                <w:color w:val="auto"/>
              </w:rPr>
              <w:t>24,154,589</w:t>
            </w:r>
          </w:p>
        </w:tc>
        <w:tc>
          <w:tcPr>
            <w:tcW w:w="10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49,868</w:t>
            </w:r>
          </w:p>
        </w:tc>
        <w:tc>
          <w:tcPr>
            <w:tcW w:w="78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auto"/>
              </w:rPr>
              <w:t>1,626,738</w:t>
            </w:r>
          </w:p>
        </w:tc>
        <w:tc>
          <w:tcPr>
            <w:tcW w:w="20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w:t>
            </w:r>
          </w:p>
        </w:tc>
        <w:tc>
          <w:tcPr>
            <w:tcW w:w="10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2,822</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tcPr>
          <w:p>
            <w:pPr>
              <w:jc w:val="right"/>
              <w:spacing w:after="0" w:line="153" w:lineRule="exact"/>
              <w:rPr>
                <w:sz w:val="20"/>
                <w:szCs w:val="20"/>
                <w:color w:val="auto"/>
              </w:rPr>
            </w:pPr>
            <w:r>
              <w:rPr>
                <w:rFonts w:ascii="Arial" w:cs="Arial" w:eastAsia="Arial" w:hAnsi="Arial"/>
                <w:sz w:val="14"/>
                <w:szCs w:val="14"/>
                <w:color w:val="auto"/>
              </w:rPr>
              <w:t>(82,206)$</w:t>
            </w:r>
          </w:p>
        </w:tc>
        <w:tc>
          <w:tcPr>
            <w:tcW w:w="7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(79,382)</w:t>
            </w:r>
          </w:p>
        </w:tc>
        <w:tc>
          <w:tcPr>
            <w:tcW w:w="40" w:type="dxa"/>
            <w:vAlign w:val="bottom"/>
          </w:tcPr>
          <w:p>
            <w:pPr>
              <w:spacing w:after="0"/>
              <w:rPr>
                <w:sz w:val="13"/>
                <w:szCs w:val="13"/>
                <w:color w:val="auto"/>
              </w:rPr>
            </w:pPr>
          </w:p>
        </w:tc>
      </w:tr>
      <w:tr>
        <w:trPr>
          <w:trHeight w:val="162"/>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of</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into common</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stock</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(unaudited)</w:t>
            </w:r>
          </w:p>
        </w:tc>
        <w:tc>
          <w:tcPr>
            <w:tcW w:w="8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(40,000,000)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80" w:type="dxa"/>
            <w:vAlign w:val="bottom"/>
            <w:gridSpan w:val="7"/>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w w:val="98"/>
              </w:rPr>
              <w:t>(39,958) (20,916,663)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gridSpan w:val="7"/>
            <w:shd w:val="clear" w:color="auto" w:fill="CCEEFF"/>
          </w:tcPr>
          <w:p>
            <w:pPr>
              <w:jc w:val="right"/>
              <w:spacing w:after="0" w:line="153" w:lineRule="exact"/>
              <w:rPr>
                <w:sz w:val="20"/>
                <w:szCs w:val="20"/>
                <w:color w:val="auto"/>
              </w:rPr>
            </w:pPr>
            <w:r>
              <w:rPr>
                <w:rFonts w:ascii="Arial" w:cs="Arial" w:eastAsia="Arial" w:hAnsi="Arial"/>
                <w:sz w:val="14"/>
                <w:szCs w:val="14"/>
                <w:color w:val="auto"/>
                <w:w w:val="98"/>
              </w:rPr>
              <w:t>(24,985) (24,154,589)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0" w:type="dxa"/>
            <w:vAlign w:val="bottom"/>
            <w:gridSpan w:val="7"/>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w w:val="99"/>
              </w:rPr>
              <w:t>(49,868) 15,467,479</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4"/>
              </w:rPr>
              <w:t>114,796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114,811</w:t>
            </w:r>
          </w:p>
        </w:tc>
        <w:tc>
          <w:tcPr>
            <w:tcW w:w="40" w:type="dxa"/>
            <w:vAlign w:val="bottom"/>
          </w:tcPr>
          <w:p>
            <w:pPr>
              <w:spacing w:after="0"/>
              <w:rPr>
                <w:sz w:val="13"/>
                <w:szCs w:val="13"/>
                <w:color w:val="auto"/>
              </w:rPr>
            </w:pPr>
          </w:p>
        </w:tc>
      </w:tr>
      <w:tr>
        <w:trPr>
          <w:trHeight w:val="162"/>
        </w:trPr>
        <w:tc>
          <w:tcPr>
            <w:tcW w:w="1240" w:type="dxa"/>
            <w:vAlign w:val="bottom"/>
          </w:tcPr>
          <w:p>
            <w:pPr>
              <w:ind w:left="120"/>
              <w:spacing w:after="0"/>
              <w:rPr>
                <w:sz w:val="20"/>
                <w:szCs w:val="20"/>
                <w:color w:val="auto"/>
              </w:rPr>
            </w:pPr>
            <w:r>
              <w:rPr>
                <w:rFonts w:ascii="Arial" w:cs="Arial" w:eastAsia="Arial" w:hAnsi="Arial"/>
                <w:sz w:val="14"/>
                <w:szCs w:val="14"/>
                <w:color w:val="auto"/>
              </w:rPr>
              <w:t>Reclassification</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of warrant to</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purchase</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to stockholders'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tcPr>
          <w:p>
            <w:pPr>
              <w:ind w:left="220"/>
              <w:spacing w:after="0" w:line="157" w:lineRule="exact"/>
              <w:rPr>
                <w:sz w:val="20"/>
                <w:szCs w:val="20"/>
                <w:color w:val="auto"/>
              </w:rPr>
            </w:pPr>
            <w:r>
              <w:rPr>
                <w:rFonts w:ascii="Arial" w:cs="Arial" w:eastAsia="Arial" w:hAnsi="Arial"/>
                <w:sz w:val="14"/>
                <w:szCs w:val="14"/>
                <w:color w:val="auto"/>
              </w:rPr>
              <w:t>equity</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tcPr>
          <w:p>
            <w:pPr>
              <w:ind w:left="220"/>
              <w:spacing w:after="0" w:line="153"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365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5"/>
          </w:tcPr>
          <w:p>
            <w:pPr>
              <w:jc w:val="right"/>
              <w:ind w:right="11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365</w:t>
            </w:r>
          </w:p>
        </w:tc>
        <w:tc>
          <w:tcPr>
            <w:tcW w:w="40" w:type="dxa"/>
            <w:vAlign w:val="bottom"/>
          </w:tcPr>
          <w:p>
            <w:pPr>
              <w:spacing w:after="0"/>
              <w:rPr>
                <w:sz w:val="13"/>
                <w:szCs w:val="13"/>
                <w:color w:val="auto"/>
              </w:rPr>
            </w:pPr>
          </w:p>
        </w:tc>
      </w:tr>
      <w:tr>
        <w:trPr>
          <w:trHeight w:val="155"/>
        </w:trPr>
        <w:tc>
          <w:tcPr>
            <w:tcW w:w="124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Pro forma</w:t>
            </w: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balance at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December 31,</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2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2014</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(unaudited)</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4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5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17,094,217</w:t>
            </w:r>
          </w:p>
        </w:tc>
        <w:tc>
          <w:tcPr>
            <w:tcW w:w="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17</w:t>
            </w:r>
          </w:p>
        </w:tc>
        <w:tc>
          <w:tcPr>
            <w:tcW w:w="1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u w:val="single" w:color="auto"/>
                <w:color w:val="auto"/>
              </w:rPr>
              <w:t>$</w:t>
            </w:r>
          </w:p>
        </w:tc>
        <w:tc>
          <w:tcPr>
            <w:tcW w:w="54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4"/>
              </w:rPr>
              <w:t>117,983</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(82,206)$</w:t>
            </w:r>
          </w:p>
        </w:tc>
        <w:tc>
          <w:tcPr>
            <w:tcW w:w="780" w:type="dxa"/>
            <w:vAlign w:val="bottom"/>
            <w:tcBorders>
              <w:right w:val="single" w:sz="8" w:color="CCEEFF"/>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35,794</w:t>
            </w:r>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00"/>
          </w:cols>
          <w:pgMar w:left="240" w:top="143" w:right="115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5"/>
        </w:trPr>
        <w:tc>
          <w:tcPr>
            <w:tcW w:w="8300" w:type="dxa"/>
            <w:vAlign w:val="bottom"/>
            <w:gridSpan w:val="3"/>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Blueprint Medicines Corporation</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Statements of Cash Flows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jc w:val="center"/>
              <w:ind w:left="1655"/>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8"/>
          </w:tcPr>
          <w:p>
            <w:pPr>
              <w:jc w:val="center"/>
              <w:ind w:right="15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8"/>
          </w:tcPr>
          <w:p>
            <w:pPr>
              <w:jc w:val="center"/>
              <w:ind w:right="15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activities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(20,912)</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(40,285)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in operating activities: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501</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622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Noncash interest expense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351</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2,326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180"/>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(469)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541</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(512)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550</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2,873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rent</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(114)</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(19,025)</w:t>
            </w: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(35,400)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Purchases of property and equipment</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(700)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cash used in investing activities</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(257)</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term loan</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7,000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Principal payments on loan payable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(750)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Series A convertible preferred stock, net of issuance costs</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14,987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Proceeds from issuance of Series B convertible preferred stock, net of issuance costs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24,985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Series C convertible preferred stock, net of issuance costs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49,868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Debt issuance costs</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(18)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common stock</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17,992</w:t>
            </w:r>
          </w:p>
        </w:tc>
        <w:tc>
          <w:tcPr>
            <w:tcW w:w="22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81,353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(1,290)</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45,253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3,277</w:t>
            </w:r>
          </w:p>
        </w:tc>
        <w:tc>
          <w:tcPr>
            <w:tcW w:w="2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1,987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1,987</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47,240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1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noncash financing activity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Issuance of warrants in connection with term loan</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vMerge w:val="restart"/>
          </w:tcPr>
          <w:p>
            <w:pPr>
              <w:jc w:val="center"/>
              <w:ind w:left="1695"/>
              <w:spacing w:after="0"/>
              <w:rPr>
                <w:sz w:val="20"/>
                <w:szCs w:val="20"/>
                <w:color w:val="auto"/>
              </w:rPr>
            </w:pPr>
            <w:r>
              <w:rPr>
                <w:rFonts w:ascii="Arial" w:cs="Arial" w:eastAsia="Arial" w:hAnsi="Arial"/>
                <w:sz w:val="17"/>
                <w:szCs w:val="17"/>
                <w:color w:val="auto"/>
              </w:rPr>
              <w:t>F-6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9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Blueprint Medicines Corporation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genomically defined diseases and to craft drug candidates with therapeutic windows that provide significant and durable clinical response to patients.</w:t>
      </w:r>
    </w:p>
    <w:p>
      <w:pPr>
        <w:spacing w:after="0" w:line="198"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has an accumulated deficit as of December 31, 2014 of approximately $82.2 million and will require substantial additional capital for research and product development. The Company is subject to a number of risks similar to those of other early stage companies, including dependence on key individuals; the need to develop commercially viable drugs; competition from other companies, many of which are larger and better capitalized; and the need to obtain adequate additional financing to fund the development of its drugs. If the Company is unable to raise capital when needed or on attractive terms, it would be forced to delay, reduce, eliminate or out-license certain of its research and development programs or future commercialization efforts.</w:t>
      </w:r>
    </w:p>
    <w:p>
      <w:pPr>
        <w:spacing w:after="0" w:line="201" w:lineRule="exact"/>
        <w:rPr>
          <w:sz w:val="20"/>
          <w:szCs w:val="20"/>
          <w:color w:val="auto"/>
        </w:rPr>
      </w:pPr>
    </w:p>
    <w:p>
      <w:pPr>
        <w:ind w:right="780" w:firstLine="464"/>
        <w:spacing w:after="0" w:line="252" w:lineRule="auto"/>
        <w:rPr>
          <w:sz w:val="20"/>
          <w:szCs w:val="20"/>
          <w:color w:val="auto"/>
        </w:rPr>
      </w:pPr>
      <w:r>
        <w:rPr>
          <w:rFonts w:ascii="Arial" w:cs="Arial" w:eastAsia="Arial" w:hAnsi="Arial"/>
          <w:sz w:val="17"/>
          <w:szCs w:val="17"/>
          <w:color w:val="auto"/>
        </w:rPr>
        <w:t>At December 31, 2014, the Company believes its cash and cash equivalents, totaling approximately $47.2 million, are sufficient to fund operations through at least January 1,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31"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 accompanying financial statements have been prepared in accordance with United States (U.S.) generally accepted accounting principles ("U.S. GAAP") and include all adjustments necessary for the fair presentation of the Company's financial position for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1"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stock-based compensation expense, including estimating the fair value of the Company's common stock (the "Common Stock"); the valuation of liability-classified warrants; accrued expenses; and 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Financial Information</w:t>
      </w:r>
    </w:p>
    <w:p>
      <w:pPr>
        <w:spacing w:after="0" w:line="231" w:lineRule="exact"/>
        <w:rPr>
          <w:sz w:val="20"/>
          <w:szCs w:val="20"/>
          <w:color w:val="auto"/>
        </w:rPr>
      </w:pPr>
    </w:p>
    <w:p>
      <w:pPr>
        <w:jc w:val="both"/>
        <w:ind w:right="580" w:firstLine="474"/>
        <w:spacing w:after="0" w:line="252" w:lineRule="auto"/>
        <w:rPr>
          <w:sz w:val="20"/>
          <w:szCs w:val="20"/>
          <w:color w:val="auto"/>
        </w:rPr>
      </w:pPr>
      <w:r>
        <w:rPr>
          <w:rFonts w:ascii="Arial" w:cs="Arial" w:eastAsia="Arial" w:hAnsi="Arial"/>
          <w:sz w:val="17"/>
          <w:szCs w:val="17"/>
          <w:color w:val="auto"/>
        </w:rPr>
        <w:t>On February 10, 2015, the Company's board of directors authorized the management of the Company to submit on a confidential basis a registration statement with the Securities and Exchange Commission ("SEC") for the Company to sell shares of its Common Stock to the public.</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Upon the closing of a qualified initial public offering, all of the Company's outstanding convertible preferred stock will automatically convert into Common Stock. The unaudited pro forma consolidated balance sheet and statement of convertible preferred stock and stockholders' (deficit) equity as of December 31, 2014 assumes the conversion of all outstanding convertible preferred stock into shares of Common Stock and the reclassification of the warrant liability to additional paid-in capital upon the completion of this proposed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31"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Comprehensive income (loss) is defined as the change in equity of a business enterprise during a period from transactions and other events and circumstances from non-owner sources. For the years ended December 31, 2013 and 2014, comprehensive loss was equal to net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31" w:lineRule="exact"/>
        <w:rPr>
          <w:sz w:val="20"/>
          <w:szCs w:val="20"/>
          <w:color w:val="auto"/>
        </w:rPr>
      </w:pPr>
    </w:p>
    <w:p>
      <w:pPr>
        <w:ind w:right="500" w:firstLine="474"/>
        <w:spacing w:after="0" w:line="246" w:lineRule="auto"/>
        <w:rPr>
          <w:sz w:val="20"/>
          <w:szCs w:val="20"/>
          <w:color w:val="auto"/>
        </w:rPr>
      </w:pPr>
      <w:r>
        <w:rPr>
          <w:rFonts w:ascii="Arial" w:cs="Arial" w:eastAsia="Arial" w:hAnsi="Arial"/>
          <w:sz w:val="17"/>
          <w:szCs w:val="17"/>
          <w:color w:val="auto"/>
        </w:rPr>
        <w:t>Cash equivalents are highly liquid investments that are readily convertible into cash with original maturities of three months or less when purchased. These assets include an investment in a money market fund that invests in U.S. Treasury obligations. Cash equivalents consist of the following at December 31, 2013 and 2014 (in thousands):</w:t>
      </w:r>
    </w:p>
    <w:p>
      <w:pPr>
        <w:spacing w:after="0" w:line="179" w:lineRule="exact"/>
        <w:rPr>
          <w:sz w:val="20"/>
          <w:szCs w:val="20"/>
          <w:color w:val="auto"/>
        </w:rPr>
      </w:pPr>
    </w:p>
    <w:p>
      <w:pPr>
        <w:ind w:left="7680"/>
        <w:spacing w:after="0"/>
        <w:tabs>
          <w:tab w:leader="none" w:pos="8820" w:val="left"/>
        </w:tabs>
        <w:rPr>
          <w:sz w:val="20"/>
          <w:szCs w:val="20"/>
          <w:color w:val="auto"/>
        </w:rPr>
      </w:pPr>
      <w:r>
        <w:rPr>
          <w:rFonts w:ascii="Arial" w:cs="Arial" w:eastAsia="Arial" w:hAnsi="Arial"/>
          <w:sz w:val="17"/>
          <w:szCs w:val="17"/>
          <w:b w:val="1"/>
          <w:bCs w:val="1"/>
          <w:u w:val="single" w:color="auto"/>
          <w:color w:val="auto"/>
        </w:rPr>
        <w:t>2013</w:t>
      </w:r>
      <w:r>
        <w:rPr>
          <w:sz w:val="20"/>
          <w:szCs w:val="20"/>
          <w:color w:val="auto"/>
        </w:rPr>
        <w:tab/>
      </w:r>
      <w:r>
        <w:rPr>
          <w:rFonts w:ascii="Arial" w:cs="Arial" w:eastAsia="Arial" w:hAnsi="Arial"/>
          <w:sz w:val="17"/>
          <w:szCs w:val="17"/>
          <w:b w:val="1"/>
          <w:bCs w:val="1"/>
          <w:u w:val="single" w:color="auto"/>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19685</wp:posOffset>
            </wp:positionV>
            <wp:extent cx="5069840" cy="1250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14" w:lineRule="exact"/>
        <w:rPr>
          <w:sz w:val="20"/>
          <w:szCs w:val="20"/>
          <w:color w:val="auto"/>
        </w:rPr>
      </w:pPr>
    </w:p>
    <w:p>
      <w:pPr>
        <w:ind w:left="1720"/>
        <w:spacing w:after="0"/>
        <w:tabs>
          <w:tab w:leader="none" w:pos="7380" w:val="left"/>
          <w:tab w:leader="none" w:pos="7900" w:val="left"/>
          <w:tab w:leader="none" w:pos="8480" w:val="left"/>
          <w:tab w:leader="none" w:pos="9000" w:val="left"/>
        </w:tabs>
        <w:rPr>
          <w:sz w:val="20"/>
          <w:szCs w:val="20"/>
          <w:color w:val="auto"/>
        </w:rPr>
      </w:pPr>
      <w:r>
        <w:rPr>
          <w:rFonts w:ascii="Arial" w:cs="Arial" w:eastAsia="Arial" w:hAnsi="Arial"/>
          <w:sz w:val="17"/>
          <w:szCs w:val="17"/>
          <w:color w:val="auto"/>
        </w:rPr>
        <w:t>Money market fund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1,987</w:t>
        <w:tab/>
        <w:t>$</w:t>
      </w:r>
      <w:r>
        <w:rPr>
          <w:sz w:val="20"/>
          <w:szCs w:val="20"/>
          <w:color w:val="auto"/>
        </w:rPr>
        <w:tab/>
      </w:r>
      <w:r>
        <w:rPr>
          <w:rFonts w:ascii="Arial" w:cs="Arial" w:eastAsia="Arial" w:hAnsi="Arial"/>
          <w:sz w:val="17"/>
          <w:szCs w:val="17"/>
          <w:color w:val="auto"/>
        </w:rPr>
        <w:t>47,240</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hierarchy prioritizes the inputs to valuation techniques used to measure fair value into three broad levels as follows: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inputs are quoted prices (unadjusted) in active markets for identical assets or liabilities.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w:t>
      </w:r>
    </w:p>
    <w:p>
      <w:pPr>
        <w:spacing w:after="0" w:line="211" w:lineRule="exact"/>
        <w:rPr>
          <w:sz w:val="20"/>
          <w:szCs w:val="20"/>
          <w:color w:val="auto"/>
        </w:rPr>
      </w:pPr>
    </w:p>
    <w:p>
      <w:pPr>
        <w:ind w:right="260" w:firstLine="474"/>
        <w:spacing w:after="0" w:line="246" w:lineRule="auto"/>
        <w:rPr>
          <w:sz w:val="20"/>
          <w:szCs w:val="20"/>
          <w:color w:val="auto"/>
        </w:rPr>
      </w:pPr>
      <w:r>
        <w:rPr>
          <w:rFonts w:ascii="Arial" w:cs="Arial" w:eastAsia="Arial" w:hAnsi="Arial"/>
          <w:sz w:val="17"/>
          <w:szCs w:val="17"/>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at fair value as of December 31, 2013, are classified below based on the fair value hierarchy described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Active</w:t>
            </w: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Observable</w:t>
            </w:r>
          </w:p>
        </w:tc>
        <w:tc>
          <w:tcPr>
            <w:tcW w:w="140" w:type="dxa"/>
            <w:vAlign w:val="bottom"/>
          </w:tcPr>
          <w:p>
            <w:pPr>
              <w:spacing w:after="0"/>
              <w:rPr>
                <w:sz w:val="17"/>
                <w:szCs w:val="17"/>
                <w:color w:val="auto"/>
              </w:rPr>
            </w:pPr>
          </w:p>
        </w:tc>
        <w:tc>
          <w:tcPr>
            <w:tcW w:w="2460" w:type="dxa"/>
            <w:vAlign w:val="bottom"/>
            <w:gridSpan w:val="4"/>
          </w:tcPr>
          <w:p>
            <w:pPr>
              <w:jc w:val="center"/>
              <w:ind w:right="1300"/>
              <w:spacing w:after="0"/>
              <w:rPr>
                <w:sz w:val="20"/>
                <w:szCs w:val="20"/>
                <w:color w:val="auto"/>
              </w:rPr>
            </w:pPr>
            <w:r>
              <w:rPr>
                <w:rFonts w:ascii="Arial" w:cs="Arial" w:eastAsia="Arial" w:hAnsi="Arial"/>
                <w:sz w:val="17"/>
                <w:szCs w:val="17"/>
                <w:b w:val="1"/>
                <w:bCs w:val="1"/>
                <w:color w:val="auto"/>
                <w:w w:val="99"/>
              </w:rPr>
              <w:t>Unobservable</w:t>
            </w:r>
          </w:p>
        </w:tc>
      </w:tr>
      <w:tr>
        <w:trPr>
          <w:trHeight w:val="197"/>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7"/>
              </w:rPr>
              <w:t>December 31,</w:t>
            </w:r>
          </w:p>
        </w:tc>
        <w:tc>
          <w:tcPr>
            <w:tcW w:w="16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9"/>
              </w:rPr>
              <w:t>Markets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Inputs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tcPr>
          <w:p>
            <w:pPr>
              <w:jc w:val="center"/>
              <w:ind w:right="1440"/>
              <w:spacing w:after="0"/>
              <w:rPr>
                <w:sz w:val="20"/>
                <w:szCs w:val="20"/>
                <w:color w:val="auto"/>
              </w:rPr>
            </w:pPr>
            <w:r>
              <w:rPr>
                <w:rFonts w:ascii="Arial" w:cs="Arial" w:eastAsia="Arial" w:hAnsi="Arial"/>
                <w:sz w:val="17"/>
                <w:szCs w:val="17"/>
                <w:b w:val="1"/>
                <w:bCs w:val="1"/>
                <w:color w:val="auto"/>
              </w:rPr>
              <w:t>Inputs</w:t>
            </w:r>
          </w:p>
        </w:tc>
      </w:tr>
      <w:tr>
        <w:trPr>
          <w:trHeight w:val="214"/>
        </w:trPr>
        <w:tc>
          <w:tcPr>
            <w:tcW w:w="11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b w:val="1"/>
                <w:bCs w:val="1"/>
                <w:color w:val="auto"/>
              </w:rPr>
              <w:t>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5"/>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jc w:val="center"/>
              <w:ind w:right="1440"/>
              <w:spacing w:after="0"/>
              <w:rPr>
                <w:sz w:val="20"/>
                <w:szCs w:val="20"/>
                <w:color w:val="auto"/>
              </w:rPr>
            </w:pPr>
            <w:r>
              <w:rPr>
                <w:rFonts w:ascii="Arial" w:cs="Arial" w:eastAsia="Arial" w:hAnsi="Arial"/>
                <w:sz w:val="17"/>
                <w:szCs w:val="17"/>
                <w:b w:val="1"/>
                <w:bCs w:val="1"/>
                <w:color w:val="auto"/>
                <w:w w:val="98"/>
              </w:rPr>
              <w:t>(Level 3)</w:t>
            </w:r>
          </w:p>
        </w:tc>
      </w:tr>
      <w:tr>
        <w:trPr>
          <w:trHeight w:val="20"/>
        </w:trPr>
        <w:tc>
          <w:tcPr>
            <w:tcW w:w="1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Money market funds, included in cash equivalents</w:t>
            </w:r>
          </w:p>
        </w:tc>
        <w:tc>
          <w:tcPr>
            <w:tcW w:w="40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1,987</w:t>
            </w:r>
          </w:p>
        </w:tc>
        <w:tc>
          <w:tcPr>
            <w:tcW w:w="1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1,987</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76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spacing w:after="0"/>
              <w:rPr>
                <w:sz w:val="16"/>
                <w:szCs w:val="16"/>
                <w:color w:val="auto"/>
              </w:rPr>
            </w:pPr>
          </w:p>
        </w:tc>
      </w:tr>
      <w:tr>
        <w:trPr>
          <w:trHeight w:val="207"/>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Preferred stock warrants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(119)</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1100" w:type="dxa"/>
            <w:vAlign w:val="bottom"/>
          </w:tcPr>
          <w:p>
            <w:pPr>
              <w:spacing w:after="0"/>
              <w:rPr>
                <w:sz w:val="18"/>
                <w:szCs w:val="18"/>
                <w:color w:val="auto"/>
              </w:rPr>
            </w:pPr>
          </w:p>
        </w:tc>
      </w:tr>
      <w:tr>
        <w:trPr>
          <w:trHeight w:val="406"/>
        </w:trPr>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780"/>
              <w:spacing w:after="0"/>
              <w:rPr>
                <w:sz w:val="20"/>
                <w:szCs w:val="20"/>
                <w:color w:val="auto"/>
              </w:rPr>
            </w:pPr>
            <w:r>
              <w:rPr>
                <w:rFonts w:ascii="Arial" w:cs="Arial" w:eastAsia="Arial" w:hAnsi="Arial"/>
                <w:sz w:val="17"/>
                <w:szCs w:val="17"/>
                <w:color w:val="auto"/>
              </w:rPr>
              <w:t>F-8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at fair value as of December 31, 2014, are classified below based on the fair value hierarchy described above: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Active</w:t>
            </w: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Observable</w:t>
            </w:r>
          </w:p>
        </w:tc>
        <w:tc>
          <w:tcPr>
            <w:tcW w:w="14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9"/>
              </w:rPr>
              <w:t>Unobservable</w:t>
            </w:r>
          </w:p>
        </w:tc>
      </w:tr>
      <w:tr>
        <w:trPr>
          <w:trHeight w:val="197"/>
        </w:trPr>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9"/>
              </w:rPr>
              <w:t>December 31,</w:t>
            </w:r>
          </w:p>
        </w:tc>
        <w:tc>
          <w:tcPr>
            <w:tcW w:w="14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9"/>
              </w:rPr>
              <w:t>Markets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Inputs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Inputs</w:t>
            </w:r>
          </w:p>
        </w:tc>
      </w:tr>
      <w:tr>
        <w:trPr>
          <w:trHeight w:val="214"/>
        </w:trPr>
        <w:tc>
          <w:tcPr>
            <w:tcW w:w="960" w:type="dxa"/>
            <w:vAlign w:val="bottom"/>
          </w:tcPr>
          <w:p>
            <w:pPr>
              <w:spacing w:after="0"/>
              <w:rPr>
                <w:sz w:val="20"/>
                <w:szCs w:val="20"/>
                <w:color w:val="auto"/>
              </w:rPr>
            </w:pPr>
            <w:r>
              <w:rPr>
                <w:rFonts w:ascii="Arial" w:cs="Arial" w:eastAsia="Arial" w:hAnsi="Arial"/>
                <w:sz w:val="17"/>
                <w:szCs w:val="17"/>
                <w:b w:val="1"/>
                <w:bCs w:val="1"/>
                <w:color w:val="auto"/>
              </w:rPr>
              <w:t>Description</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8"/>
              </w:rPr>
              <w:t>(Level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(Level 3)</w:t>
            </w:r>
          </w:p>
        </w:tc>
      </w:tr>
      <w:tr>
        <w:trPr>
          <w:trHeight w:val="20"/>
        </w:trPr>
        <w:tc>
          <w:tcPr>
            <w:tcW w:w="9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3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Money market funds, included in cash equivalents</w:t>
            </w:r>
          </w:p>
        </w:tc>
        <w:tc>
          <w:tcPr>
            <w:tcW w:w="46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47,240</w:t>
            </w:r>
          </w:p>
        </w:tc>
        <w:tc>
          <w:tcPr>
            <w:tcW w:w="9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   47,240</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76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207"/>
        </w:trPr>
        <w:tc>
          <w:tcPr>
            <w:tcW w:w="3940" w:type="dxa"/>
            <w:vAlign w:val="bottom"/>
            <w:gridSpan w:val="2"/>
          </w:tcPr>
          <w:p>
            <w:pPr>
              <w:spacing w:after="0"/>
              <w:rPr>
                <w:sz w:val="20"/>
                <w:szCs w:val="20"/>
                <w:color w:val="auto"/>
              </w:rPr>
            </w:pPr>
            <w:r>
              <w:rPr>
                <w:rFonts w:ascii="Arial" w:cs="Arial" w:eastAsia="Arial" w:hAnsi="Arial"/>
                <w:sz w:val="17"/>
                <w:szCs w:val="17"/>
                <w:color w:val="auto"/>
              </w:rPr>
              <w:t>Preferred stock warrants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(365)</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(365)</w:t>
            </w:r>
          </w:p>
        </w:tc>
      </w:tr>
    </w:tbl>
    <w:p>
      <w:pPr>
        <w:spacing w:after="0" w:line="202"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At December 31, 2013 and 2014, all of the Company's cash equivalents comprise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 The fair value of the preferred stock warrant liability was determined based on Level 3 inputs and utilizing the Black-Scholes option pricing model (see Note 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platform.</w:t>
      </w:r>
    </w:p>
    <w:p>
      <w:pPr>
        <w:spacing w:after="0" w:line="193" w:lineRule="exact"/>
        <w:rPr>
          <w:sz w:val="20"/>
          <w:szCs w:val="20"/>
          <w:color w:val="auto"/>
        </w:rPr>
      </w:pPr>
    </w:p>
    <w:p>
      <w:pPr>
        <w:ind w:right="200" w:firstLine="474"/>
        <w:spacing w:after="0" w:line="244"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As of December 31, 2013 and 2014, the Company had prepaid expenses of approximately $0.1 million in each year related to nonrefundable advance payments to vendors.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3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1"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through December 31, 2014.</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231"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accounts for warrant instruments that either conditionally or unconditionally obligate the issuer to transfer assets and liabilities regardless of the timing of the redemption feature or price, even though the underlying shares may be classified as permanent or temporary equity. These warrants are subject to revaluation at each balance sheet date, and any changes in fair value are recorded as a component of other income (expense), until the earlier of their exercise or expiration or the completion of a liquidation event, including the completion of an initial public offering, at which time the warrant liability will be reclassified to stockholders' equity if the criteria for recording the warrant as an equity instrument are met. The warrant liability totaled $0.1 million and $0.4 million at December 31, 2013 and 2014, respectively (see Note 6).</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expenses the fair value of employee stock awards net of estimated forfeitures, adjusted to reflect actual forfeitures on a straight-line basis over the requisite service period, which generally is the vesting period. Compensation cost for restricted stock awards issued to employees is measured using the grant date intrinsic value of the award, net of estimated forfeitures, adjusted to reflect actual forfeitures. The Company estimates the fair value of the options granted to employees at the date of grant using the Black-Scholes option-pricing model that requires management to apply judgment and make estimates, including:</w:t>
      </w:r>
    </w:p>
    <w:p>
      <w:pPr>
        <w:spacing w:after="0" w:line="199" w:lineRule="exact"/>
        <w:rPr>
          <w:sz w:val="20"/>
          <w:szCs w:val="20"/>
          <w:color w:val="auto"/>
        </w:rPr>
      </w:pPr>
    </w:p>
    <w:p>
      <w:pPr>
        <w:ind w:left="1060" w:hanging="531"/>
        <w:spacing w:after="0" w:line="24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Since the Company is privately held as of the date of these financial statements, it does not have relevant historical data to support its expected volatility. As such, the Company has used an average of expected volatility based on the volatilities of a representative group of publicly traded biopharmaceutical companies. For purposes of identifying representative companies, the Company considered characteristics such as number of drug candidates in early stages of drug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The Company intends to consistently apply this process using the same representative companies until a sufficient amount of historical information regarding the volatility of the Company's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204"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life assumption;</w:t>
      </w:r>
    </w:p>
    <w:p>
      <w:pPr>
        <w:spacing w:after="0" w:line="179" w:lineRule="exact"/>
        <w:rPr>
          <w:rFonts w:ascii="Arial" w:cs="Arial" w:eastAsia="Arial" w:hAnsi="Arial"/>
          <w:sz w:val="17"/>
          <w:szCs w:val="17"/>
          <w:color w:val="auto"/>
        </w:rPr>
      </w:pPr>
    </w:p>
    <w:p>
      <w:pPr>
        <w:ind w:left="1060" w:right="120" w:hanging="531"/>
        <w:spacing w:after="0" w:line="24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expected term, which the Company calculates using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as the Company has insufficient historical information regarding stock options to provide a basis for an estimate;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ind w:left="200" w:hanging="195"/>
        <w:spacing w:after="0"/>
        <w:tabs>
          <w:tab w:leader="none" w:pos="20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230" w:lineRule="exact"/>
        <w:rPr>
          <w:rFonts w:ascii="Arial" w:cs="Arial" w:eastAsia="Arial" w:hAnsi="Arial"/>
          <w:sz w:val="17"/>
          <w:szCs w:val="17"/>
          <w:b w:val="1"/>
          <w:bCs w:val="1"/>
          <w:color w:val="auto"/>
        </w:rPr>
      </w:pPr>
    </w:p>
    <w:p>
      <w:pPr>
        <w:ind w:left="1060" w:right="300" w:hanging="531"/>
        <w:spacing w:after="0" w:line="252" w:lineRule="auto"/>
        <w:tabs>
          <w:tab w:leader="none" w:pos="10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fair value of the underlying common shares, which is determined using the option-pricing method (OPM) or a hybrid of the probability-weighted expected return method, or PWERM, and the OPM, and was approved by our board of directors; and</w:t>
      </w:r>
    </w:p>
    <w:p>
      <w:pPr>
        <w:spacing w:after="0" w:line="192" w:lineRule="exact"/>
        <w:rPr>
          <w:rFonts w:ascii="Arial" w:cs="Arial" w:eastAsia="Arial" w:hAnsi="Arial"/>
          <w:sz w:val="17"/>
          <w:szCs w:val="17"/>
          <w:color w:val="auto"/>
        </w:rPr>
      </w:pPr>
    </w:p>
    <w:p>
      <w:pPr>
        <w:ind w:left="1060" w:right="700" w:hanging="531"/>
        <w:spacing w:after="0" w:line="252" w:lineRule="auto"/>
        <w:tabs>
          <w:tab w:leader="none" w:pos="10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the Company never paid cash dividends and does not expect to pay any cash dividends in the foreseeable future.</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amount of stock-based compensation expense recognized during a period is based on the fair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The Company evaluates its forfeiture rate at each reporting period. Ultimately, the actual expense recognized over the vesting period will be for only those options that vest.</w:t>
      </w:r>
    </w:p>
    <w:p>
      <w:pPr>
        <w:spacing w:after="0" w:line="199" w:lineRule="exact"/>
        <w:rPr>
          <w:sz w:val="20"/>
          <w:szCs w:val="20"/>
          <w:color w:val="auto"/>
        </w:rPr>
      </w:pPr>
    </w:p>
    <w:p>
      <w:pPr>
        <w:ind w:right="220" w:firstLine="474"/>
        <w:spacing w:after="0" w:line="245" w:lineRule="auto"/>
        <w:rPr>
          <w:sz w:val="20"/>
          <w:szCs w:val="20"/>
          <w:color w:val="auto"/>
        </w:rPr>
      </w:pPr>
      <w:r>
        <w:rPr>
          <w:rFonts w:ascii="Arial" w:cs="Arial" w:eastAsia="Arial" w:hAnsi="Arial"/>
          <w:sz w:val="17"/>
          <w:szCs w:val="17"/>
          <w:color w:val="auto"/>
        </w:rPr>
        <w:t>Stock-based awards issued to non-employees, including directors for non-board-related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Off-Balance-Sheet Risk</w:t>
      </w:r>
    </w:p>
    <w:p>
      <w:pPr>
        <w:spacing w:after="0" w:line="231"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The Company maintains its cash and cash equivalents in a custodian account at a high quality financial institution, and consequently, the Company believes that such funds are subject to minimal credit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and Geographic Information</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only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 Applicable to Common Stockholders</w:t>
      </w:r>
    </w:p>
    <w:p>
      <w:pPr>
        <w:spacing w:after="0" w:line="231" w:lineRule="exact"/>
        <w:rPr>
          <w:sz w:val="20"/>
          <w:szCs w:val="20"/>
          <w:color w:val="auto"/>
        </w:rPr>
      </w:pPr>
    </w:p>
    <w:p>
      <w:pPr>
        <w:ind w:right="120" w:firstLine="474"/>
        <w:spacing w:after="0" w:line="242" w:lineRule="auto"/>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anti-dilutive; therefore, basic and diluted net loss per share applicable to common stockholders were the same for all periods presented. The following common stock equivalents were excluded from the calculation of diluted net loss per share applicable to common stockholders for the periods indicated because including them would have had an anti-dilutive effect.</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7"/>
          </w:tcPr>
          <w:p>
            <w:pPr>
              <w:jc w:val="center"/>
              <w:ind w:right="440"/>
              <w:spacing w:after="0"/>
              <w:rPr>
                <w:sz w:val="20"/>
                <w:szCs w:val="20"/>
                <w:color w:val="auto"/>
              </w:rPr>
            </w:pPr>
            <w:r>
              <w:rPr>
                <w:rFonts w:ascii="Arial" w:cs="Arial" w:eastAsia="Arial" w:hAnsi="Arial"/>
                <w:sz w:val="17"/>
                <w:szCs w:val="17"/>
                <w:b w:val="1"/>
                <w:bCs w:val="1"/>
                <w:color w:val="auto"/>
                <w:w w:val="98"/>
              </w:rPr>
              <w:t>Years ended</w:t>
            </w:r>
          </w:p>
        </w:tc>
      </w:tr>
      <w:tr>
        <w:trPr>
          <w:trHeight w:val="214"/>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7"/>
          </w:tcPr>
          <w:p>
            <w:pPr>
              <w:jc w:val="center"/>
              <w:ind w:right="44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5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gridSpan w:val="2"/>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57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Convertible preferred stock</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7,272,726</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15,467,479</w:t>
            </w:r>
          </w:p>
        </w:tc>
        <w:tc>
          <w:tcPr>
            <w:tcW w:w="160" w:type="dxa"/>
            <w:vAlign w:val="bottom"/>
            <w:shd w:val="clear" w:color="auto" w:fill="CCEEFF"/>
          </w:tcPr>
          <w:p>
            <w:pPr>
              <w:spacing w:after="0"/>
              <w:rPr>
                <w:sz w:val="16"/>
                <w:szCs w:val="16"/>
                <w:color w:val="auto"/>
              </w:rPr>
            </w:pPr>
          </w:p>
        </w:tc>
      </w:tr>
      <w:tr>
        <w:trPr>
          <w:trHeight w:val="197"/>
        </w:trPr>
        <w:tc>
          <w:tcPr>
            <w:tcW w:w="5740" w:type="dxa"/>
            <w:vAlign w:val="bottom"/>
          </w:tcPr>
          <w:p>
            <w:pPr>
              <w:ind w:left="180"/>
              <w:spacing w:after="0"/>
              <w:rPr>
                <w:sz w:val="20"/>
                <w:szCs w:val="20"/>
                <w:color w:val="auto"/>
              </w:rPr>
            </w:pPr>
            <w:r>
              <w:rPr>
                <w:rFonts w:ascii="Arial" w:cs="Arial" w:eastAsia="Arial" w:hAnsi="Arial"/>
                <w:sz w:val="17"/>
                <w:szCs w:val="17"/>
                <w:color w:val="auto"/>
              </w:rPr>
              <w:t>Warrants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27,272</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42,423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options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385,250</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1,501,912</w:t>
            </w:r>
          </w:p>
        </w:tc>
        <w:tc>
          <w:tcPr>
            <w:tcW w:w="160" w:type="dxa"/>
            <w:vAlign w:val="bottom"/>
            <w:shd w:val="clear" w:color="auto" w:fill="CCEEFF"/>
          </w:tcPr>
          <w:p>
            <w:pPr>
              <w:spacing w:after="0"/>
              <w:rPr>
                <w:sz w:val="17"/>
                <w:szCs w:val="17"/>
                <w:color w:val="auto"/>
              </w:rPr>
            </w:pPr>
          </w:p>
        </w:tc>
      </w:tr>
      <w:tr>
        <w:trPr>
          <w:trHeight w:val="197"/>
        </w:trPr>
        <w:tc>
          <w:tcPr>
            <w:tcW w:w="5740" w:type="dxa"/>
            <w:vAlign w:val="bottom"/>
          </w:tcPr>
          <w:p>
            <w:pPr>
              <w:ind w:left="180"/>
              <w:spacing w:after="0"/>
              <w:rPr>
                <w:sz w:val="20"/>
                <w:szCs w:val="20"/>
                <w:color w:val="auto"/>
              </w:rPr>
            </w:pPr>
            <w:r>
              <w:rPr>
                <w:rFonts w:ascii="Arial" w:cs="Arial" w:eastAsia="Arial" w:hAnsi="Arial"/>
                <w:sz w:val="17"/>
                <w:szCs w:val="17"/>
                <w:color w:val="auto"/>
              </w:rPr>
              <w:t>Unvested restricted stock</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836,712</w:t>
            </w:r>
          </w:p>
        </w:tc>
        <w:tc>
          <w:tcPr>
            <w:tcW w:w="160" w:type="dxa"/>
            <w:vAlign w:val="bottom"/>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425,279</w:t>
            </w:r>
          </w:p>
        </w:tc>
        <w:tc>
          <w:tcPr>
            <w:tcW w:w="160" w:type="dxa"/>
            <w:vAlign w:val="bottom"/>
          </w:tcPr>
          <w:p>
            <w:pPr>
              <w:spacing w:after="0"/>
              <w:rPr>
                <w:sz w:val="17"/>
                <w:szCs w:val="17"/>
                <w:color w:val="auto"/>
              </w:rPr>
            </w:pPr>
          </w:p>
        </w:tc>
      </w:tr>
      <w:tr>
        <w:trPr>
          <w:trHeight w:val="190"/>
        </w:trPr>
        <w:tc>
          <w:tcPr>
            <w:tcW w:w="5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8,521,960</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17,437,093</w:t>
            </w:r>
          </w:p>
        </w:tc>
        <w:tc>
          <w:tcPr>
            <w:tcW w:w="160" w:type="dxa"/>
            <w:vAlign w:val="bottom"/>
            <w:shd w:val="clear" w:color="auto" w:fill="CCEEFF"/>
          </w:tcPr>
          <w:p>
            <w:pPr>
              <w:spacing w:after="0"/>
              <w:rPr>
                <w:sz w:val="16"/>
                <w:szCs w:val="16"/>
                <w:color w:val="auto"/>
              </w:rPr>
            </w:pPr>
          </w:p>
        </w:tc>
      </w:tr>
    </w:tbl>
    <w:p>
      <w:pPr>
        <w:spacing w:after="0" w:line="21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Unaudited pro forma net loss per share applicable to common stockholders is computed using the weighted-average number of common shares outstanding after giving effect to the conversion of all convertible preferred stock into shares of the Common Stock as if such conversion had occurred at the beginning of the period presented, or the date of original issuance, if later. Accordingly, the pro forma basic and diluted net loss per share applicable to stockholders does not include the effects of the cumulative preferred stock dividends. Additionally, the changes in the fair value of the warrants to purchase convertible preferred stock have been excluded from the determination of unaudited pro forma net loss as those re-measurements would not be required when the warrants to purchase convertible preferred stock become warrants to purchase Common Stock. Shares to be sold in the offering are excluded from the unaudited pro forma basic and diluted loss per share applicable to common stockholders calculations.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Unaudited pro forma net loss per share applicable to common stockholders is computed as follows (in thousands except for share and per share information):</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(40,285)</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7"/>
                <w:szCs w:val="17"/>
                <w:color w:val="auto"/>
              </w:rPr>
              <w:t>Add back: remeasurement of warrant to purchase convertible preferred stock</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 applicable to common stockholders — basic and diluted</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(40,185)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weighted 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Weighted average common shares outstanding</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1,420,518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180"/>
              <w:spacing w:after="0"/>
              <w:rPr>
                <w:sz w:val="20"/>
                <w:szCs w:val="20"/>
                <w:color w:val="auto"/>
              </w:rPr>
            </w:pPr>
            <w:r>
              <w:rPr>
                <w:rFonts w:ascii="Arial" w:cs="Arial" w:eastAsia="Arial" w:hAnsi="Arial"/>
                <w:sz w:val="17"/>
                <w:szCs w:val="17"/>
                <w:color w:val="auto"/>
              </w:rPr>
              <w:t>Adjustment for assumed conversion of convertible preferred stock</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11,662,970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weighted average common shares outstanding — basic and diluted</w:t>
            </w: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13,083,488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basic and diluted loss per share applicable to common stockholders</w:t>
            </w: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Arial" w:cs="Arial" w:eastAsia="Arial" w:hAnsi="Arial"/>
                <w:sz w:val="17"/>
                <w:szCs w:val="17"/>
                <w:color w:val="auto"/>
                <w:w w:val="84"/>
              </w:rPr>
              <w:t>$</w:t>
            </w:r>
          </w:p>
        </w:tc>
        <w:tc>
          <w:tcPr>
            <w:tcW w:w="130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31" w:lineRule="exact"/>
        <w:rPr>
          <w:sz w:val="20"/>
          <w:szCs w:val="20"/>
          <w:color w:val="auto"/>
        </w:rPr>
      </w:pPr>
    </w:p>
    <w:p>
      <w:pPr>
        <w:ind w:right="340" w:firstLine="474"/>
        <w:spacing w:after="0" w:line="245" w:lineRule="auto"/>
        <w:rPr>
          <w:sz w:val="20"/>
          <w:szCs w:val="20"/>
          <w:color w:val="auto"/>
        </w:rPr>
      </w:pPr>
      <w:r>
        <w:rPr>
          <w:rFonts w:ascii="Arial" w:cs="Arial" w:eastAsia="Arial" w:hAnsi="Arial"/>
          <w:sz w:val="17"/>
          <w:szCs w:val="17"/>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Company is in process of evaluating the new guidance and determining the expected effect on its financial statements.</w:t>
      </w:r>
    </w:p>
    <w:p>
      <w:pPr>
        <w:spacing w:after="0" w:line="198"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June 2014, the FASB issued Accounting Standards Update ("ASU") 2014-10, Development Stage Entities (Topic 915) ("ASU 2014-10"), which removes the definition of a development stage entity from the ASC, thereby removing the financial reporting distinction between development stage entities and other reporting entities. Accordingly, ASU 2014-10 eliminates the requirements for development stage entities to (1) present inception-to-date information in the statements of operations, cash flows and shareholder equity, (2) label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ASU 2014-10 is effective for public business entities for annual periods beginning after December 15, 2014, and interim reporting periods beginning after December 15, 2015, with early adoption permitted. The Company early adopted the provisions of ASU 2014-10 in these financial statements.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231"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At December 31, 2013 and 2014, $0.2 million of the Company's cash is restricted by a bank. As of December 31, 2014, $0.1 million of the restricted cash is included in current assets as collateral for a stand-by letter of credit issued by the Company to its landlord in connection with the lease of the Company's corporate headquarters. As of December 31, 2014, $0.1 million of the restricted cash is included in long-term assets related to the Company's corporate credit card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and related accumulated depreciation are as follows (in thousands):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Estimated</w:t>
            </w:r>
          </w:p>
        </w:tc>
        <w:tc>
          <w:tcPr>
            <w:tcW w:w="140" w:type="dxa"/>
            <w:vAlign w:val="bottom"/>
          </w:tcPr>
          <w:p>
            <w:pPr>
              <w:spacing w:after="0"/>
              <w:rPr>
                <w:sz w:val="17"/>
                <w:szCs w:val="17"/>
                <w:color w:val="auto"/>
              </w:rPr>
            </w:pPr>
          </w:p>
        </w:tc>
        <w:tc>
          <w:tcPr>
            <w:tcW w:w="1600" w:type="dxa"/>
            <w:vAlign w:val="bottom"/>
            <w:gridSpan w:val="8"/>
            <w:vMerge w:val="restart"/>
          </w:tcPr>
          <w:p>
            <w:pPr>
              <w:jc w:val="right"/>
              <w:ind w:right="4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09"/>
        </w:trPr>
        <w:tc>
          <w:tcPr>
            <w:tcW w:w="4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8"/>
              </w:rPr>
              <w:t>Useful Life</w:t>
            </w:r>
          </w:p>
        </w:tc>
        <w:tc>
          <w:tcPr>
            <w:tcW w:w="140" w:type="dxa"/>
            <w:vAlign w:val="bottom"/>
          </w:tcPr>
          <w:p>
            <w:pPr>
              <w:spacing w:after="0"/>
              <w:rPr>
                <w:sz w:val="9"/>
                <w:szCs w:val="9"/>
                <w:color w:val="auto"/>
              </w:rPr>
            </w:pPr>
          </w:p>
        </w:tc>
        <w:tc>
          <w:tcPr>
            <w:tcW w:w="16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Lab equipment</w:t>
            </w:r>
          </w:p>
        </w:tc>
        <w:tc>
          <w:tcPr>
            <w:tcW w:w="1620" w:type="dxa"/>
            <w:vAlign w:val="bottom"/>
            <w:gridSpan w:val="2"/>
            <w:shd w:val="clear" w:color="auto" w:fill="CCEEFF"/>
          </w:tcPr>
          <w:p>
            <w:pPr>
              <w:jc w:val="center"/>
              <w:ind w:left="635"/>
              <w:spacing w:after="0" w:line="189" w:lineRule="exact"/>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1,719</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20" w:type="dxa"/>
            <w:vAlign w:val="bottom"/>
            <w:gridSpan w:val="2"/>
          </w:tcPr>
          <w:p>
            <w:pPr>
              <w:jc w:val="center"/>
              <w:ind w:left="6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20" w:type="dxa"/>
            <w:vAlign w:val="bottom"/>
            <w:gridSpan w:val="2"/>
            <w:shd w:val="clear" w:color="auto" w:fill="CCEEFF"/>
          </w:tcPr>
          <w:p>
            <w:pPr>
              <w:jc w:val="center"/>
              <w:ind w:left="635"/>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860" w:type="dxa"/>
            <w:vAlign w:val="bottom"/>
            <w:gridSpan w:val="3"/>
          </w:tcPr>
          <w:p>
            <w:pPr>
              <w:jc w:val="center"/>
              <w:ind w:left="395"/>
              <w:spacing w:after="0"/>
              <w:rPr>
                <w:sz w:val="20"/>
                <w:szCs w:val="20"/>
                <w:color w:val="auto"/>
              </w:rPr>
            </w:pPr>
            <w:r>
              <w:rPr>
                <w:rFonts w:ascii="Arial" w:cs="Arial" w:eastAsia="Arial" w:hAnsi="Arial"/>
                <w:sz w:val="17"/>
                <w:szCs w:val="17"/>
                <w:color w:val="auto"/>
                <w:w w:val="98"/>
              </w:rPr>
              <w:t>Term of lease</w:t>
            </w:r>
          </w:p>
        </w:tc>
        <w:tc>
          <w:tcPr>
            <w:tcW w:w="140" w:type="dxa"/>
            <w:vAlign w:val="bottom"/>
          </w:tcPr>
          <w:p>
            <w:pPr>
              <w:spacing w:after="0"/>
              <w:rPr>
                <w:sz w:val="17"/>
                <w:szCs w:val="17"/>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620" w:type="dxa"/>
            <w:vAlign w:val="bottom"/>
            <w:gridSpan w:val="2"/>
            <w:shd w:val="clear" w:color="auto" w:fill="CCEEFF"/>
          </w:tcPr>
          <w:p>
            <w:pPr>
              <w:jc w:val="center"/>
              <w:ind w:left="635"/>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2,328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3,028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(924)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(1,546)</w:t>
            </w:r>
          </w:p>
        </w:tc>
        <w:tc>
          <w:tcPr>
            <w:tcW w:w="0" w:type="dxa"/>
            <w:vAlign w:val="bottom"/>
          </w:tcPr>
          <w:p>
            <w:pPr>
              <w:spacing w:after="0"/>
              <w:rPr>
                <w:sz w:val="1"/>
                <w:szCs w:val="1"/>
                <w:color w:val="auto"/>
              </w:rPr>
            </w:pPr>
          </w:p>
        </w:tc>
      </w:tr>
      <w:tr>
        <w:trPr>
          <w:trHeight w:val="190"/>
        </w:trPr>
        <w:tc>
          <w:tcPr>
            <w:tcW w:w="4380" w:type="dxa"/>
            <w:vAlign w:val="bottom"/>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1,482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Depreciation expense for the years ended December 31, 2013 and 2014 was $0.5 million and $0.6 million,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5. Accrued Expenses</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06"/>
        </w:trPr>
        <w:tc>
          <w:tcPr>
            <w:tcW w:w="5400" w:type="dxa"/>
            <w:vAlign w:val="bottom"/>
            <w:gridSpan w:val="2"/>
          </w:tcPr>
          <w:p>
            <w:pPr>
              <w:ind w:left="460"/>
              <w:spacing w:after="0"/>
              <w:rPr>
                <w:sz w:val="20"/>
                <w:szCs w:val="20"/>
                <w:color w:val="auto"/>
              </w:rPr>
            </w:pPr>
            <w:r>
              <w:rPr>
                <w:rFonts w:ascii="Arial" w:cs="Arial" w:eastAsia="Arial" w:hAnsi="Arial"/>
                <w:sz w:val="17"/>
                <w:szCs w:val="17"/>
                <w:color w:val="auto"/>
              </w:rPr>
              <w:t>Accrued expenses consist of the following (in thousands):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6"/>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8"/>
          </w:tcPr>
          <w:p>
            <w:pPr>
              <w:ind w:left="12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17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Employee compensation</w:t>
            </w:r>
          </w:p>
        </w:tc>
        <w:tc>
          <w:tcPr>
            <w:tcW w:w="27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278</w:t>
            </w:r>
          </w:p>
        </w:tc>
        <w:tc>
          <w:tcPr>
            <w:tcW w:w="3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623</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External research and pre-clinical development</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2,034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Severance</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Consulting</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216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License fees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5400" w:type="dxa"/>
            <w:vAlign w:val="bottom"/>
            <w:gridSpan w:val="2"/>
          </w:tcPr>
          <w:p>
            <w:pPr>
              <w:ind w:left="1720"/>
              <w:spacing w:after="0"/>
              <w:rPr>
                <w:sz w:val="20"/>
                <w:szCs w:val="20"/>
                <w:color w:val="auto"/>
              </w:rPr>
            </w:pPr>
            <w:r>
              <w:rPr>
                <w:rFonts w:ascii="Arial" w:cs="Arial" w:eastAsia="Arial" w:hAnsi="Arial"/>
                <w:sz w:val="17"/>
                <w:szCs w:val="17"/>
                <w:color w:val="auto"/>
              </w:rPr>
              <w:t>Interest</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866</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3,810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60" w:type="dxa"/>
            <w:vAlign w:val="bottom"/>
            <w:gridSpan w:val="2"/>
          </w:tcPr>
          <w:p>
            <w:pPr>
              <w:jc w:val="right"/>
              <w:ind w:right="2280"/>
              <w:spacing w:after="0"/>
              <w:rPr>
                <w:sz w:val="20"/>
                <w:szCs w:val="20"/>
                <w:color w:val="auto"/>
              </w:rPr>
            </w:pPr>
            <w:r>
              <w:rPr>
                <w:rFonts w:ascii="Arial" w:cs="Arial" w:eastAsia="Arial" w:hAnsi="Arial"/>
                <w:sz w:val="17"/>
                <w:szCs w:val="17"/>
                <w:color w:val="auto"/>
              </w:rPr>
              <w:t>F-14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May 2013, the Company entered into a loan and security agreement (Loan and Security Agreement) with Silicon Valley Bank. Under the terms of the agreement, the Company may borrow up to $5.0 million. Loan advances accrue interest at a fixed rate of 2% above the Prime Rate. In June 2013, the Company drew the first loan advance of $1.0 million under the Loan and Security Agreement and was required to make interest-only payments until April 1, 2014, and consecutive monthly payments of principal, plus accrued interest, over the remaining term through March 2017. In September 2013, the Company drew the second loan advance of $2.0 million under the Loan and Security Agreement and was required to make interest-only payments until April 1, 2014, and consecutive monthly payments of principal, plus accrued interest, over the remaining term through March 2017. In June 2014, the Company drew the remaining $2.0 million advance under the Loan and Security Agreement and is required to make interest-only payments until January 1, 2015, and consecutive monthly payments of principal, plus accrued interest, over the remaining term through December 2017. In November 2014, the Company amended the Loan and Security Agreement to allow the Company to borrow an additional $5.0 million. The Company accounted for the amendment as a modification to the existing Loan and Security Agreement. The Company immediately drew the additional $5.0 million and is required to make interest-only payments until December 1, 2015, and consecutive monthly payments of principal, plus accrued interest, over the remaining term through November 2018. The Company is required to pay a fee of 4.00% of the total loan advances at the end of the term of the loan. The fee is being accreted to interest expense over the term of the loan. In the event of prepayment, the Company is obligated to pay 1% to 2% of the amount of the outstanding principal depending upon the timing of the prepayment.</w:t>
      </w:r>
    </w:p>
    <w:p>
      <w:pPr>
        <w:spacing w:after="0" w:line="203" w:lineRule="exact"/>
        <w:rPr>
          <w:sz w:val="20"/>
          <w:szCs w:val="20"/>
          <w:color w:val="auto"/>
        </w:rPr>
      </w:pPr>
    </w:p>
    <w:p>
      <w:pPr>
        <w:ind w:right="240" w:firstLine="470"/>
        <w:spacing w:after="0" w:line="245" w:lineRule="auto"/>
        <w:rPr>
          <w:sz w:val="20"/>
          <w:szCs w:val="20"/>
          <w:color w:val="auto"/>
        </w:rPr>
      </w:pPr>
      <w:r>
        <w:rPr>
          <w:rFonts w:ascii="Arial" w:cs="Arial" w:eastAsia="Arial" w:hAnsi="Arial"/>
          <w:sz w:val="17"/>
          <w:szCs w:val="17"/>
          <w:color w:val="auto"/>
        </w:rPr>
        <w:t>The term loan is collateralized by a blanket lien on all corporate assets, excluding intellectual property, and by a negative pledge of the Company's intellectual property. The term loan contains customary default provisions that include material adverse events, as defined therein. The Company has determined that the risk of subjective acceleration under the material adverse events clause is remote and therefore has classified the outstanding principal in current and long-term liabilities based on scheduled principal payments.</w:t>
      </w:r>
    </w:p>
    <w:p>
      <w:pPr>
        <w:spacing w:after="0" w:line="198" w:lineRule="exact"/>
        <w:rPr>
          <w:sz w:val="20"/>
          <w:szCs w:val="20"/>
          <w:color w:val="auto"/>
        </w:rPr>
      </w:pPr>
    </w:p>
    <w:p>
      <w:pPr>
        <w:ind w:right="60" w:firstLine="470"/>
        <w:spacing w:after="0" w:line="244" w:lineRule="auto"/>
        <w:rPr>
          <w:sz w:val="20"/>
          <w:szCs w:val="20"/>
          <w:color w:val="auto"/>
        </w:rPr>
      </w:pPr>
      <w:r>
        <w:rPr>
          <w:rFonts w:ascii="Arial" w:cs="Arial" w:eastAsia="Arial" w:hAnsi="Arial"/>
          <w:sz w:val="17"/>
          <w:szCs w:val="17"/>
          <w:color w:val="auto"/>
        </w:rPr>
        <w:t>The Company assessed all terms and features of the term loan in order to identify any potential embedded features that would require bifurcation. As part of this analysis, the Company assessed the economic characteristics and risks of the term loan, including put and call features. The Company determined that all features of the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Scheduled monthly principal payments on the term loan, as of December 31, 2014,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5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3820" w:type="dxa"/>
            <w:vAlign w:val="bottom"/>
            <w:gridSpan w:val="2"/>
          </w:tcPr>
          <w:p>
            <w:pPr>
              <w:ind w:left="1720"/>
              <w:spacing w:after="0"/>
              <w:rPr>
                <w:sz w:val="20"/>
                <w:szCs w:val="20"/>
                <w:color w:val="auto"/>
              </w:rPr>
            </w:pPr>
            <w:r>
              <w:rPr>
                <w:rFonts w:ascii="Arial" w:cs="Arial" w:eastAsia="Arial" w:hAnsi="Arial"/>
                <w:sz w:val="17"/>
                <w:szCs w:val="17"/>
                <w:color w:val="auto"/>
              </w:rPr>
              <w:t>2016</w:t>
            </w:r>
          </w:p>
        </w:tc>
        <w:tc>
          <w:tcPr>
            <w:tcW w:w="3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3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3820" w:type="dxa"/>
            <w:vAlign w:val="bottom"/>
            <w:gridSpan w:val="2"/>
          </w:tcPr>
          <w:p>
            <w:pPr>
              <w:ind w:left="1720"/>
              <w:spacing w:after="0"/>
              <w:rPr>
                <w:sz w:val="20"/>
                <w:szCs w:val="20"/>
                <w:color w:val="auto"/>
              </w:rPr>
            </w:pPr>
            <w:r>
              <w:rPr>
                <w:rFonts w:ascii="Arial" w:cs="Arial" w:eastAsia="Arial" w:hAnsi="Arial"/>
                <w:sz w:val="17"/>
                <w:szCs w:val="17"/>
                <w:color w:val="auto"/>
              </w:rPr>
              <w:t>2018</w:t>
            </w:r>
          </w:p>
        </w:tc>
        <w:tc>
          <w:tcPr>
            <w:tcW w:w="36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2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52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9,250</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520" w:type="dxa"/>
            <w:vAlign w:val="bottom"/>
            <w:gridSpan w:val="2"/>
          </w:tcPr>
          <w:p>
            <w:pPr>
              <w:jc w:val="right"/>
              <w:ind w:right="2460"/>
              <w:spacing w:after="0"/>
              <w:rPr>
                <w:sz w:val="20"/>
                <w:szCs w:val="20"/>
                <w:color w:val="auto"/>
              </w:rPr>
            </w:pPr>
            <w:r>
              <w:rPr>
                <w:rFonts w:ascii="Arial" w:cs="Arial" w:eastAsia="Arial" w:hAnsi="Arial"/>
                <w:sz w:val="17"/>
                <w:szCs w:val="17"/>
                <w:color w:val="auto"/>
              </w:rPr>
              <w:t>F-15</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210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(Continued)</w:t>
      </w:r>
    </w:p>
    <w:p>
      <w:pPr>
        <w:spacing w:after="0" w:line="231"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In connection with the Loan and Security Agreement, the Company issued a warrant to Silicon Valley Bank to purchase 150,000 shares of Series A Convertible Preferred Stock at an exercise price of $1.00 per share. In connection with the amendment to the Loan and Security Agreement, the Company issued a warrant to Silicon Valley Bank to purchase 83,333 shares of Series B Convertible Preferred Stock at an exercise price of $1.20 per share. Both warrants were exercisable immediately and have a ten-year life. No portion of the warrants have been exercised as of December 31, 2014.</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warrants are classified as a liability and are re-measured to the-then current fair value at each balance sheet date. Re-measurement gains or losses are recorded in other income (expense) in the statements of operations. The following table sets forth a summary of changes in the fair value of the warrants which represents a recurring measurement that is classified within Level 3 of the fair value hierarchy wherein fair value is estimated using significant unobservable inputs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8"/>
          </w:tcPr>
          <w:p>
            <w:pPr>
              <w:ind w:left="86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200"/>
              <w:spacing w:after="0" w:line="173" w:lineRule="exact"/>
              <w:rPr>
                <w:sz w:val="20"/>
                <w:szCs w:val="20"/>
                <w:color w:val="auto"/>
              </w:rPr>
            </w:pPr>
            <w:r>
              <w:rPr>
                <w:rFonts w:ascii="Arial" w:cs="Arial" w:eastAsia="Arial" w:hAnsi="Arial"/>
                <w:sz w:val="17"/>
                <w:szCs w:val="17"/>
                <w:b w:val="1"/>
                <w:bCs w:val="1"/>
                <w:color w:val="auto"/>
                <w:w w:val="99"/>
              </w:rPr>
              <w:t>December 31,</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100"/>
              <w:spacing w:after="0" w:line="173" w:lineRule="exact"/>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80"/>
              <w:spacing w:after="0"/>
              <w:rPr>
                <w:sz w:val="20"/>
                <w:szCs w:val="20"/>
                <w:color w:val="auto"/>
              </w:rPr>
            </w:pPr>
            <w:r>
              <w:rPr>
                <w:rFonts w:ascii="Arial" w:cs="Arial" w:eastAsia="Arial" w:hAnsi="Arial"/>
                <w:sz w:val="17"/>
                <w:szCs w:val="17"/>
                <w:color w:val="auto"/>
              </w:rPr>
              <w:t>Issuance of warrant at fair value</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w:t>
            </w: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119</w:t>
            </w:r>
          </w:p>
        </w:tc>
        <w:tc>
          <w:tcPr>
            <w:tcW w:w="100" w:type="dxa"/>
            <w:vAlign w:val="bottom"/>
          </w:tcPr>
          <w:p>
            <w:pPr>
              <w:spacing w:after="0"/>
              <w:rPr>
                <w:sz w:val="16"/>
                <w:szCs w:val="16"/>
                <w:color w:val="auto"/>
              </w:rPr>
            </w:pPr>
          </w:p>
        </w:tc>
        <w:tc>
          <w:tcPr>
            <w:tcW w:w="1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Company valued the warrants for the purchase of Series A and B Convertible Preferred Stock ("Series A and Series B Warrants") at issuance and at the balance sheet dates using the Black-Scholes option pricing model. The significant assumptions used in estimating the fair value of the warrants include the volatility of the stock underlying the warrant, risk-free interest rate, estimated fair value of the preferred stock underlying the warrant, and the estimated term of the warrant. The fair value of the preferred stock underlying the warrants was estimated using the implied value from the Company's Common Stock valuations on those dates. The Company used the following weighted-average assumptions in its Black-Scholes option pricing model:</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7"/>
                <w:szCs w:val="17"/>
                <w:b w:val="1"/>
                <w:bCs w:val="1"/>
                <w:color w:val="auto"/>
              </w:rPr>
              <w:t>Series A Warrant</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340"/>
              <w:spacing w:after="0"/>
              <w:rPr>
                <w:sz w:val="20"/>
                <w:szCs w:val="20"/>
                <w:color w:val="auto"/>
              </w:rPr>
            </w:pPr>
            <w:r>
              <w:rPr>
                <w:rFonts w:ascii="Arial" w:cs="Arial" w:eastAsia="Arial" w:hAnsi="Arial"/>
                <w:sz w:val="17"/>
                <w:szCs w:val="17"/>
                <w:b w:val="1"/>
                <w:bCs w:val="1"/>
                <w:color w:val="auto"/>
              </w:rPr>
              <w:t>Series B Warrant</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tcPr>
          <w:p>
            <w:pPr>
              <w:jc w:val="right"/>
              <w:ind w:right="240"/>
              <w:spacing w:after="0" w:line="189" w:lineRule="exact"/>
              <w:rPr>
                <w:sz w:val="20"/>
                <w:szCs w:val="20"/>
                <w:color w:val="auto"/>
              </w:rPr>
            </w:pPr>
            <w:r>
              <w:rPr>
                <w:rFonts w:ascii="Arial" w:cs="Arial" w:eastAsia="Arial" w:hAnsi="Arial"/>
                <w:sz w:val="17"/>
                <w:szCs w:val="17"/>
                <w:b w:val="1"/>
                <w:bCs w:val="1"/>
                <w:color w:val="auto"/>
                <w:w w:val="98"/>
              </w:rPr>
              <w:t>Issuance</w:t>
            </w:r>
          </w:p>
        </w:tc>
        <w:tc>
          <w:tcPr>
            <w:tcW w:w="17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December 31, 2013</w:t>
            </w:r>
          </w:p>
        </w:tc>
        <w:tc>
          <w:tcPr>
            <w:tcW w:w="156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auto"/>
                <w:w w:val="99"/>
              </w:rPr>
              <w:t>December 31, 2014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jc w:val="right"/>
              <w:ind w:right="240"/>
              <w:spacing w:after="0" w:line="189" w:lineRule="exact"/>
              <w:rPr>
                <w:sz w:val="20"/>
                <w:szCs w:val="20"/>
                <w:color w:val="auto"/>
              </w:rPr>
            </w:pPr>
            <w:r>
              <w:rPr>
                <w:rFonts w:ascii="Arial" w:cs="Arial" w:eastAsia="Arial" w:hAnsi="Arial"/>
                <w:sz w:val="17"/>
                <w:szCs w:val="17"/>
                <w:b w:val="1"/>
                <w:bCs w:val="1"/>
                <w:color w:val="auto"/>
                <w:w w:val="98"/>
              </w:rPr>
              <w:t>Issuance</w:t>
            </w:r>
          </w:p>
        </w:tc>
        <w:tc>
          <w:tcPr>
            <w:tcW w:w="156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December 31, 2014</w:t>
            </w:r>
          </w:p>
        </w:tc>
        <w:tc>
          <w:tcPr>
            <w:tcW w:w="140" w:type="dxa"/>
            <w:vAlign w:val="bottom"/>
          </w:tcPr>
          <w:p>
            <w:pPr>
              <w:spacing w:after="0"/>
              <w:rPr>
                <w:sz w:val="16"/>
                <w:szCs w:val="16"/>
                <w:color w:val="auto"/>
              </w:rPr>
            </w:pPr>
          </w:p>
        </w:tc>
      </w:tr>
      <w:tr>
        <w:trPr>
          <w:trHeight w:val="193"/>
        </w:trPr>
        <w:tc>
          <w:tcPr>
            <w:tcW w:w="20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Fair value of underlying</w:t>
            </w: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4"/>
        </w:trPr>
        <w:tc>
          <w:tcPr>
            <w:tcW w:w="20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instrument</w:t>
            </w:r>
          </w:p>
        </w:tc>
        <w:tc>
          <w:tcPr>
            <w:tcW w:w="260" w:type="dxa"/>
            <w:vAlign w:val="bottom"/>
            <w:gridSpan w:val="2"/>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1.00</w:t>
            </w:r>
          </w:p>
        </w:tc>
        <w:tc>
          <w:tcPr>
            <w:tcW w:w="600" w:type="dxa"/>
            <w:vAlign w:val="bottom"/>
            <w:shd w:val="clear" w:color="auto" w:fill="CCEEFF"/>
          </w:tcPr>
          <w:p>
            <w:pPr>
              <w:jc w:val="right"/>
              <w:ind w:right="44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1.69</w:t>
            </w:r>
          </w:p>
        </w:tc>
        <w:tc>
          <w:tcPr>
            <w:tcW w:w="280" w:type="dxa"/>
            <w:vAlign w:val="bottom"/>
            <w:gridSpan w:val="2"/>
            <w:shd w:val="clear" w:color="auto" w:fill="CCEEFF"/>
          </w:tcPr>
          <w:p>
            <w:pPr>
              <w:jc w:val="right"/>
              <w:ind w:right="95"/>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1.97</w:t>
            </w:r>
          </w:p>
        </w:tc>
        <w:tc>
          <w:tcPr>
            <w:tcW w:w="1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1.97</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Expected volatility</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80.70%</w:t>
            </w:r>
          </w:p>
        </w:tc>
        <w:tc>
          <w:tcPr>
            <w:tcW w:w="26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89.00%</w:t>
            </w: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89.98%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87.18%</w:t>
            </w:r>
          </w:p>
        </w:tc>
        <w:tc>
          <w:tcPr>
            <w:tcW w:w="10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87.38%</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w:t>
            </w:r>
          </w:p>
        </w:tc>
        <w:tc>
          <w:tcPr>
            <w:tcW w:w="6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2.58%</w:t>
            </w:r>
          </w:p>
        </w:tc>
        <w:tc>
          <w:tcPr>
            <w:tcW w:w="26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3.05%</w:t>
            </w: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2.15%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2.36%</w:t>
            </w:r>
          </w:p>
        </w:tc>
        <w:tc>
          <w:tcPr>
            <w:tcW w:w="10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2.24%</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Company recorded a debt discount upon issuance of the warrants, which is being accreted as interest expense over the remaining term of the loan. The Company also recorded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(Continued)</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warrant liability that is classified as a long-term liability in the accompanying balance sheets. The Company recorded interest expense related to the Series A and Series B Warrants of less than $0.1 million in each of the years ended December 31, 2013 and 2014.</w:t>
      </w:r>
    </w:p>
    <w:p>
      <w:pPr>
        <w:spacing w:after="0" w:line="173" w:lineRule="exact"/>
        <w:rPr>
          <w:sz w:val="20"/>
          <w:szCs w:val="20"/>
          <w:color w:val="auto"/>
        </w:rPr>
      </w:pPr>
    </w:p>
    <w:p>
      <w:pPr>
        <w:ind w:right="8400" w:firstLine="5"/>
        <w:spacing w:after="0" w:line="511" w:lineRule="auto"/>
        <w:tabs>
          <w:tab w:leader="none" w:pos="19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(Deficit) Equity Series A Convertible Preferred Stock</w:t>
      </w:r>
    </w:p>
    <w:p>
      <w:pPr>
        <w:ind w:firstLine="474"/>
        <w:spacing w:after="0" w:line="252" w:lineRule="auto"/>
        <w:rPr>
          <w:sz w:val="20"/>
          <w:szCs w:val="20"/>
          <w:color w:val="auto"/>
        </w:rPr>
      </w:pPr>
      <w:r>
        <w:rPr>
          <w:rFonts w:ascii="Arial" w:cs="Arial" w:eastAsia="Arial" w:hAnsi="Arial"/>
          <w:sz w:val="17"/>
          <w:szCs w:val="17"/>
          <w:color w:val="auto"/>
        </w:rPr>
        <w:t>In January and September 2013, the Company issued 10,000,000 and 5,000,000 shares, respectively, of Series A Convertible Preferred Stock at a price of $1.00 per share, resulting in net proceeds of $15.0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Convertible Preferred Stock Financing</w:t>
      </w:r>
    </w:p>
    <w:p>
      <w:pPr>
        <w:spacing w:after="0" w:line="23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In January 2014, the Company issued a total of 20,916,663 shares of Series B Convertible Preferred Stock at $1.20 per share for net proceeds of $25.0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Convertible Preferred Stock Financing</w:t>
      </w:r>
    </w:p>
    <w:p>
      <w:pPr>
        <w:spacing w:after="0" w:line="231" w:lineRule="exact"/>
        <w:rPr>
          <w:sz w:val="20"/>
          <w:szCs w:val="20"/>
          <w:color w:val="auto"/>
        </w:rPr>
      </w:pPr>
    </w:p>
    <w:p>
      <w:pPr>
        <w:ind w:right="700" w:firstLine="474"/>
        <w:spacing w:after="0" w:line="252" w:lineRule="auto"/>
        <w:rPr>
          <w:sz w:val="20"/>
          <w:szCs w:val="20"/>
          <w:color w:val="auto"/>
        </w:rPr>
      </w:pPr>
      <w:r>
        <w:rPr>
          <w:rFonts w:ascii="Arial" w:cs="Arial" w:eastAsia="Arial" w:hAnsi="Arial"/>
          <w:sz w:val="17"/>
          <w:szCs w:val="17"/>
          <w:color w:val="auto"/>
        </w:rPr>
        <w:t>In November 2014, the Company issued a total of 24,154,589 shares of Series C Convertible Preferred Stock at $2.07 per share for net proceeds of $49.9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rights, preferences, and privileges of the Preferred Stock are listed below:</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22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Shares of Preferred Stock are convertible without payment of any additional consideration into such number of fully paid and non-assessable shares of Common Stock as determined by dividing the original issuance price by the conversion price at the time in effect. The conversion price is the original price, or $5.50 per share for Series A, $6.60 per share for Series B and $11.38 per share for Series C, subject to adjustment in the event of any stock dividend, stock split, combination or other similar recapitalization with respect to the Preferred Stock.</w:t>
      </w:r>
    </w:p>
    <w:p>
      <w:pPr>
        <w:spacing w:after="0" w:line="198" w:lineRule="exact"/>
        <w:rPr>
          <w:sz w:val="20"/>
          <w:szCs w:val="20"/>
          <w:color w:val="auto"/>
        </w:rPr>
      </w:pPr>
    </w:p>
    <w:p>
      <w:pPr>
        <w:jc w:val="both"/>
        <w:ind w:right="240" w:firstLine="474"/>
        <w:spacing w:after="0" w:line="246" w:lineRule="auto"/>
        <w:rPr>
          <w:sz w:val="20"/>
          <w:szCs w:val="20"/>
          <w:color w:val="auto"/>
        </w:rPr>
      </w:pPr>
      <w:r>
        <w:rPr>
          <w:rFonts w:ascii="Arial" w:cs="Arial" w:eastAsia="Arial" w:hAnsi="Arial"/>
          <w:sz w:val="17"/>
          <w:szCs w:val="17"/>
          <w:color w:val="auto"/>
        </w:rPr>
        <w:t>Conversion is at the option of the Preferred Stockholders, although conversion is automatic upon the earlier of the consummation of an initial public offering resulting in gross proceeds to the Company of at least $40 million and at a price of at least $12.52 per share of Common Stock or the vote or written consent of the majority of outstanding shares of Series A, B and C Convertible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29" w:lineRule="exact"/>
        <w:rPr>
          <w:sz w:val="20"/>
          <w:szCs w:val="20"/>
          <w:color w:val="auto"/>
        </w:rPr>
      </w:pPr>
    </w:p>
    <w:p>
      <w:pPr>
        <w:ind w:right="240" w:firstLine="474"/>
        <w:spacing w:after="0" w:line="245" w:lineRule="auto"/>
        <w:rPr>
          <w:sz w:val="20"/>
          <w:szCs w:val="20"/>
          <w:color w:val="auto"/>
        </w:rPr>
      </w:pPr>
      <w:r>
        <w:rPr>
          <w:rFonts w:ascii="Arial" w:cs="Arial" w:eastAsia="Arial" w:hAnsi="Arial"/>
          <w:sz w:val="17"/>
          <w:szCs w:val="17"/>
          <w:color w:val="auto"/>
        </w:rPr>
        <w:t>Holders of the Preferred Stock are entitled to receive, before any cash is paid out or set aside for any Common Stock, dividends at the annual rate of 8% of the original purchase price per share, subject to adjustment for stock splits; stock dividends; or, in certain circumstances, the sale of Common Stock at a price below the original issue price of the Preferred Stock. The dividends are cumulative, and are payable only when and if declared by the board of directors of the Company.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(Deficit)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No dividends have been declared since inception. Aggregate cumulative dividends at December 31, 2014 were $10.8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Preference</w:t>
      </w:r>
    </w:p>
    <w:p>
      <w:pPr>
        <w:spacing w:after="0" w:line="229"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Holders of Series C Convertible Preferred Stock and Series B Convertible Preferred stock have preference in the event of a liquidation, dissolution, sale, or winding up of the Company equal to the greater of $11.38 per share for Series C and $6.60 per share for Series B, plus any accrued but unpaid dividends whether or not declared, plus any dividends declared but unpaid thereon or such amount per share as would have been payable had all shares of Series C Convertible Preferred Stock and Series B Convertible Preferred Stock been converted into Common Stock immediately prior to such liquidation.</w:t>
      </w:r>
    </w:p>
    <w:p>
      <w:pPr>
        <w:spacing w:after="0" w:line="199"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After the payment of all liquidation preferences to holders of Series C and Series B Convertible Preferred Stock, holders of the Series A Preferred Stock have preference in the event of a liquidation, dissolution, sale, or winding up of the Company equal to the greater of $5.50 per share, plus any accrued but unpaid dividends whether or not declared, plus any dividends declared but unpaid thereon or such amount per share as would have been payable had all shares of Series A Convertible Preferred Stock been converted into Common Stock immediately prior to such liquidation.</w:t>
      </w:r>
    </w:p>
    <w:p>
      <w:pPr>
        <w:spacing w:after="0" w:line="198" w:lineRule="exact"/>
        <w:rPr>
          <w:sz w:val="20"/>
          <w:szCs w:val="20"/>
          <w:color w:val="auto"/>
        </w:rPr>
      </w:pPr>
    </w:p>
    <w:p>
      <w:pPr>
        <w:jc w:val="both"/>
        <w:ind w:right="80" w:firstLine="470"/>
        <w:spacing w:after="0" w:line="246" w:lineRule="auto"/>
        <w:rPr>
          <w:sz w:val="20"/>
          <w:szCs w:val="20"/>
          <w:color w:val="auto"/>
        </w:rPr>
      </w:pPr>
      <w:r>
        <w:rPr>
          <w:rFonts w:ascii="Arial" w:cs="Arial" w:eastAsia="Arial" w:hAnsi="Arial"/>
          <w:sz w:val="17"/>
          <w:szCs w:val="17"/>
          <w:color w:val="auto"/>
        </w:rPr>
        <w:t>Thereafter, if assets remain in the Company, the holders of the Common Stock shall receive all of the remaining assets of the Company pro rata based on the number of shares of Common Stock held by each. If the assets of the Company are insufficient to pay the full preferential amounts to the preferred stockholders, the assets shall be distributed ratably among such holders in proportion to their aggregate liquidation preference amounts.</w:t>
      </w:r>
    </w:p>
    <w:p>
      <w:pPr>
        <w:spacing w:after="0" w:line="199" w:lineRule="exact"/>
        <w:rPr>
          <w:sz w:val="20"/>
          <w:szCs w:val="20"/>
          <w:color w:val="auto"/>
        </w:rPr>
      </w:pPr>
    </w:p>
    <w:p>
      <w:pPr>
        <w:ind w:right="440" w:firstLine="464"/>
        <w:spacing w:after="0" w:line="246" w:lineRule="auto"/>
        <w:rPr>
          <w:sz w:val="20"/>
          <w:szCs w:val="20"/>
          <w:color w:val="auto"/>
        </w:rPr>
      </w:pPr>
      <w:r>
        <w:rPr>
          <w:rFonts w:ascii="Arial" w:cs="Arial" w:eastAsia="Arial" w:hAnsi="Arial"/>
          <w:sz w:val="17"/>
          <w:szCs w:val="17"/>
          <w:color w:val="auto"/>
        </w:rPr>
        <w:t>As the Preferred Stock may become redeemable upon an event that is outside of the control of the Company, the Preferred Stock has been classified outside of stockholders' (deficit) equity. Since the Preferred Stock is not initially redeemable and it is not probable that it will become redeemable, the carrying value of the Preferred Stock has not been adjusted.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Voting Rights</w:t>
      </w:r>
    </w:p>
    <w:p>
      <w:pPr>
        <w:spacing w:after="0" w:line="22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Holders of the Series A, Series B and Series C Convertible Preferred Stock are entitled to vote as a single class with the holders of Common Stock and shall have one vote for each equivalent common share into which the preferred stock is convertible. A majority vote of the Series A Preferred Stockholders, Series B Preferred Stockholders and Series C Preferred Stockholders is required in order to amend the Certificate of Incorporation or By-Laws; reclassify Common Stock or establish another class of stock; create or authorize additional shares of preferred stock; effect a sale, liquidation, or merger of the Company; repurchase or redeem any capital stock; or engage in any action that would adversely affect the holders of the preferred stock.</w:t>
      </w:r>
    </w:p>
    <w:p>
      <w:pPr>
        <w:spacing w:after="0" w:line="199"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Company assessed the Series A, B and C Convertible Preferred Stock for any beneficial conversion features or embedded derivatives, including the conversion option, that would require bifurcation from the Series A, B and C Convertible Preferred Stock and receive separate accounting treatment. Based on the Company's determination that the Preferred Stock is an "equity host," the Company determined that all features of the Preferred Stock are clearly and closely related to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(Deficit) Equity (Continued)</w:t>
      </w:r>
    </w:p>
    <w:p>
      <w:pPr>
        <w:spacing w:after="0" w:line="23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equity host, and do not require bifurcation as a derivative liability. On the date of issuance, the fair value of Common Stock into which the Series A, B and C Convertible Preferred Stock was convertible was less than the effective conversion price of the Series A, B and C Convertible Preferred Stock, and as such, there was no intrinsic value of the conversion option at the commitment date.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31" w:lineRule="exact"/>
        <w:rPr>
          <w:sz w:val="20"/>
          <w:szCs w:val="20"/>
          <w:color w:val="auto"/>
        </w:rPr>
      </w:pPr>
    </w:p>
    <w:p>
      <w:pPr>
        <w:ind w:right="380" w:firstLine="470"/>
        <w:spacing w:after="0" w:line="252" w:lineRule="auto"/>
        <w:rPr>
          <w:sz w:val="20"/>
          <w:szCs w:val="20"/>
          <w:color w:val="auto"/>
        </w:rPr>
      </w:pPr>
      <w:r>
        <w:rPr>
          <w:rFonts w:ascii="Arial" w:cs="Arial" w:eastAsia="Arial" w:hAnsi="Arial"/>
          <w:sz w:val="17"/>
          <w:szCs w:val="17"/>
          <w:color w:val="auto"/>
        </w:rPr>
        <w:t>The holders of the Company's Common Stock are entitled to one vote for each share held. Common stockholders are not entitled to receive dividends, unless declared by the board of directors.</w:t>
      </w:r>
    </w:p>
    <w:p>
      <w:pPr>
        <w:spacing w:after="0" w:line="193" w:lineRule="exact"/>
        <w:rPr>
          <w:sz w:val="20"/>
          <w:szCs w:val="20"/>
          <w:color w:val="auto"/>
        </w:rPr>
      </w:pPr>
    </w:p>
    <w:p>
      <w:pPr>
        <w:ind w:right="60" w:firstLine="470"/>
        <w:spacing w:after="0" w:line="252" w:lineRule="auto"/>
        <w:rPr>
          <w:sz w:val="20"/>
          <w:szCs w:val="20"/>
          <w:color w:val="auto"/>
        </w:rPr>
      </w:pPr>
      <w:r>
        <w:rPr>
          <w:rFonts w:ascii="Arial" w:cs="Arial" w:eastAsia="Arial" w:hAnsi="Arial"/>
          <w:sz w:val="17"/>
          <w:szCs w:val="17"/>
          <w:color w:val="auto"/>
        </w:rPr>
        <w:t>The Company has reserved the following shares of Common Stock for the potential conversion of Preferred Stock and the issuance of Common Stock in connection with stock options: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7"/>
          </w:tcPr>
          <w:p>
            <w:pPr>
              <w:ind w:left="22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5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gridSpan w:val="2"/>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Convertible Preferred Stock</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7,272,726</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7,272,726</w:t>
            </w:r>
          </w:p>
        </w:tc>
        <w:tc>
          <w:tcPr>
            <w:tcW w:w="160" w:type="dxa"/>
            <w:vAlign w:val="bottom"/>
            <w:shd w:val="clear" w:color="auto" w:fill="CCEEFF"/>
          </w:tcPr>
          <w:p>
            <w:pPr>
              <w:spacing w:after="0"/>
              <w:rPr>
                <w:sz w:val="16"/>
                <w:szCs w:val="16"/>
                <w:color w:val="auto"/>
              </w:rPr>
            </w:pPr>
          </w:p>
        </w:tc>
      </w:tr>
      <w:tr>
        <w:trPr>
          <w:trHeight w:val="197"/>
        </w:trPr>
        <w:tc>
          <w:tcPr>
            <w:tcW w:w="574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3,803,024</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4,391,729</w:t>
            </w:r>
          </w:p>
        </w:tc>
        <w:tc>
          <w:tcPr>
            <w:tcW w:w="160" w:type="dxa"/>
            <w:vAlign w:val="bottom"/>
            <w:shd w:val="clear" w:color="auto" w:fill="CCEEFF"/>
          </w:tcPr>
          <w:p>
            <w:pPr>
              <w:spacing w:after="0"/>
              <w:rPr>
                <w:sz w:val="17"/>
                <w:szCs w:val="17"/>
                <w:color w:val="auto"/>
              </w:rPr>
            </w:pPr>
          </w:p>
        </w:tc>
      </w:tr>
      <w:tr>
        <w:trPr>
          <w:trHeight w:val="197"/>
        </w:trPr>
        <w:tc>
          <w:tcPr>
            <w:tcW w:w="5740" w:type="dxa"/>
            <w:vAlign w:val="bottom"/>
          </w:tcPr>
          <w:p>
            <w:pPr>
              <w:spacing w:after="0"/>
              <w:rPr>
                <w:sz w:val="20"/>
                <w:szCs w:val="20"/>
                <w:color w:val="auto"/>
              </w:rPr>
            </w:pPr>
            <w:r>
              <w:rPr>
                <w:rFonts w:ascii="Arial" w:cs="Arial" w:eastAsia="Arial" w:hAnsi="Arial"/>
                <w:sz w:val="17"/>
                <w:szCs w:val="17"/>
                <w:color w:val="auto"/>
              </w:rPr>
              <w:t>Warrants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27,272</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42,423</w:t>
            </w:r>
          </w:p>
        </w:tc>
        <w:tc>
          <w:tcPr>
            <w:tcW w:w="160" w:type="dxa"/>
            <w:vAlign w:val="bottom"/>
          </w:tcPr>
          <w:p>
            <w:pPr>
              <w:spacing w:after="0"/>
              <w:rPr>
                <w:sz w:val="17"/>
                <w:szCs w:val="17"/>
                <w:color w:val="auto"/>
              </w:rPr>
            </w:pPr>
          </w:p>
        </w:tc>
      </w:tr>
      <w:tr>
        <w:trPr>
          <w:trHeight w:val="19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555,221</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1,775,481</w:t>
            </w:r>
          </w:p>
        </w:tc>
        <w:tc>
          <w:tcPr>
            <w:tcW w:w="160" w:type="dxa"/>
            <w:vAlign w:val="bottom"/>
            <w:shd w:val="clear" w:color="auto" w:fill="CCEEFF"/>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7,855,219</w:t>
            </w: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17,285,383</w:t>
            </w:r>
          </w:p>
        </w:tc>
        <w:tc>
          <w:tcPr>
            <w:tcW w:w="1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 Awards</w:t>
      </w:r>
    </w:p>
    <w:p>
      <w:pPr>
        <w:spacing w:after="0" w:line="23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Company grants restricted stock awards, incentive stock options (ISO), and nonstatutory stock options (NSO) under the Blueprint Medicines Corporation 2011 Stock Option and Grant Plan (the Plan), as amended and restated. At December 31, 2014, there were 273,350 shares available for future grant under the Plan. ISOs may not be granted at less than fair value on the date of the grant. Furthermore, the exercise price of ISOs granted to an employee, who at the time of grant is a 10% shareholder, may not be less than 110% of the fair value on the date of grant.</w:t>
      </w:r>
    </w:p>
    <w:p>
      <w:pPr>
        <w:spacing w:after="0" w:line="198"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Terms of restricted stock awards and stock option agreements, including vesting requirements, are determined by the board of directors, subject to the provisions of the Plan. Options and restricted stock awards granted by the Company generally vest ratably over four years, with a one-year cliff for new employee awards, and are exercisable from the date of grant for a period of ten years. For options and restricted stock awards granted to date,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 performed common stock valuations with the assistance of a third-party specialist, as of January 6, 2014, July 30, 2014 and November 10, 2014 to determine stock-based compensation expense.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 Awards (Continued)</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During the year ended December 31, 2013, the Company issued 124,252 and 110,906 shares of Common Stock to employees and non-employees, respectively. The shares were issued under the terms of the Plan, and allow the Company, at its discretion, to repurchase unvested shares if the employees terminate their relationship with the Company. The shares vest over a one-year or four-year term. The shares are recorded in stockholders' (deficit) equity as they vest. The Company did not issue any shares of Common Stock to employees or non-employees during the year ended December 31, 2014.</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unvested restricted stock and related information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Weighted-Average</w:t>
            </w:r>
          </w:p>
        </w:tc>
      </w:tr>
      <w:tr>
        <w:trPr>
          <w:trHeight w:val="197"/>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Grant Date</w:t>
            </w:r>
          </w:p>
        </w:tc>
      </w:tr>
      <w:tr>
        <w:trPr>
          <w:trHeight w:val="214"/>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8"/>
              </w:rPr>
              <w:t>Shares</w:t>
            </w:r>
          </w:p>
        </w:tc>
        <w:tc>
          <w:tcPr>
            <w:tcW w:w="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Fair Value</w:t>
            </w:r>
          </w:p>
        </w:tc>
        <w:tc>
          <w:tcPr>
            <w:tcW w:w="260" w:type="dxa"/>
            <w:vAlign w:val="bottom"/>
          </w:tcPr>
          <w:p>
            <w:pPr>
              <w:spacing w:after="0"/>
              <w:rPr>
                <w:sz w:val="18"/>
                <w:szCs w:val="18"/>
                <w:color w:val="auto"/>
              </w:rPr>
            </w:pPr>
          </w:p>
        </w:tc>
      </w:tr>
      <w:tr>
        <w:trPr>
          <w:trHeight w:val="190"/>
        </w:trPr>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2013</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836,712</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0.42</w:t>
            </w:r>
          </w:p>
        </w:tc>
      </w:tr>
      <w:tr>
        <w:trPr>
          <w:trHeight w:val="197"/>
        </w:trPr>
        <w:tc>
          <w:tcPr>
            <w:tcW w:w="52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8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197"/>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(398,792)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0.36</w:t>
            </w:r>
          </w:p>
        </w:tc>
      </w:tr>
      <w:tr>
        <w:trPr>
          <w:trHeight w:val="197"/>
        </w:trPr>
        <w:tc>
          <w:tcPr>
            <w:tcW w:w="5160" w:type="dxa"/>
            <w:vAlign w:val="bottom"/>
          </w:tcPr>
          <w:p>
            <w:pPr>
              <w:ind w:left="180"/>
              <w:spacing w:after="0"/>
              <w:rPr>
                <w:sz w:val="20"/>
                <w:szCs w:val="20"/>
                <w:color w:val="auto"/>
              </w:rPr>
            </w:pPr>
            <w:r>
              <w:rPr>
                <w:rFonts w:ascii="Arial" w:cs="Arial" w:eastAsia="Arial" w:hAnsi="Arial"/>
                <w:sz w:val="17"/>
                <w:szCs w:val="17"/>
                <w:color w:val="auto"/>
              </w:rPr>
              <w:t>Repurchased</w:t>
            </w:r>
          </w:p>
        </w:tc>
        <w:tc>
          <w:tcPr>
            <w:tcW w:w="10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(12,641)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0.31</w:t>
            </w:r>
          </w:p>
        </w:tc>
      </w:tr>
      <w:tr>
        <w:trPr>
          <w:trHeight w:val="190"/>
        </w:trPr>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2014</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425,279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0.46</w:t>
            </w: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has granted restricted stock to non-employees which contain both performance-based and service-based vesting criteria. Stock-based compensation expense associated with these performance-based awards is recognized if the performance condition is considered probable of achievement using management's best estimates. During the year ended December 31, 2014 management concluded that the milestones associated with 181,818 shares of performance-based restricted stock were probable of achievement, and the Company began to record stock-based compensation expense using the accelerated attribution method, accordingly. The Company recorded $0.9 million of stock-based compensation expense for non-employee performance-based awards in the year ended December 31, 2014. A summary of the Company's stock option activity and related information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9"/>
              </w:rPr>
              <w:t>Weighted-</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Average</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Intrinsic</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Exercise</w:t>
            </w: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Life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Value(3)</w:t>
            </w: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Shares</w:t>
            </w: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Price</w:t>
            </w:r>
          </w:p>
        </w:tc>
        <w:tc>
          <w:tcPr>
            <w:tcW w:w="240" w:type="dxa"/>
            <w:vAlign w:val="bottom"/>
            <w:gridSpan w:val="2"/>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(in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2013</w:t>
            </w:r>
          </w:p>
        </w:tc>
        <w:tc>
          <w:tcPr>
            <w:tcW w:w="1020" w:type="dxa"/>
            <w:vAlign w:val="bottom"/>
            <w:gridSpan w:val="4"/>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385,250</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1.48</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9.81</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97"/>
        </w:trPr>
        <w:tc>
          <w:tcPr>
            <w:tcW w:w="434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20" w:type="dxa"/>
            <w:vAlign w:val="bottom"/>
            <w:gridSpan w:val="4"/>
          </w:tcPr>
          <w:p>
            <w:pPr>
              <w:jc w:val="right"/>
              <w:ind w:right="140"/>
              <w:spacing w:after="0"/>
              <w:rPr>
                <w:sz w:val="20"/>
                <w:szCs w:val="20"/>
                <w:color w:val="auto"/>
              </w:rPr>
            </w:pPr>
            <w:r>
              <w:rPr>
                <w:rFonts w:ascii="Arial" w:cs="Arial" w:eastAsia="Arial" w:hAnsi="Arial"/>
                <w:sz w:val="17"/>
                <w:szCs w:val="17"/>
                <w:color w:val="auto"/>
              </w:rPr>
              <w:t>1,226,103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2.14</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(10,521)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1.48</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40" w:type="dxa"/>
            <w:vAlign w:val="bottom"/>
            <w:gridSpan w:val="2"/>
          </w:tcPr>
          <w:p>
            <w:pPr>
              <w:ind w:left="180"/>
              <w:spacing w:after="0"/>
              <w:rPr>
                <w:sz w:val="20"/>
                <w:szCs w:val="20"/>
                <w:color w:val="auto"/>
              </w:rPr>
            </w:pPr>
            <w:r>
              <w:rPr>
                <w:rFonts w:ascii="Arial" w:cs="Arial" w:eastAsia="Arial" w:hAnsi="Arial"/>
                <w:sz w:val="17"/>
                <w:szCs w:val="17"/>
                <w:color w:val="auto"/>
              </w:rPr>
              <w:t>Canceled</w:t>
            </w:r>
          </w:p>
        </w:tc>
        <w:tc>
          <w:tcPr>
            <w:tcW w:w="1020" w:type="dxa"/>
            <w:vAlign w:val="bottom"/>
            <w:gridSpan w:val="4"/>
          </w:tcPr>
          <w:p>
            <w:pPr>
              <w:jc w:val="right"/>
              <w:ind w:right="100"/>
              <w:spacing w:after="0"/>
              <w:rPr>
                <w:sz w:val="20"/>
                <w:szCs w:val="20"/>
                <w:color w:val="auto"/>
              </w:rPr>
            </w:pPr>
            <w:r>
              <w:rPr>
                <w:rFonts w:ascii="Arial" w:cs="Arial" w:eastAsia="Arial" w:hAnsi="Arial"/>
                <w:sz w:val="17"/>
                <w:szCs w:val="17"/>
                <w:color w:val="auto"/>
              </w:rPr>
              <w:t>(98,920)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1.51</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2014(1)</w:t>
            </w:r>
          </w:p>
        </w:tc>
        <w:tc>
          <w:tcPr>
            <w:tcW w:w="1020" w:type="dxa"/>
            <w:vAlign w:val="bottom"/>
            <w:gridSpan w:val="4"/>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1,501,912</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2.02</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9.42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7,704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color w:val="auto"/>
              </w:rPr>
              <w:t>Exercisable at December 31, 2014</w:t>
            </w: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1.68</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8.99</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940</w:t>
            </w:r>
          </w:p>
        </w:tc>
        <w:tc>
          <w:tcPr>
            <w:tcW w:w="0" w:type="dxa"/>
            <w:vAlign w:val="bottom"/>
          </w:tcPr>
          <w:p>
            <w:pPr>
              <w:spacing w:after="0" w:line="20" w:lineRule="exact"/>
              <w:rPr>
                <w:sz w:val="1"/>
                <w:szCs w:val="1"/>
                <w:color w:val="auto"/>
              </w:rPr>
            </w:pPr>
          </w:p>
        </w:tc>
      </w:tr>
      <w:tr>
        <w:trPr>
          <w:trHeight w:val="176"/>
        </w:trPr>
        <w:tc>
          <w:tcPr>
            <w:tcW w:w="4340" w:type="dxa"/>
            <w:vAlign w:val="bottom"/>
            <w:gridSpan w:val="2"/>
            <w:vMerge w:val="continue"/>
          </w:tcPr>
          <w:p>
            <w:pPr>
              <w:spacing w:after="0"/>
              <w:rPr>
                <w:sz w:val="15"/>
                <w:szCs w:val="15"/>
                <w:color w:val="auto"/>
              </w:rPr>
            </w:pPr>
          </w:p>
        </w:tc>
        <w:tc>
          <w:tcPr>
            <w:tcW w:w="1020" w:type="dxa"/>
            <w:vAlign w:val="bottom"/>
            <w:gridSpan w:val="4"/>
          </w:tcPr>
          <w:p>
            <w:pPr>
              <w:jc w:val="right"/>
              <w:ind w:right="140"/>
              <w:spacing w:after="0" w:line="176" w:lineRule="exact"/>
              <w:rPr>
                <w:sz w:val="20"/>
                <w:szCs w:val="20"/>
                <w:color w:val="auto"/>
              </w:rPr>
            </w:pPr>
            <w:r>
              <w:rPr>
                <w:rFonts w:ascii="Arial" w:cs="Arial" w:eastAsia="Arial" w:hAnsi="Arial"/>
                <w:sz w:val="17"/>
                <w:szCs w:val="17"/>
                <w:color w:val="auto"/>
              </w:rPr>
              <w:t>171,700</w:t>
            </w:r>
          </w:p>
        </w:tc>
        <w:tc>
          <w:tcPr>
            <w:tcW w:w="12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Vested and expected to vest at December 31, 2014(2)</w:t>
            </w:r>
          </w:p>
        </w:tc>
        <w:tc>
          <w:tcPr>
            <w:tcW w:w="10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1,442,277</w:t>
            </w:r>
          </w:p>
        </w:tc>
        <w:tc>
          <w:tcPr>
            <w:tcW w:w="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7"/>
                <w:szCs w:val="17"/>
                <w:color w:val="auto"/>
              </w:rPr>
              <w:t>2.02</w:t>
            </w:r>
          </w:p>
        </w:tc>
        <w:tc>
          <w:tcPr>
            <w:tcW w:w="11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9.42</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7,399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5540" w:right="2520" w:hanging="4393"/>
        <w:spacing w:after="0" w:line="509" w:lineRule="auto"/>
        <w:tabs>
          <w:tab w:leader="none" w:pos="167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Includes 166,635 unvested shares of common stock related to early exercises of stock options.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ind w:left="200" w:hanging="195"/>
        <w:spacing w:after="0"/>
        <w:tabs>
          <w:tab w:leader="none" w:pos="20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Stock Awards (Continued)</w:t>
      </w:r>
    </w:p>
    <w:p>
      <w:pPr>
        <w:spacing w:after="0" w:line="230" w:lineRule="exact"/>
        <w:rPr>
          <w:rFonts w:ascii="Arial" w:cs="Arial" w:eastAsia="Arial" w:hAnsi="Arial"/>
          <w:sz w:val="17"/>
          <w:szCs w:val="17"/>
          <w:b w:val="1"/>
          <w:bCs w:val="1"/>
          <w:color w:val="auto"/>
        </w:rPr>
      </w:pPr>
    </w:p>
    <w:p>
      <w:pPr>
        <w:ind w:left="1680" w:hanging="533"/>
        <w:spacing w:after="0" w:line="252" w:lineRule="auto"/>
        <w:tabs>
          <w:tab w:leader="none" w:pos="16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Represents the number of vested options as of December 31, 2014, plus the number of unvested options expected to vest as of December 31, 2014.</w:t>
      </w:r>
    </w:p>
    <w:p>
      <w:pPr>
        <w:spacing w:after="0" w:line="192" w:lineRule="exact"/>
        <w:rPr>
          <w:rFonts w:ascii="Arial" w:cs="Arial" w:eastAsia="Arial" w:hAnsi="Arial"/>
          <w:sz w:val="17"/>
          <w:szCs w:val="17"/>
          <w:color w:val="auto"/>
        </w:rPr>
      </w:pPr>
    </w:p>
    <w:p>
      <w:pPr>
        <w:ind w:left="1680" w:right="120" w:hanging="533"/>
        <w:spacing w:after="0" w:line="252" w:lineRule="auto"/>
        <w:tabs>
          <w:tab w:leader="none" w:pos="16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Intrinsic value represents the amount by which the fair market value as of December 31, 2014 of the underlying common stock exceeds the exercise price of the option.</w:t>
      </w:r>
    </w:p>
    <w:p>
      <w:pPr>
        <w:spacing w:after="0" w:line="193" w:lineRule="exact"/>
        <w:rPr>
          <w:sz w:val="20"/>
          <w:szCs w:val="20"/>
          <w:color w:val="auto"/>
        </w:rPr>
      </w:pPr>
    </w:p>
    <w:p>
      <w:pPr>
        <w:ind w:right="340" w:firstLine="470"/>
        <w:spacing w:after="0" w:line="252" w:lineRule="auto"/>
        <w:rPr>
          <w:sz w:val="20"/>
          <w:szCs w:val="20"/>
          <w:color w:val="auto"/>
        </w:rPr>
      </w:pPr>
      <w:r>
        <w:rPr>
          <w:rFonts w:ascii="Arial" w:cs="Arial" w:eastAsia="Arial" w:hAnsi="Arial"/>
          <w:sz w:val="17"/>
          <w:szCs w:val="17"/>
          <w:color w:val="auto"/>
        </w:rPr>
        <w:t>The fair value of stock options is estimated on the grant date using the Black-Scholes option-pricing model based on the following weighted average assumptions: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740"/>
              <w:spacing w:after="0"/>
              <w:rPr>
                <w:sz w:val="20"/>
                <w:szCs w:val="20"/>
                <w:color w:val="auto"/>
              </w:rPr>
            </w:pPr>
            <w:r>
              <w:rPr>
                <w:rFonts w:ascii="Arial" w:cs="Arial" w:eastAsia="Arial" w:hAnsi="Arial"/>
                <w:sz w:val="17"/>
                <w:szCs w:val="17"/>
                <w:b w:val="1"/>
                <w:bCs w:val="1"/>
                <w:color w:val="auto"/>
              </w:rPr>
              <w:t>Year Ended</w:t>
            </w:r>
          </w:p>
        </w:tc>
      </w:tr>
      <w:tr>
        <w:trPr>
          <w:trHeight w:val="173"/>
        </w:trPr>
        <w:tc>
          <w:tcPr>
            <w:tcW w:w="552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7"/>
                <w:szCs w:val="17"/>
                <w:b w:val="1"/>
                <w:bCs w:val="1"/>
                <w:color w:val="auto"/>
              </w:rPr>
              <w:t>December 31,</w:t>
            </w:r>
          </w:p>
        </w:tc>
        <w:tc>
          <w:tcPr>
            <w:tcW w:w="1220" w:type="dxa"/>
            <w:vAlign w:val="bottom"/>
            <w:gridSpan w:val="3"/>
          </w:tcPr>
          <w:p>
            <w:pPr>
              <w:ind w:left="100"/>
              <w:spacing w:after="0" w:line="173" w:lineRule="exact"/>
              <w:rPr>
                <w:sz w:val="20"/>
                <w:szCs w:val="20"/>
                <w:color w:val="auto"/>
              </w:rPr>
            </w:pPr>
            <w:r>
              <w:rPr>
                <w:rFonts w:ascii="Arial" w:cs="Arial" w:eastAsia="Arial" w:hAnsi="Arial"/>
                <w:sz w:val="17"/>
                <w:szCs w:val="17"/>
                <w:b w:val="1"/>
                <w:bCs w:val="1"/>
                <w:color w:val="auto"/>
                <w:w w:val="99"/>
              </w:rPr>
              <w:t>December 31,</w:t>
            </w:r>
          </w:p>
        </w:tc>
      </w:tr>
      <w:tr>
        <w:trPr>
          <w:trHeight w:val="214"/>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2014</w:t>
            </w:r>
          </w:p>
        </w:tc>
        <w:tc>
          <w:tcPr>
            <w:tcW w:w="20" w:type="dxa"/>
            <w:vAlign w:val="bottom"/>
          </w:tcPr>
          <w:p>
            <w:pPr>
              <w:spacing w:after="0"/>
              <w:rPr>
                <w:sz w:val="18"/>
                <w:szCs w:val="18"/>
                <w:color w:val="auto"/>
              </w:rPr>
            </w:pPr>
          </w:p>
        </w:tc>
      </w:tr>
      <w:tr>
        <w:trPr>
          <w:trHeight w:val="190"/>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240" w:type="dxa"/>
            <w:vAlign w:val="bottom"/>
            <w:gridSpan w:val="3"/>
            <w:shd w:val="clear" w:color="auto" w:fill="CCEEFF"/>
          </w:tcPr>
          <w:p>
            <w:pPr>
              <w:jc w:val="center"/>
              <w:ind w:right="80"/>
              <w:spacing w:after="0" w:line="189" w:lineRule="exact"/>
              <w:rPr>
                <w:sz w:val="20"/>
                <w:szCs w:val="20"/>
                <w:color w:val="auto"/>
              </w:rPr>
            </w:pPr>
            <w:r>
              <w:rPr>
                <w:rFonts w:ascii="Arial" w:cs="Arial" w:eastAsia="Arial" w:hAnsi="Arial"/>
                <w:sz w:val="17"/>
                <w:szCs w:val="17"/>
                <w:color w:val="auto"/>
              </w:rPr>
              <w:t>1.70% - 2.84%</w:t>
            </w:r>
          </w:p>
        </w:tc>
        <w:tc>
          <w:tcPr>
            <w:tcW w:w="12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7"/>
                <w:szCs w:val="17"/>
                <w:color w:val="auto"/>
              </w:rPr>
              <w:t>1.70% - 2.14%</w:t>
            </w:r>
          </w:p>
        </w:tc>
      </w:tr>
      <w:tr>
        <w:trPr>
          <w:trHeight w:val="197"/>
        </w:trPr>
        <w:tc>
          <w:tcPr>
            <w:tcW w:w="55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9"/>
              </w:rPr>
              <w:t>0.00%</w:t>
            </w:r>
          </w:p>
        </w:tc>
        <w:tc>
          <w:tcPr>
            <w:tcW w:w="120" w:type="dxa"/>
            <w:vAlign w:val="bottom"/>
          </w:tcPr>
          <w:p>
            <w:pPr>
              <w:spacing w:after="0"/>
              <w:rPr>
                <w:sz w:val="17"/>
                <w:szCs w:val="17"/>
                <w:color w:val="auto"/>
              </w:rPr>
            </w:pPr>
          </w:p>
        </w:tc>
        <w:tc>
          <w:tcPr>
            <w:tcW w:w="1200" w:type="dxa"/>
            <w:vAlign w:val="bottom"/>
            <w:gridSpan w:val="2"/>
          </w:tcPr>
          <w:p>
            <w:pPr>
              <w:jc w:val="center"/>
              <w:ind w:left="15"/>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2"/>
              </w:rPr>
              <w:t>6.1</w:t>
            </w:r>
          </w:p>
        </w:tc>
        <w:tc>
          <w:tcPr>
            <w:tcW w:w="20" w:type="dxa"/>
            <w:vAlign w:val="bottom"/>
            <w:shd w:val="clear" w:color="auto" w:fill="CCEEFF"/>
          </w:tcPr>
          <w:p>
            <w:pPr>
              <w:spacing w:after="0"/>
              <w:rPr>
                <w:sz w:val="17"/>
                <w:szCs w:val="17"/>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Expected stock price volatility</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rPr>
              <w:t>88.96%</w:t>
            </w:r>
          </w:p>
        </w:tc>
        <w:tc>
          <w:tcPr>
            <w:tcW w:w="120" w:type="dxa"/>
            <w:vAlign w:val="bottom"/>
          </w:tcPr>
          <w:p>
            <w:pPr>
              <w:spacing w:after="0"/>
              <w:rPr>
                <w:sz w:val="18"/>
                <w:szCs w:val="18"/>
                <w:color w:val="auto"/>
              </w:rPr>
            </w:pPr>
          </w:p>
        </w:tc>
        <w:tc>
          <w:tcPr>
            <w:tcW w:w="1200" w:type="dxa"/>
            <w:vAlign w:val="bottom"/>
            <w:gridSpan w:val="2"/>
          </w:tcPr>
          <w:p>
            <w:pPr>
              <w:jc w:val="center"/>
              <w:ind w:left="15"/>
              <w:spacing w:after="0"/>
              <w:rPr>
                <w:sz w:val="20"/>
                <w:szCs w:val="20"/>
                <w:color w:val="auto"/>
              </w:rPr>
            </w:pPr>
            <w:r>
              <w:rPr>
                <w:rFonts w:ascii="Arial" w:cs="Arial" w:eastAsia="Arial" w:hAnsi="Arial"/>
                <w:sz w:val="17"/>
                <w:szCs w:val="17"/>
                <w:color w:val="auto"/>
              </w:rPr>
              <w:t>92.99%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The weighted-average grant date fair value of options granted in the years ended December 31, 2013 and 2014 was $1.18 and $3.46, respectively. The total intrinsic value of options exercised in the year ended December 31, 2014 was $0.1 million. There were no options exercised in the year ended December 31, 2013.</w:t>
      </w:r>
    </w:p>
    <w:p>
      <w:pPr>
        <w:spacing w:after="0" w:line="199" w:lineRule="exact"/>
        <w:rPr>
          <w:sz w:val="20"/>
          <w:szCs w:val="20"/>
          <w:color w:val="auto"/>
        </w:rPr>
      </w:pPr>
    </w:p>
    <w:p>
      <w:pPr>
        <w:ind w:right="100" w:firstLine="470"/>
        <w:spacing w:after="0" w:line="252" w:lineRule="auto"/>
        <w:rPr>
          <w:sz w:val="20"/>
          <w:szCs w:val="20"/>
          <w:color w:val="auto"/>
        </w:rPr>
      </w:pPr>
      <w:r>
        <w:rPr>
          <w:rFonts w:ascii="Arial" w:cs="Arial" w:eastAsia="Arial" w:hAnsi="Arial"/>
          <w:sz w:val="17"/>
          <w:szCs w:val="17"/>
          <w:color w:val="auto"/>
        </w:rPr>
        <w:t>Total stock-based compensation expense recognized for all stock-based compensation awards in the statements of operations is as follows (in thousands):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7"/>
          </w:tcPr>
          <w:p>
            <w:pPr>
              <w:jc w:val="center"/>
              <w:ind w:right="260"/>
              <w:spacing w:after="0"/>
              <w:rPr>
                <w:sz w:val="20"/>
                <w:szCs w:val="20"/>
                <w:color w:val="auto"/>
              </w:rPr>
            </w:pPr>
            <w:r>
              <w:rPr>
                <w:rFonts w:ascii="Arial" w:cs="Arial" w:eastAsia="Arial" w:hAnsi="Arial"/>
                <w:sz w:val="17"/>
                <w:szCs w:val="17"/>
                <w:b w:val="1"/>
                <w:bCs w:val="1"/>
                <w:color w:val="auto"/>
                <w:w w:val="98"/>
              </w:rPr>
              <w:t>Year Ended</w:t>
            </w:r>
          </w:p>
        </w:tc>
      </w:tr>
      <w:tr>
        <w:trPr>
          <w:trHeight w:val="214"/>
        </w:trPr>
        <w:tc>
          <w:tcPr>
            <w:tcW w:w="4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4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1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1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1,052</w:t>
            </w:r>
          </w:p>
        </w:tc>
        <w:tc>
          <w:tcPr>
            <w:tcW w:w="160" w:type="dxa"/>
            <w:vAlign w:val="bottom"/>
            <w:shd w:val="clear" w:color="auto" w:fill="CCEEFF"/>
          </w:tcPr>
          <w:p>
            <w:pPr>
              <w:spacing w:after="0"/>
              <w:rPr>
                <w:sz w:val="16"/>
                <w:szCs w:val="16"/>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1,274</w:t>
            </w:r>
          </w:p>
        </w:tc>
        <w:tc>
          <w:tcPr>
            <w:tcW w:w="160" w:type="dxa"/>
            <w:vAlign w:val="bottom"/>
          </w:tcPr>
          <w:p>
            <w:pPr>
              <w:spacing w:after="0"/>
              <w:rPr>
                <w:sz w:val="17"/>
                <w:szCs w:val="17"/>
                <w:color w:val="auto"/>
              </w:rPr>
            </w:pPr>
          </w:p>
        </w:tc>
      </w:tr>
      <w:tr>
        <w:trPr>
          <w:trHeight w:val="190"/>
        </w:trPr>
        <w:tc>
          <w:tcPr>
            <w:tcW w:w="4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1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351</w:t>
            </w:r>
          </w:p>
        </w:tc>
        <w:tc>
          <w:tcPr>
            <w:tcW w:w="3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2,326</w:t>
            </w:r>
          </w:p>
        </w:tc>
        <w:tc>
          <w:tcPr>
            <w:tcW w:w="160" w:type="dxa"/>
            <w:vAlign w:val="bottom"/>
            <w:shd w:val="clear" w:color="auto" w:fill="CCEEFF"/>
          </w:tcPr>
          <w:p>
            <w:pPr>
              <w:spacing w:after="0"/>
              <w:rPr>
                <w:sz w:val="16"/>
                <w:szCs w:val="16"/>
                <w:color w:val="auto"/>
              </w:rPr>
            </w:pPr>
          </w:p>
        </w:tc>
      </w:tr>
      <w:tr>
        <w:trPr>
          <w:trHeight w:val="20"/>
        </w:trPr>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64"/>
        <w:spacing w:after="0" w:line="246" w:lineRule="auto"/>
        <w:rPr>
          <w:sz w:val="20"/>
          <w:szCs w:val="20"/>
          <w:color w:val="auto"/>
        </w:rPr>
      </w:pPr>
      <w:r>
        <w:rPr>
          <w:rFonts w:ascii="Arial" w:cs="Arial" w:eastAsia="Arial" w:hAnsi="Arial"/>
          <w:sz w:val="17"/>
          <w:szCs w:val="17"/>
          <w:color w:val="auto"/>
        </w:rPr>
        <w:t>At December 31, 2014, there was $4.7 million of total unrecognized compensation cost related to nonvested stock awards, which is expected to be recognized over a weighted-average period of 2.84 years. Due to an operating loss, the Company does not record tax benefits associated with stock-based compensation or option exercises. Tax benefit will be recorded when realized.</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U.S. statutory income tax rate to the Company's effective tax rate is as follows for the years ended December 31, 2013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2014:</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7"/>
          </w:tcPr>
          <w:p>
            <w:pPr>
              <w:jc w:val="right"/>
              <w:ind w:right="380"/>
              <w:spacing w:after="0"/>
              <w:rPr>
                <w:sz w:val="20"/>
                <w:szCs w:val="20"/>
                <w:color w:val="auto"/>
              </w:rPr>
            </w:pPr>
            <w:r>
              <w:rPr>
                <w:rFonts w:ascii="Arial" w:cs="Arial" w:eastAsia="Arial" w:hAnsi="Arial"/>
                <w:sz w:val="17"/>
                <w:szCs w:val="17"/>
                <w:b w:val="1"/>
                <w:bCs w:val="1"/>
                <w:color w:val="auto"/>
              </w:rPr>
              <w:t>Year Ended</w:t>
            </w:r>
          </w:p>
        </w:tc>
      </w:tr>
      <w:tr>
        <w:trPr>
          <w:trHeight w:val="214"/>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7"/>
          </w:tcPr>
          <w:p>
            <w:pPr>
              <w:ind w:left="4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6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ind w:left="20"/>
              <w:spacing w:after="0" w:line="189" w:lineRule="exact"/>
              <w:rPr>
                <w:sz w:val="20"/>
                <w:szCs w:val="20"/>
                <w:color w:val="auto"/>
              </w:rPr>
            </w:pPr>
            <w:r>
              <w:rPr>
                <w:rFonts w:ascii="Arial" w:cs="Arial" w:eastAsia="Arial" w:hAnsi="Arial"/>
                <w:sz w:val="17"/>
                <w:szCs w:val="17"/>
                <w:b w:val="1"/>
                <w:bCs w:val="1"/>
                <w:color w:val="auto"/>
              </w:rPr>
              <w:t>2013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2014</w:t>
            </w: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6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Federal income tax (benefit) at statutory rate</w:t>
            </w:r>
          </w:p>
        </w:tc>
        <w:tc>
          <w:tcPr>
            <w:tcW w:w="7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34.00%</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34.00%</w:t>
            </w: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Permanent differences</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(1.87)</w:t>
            </w:r>
          </w:p>
        </w:tc>
      </w:tr>
      <w:tr>
        <w:trPr>
          <w:trHeight w:val="197"/>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Federal research and development credits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7"/>
                <w:szCs w:val="17"/>
                <w:color w:val="auto"/>
              </w:rPr>
            </w:pP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4.93</w:t>
            </w:r>
          </w:p>
        </w:tc>
        <w:tc>
          <w:tcPr>
            <w:tcW w:w="160" w:type="dxa"/>
            <w:vAlign w:val="bottom"/>
          </w:tcPr>
          <w:p>
            <w:pPr>
              <w:spacing w:after="0"/>
              <w:rPr>
                <w:sz w:val="17"/>
                <w:szCs w:val="17"/>
                <w:color w:val="auto"/>
              </w:rPr>
            </w:pPr>
          </w:p>
        </w:tc>
      </w:tr>
      <w:tr>
        <w:trPr>
          <w:trHeight w:val="197"/>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60" w:type="dxa"/>
            <w:vAlign w:val="bottom"/>
            <w:shd w:val="clear" w:color="auto" w:fill="CCEEFF"/>
          </w:tcPr>
          <w:p>
            <w:pPr>
              <w:spacing w:after="0"/>
              <w:rPr>
                <w:sz w:val="17"/>
                <w:szCs w:val="17"/>
                <w:color w:val="auto"/>
              </w:rPr>
            </w:pPr>
          </w:p>
        </w:tc>
      </w:tr>
      <w:tr>
        <w:trPr>
          <w:trHeight w:val="197"/>
        </w:trPr>
        <w:tc>
          <w:tcPr>
            <w:tcW w:w="644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780" w:type="dxa"/>
            <w:vAlign w:val="bottom"/>
            <w:gridSpan w:val="4"/>
          </w:tcPr>
          <w:p>
            <w:pPr>
              <w:jc w:val="right"/>
              <w:ind w:right="100"/>
              <w:spacing w:after="0"/>
              <w:rPr>
                <w:sz w:val="20"/>
                <w:szCs w:val="20"/>
                <w:color w:val="auto"/>
              </w:rPr>
            </w:pPr>
            <w:r>
              <w:rPr>
                <w:rFonts w:ascii="Arial" w:cs="Arial" w:eastAsia="Arial" w:hAnsi="Arial"/>
                <w:sz w:val="17"/>
                <w:szCs w:val="17"/>
                <w:color w:val="auto"/>
              </w:rPr>
              <w:t>(43.08)</w:t>
            </w:r>
          </w:p>
        </w:tc>
        <w:tc>
          <w:tcPr>
            <w:tcW w:w="10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(39.06)</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income tax rate</w:t>
            </w:r>
          </w:p>
        </w:tc>
        <w:tc>
          <w:tcPr>
            <w:tcW w:w="7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0.00%</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had net losses in all periods presented and therefore has not recognized any federal or state income tax expense.</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7680" w:type="dxa"/>
            <w:vAlign w:val="bottom"/>
            <w:gridSpan w:val="2"/>
          </w:tcPr>
          <w:p>
            <w:pPr>
              <w:spacing w:after="0"/>
              <w:rPr>
                <w:sz w:val="20"/>
                <w:szCs w:val="20"/>
                <w:color w:val="auto"/>
              </w:rPr>
            </w:pPr>
            <w:r>
              <w:rPr>
                <w:rFonts w:ascii="Arial" w:cs="Arial" w:eastAsia="Arial" w:hAnsi="Arial"/>
                <w:sz w:val="17"/>
                <w:szCs w:val="17"/>
                <w:color w:val="auto"/>
              </w:rPr>
              <w:t>The Company's deferred tax assets and liabilities consist of the following:</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6"/>
        </w:trPr>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7"/>
          </w:tcPr>
          <w:p>
            <w:pPr>
              <w:jc w:val="right"/>
              <w:ind w:right="580"/>
              <w:spacing w:after="0"/>
              <w:rPr>
                <w:sz w:val="20"/>
                <w:szCs w:val="20"/>
                <w:color w:val="auto"/>
              </w:rPr>
            </w:pPr>
            <w:r>
              <w:rPr>
                <w:rFonts w:ascii="Arial" w:cs="Arial" w:eastAsia="Arial" w:hAnsi="Arial"/>
                <w:sz w:val="17"/>
                <w:szCs w:val="17"/>
                <w:b w:val="1"/>
                <w:bCs w:val="1"/>
                <w:color w:val="auto"/>
              </w:rPr>
              <w:t>December 31</w:t>
            </w:r>
          </w:p>
        </w:tc>
      </w:tr>
      <w:tr>
        <w:trPr>
          <w:trHeight w:val="190"/>
        </w:trPr>
        <w:tc>
          <w:tcPr>
            <w:tcW w:w="6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660" w:type="dxa"/>
            <w:vAlign w:val="bottom"/>
          </w:tcPr>
          <w:p>
            <w:pPr>
              <w:spacing w:after="0"/>
              <w:rPr>
                <w:sz w:val="16"/>
                <w:szCs w:val="16"/>
                <w:color w:val="auto"/>
              </w:rPr>
            </w:pPr>
          </w:p>
        </w:tc>
        <w:tc>
          <w:tcPr>
            <w:tcW w:w="70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660" w:type="dxa"/>
            <w:vAlign w:val="bottom"/>
          </w:tcPr>
          <w:p>
            <w:pPr>
              <w:spacing w:after="0"/>
              <w:rPr>
                <w:sz w:val="17"/>
                <w:szCs w:val="17"/>
                <w:color w:val="auto"/>
              </w:rPr>
            </w:pPr>
          </w:p>
        </w:tc>
        <w:tc>
          <w:tcPr>
            <w:tcW w:w="702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15,993</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30,603</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 carryforwards</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1,949</w:t>
            </w:r>
          </w:p>
        </w:tc>
      </w:tr>
      <w:tr>
        <w:trPr>
          <w:trHeight w:val="197"/>
        </w:trPr>
        <w:tc>
          <w:tcPr>
            <w:tcW w:w="660" w:type="dxa"/>
            <w:vAlign w:val="bottom"/>
          </w:tcPr>
          <w:p>
            <w:pPr>
              <w:spacing w:after="0"/>
              <w:rPr>
                <w:sz w:val="17"/>
                <w:szCs w:val="17"/>
                <w:color w:val="auto"/>
              </w:rPr>
            </w:pPr>
          </w:p>
        </w:tc>
        <w:tc>
          <w:tcPr>
            <w:tcW w:w="7020" w:type="dxa"/>
            <w:vAlign w:val="bottom"/>
          </w:tcPr>
          <w:p>
            <w:pPr>
              <w:ind w:left="180"/>
              <w:spacing w:after="0"/>
              <w:rPr>
                <w:sz w:val="20"/>
                <w:szCs w:val="20"/>
                <w:color w:val="auto"/>
              </w:rPr>
            </w:pPr>
            <w:r>
              <w:rPr>
                <w:rFonts w:ascii="Arial" w:cs="Arial" w:eastAsia="Arial" w:hAnsi="Arial"/>
                <w:sz w:val="17"/>
                <w:szCs w:val="17"/>
                <w:color w:val="auto"/>
              </w:rPr>
              <w:t>Accrued expenses and other</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628</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rent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CEEFF"/>
          </w:tcPr>
          <w:p>
            <w:pPr>
              <w:spacing w:after="0"/>
              <w:rPr>
                <w:sz w:val="17"/>
                <w:szCs w:val="17"/>
                <w:color w:val="auto"/>
              </w:rPr>
            </w:pPr>
          </w:p>
        </w:tc>
      </w:tr>
      <w:tr>
        <w:trPr>
          <w:trHeight w:val="190"/>
        </w:trPr>
        <w:tc>
          <w:tcPr>
            <w:tcW w:w="660" w:type="dxa"/>
            <w:vAlign w:val="bottom"/>
          </w:tcPr>
          <w:p>
            <w:pPr>
              <w:spacing w:after="0"/>
              <w:rPr>
                <w:sz w:val="16"/>
                <w:szCs w:val="16"/>
                <w:color w:val="auto"/>
              </w:rPr>
            </w:pPr>
          </w:p>
        </w:tc>
        <w:tc>
          <w:tcPr>
            <w:tcW w:w="7020" w:type="dxa"/>
            <w:vAlign w:val="bottom"/>
          </w:tcPr>
          <w:p>
            <w:pPr>
              <w:ind w:left="20"/>
              <w:spacing w:after="0" w:line="189" w:lineRule="exact"/>
              <w:rPr>
                <w:sz w:val="20"/>
                <w:szCs w:val="20"/>
                <w:color w:val="auto"/>
              </w:rPr>
            </w:pPr>
            <w:r>
              <w:rPr>
                <w:rFonts w:ascii="Arial" w:cs="Arial" w:eastAsia="Arial" w:hAnsi="Arial"/>
                <w:sz w:val="17"/>
                <w:szCs w:val="17"/>
                <w:color w:val="auto"/>
              </w:rPr>
              <w:t>Total gross deferred tax asset</w:t>
            </w:r>
          </w:p>
        </w:tc>
        <w:tc>
          <w:tcPr>
            <w:tcW w:w="260" w:type="dxa"/>
            <w:vAlign w:val="bottom"/>
          </w:tcPr>
          <w:p>
            <w:pPr>
              <w:spacing w:after="0"/>
              <w:rPr>
                <w:sz w:val="16"/>
                <w:szCs w:val="16"/>
                <w:color w:val="auto"/>
              </w:rPr>
            </w:pPr>
          </w:p>
        </w:tc>
        <w:tc>
          <w:tcPr>
            <w:tcW w:w="7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17,519</w:t>
            </w:r>
          </w:p>
        </w:tc>
        <w:tc>
          <w:tcPr>
            <w:tcW w:w="260" w:type="dxa"/>
            <w:vAlign w:val="bottom"/>
          </w:tcPr>
          <w:p>
            <w:pPr>
              <w:spacing w:after="0"/>
              <w:rPr>
                <w:sz w:val="16"/>
                <w:szCs w:val="16"/>
                <w:color w:val="auto"/>
              </w:rPr>
            </w:pPr>
          </w:p>
        </w:tc>
        <w:tc>
          <w:tcPr>
            <w:tcW w:w="8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33,234</w:t>
            </w:r>
          </w:p>
        </w:tc>
      </w:tr>
      <w:tr>
        <w:trPr>
          <w:trHeight w:val="406"/>
        </w:trPr>
        <w:tc>
          <w:tcPr>
            <w:tcW w:w="660" w:type="dxa"/>
            <w:vAlign w:val="bottom"/>
          </w:tcPr>
          <w:p>
            <w:pPr>
              <w:spacing w:after="0"/>
              <w:rPr>
                <w:sz w:val="24"/>
                <w:szCs w:val="24"/>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2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c>
          <w:tcPr>
            <w:tcW w:w="26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r>
      <w:tr>
        <w:trPr>
          <w:trHeight w:val="197"/>
        </w:trPr>
        <w:tc>
          <w:tcPr>
            <w:tcW w:w="660" w:type="dxa"/>
            <w:vAlign w:val="bottom"/>
          </w:tcPr>
          <w:p>
            <w:pPr>
              <w:spacing w:after="0"/>
              <w:rPr>
                <w:sz w:val="17"/>
                <w:szCs w:val="17"/>
                <w:color w:val="auto"/>
              </w:rPr>
            </w:pPr>
          </w:p>
        </w:tc>
        <w:tc>
          <w:tcPr>
            <w:tcW w:w="7020" w:type="dxa"/>
            <w:vAlign w:val="bottom"/>
          </w:tcPr>
          <w:p>
            <w:pPr>
              <w:ind w:left="20"/>
              <w:spacing w:after="0"/>
              <w:rPr>
                <w:sz w:val="20"/>
                <w:szCs w:val="20"/>
                <w:color w:val="auto"/>
              </w:rPr>
            </w:pPr>
            <w:r>
              <w:rPr>
                <w:rFonts w:ascii="Arial" w:cs="Arial" w:eastAsia="Arial" w:hAnsi="Arial"/>
                <w:sz w:val="17"/>
                <w:szCs w:val="17"/>
                <w:color w:val="auto"/>
              </w:rPr>
              <w:t>Debt discount</w:t>
            </w:r>
          </w:p>
        </w:tc>
        <w:tc>
          <w:tcPr>
            <w:tcW w:w="26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(74)</w:t>
            </w:r>
          </w:p>
        </w:tc>
      </w:tr>
      <w:tr>
        <w:trPr>
          <w:trHeight w:val="197"/>
        </w:trPr>
        <w:tc>
          <w:tcPr>
            <w:tcW w:w="660" w:type="dxa"/>
            <w:vAlign w:val="bottom"/>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(17,339)</w:t>
            </w: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(33,075)</w:t>
            </w:r>
          </w:p>
        </w:tc>
      </w:tr>
      <w:tr>
        <w:trPr>
          <w:trHeight w:val="190"/>
        </w:trPr>
        <w:tc>
          <w:tcPr>
            <w:tcW w:w="660" w:type="dxa"/>
            <w:vAlign w:val="bottom"/>
          </w:tcPr>
          <w:p>
            <w:pPr>
              <w:spacing w:after="0"/>
              <w:rPr>
                <w:sz w:val="16"/>
                <w:szCs w:val="16"/>
                <w:color w:val="auto"/>
              </w:rPr>
            </w:pPr>
          </w:p>
        </w:tc>
        <w:tc>
          <w:tcPr>
            <w:tcW w:w="7020" w:type="dxa"/>
            <w:vAlign w:val="bottom"/>
          </w:tcPr>
          <w:p>
            <w:pPr>
              <w:ind w:left="20"/>
              <w:spacing w:after="0" w:line="189" w:lineRule="exact"/>
              <w:rPr>
                <w:sz w:val="20"/>
                <w:szCs w:val="20"/>
                <w:color w:val="auto"/>
              </w:rPr>
            </w:pPr>
            <w:r>
              <w:rPr>
                <w:rFonts w:ascii="Arial" w:cs="Arial" w:eastAsia="Arial" w:hAnsi="Arial"/>
                <w:sz w:val="17"/>
                <w:szCs w:val="17"/>
                <w:color w:val="auto"/>
              </w:rPr>
              <w:t>Net deferred tax asset</w:t>
            </w:r>
          </w:p>
        </w:tc>
        <w:tc>
          <w:tcPr>
            <w:tcW w:w="26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$17.3 million and $33.0 million has been established at December 31, 2013 and 2014, respectively. The change in the valuation allowance was $9.0 million and $15.7 million for the years ended December 31, 2013 and 2014, respectively. The Company has incurred net operating losses (NOL) since inception. At December 31, 2014, the Company had federal and state NOL carryforwards of $78.1 million and $76.6 million, respectively, which expire beginning in 2030. As of December 31, 2014, the Company had federal and state research and development tax credit carryforwards of $1.5 million and $0.7 million, respectively, which expire beginning in 2025.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Company does not have any NOL carryforwards associated with deductible stock option exercises as of December 31, 2013 or 2014.</w:t>
      </w:r>
    </w:p>
    <w:p>
      <w:pPr>
        <w:spacing w:after="0" w:line="211" w:lineRule="exact"/>
        <w:rPr>
          <w:sz w:val="20"/>
          <w:szCs w:val="20"/>
          <w:color w:val="auto"/>
        </w:rPr>
      </w:pPr>
    </w:p>
    <w:p>
      <w:pPr>
        <w:ind w:right="120" w:firstLine="470"/>
        <w:spacing w:after="0" w:line="243" w:lineRule="auto"/>
        <w:rPr>
          <w:sz w:val="20"/>
          <w:szCs w:val="20"/>
          <w:color w:val="auto"/>
        </w:rPr>
      </w:pPr>
      <w:r>
        <w:rPr>
          <w:rFonts w:ascii="Arial" w:cs="Arial" w:eastAsia="Arial" w:hAnsi="Arial"/>
          <w:sz w:val="17"/>
          <w:szCs w:val="17"/>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Additionally, U.S. tax laws limit the time during which these carryforwards may be applied against future taxes. Therefore, the Company may not be able to take full advantage of these carryforwards for federal or state income tax purposes.</w:t>
      </w:r>
    </w:p>
    <w:p>
      <w:pPr>
        <w:spacing w:after="0" w:line="20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Interest and penalty charges, if any, related to unrecognized tax benefits would be classified as income tax expense in the accompanying statements of operations. As of December 31, 2013 and 2014, the Company has no accrued interest related to uncertain tax positions. Interest and penalty charges, if any, related to unrecognized tax benefits would be classified as income tax expense in the accompanying statements of operations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w:t>
      </w:r>
    </w:p>
    <w:p>
      <w:pPr>
        <w:spacing w:after="0" w:line="22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leases its corporate headquarters under an operating lease that expires on November 1, 2015. In March 2014, the Company amended its existing lease agreement to expand the size of the original premises by 4,422 square feet. The rent per square foot for the additional space is $52.00. All other terms of the lease remain materially unchanged. On February 1, 2015, the Company's option to extend the term of the lease for an additional three-year period expired. The Company did not exercise its option. The Company's lease agreement has escalating rent payments. The Company recorded $0.6 million and $0.8 million of rent expense for the years ended December 31, 2013 and 2014, respectively. The Company records rent expense on a straight-line basis. The lease agreement required the Company to pay a security deposit of $0.1 million, which is included in restricted cash in the accompanying balance sheet.</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minimum aggregate future lease commitments at December 31, 2014,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132080</wp:posOffset>
            </wp:positionV>
            <wp:extent cx="5069840" cy="1250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pacing w:after="0" w:line="191" w:lineRule="exact"/>
        <w:rPr>
          <w:sz w:val="20"/>
          <w:szCs w:val="20"/>
          <w:color w:val="auto"/>
        </w:rPr>
      </w:pPr>
    </w:p>
    <w:p>
      <w:pPr>
        <w:ind w:left="1720"/>
        <w:spacing w:after="0"/>
        <w:tabs>
          <w:tab w:leader="none" w:pos="7540" w:val="left"/>
          <w:tab w:leader="none" w:pos="9240" w:val="left"/>
        </w:tabs>
        <w:rPr>
          <w:sz w:val="20"/>
          <w:szCs w:val="20"/>
          <w:color w:val="auto"/>
        </w:rPr>
      </w:pPr>
      <w:r>
        <w:rPr>
          <w:rFonts w:ascii="Arial" w:cs="Arial" w:eastAsia="Arial" w:hAnsi="Arial"/>
          <w:sz w:val="17"/>
          <w:szCs w:val="17"/>
          <w:color w:val="auto"/>
        </w:rPr>
        <w:t>2015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4806315</wp:posOffset>
            </wp:positionH>
            <wp:positionV relativeFrom="paragraph">
              <wp:posOffset>-635</wp:posOffset>
            </wp:positionV>
            <wp:extent cx="12573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5730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15240</wp:posOffset>
            </wp:positionV>
            <wp:extent cx="12573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Related-Party Transactions</w:t>
      </w:r>
    </w:p>
    <w:p>
      <w:pPr>
        <w:spacing w:after="0" w:line="231"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Company has received consulting and management services from one of its investors, Third Rock Ventures LLC (Third Rock Ventures). The Company paid Third Rock Ventures $0.4 million for these services during each of the years ended December 31, 2013 and 2014. At December 31, 2013, $0.1 million due to Third Rock Ventures was included in accrued expenses. All amounts owed to Third Rock Ventures for services rendered in the year ended December 31, 2014 were paid by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12A. Subsequent Events — Lease Agreement and Amendment to 2011 Stock Option and Grant Plan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Agreement</w:t>
      </w:r>
    </w:p>
    <w:p>
      <w:pPr>
        <w:spacing w:after="0" w:line="229"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On February 12, 2015, the Company entered into a lease for approximately 38,500 rentable square feet of office and laboratory space in Cambridge, Massachusetts, with a lease term commencing June 15, 2015 and ending on October 31, 2022, assuming occupancy in October 2015. The Company has an option to extend the lease for five additional years. The lease agreement requires the Company to pay a security deposit of</w:t>
      </w:r>
    </w:p>
    <w:p>
      <w:pPr>
        <w:spacing w:after="0" w:line="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$1.3 million, which will be recorded in restricted cash on the Company's balance sheet. The lease has a total committment of $17.9 million over the seven year term.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to 2011 Stock Option and Grant Plan</w:t>
      </w:r>
    </w:p>
    <w:p>
      <w:pPr>
        <w:spacing w:after="0" w:line="229"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In February 2015, the Company amended the Blueprint Medicines Corporation 2011 Stock Option and Grant Plan to increase the number of shares available for grant to 3,590,927.</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12B. Subsequent Events — Collaboration Agreement and Reverse Stock Split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Agreement</w:t>
      </w:r>
    </w:p>
    <w:p>
      <w:pPr>
        <w:spacing w:after="0" w:line="22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In March 2015, the Company entered into a research, development and commercialization agreement, with Alexion Pharma Holding, or Alexion, to research, develop and commercialize drug candidates for an undisclosed activated kinase target, which is the cause of a rare genetic disease. Under the terms of this agreement, the Company will be responsible for research and pre-clinical development activities related to drug candidates and Alexion will be responsible for all clinical development, manufacturing and commercialization activities related to drug candidates.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Alexion is responsible for funding 100% of the Company's research and development costs incurred under the research plan, including pass-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through costs and the Company's employees' time devoted to the research plan at a negotiated yearly rate per full-time equivalent for its employees'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time and associated overhead expenses. The Company received a $15.0 million non-refundable upfront payment in March 2015 upon execution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Alexion agreement and is eligible to receive over $250 million in payments upon the successful achievement of pre-specified pre-clinical, clinical,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regulatory and commercial milestones as follows: (i) up to $6.0 million in pre-clinical milestone payments for the first licensed product, (ii) up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$83.0 million and $61.5 million in development milestone payments for the first and second licensed products, respectively, and (iii) up to $51.0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commercial milestone payments for each of the first and second licensed products. Alexion will pay the Company tiered royalties, ranging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mid-single to low-double digit percentages royalties, on a country-by-country and licensed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Blueprint Medicines Corporation</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12B. Subsequent Events — Collaboration Agreement and Reverse Stock Split (Continued)</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product-by-licensed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 whichever comes earlier.</w:t>
      </w:r>
    </w:p>
    <w:p>
      <w:pPr>
        <w:spacing w:after="0" w:line="198"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Alexion has the right to terminate the Alexion agreement due to the Company's uncured breach or insolvency, industry transaction involving the Company, or voluntarily upon 90 days prior written notice. The Company has the right to terminate the Alexion agreement due to Alexion's uncured breach or insolvency, or certain other events agreed to by the parties.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Reverse Stock Split</w:t>
      </w:r>
    </w:p>
    <w:p>
      <w:pPr>
        <w:spacing w:after="0" w:line="229" w:lineRule="exact"/>
        <w:rPr>
          <w:sz w:val="20"/>
          <w:szCs w:val="20"/>
          <w:color w:val="auto"/>
        </w:rPr>
      </w:pPr>
    </w:p>
    <w:p>
      <w:pPr>
        <w:jc w:val="both"/>
        <w:ind w:right="60" w:firstLine="474"/>
        <w:spacing w:after="0" w:line="245" w:lineRule="auto"/>
        <w:rPr>
          <w:sz w:val="20"/>
          <w:szCs w:val="20"/>
          <w:color w:val="auto"/>
        </w:rPr>
      </w:pPr>
      <w:r>
        <w:rPr>
          <w:rFonts w:ascii="Arial" w:cs="Arial" w:eastAsia="Arial" w:hAnsi="Arial"/>
          <w:sz w:val="17"/>
          <w:szCs w:val="17"/>
          <w:color w:val="auto"/>
        </w:rPr>
        <w:t>In connection with preparing for its initial public offering, the Company effected a 1-for-5.5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paid-in capital.</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8,145,834 Shares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Blueprint Medicines Corporation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135255</wp:posOffset>
            </wp:positionV>
            <wp:extent cx="139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1259205</wp:posOffset>
            </wp:positionV>
            <wp:extent cx="13900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518160</wp:posOffset>
            </wp:positionV>
            <wp:extent cx="3846195" cy="6076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4619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900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3"/>
          <w:szCs w:val="23"/>
          <w:b w:val="1"/>
          <w:bCs w:val="1"/>
          <w:color w:val="auto"/>
        </w:rPr>
        <w:t>Cowen and Company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JMP Securities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Wedbush PacGrow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154305</wp:posOffset>
            </wp:positionV>
            <wp:extent cx="139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473"/>
        <w:spacing w:after="0" w:line="259" w:lineRule="auto"/>
        <w:rPr>
          <w:sz w:val="20"/>
          <w:szCs w:val="20"/>
          <w:color w:val="auto"/>
        </w:rPr>
      </w:pPr>
      <w:r>
        <w:rPr>
          <w:rFonts w:ascii="Arial" w:cs="Arial" w:eastAsia="Arial" w:hAnsi="Arial"/>
          <w:sz w:val="17"/>
          <w:szCs w:val="17"/>
          <w:b w:val="1"/>
          <w:bCs w:val="1"/>
          <w:color w:val="auto"/>
        </w:rPr>
        <w:t>Through and including May 24,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297815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1" w:name="page192"/>
    <w:bookmarkEnd w:id="1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lowerRoman"/>
      <w:start w:val="2"/>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1)"/>
      <w:numFmt w:val="lowerRoman"/>
      <w:start w:val="2"/>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2"/>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lowerRoman"/>
      <w:start w:val="1"/>
    </w:lvl>
  </w:abstractNum>
  <w:abstractNum w:abstractNumId="63">
    <w:nsid w:val="3B0FD379"/>
    <w:multiLevelType w:val="hybridMultilevel"/>
    <w:lvl w:ilvl="0">
      <w:lvlJc w:val="left"/>
      <w:lvlText w:val="(%1)"/>
      <w:numFmt w:val="lowerRoman"/>
      <w:start w:val="4"/>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7"/>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4"/>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lvl w:ilvl="1">
      <w:lvlJc w:val="left"/>
      <w:lvlText w:val="•"/>
      <w:numFmt w:val="bullet"/>
      <w:start w:val="1"/>
    </w:lvl>
  </w:abstractNum>
  <w:abstractNum w:abstractNumId="89">
    <w:nsid w:val="57FC4FBB"/>
    <w:multiLevelType w:val="hybridMultilevel"/>
    <w:lvl w:ilvl="0">
      <w:lvlJc w:val="left"/>
      <w:lvlText w:val="•"/>
      <w:numFmt w:val="bullet"/>
      <w:start w:val="1"/>
    </w:lvl>
    <w:lvl w:ilvl="1">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2"/>
    </w:lvl>
    <w:lvl w:ilvl="1">
      <w:lvlJc w:val="left"/>
      <w:lvlText w:val="•"/>
      <w:numFmt w:val="bullet"/>
      <w:start w:val="1"/>
    </w:lvl>
  </w:abstractNum>
  <w:abstractNum w:abstractNumId="92">
    <w:nsid w:val="60EF0119"/>
    <w:multiLevelType w:val="hybridMultilevel"/>
    <w:lvl w:ilvl="0">
      <w:lvlJc w:val="left"/>
      <w:lvlText w:val="%1."/>
      <w:numFmt w:val="decimal"/>
      <w:start w:val="7"/>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8"/>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2019-12-09T03:33:15Z</dcterms:created>
  <dcterms:modified xsi:type="dcterms:W3CDTF">2019-12-09T03:33:15Z</dcterms:modified>
</cp:coreProperties>
</file>