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left="160" w:right="259" w:firstLine="648"/>
        <w:spacing w:after="0" w:line="286" w:lineRule="auto"/>
        <w:rPr>
          <w:sz w:val="20"/>
          <w:szCs w:val="20"/>
          <w:color w:val="auto"/>
        </w:rPr>
      </w:pPr>
      <w:r>
        <w:rPr>
          <w:rFonts w:ascii="Arial" w:cs="Arial" w:eastAsia="Arial" w:hAnsi="Arial"/>
          <w:sz w:val="17"/>
          <w:szCs w:val="17"/>
          <w:color w:val="auto"/>
        </w:rPr>
        <w:t>On August 2, 2017, Blueprint Medicines Corporation (the “Company”) announced its financial results for the quarter ended June 30, 2017.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August 2,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400" w:type="dxa"/>
            <w:vAlign w:val="bottom"/>
            <w:gridSpan w:val="2"/>
          </w:tcPr>
          <w:p>
            <w:pPr>
              <w:ind w:left="14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2940" w:type="dxa"/>
            <w:vAlign w:val="bottom"/>
          </w:tcPr>
          <w:p>
            <w:pPr>
              <w:ind w:left="20"/>
              <w:spacing w:after="0"/>
              <w:rPr>
                <w:sz w:val="20"/>
                <w:szCs w:val="20"/>
                <w:color w:val="auto"/>
              </w:rPr>
            </w:pPr>
            <w:r>
              <w:rPr>
                <w:rFonts w:ascii="Arial" w:cs="Arial" w:eastAsia="Arial" w:hAnsi="Arial"/>
                <w:sz w:val="18"/>
                <w:szCs w:val="18"/>
                <w:color w:val="auto"/>
              </w:rPr>
              <w:t>Date: August 2, 2017</w:t>
            </w:r>
          </w:p>
        </w:tc>
        <w:tc>
          <w:tcPr>
            <w:tcW w:w="5400" w:type="dxa"/>
            <w:vAlign w:val="bottom"/>
            <w:gridSpan w:val="2"/>
          </w:tcPr>
          <w:p>
            <w:pPr>
              <w:ind w:left="14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2940" w:type="dxa"/>
            <w:vAlign w:val="bottom"/>
          </w:tcPr>
          <w:p>
            <w:pPr>
              <w:spacing w:after="0"/>
              <w:rPr>
                <w:sz w:val="24"/>
                <w:szCs w:val="24"/>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3" w:name="page4"/>
    <w:bookmarkEnd w:id="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80" w:type="dxa"/>
            <w:vAlign w:val="bottom"/>
          </w:tcPr>
          <w:p>
            <w:pPr>
              <w:jc w:val="center"/>
              <w:ind w:right="141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581"/>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24"/>
        </w:trPr>
        <w:tc>
          <w:tcPr>
            <w:tcW w:w="1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9"/>
                <w:szCs w:val="19"/>
                <w:color w:val="auto"/>
              </w:rPr>
            </w:pPr>
          </w:p>
        </w:tc>
        <w:tc>
          <w:tcPr>
            <w:tcW w:w="7180" w:type="dxa"/>
            <w:vAlign w:val="bottom"/>
            <w:tcBorders>
              <w:top w:val="single" w:sz="8" w:color="auto"/>
            </w:tcBorders>
          </w:tcPr>
          <w:p>
            <w:pPr>
              <w:jc w:val="center"/>
              <w:ind w:right="1410"/>
              <w:spacing w:after="0"/>
              <w:rPr>
                <w:sz w:val="20"/>
                <w:szCs w:val="20"/>
                <w:color w:val="auto"/>
              </w:rPr>
            </w:pPr>
            <w:r>
              <w:rPr>
                <w:rFonts w:ascii="Arial" w:cs="Arial" w:eastAsia="Arial" w:hAnsi="Arial"/>
                <w:sz w:val="18"/>
                <w:szCs w:val="18"/>
                <w:color w:val="auto"/>
                <w:w w:val="90"/>
              </w:rPr>
              <w:t>Press release issued by Blueprint Medicines Corporation on August 2, 2017</w:t>
            </w:r>
          </w:p>
        </w:tc>
        <w:tc>
          <w:tcPr>
            <w:tcW w:w="20" w:type="dxa"/>
            <w:vAlign w:val="bottom"/>
          </w:tcPr>
          <w:p>
            <w:pPr>
              <w:spacing w:after="0"/>
              <w:rPr>
                <w:sz w:val="19"/>
                <w:szCs w:val="19"/>
                <w:color w:val="auto"/>
              </w:rPr>
            </w:pPr>
          </w:p>
        </w:tc>
      </w:tr>
      <w:tr>
        <w:trPr>
          <w:trHeight w:val="877"/>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Pr>
          <w:p>
            <w:pPr>
              <w:jc w:val="center"/>
              <w:ind w:right="143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Reports Second Quarter 2017 Financial Results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BLU-285 granted Breakthrough Therapy Designation for the treatment of patients with unresectable or</w:t>
      </w:r>
    </w:p>
    <w:p>
      <w:pPr>
        <w:ind w:left="880"/>
        <w:spacing w:after="0" w:line="197" w:lineRule="auto"/>
        <w:rPr>
          <w:sz w:val="20"/>
          <w:szCs w:val="20"/>
          <w:color w:val="auto"/>
        </w:rPr>
      </w:pPr>
      <w:r>
        <w:rPr>
          <w:rFonts w:ascii="Arial" w:cs="Arial" w:eastAsia="Arial" w:hAnsi="Arial"/>
          <w:sz w:val="20"/>
          <w:szCs w:val="20"/>
          <w:i w:val="1"/>
          <w:iCs w:val="1"/>
          <w:color w:val="auto"/>
        </w:rPr>
        <w:t>metastatic gastrointestinal stromal tumors (GIST) harboring a PDGFRα D842V mutation –</w:t>
      </w:r>
    </w:p>
    <w:p>
      <w:pPr>
        <w:ind w:left="820"/>
        <w:spacing w:after="0" w:line="219" w:lineRule="auto"/>
        <w:rPr>
          <w:sz w:val="20"/>
          <w:szCs w:val="20"/>
          <w:color w:val="auto"/>
        </w:rPr>
      </w:pPr>
      <w:r>
        <w:rPr>
          <w:rFonts w:ascii="Arial" w:cs="Arial" w:eastAsia="Arial" w:hAnsi="Arial"/>
          <w:sz w:val="18"/>
          <w:szCs w:val="18"/>
          <w:i w:val="1"/>
          <w:iCs w:val="1"/>
          <w:color w:val="auto"/>
        </w:rPr>
        <w:t>– Announced plans to expedite development of BLU-285 in patients with a PDGFRa D842V mutation</w:t>
      </w:r>
    </w:p>
    <w:p>
      <w:pPr>
        <w:ind w:left="1460"/>
        <w:spacing w:after="0" w:line="197" w:lineRule="auto"/>
        <w:rPr>
          <w:sz w:val="20"/>
          <w:szCs w:val="20"/>
          <w:color w:val="auto"/>
        </w:rPr>
      </w:pPr>
      <w:r>
        <w:rPr>
          <w:rFonts w:ascii="Arial" w:cs="Arial" w:eastAsia="Arial" w:hAnsi="Arial"/>
          <w:sz w:val="20"/>
          <w:szCs w:val="20"/>
          <w:i w:val="1"/>
          <w:iCs w:val="1"/>
          <w:color w:val="auto"/>
        </w:rPr>
        <w:t>and to initiate a Phase 3 trial to support registration in a broader GIST population –</w:t>
      </w:r>
    </w:p>
    <w:p>
      <w:pPr>
        <w:ind w:left="720"/>
        <w:spacing w:after="0" w:line="207" w:lineRule="auto"/>
        <w:rPr>
          <w:sz w:val="20"/>
          <w:szCs w:val="20"/>
          <w:color w:val="auto"/>
        </w:rPr>
      </w:pPr>
      <w:r>
        <w:rPr>
          <w:rFonts w:ascii="Arial" w:cs="Arial" w:eastAsia="Arial" w:hAnsi="Arial"/>
          <w:sz w:val="19"/>
          <w:szCs w:val="19"/>
          <w:i w:val="1"/>
          <w:iCs w:val="1"/>
          <w:color w:val="auto"/>
        </w:rPr>
        <w:t>– Presented updated clinical data from ongoing Phase 1 trial of BLU-285 in advanced GIST at</w:t>
      </w:r>
    </w:p>
    <w:p>
      <w:pPr>
        <w:ind w:left="3540"/>
        <w:spacing w:after="0" w:line="197" w:lineRule="auto"/>
        <w:rPr>
          <w:sz w:val="20"/>
          <w:szCs w:val="20"/>
          <w:color w:val="auto"/>
        </w:rPr>
      </w:pPr>
      <w:r>
        <w:rPr>
          <w:rFonts w:ascii="Arial" w:cs="Arial" w:eastAsia="Arial" w:hAnsi="Arial"/>
          <w:sz w:val="20"/>
          <w:szCs w:val="20"/>
          <w:i w:val="1"/>
          <w:iCs w:val="1"/>
          <w:color w:val="auto"/>
        </w:rPr>
        <w:t>ASCO Annual Meeting –</w:t>
      </w:r>
    </w:p>
    <w:p>
      <w:pPr>
        <w:ind w:left="420"/>
        <w:spacing w:after="0" w:line="219" w:lineRule="auto"/>
        <w:rPr>
          <w:sz w:val="20"/>
          <w:szCs w:val="20"/>
          <w:color w:val="auto"/>
        </w:rPr>
      </w:pPr>
      <w:r>
        <w:rPr>
          <w:rFonts w:ascii="Arial" w:cs="Arial" w:eastAsia="Arial" w:hAnsi="Arial"/>
          <w:sz w:val="18"/>
          <w:szCs w:val="18"/>
          <w:i w:val="1"/>
          <w:iCs w:val="1"/>
          <w:color w:val="auto"/>
        </w:rPr>
        <w:t>– Updated BLU-554 data in advanced hepatocellular carcinoma (HCC) to be presented at ESMO 2017</w:t>
      </w:r>
    </w:p>
    <w:p>
      <w:pPr>
        <w:ind w:left="4060"/>
        <w:spacing w:after="0"/>
        <w:rPr>
          <w:sz w:val="20"/>
          <w:szCs w:val="20"/>
          <w:color w:val="auto"/>
        </w:rPr>
      </w:pPr>
      <w:r>
        <w:rPr>
          <w:rFonts w:ascii="Arial" w:cs="Arial" w:eastAsia="Arial" w:hAnsi="Arial"/>
          <w:sz w:val="20"/>
          <w:szCs w:val="20"/>
          <w:i w:val="1"/>
          <w:iCs w:val="1"/>
          <w:color w:val="auto"/>
        </w:rPr>
        <w:t>Congress –</w:t>
      </w:r>
    </w:p>
    <w:p>
      <w:pPr>
        <w:spacing w:after="0" w:line="132" w:lineRule="exact"/>
        <w:rPr>
          <w:sz w:val="20"/>
          <w:szCs w:val="20"/>
          <w:color w:val="auto"/>
        </w:rPr>
      </w:pPr>
    </w:p>
    <w:p>
      <w:pPr>
        <w:jc w:val="both"/>
        <w:ind w:left="160" w:right="139"/>
        <w:spacing w:after="0" w:line="244" w:lineRule="auto"/>
        <w:rPr>
          <w:sz w:val="20"/>
          <w:szCs w:val="20"/>
          <w:color w:val="auto"/>
        </w:rPr>
      </w:pPr>
      <w:r>
        <w:rPr>
          <w:rFonts w:ascii="Arial" w:cs="Arial" w:eastAsia="Arial" w:hAnsi="Arial"/>
          <w:sz w:val="18"/>
          <w:szCs w:val="18"/>
          <w:color w:val="auto"/>
        </w:rPr>
        <w:t>CAMBRIDGE, Mass., August 2, 2017 – Blueprint Medicines Corporation (NASDAQ: BPMC), a leader in discovering and developing targeted kinase medicines for patients with genomically defined diseases, today reported financial results and provided a business update for the second quarter ended June 30, 2017.</w:t>
      </w:r>
    </w:p>
    <w:p>
      <w:pPr>
        <w:spacing w:after="0" w:line="125" w:lineRule="exact"/>
        <w:rPr>
          <w:sz w:val="20"/>
          <w:szCs w:val="20"/>
          <w:color w:val="auto"/>
        </w:rPr>
      </w:pPr>
    </w:p>
    <w:p>
      <w:pPr>
        <w:jc w:val="both"/>
        <w:ind w:left="160" w:right="139"/>
        <w:spacing w:after="0" w:line="226" w:lineRule="auto"/>
        <w:rPr>
          <w:sz w:val="20"/>
          <w:szCs w:val="20"/>
          <w:color w:val="auto"/>
        </w:rPr>
      </w:pPr>
      <w:r>
        <w:rPr>
          <w:rFonts w:ascii="Arial" w:cs="Arial" w:eastAsia="Arial" w:hAnsi="Arial"/>
          <w:sz w:val="18"/>
          <w:szCs w:val="18"/>
          <w:color w:val="auto"/>
        </w:rPr>
        <w:t>“Our vision of growing Blueprint Medicines from a research organization into a fully-integrated commercial-stage biopharmaceutical company is coming into clearer focus, and our second quarter achievements represent continued progress toward this goal,” said Jeff Albers, Chief Executive Officer of Blueprint Medicines. “Compelling clinical data for BLU-285 in patients with advanced GIST, along with receipt of Breakthrough Therapy Designation, give us confidence in the path forward for this program. We plan to expedite development in patients with PDGFRα D842V-driven GIST, a subset with no effective treatments, and to initiate a randomized Phase 3 trial to evaluate the potential of BLU-285 to treat a broader population of patients in the third-line setting. In addition, we continue to advance our other clinical trial programs toward key data disclosures and remain on track to present updated trial results for BLU-554 in advanced hepatocellular carcinoma and BLU-285 in advanced systemic mastocytosis later this year.”</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Programs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Gastrointestinal Stromal Tumors</w:t>
      </w:r>
    </w:p>
    <w:p>
      <w:pPr>
        <w:spacing w:after="0" w:line="148" w:lineRule="exact"/>
        <w:rPr>
          <w:sz w:val="20"/>
          <w:szCs w:val="20"/>
          <w:color w:val="auto"/>
        </w:rPr>
      </w:pPr>
    </w:p>
    <w:p>
      <w:pPr>
        <w:jc w:val="both"/>
        <w:ind w:left="800" w:right="139" w:hanging="325"/>
        <w:spacing w:after="0" w:line="22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2017, Blueprint Medicines presented updated data from its ongoing Phase 1 clinical trial for BLU-285 in advanced GIST in an oral presentation at the 2017 ASCO Annual Meeting. BLU-285 is a potent and highly selective PDGFRα and KIT inhibitor in development as a potential treatment for patients with PDGFRα-driven GIST and KIT-driven GIST. In evaluable patients with PDGFRα-driven GIST harboring a D842 mutation, the data showed an objective response rate (ORR) of 60 percent by Response Evaluation Criteria in Solid Tumors (RECIST) version 1.1. In addition, median PFS was not reached for the evaluable PDGFRα-driven GIST patients, and 9-month progression free survival (PFS) was estimated to be 87 percent. In contrast, historical data showed a zero percent ORR and a median PFS of about three months in patients with PDGFRα D842V-driven GIST treated with imatinib. Among patients with treatment-resistant KIT-driven GIST treated at higher dose levels, key observations included tumor reduction in eight of 14 evaluable patients and prolonged progression free survival. The data also showed that BLU-285 was well-tolerated, and most adverse events reported by investigators were Grade 1 or 2. Read the full data here.</w:t>
      </w:r>
    </w:p>
    <w:p>
      <w:pPr>
        <w:spacing w:after="0" w:line="7" w:lineRule="exact"/>
        <w:rPr>
          <w:rFonts w:ascii="Arial" w:cs="Arial" w:eastAsia="Arial" w:hAnsi="Arial"/>
          <w:sz w:val="18"/>
          <w:szCs w:val="18"/>
          <w:color w:val="auto"/>
        </w:rPr>
      </w:pPr>
    </w:p>
    <w:p>
      <w:pPr>
        <w:ind w:left="800" w:right="159" w:hanging="325"/>
        <w:spacing w:after="0" w:line="232" w:lineRule="auto"/>
        <w:tabs>
          <w:tab w:leader="none" w:pos="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Also in June 2017, Blueprint Medicines announced that the U.S. Food and Drug Administration (FDA) granted Breakthrough Therapy Designation to BLU-285 for the treatment of patients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jc w:val="both"/>
        <w:ind w:left="800" w:right="139"/>
        <w:spacing w:after="0" w:line="227" w:lineRule="auto"/>
        <w:rPr>
          <w:sz w:val="20"/>
          <w:szCs w:val="20"/>
          <w:color w:val="auto"/>
        </w:rPr>
      </w:pPr>
      <w:r>
        <w:rPr>
          <w:rFonts w:ascii="Arial" w:cs="Arial" w:eastAsia="Arial" w:hAnsi="Arial"/>
          <w:sz w:val="18"/>
          <w:szCs w:val="18"/>
          <w:color w:val="auto"/>
        </w:rPr>
        <w:t>unresectable or metastatic GIST harboring the PDGFRα D842V mutation. Based on feedback from the FDA at the End-of-Phase 1 meeting, Blueprint Medicines believes that additional data from the expansion portion of its ongoing Phase 1 clinical trial of BLU-285 in advanced GIST may be sufficient to support a New Drug Application for BLU-285 for the treatment of patients with PDGFRα D842V-driven GIST. Blueprint Medicines currently estimates it will complete enrollment of the PDGFRα D842V expansion cohort, which is expected to include approximately 50 patients, by the middle of 2018. In the first half of 2018, Blueprint Medicines also plans to initiate a global, pivotal Phase 3 clinical trial of BLU-285 in third line patients with KIT-driven GIST, with the goal of supporting the registration of BLU-285 in a broader GIST patient population.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Systemic Mastocytosis</w:t>
      </w:r>
    </w:p>
    <w:p>
      <w:pPr>
        <w:spacing w:after="0" w:line="148" w:lineRule="exact"/>
        <w:rPr>
          <w:sz w:val="20"/>
          <w:szCs w:val="20"/>
          <w:color w:val="auto"/>
        </w:rPr>
      </w:pPr>
    </w:p>
    <w:p>
      <w:pPr>
        <w:jc w:val="both"/>
        <w:ind w:left="800" w:right="139" w:hanging="325"/>
        <w:spacing w:after="0" w:line="210" w:lineRule="auto"/>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color w:val="auto"/>
        </w:rPr>
        <w:t>Blueprint Medicines completed enrollment in the dose escalation portion of its ongoing Phase 1 clinical trial of BLU-285 in patients with advanced systemic mastocytosis and recently began enrolling patients in the dose expansion portion of this clinical trial at the recommended dose of 300 mg once daily. Blueprint Medicines anticipates providing updated data from this clinical trial by the end of 2017.</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BLU-554: Hepatocellular Carcinoma</w:t>
      </w:r>
    </w:p>
    <w:p>
      <w:pPr>
        <w:spacing w:after="0" w:line="148" w:lineRule="exact"/>
        <w:rPr>
          <w:sz w:val="20"/>
          <w:szCs w:val="20"/>
          <w:color w:val="auto"/>
        </w:rPr>
      </w:pPr>
    </w:p>
    <w:p>
      <w:pPr>
        <w:jc w:val="both"/>
        <w:ind w:left="800" w:right="139" w:hanging="325"/>
        <w:spacing w:after="0" w:line="217" w:lineRule="auto"/>
        <w:tabs>
          <w:tab w:leader="none" w:pos="800" w:val="left"/>
        </w:tabs>
        <w:numPr>
          <w:ilvl w:val="0"/>
          <w:numId w:val="5"/>
        </w:numPr>
        <w:rPr>
          <w:rFonts w:ascii="Arial" w:cs="Arial" w:eastAsia="Arial" w:hAnsi="Arial"/>
          <w:sz w:val="19"/>
          <w:szCs w:val="19"/>
          <w:color w:val="auto"/>
        </w:rPr>
      </w:pPr>
      <w:r>
        <w:rPr>
          <w:rFonts w:ascii="Arial" w:cs="Arial" w:eastAsia="Arial" w:hAnsi="Arial"/>
          <w:sz w:val="19"/>
          <w:szCs w:val="19"/>
          <w:color w:val="auto"/>
        </w:rPr>
        <w:t>Blueprint Medicines continues to enroll patients in the dose expansion stage of its ongoing Phase 1 clinical trial for BLU-554 in advanced HCC and will present updated data from this clinical trial in an oral presentation, “Phase 1 safety and clinical activity of BLU-554 in advanced hepatocellular carcinoma (HCC),” at the ESMO 2017 Congress on Sunday, September 10, 2017 in Madrid, Spain. The accepted abstract includes results as of the data cut-off date of April 20, 2017, and Blueprint Medicines expects to present clinical trial results updated since the abstract data cut-off date at the upcoming ESMO 2017 Congress.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Corporate Highlights</w:t>
      </w:r>
    </w:p>
    <w:p>
      <w:pPr>
        <w:spacing w:after="0" w:line="148" w:lineRule="exact"/>
        <w:rPr>
          <w:sz w:val="20"/>
          <w:szCs w:val="20"/>
          <w:color w:val="auto"/>
        </w:rPr>
      </w:pPr>
    </w:p>
    <w:p>
      <w:pPr>
        <w:jc w:val="both"/>
        <w:ind w:left="800" w:right="159" w:hanging="325"/>
        <w:spacing w:after="0" w:line="22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Closed Public Offering: </w:t>
      </w:r>
      <w:r>
        <w:rPr>
          <w:rFonts w:ascii="Arial" w:cs="Arial" w:eastAsia="Arial" w:hAnsi="Arial"/>
          <w:sz w:val="18"/>
          <w:szCs w:val="18"/>
          <w:color w:val="auto"/>
        </w:rPr>
        <w:t>In April 2017, Blueprint Medicines announced the closing of an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underwritten public offering of 5,750,000 shares of its common stock at a public offering price of $40.00 per share, including the exercise in full by the underwriters of their option to purchase additional shares of common stock. Blueprint Medicines received net proceeds from the offering of $215.6 million, after deducting underwriting discounts and commissions and offering expenses.</w:t>
      </w:r>
    </w:p>
    <w:p>
      <w:pPr>
        <w:spacing w:after="0" w:line="1" w:lineRule="exact"/>
        <w:rPr>
          <w:rFonts w:ascii="Arial" w:cs="Arial" w:eastAsia="Arial" w:hAnsi="Arial"/>
          <w:sz w:val="18"/>
          <w:szCs w:val="18"/>
          <w:color w:val="auto"/>
        </w:rPr>
      </w:pPr>
    </w:p>
    <w:p>
      <w:pPr>
        <w:jc w:val="both"/>
        <w:ind w:left="800" w:right="139" w:hanging="325"/>
        <w:spacing w:after="0" w:line="220" w:lineRule="auto"/>
        <w:tabs>
          <w:tab w:leader="none" w:pos="80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Discovery Program in Fibrodysplasia Ossificans Progressiva (FOP): </w:t>
      </w:r>
      <w:r>
        <w:rPr>
          <w:rFonts w:ascii="Arial" w:cs="Arial" w:eastAsia="Arial" w:hAnsi="Arial"/>
          <w:sz w:val="19"/>
          <w:szCs w:val="19"/>
          <w:color w:val="auto"/>
        </w:rPr>
        <w:t>Blueprint Medicines is</w:t>
      </w:r>
      <w:r>
        <w:rPr>
          <w:rFonts w:ascii="Arial" w:cs="Arial" w:eastAsia="Arial" w:hAnsi="Arial"/>
          <w:sz w:val="19"/>
          <w:szCs w:val="19"/>
          <w:b w:val="1"/>
          <w:bCs w:val="1"/>
          <w:color w:val="auto"/>
        </w:rPr>
        <w:t xml:space="preserve"> </w:t>
      </w:r>
      <w:r>
        <w:rPr>
          <w:rFonts w:ascii="Arial" w:cs="Arial" w:eastAsia="Arial" w:hAnsi="Arial"/>
          <w:sz w:val="19"/>
          <w:szCs w:val="19"/>
          <w:color w:val="auto"/>
        </w:rPr>
        <w:t>evaluating opportunities to advance its rare disease discovery program in FOP as a result of Alexion’s decision to discontinue the collaboration with Blueprint Medicines following a strategic review of Alexion’s business and research and development portfolio.</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Second Quarter 2017 Financial Results</w:t>
      </w:r>
    </w:p>
    <w:p>
      <w:pPr>
        <w:spacing w:after="0" w:line="148" w:lineRule="exact"/>
        <w:rPr>
          <w:sz w:val="20"/>
          <w:szCs w:val="20"/>
          <w:color w:val="auto"/>
        </w:rPr>
      </w:pPr>
    </w:p>
    <w:p>
      <w:pPr>
        <w:jc w:val="both"/>
        <w:ind w:left="800" w:right="139" w:hanging="325"/>
        <w:spacing w:after="0" w:line="226" w:lineRule="auto"/>
        <w:tabs>
          <w:tab w:leader="none" w:pos="80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As of June 30, 2017, cash, cash equivalents and investments were $421.0 million, as</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$268.2 million as of December 31, 2016. This increase was primarily related to $215.6 million in net proceeds from the April 2017 follow-on underwritten public offering, partially offset by $58.6 million in cash used to fund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800" w:right="139" w:hanging="325"/>
        <w:spacing w:after="0" w:line="204"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Collaboration Revenue: </w:t>
      </w:r>
      <w:r>
        <w:rPr>
          <w:rFonts w:ascii="Arial" w:cs="Arial" w:eastAsia="Arial" w:hAnsi="Arial"/>
          <w:sz w:val="20"/>
          <w:szCs w:val="20"/>
          <w:color w:val="auto"/>
        </w:rPr>
        <w:t>Collaboration revenues were $5.9 million for the second quarter of 2017, as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$7.1 million for the second quarter of 2016. This decrease was primarily due to lower revenue recognized under the Alexion collaboration.</w:t>
      </w:r>
    </w:p>
    <w:p>
      <w:pPr>
        <w:spacing w:after="0" w:line="2" w:lineRule="exact"/>
        <w:rPr>
          <w:rFonts w:ascii="Arial" w:cs="Arial" w:eastAsia="Arial" w:hAnsi="Arial"/>
          <w:sz w:val="20"/>
          <w:szCs w:val="20"/>
          <w:color w:val="auto"/>
        </w:rPr>
      </w:pPr>
    </w:p>
    <w:p>
      <w:pPr>
        <w:jc w:val="both"/>
        <w:ind w:left="800" w:right="139" w:hanging="325"/>
        <w:spacing w:after="0" w:line="197"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expenses were $33.3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2017, including $1.5 million of stock-based compensation expense, as compared to $21.3 million for the second quarter of 2016, including $0.8 million of stock-based compensation expense. This increase was primarily attributable to increased clinical and manufacturing expenses associated with the ongoing clinical trials for BLU-285, BLU-554 and BLU-667 and increased personnel-related expenses.</w:t>
      </w:r>
    </w:p>
    <w:p>
      <w:pPr>
        <w:spacing w:after="0" w:line="1" w:lineRule="exact"/>
        <w:rPr>
          <w:rFonts w:ascii="Arial" w:cs="Arial" w:eastAsia="Arial" w:hAnsi="Arial"/>
          <w:sz w:val="20"/>
          <w:szCs w:val="20"/>
          <w:color w:val="auto"/>
        </w:rPr>
      </w:pPr>
    </w:p>
    <w:p>
      <w:pPr>
        <w:jc w:val="both"/>
        <w:ind w:left="800" w:right="139" w:hanging="325"/>
        <w:spacing w:after="0" w:line="197"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G&amp;A Expenses: </w:t>
      </w:r>
      <w:r>
        <w:rPr>
          <w:rFonts w:ascii="Arial" w:cs="Arial" w:eastAsia="Arial" w:hAnsi="Arial"/>
          <w:sz w:val="20"/>
          <w:szCs w:val="20"/>
          <w:color w:val="auto"/>
        </w:rPr>
        <w:t>General and administrative expenses were $6.8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2017, including $1.5 million of stock based compensation expense, as compared to $4.7 million for the second quarter of 2016, including $0.7 million of stock based compensation expense. This increase was primarily attributable to increased personnel-related expenses to support our growing operations.</w:t>
      </w:r>
    </w:p>
    <w:p>
      <w:pPr>
        <w:spacing w:after="0" w:line="1" w:lineRule="exact"/>
        <w:rPr>
          <w:rFonts w:ascii="Arial" w:cs="Arial" w:eastAsia="Arial" w:hAnsi="Arial"/>
          <w:sz w:val="20"/>
          <w:szCs w:val="20"/>
          <w:color w:val="auto"/>
        </w:rPr>
      </w:pPr>
    </w:p>
    <w:p>
      <w:pPr>
        <w:jc w:val="both"/>
        <w:ind w:left="800" w:right="139" w:hanging="325"/>
        <w:spacing w:after="0" w:line="213" w:lineRule="auto"/>
        <w:tabs>
          <w:tab w:leader="none" w:pos="80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$33.4 million for the second quarter of 2017, or a net loss per share of $0.86,</w:t>
      </w:r>
      <w:r>
        <w:rPr>
          <w:rFonts w:ascii="Arial" w:cs="Arial" w:eastAsia="Arial" w:hAnsi="Arial"/>
          <w:sz w:val="20"/>
          <w:szCs w:val="20"/>
          <w:b w:val="1"/>
          <w:bCs w:val="1"/>
          <w:color w:val="auto"/>
        </w:rPr>
        <w:t xml:space="preserve"> </w:t>
      </w:r>
      <w:r>
        <w:rPr>
          <w:rFonts w:ascii="Arial" w:cs="Arial" w:eastAsia="Arial" w:hAnsi="Arial"/>
          <w:sz w:val="20"/>
          <w:szCs w:val="20"/>
          <w:color w:val="auto"/>
        </w:rPr>
        <w:t>as compared to a net loss of $18.9 million for the second quarter of 2016, or a net loss per share of $0.70.</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jc w:val="both"/>
        <w:ind w:left="160" w:right="139"/>
        <w:spacing w:after="0" w:line="213" w:lineRule="auto"/>
        <w:rPr>
          <w:sz w:val="20"/>
          <w:szCs w:val="20"/>
          <w:color w:val="auto"/>
        </w:rPr>
      </w:pPr>
      <w:r>
        <w:rPr>
          <w:rFonts w:ascii="Arial" w:cs="Arial" w:eastAsia="Arial" w:hAnsi="Arial"/>
          <w:sz w:val="20"/>
          <w:szCs w:val="20"/>
          <w:color w:val="auto"/>
        </w:rPr>
        <w:t>Based on its current plans, Blueprint Medicines believes its existing cash, cash equivalents and investments, excluding any potential option fees and milestone payments under its existing collaboration with Roche, will be sufficient to enable it to fund its operating expenses and capital expenditure requirements into the second half of 2019.</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19"/>
          <w:szCs w:val="19"/>
          <w:color w:val="auto"/>
        </w:rPr>
        <w:t>Blueprint Medicines will host a live conference call and webcast today at 8:30 a.m. ET. The conference call may be accessed by dialing 855-728-4793 (domestic) or 503-343-6666 (international) and referring to conference ID 50939515. A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Availability of Other Information About Blueprint Medicines</w:t>
      </w:r>
    </w:p>
    <w:p>
      <w:pPr>
        <w:spacing w:after="0" w:line="154" w:lineRule="exact"/>
        <w:rPr>
          <w:sz w:val="20"/>
          <w:szCs w:val="20"/>
          <w:color w:val="auto"/>
        </w:rPr>
      </w:pPr>
    </w:p>
    <w:p>
      <w:pPr>
        <w:jc w:val="both"/>
        <w:ind w:left="160" w:right="139"/>
        <w:spacing w:after="0" w:line="242" w:lineRule="auto"/>
        <w:rPr>
          <w:sz w:val="20"/>
          <w:szCs w:val="20"/>
          <w:color w:val="auto"/>
        </w:rPr>
      </w:pPr>
      <w:r>
        <w:rPr>
          <w:rFonts w:ascii="Arial" w:cs="Arial" w:eastAsia="Arial" w:hAnsi="Arial"/>
          <w:sz w:val="19"/>
          <w:szCs w:val="19"/>
          <w:color w:val="auto"/>
        </w:rPr>
        <w:t>Investors and others should note that Blueprint Medicines communicates with its investors and the public using its company website (www.blueprintmedicines.com), including but not limited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116840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jc w:val="both"/>
        <w:ind w:left="160" w:right="139"/>
        <w:spacing w:after="0" w:line="226" w:lineRule="auto"/>
        <w:rPr>
          <w:sz w:val="20"/>
          <w:szCs w:val="20"/>
          <w:color w:val="auto"/>
        </w:rPr>
      </w:pPr>
      <w:r>
        <w:rPr>
          <w:rFonts w:ascii="Arial" w:cs="Arial" w:eastAsia="Arial" w:hAnsi="Arial"/>
          <w:sz w:val="18"/>
          <w:szCs w:val="18"/>
          <w:color w:val="auto"/>
        </w:rPr>
        <w:t>presentations and scientific presentations, Securities and Exchange Commission filings, press releases, public conference calls and webcasts. You can also connect with Blueprint Medicines on Twitter (@BlueprintMeds) or LinkedIn. The information that Blueprint Medicines posts on these channels and websites could be deemed to be material information. As a result, Blueprint Medicines encourages investors, the media and others interested in Blueprint Medicines to review the information that it posts on these channels, including Blueprint Medicines’ investor relations website, on a regular basis. This list of channels may be updated from time to time on Blueprint Medicines’ investor relations website and may include other social media channels than the ones described above. The contents of Blueprint Medicines’ website or these channels, or any other website that may be accessed from its website or these channels, shall not be deemed incorporated by reference in any filing under the Securities Act of 1933, as amended.</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jc w:val="both"/>
        <w:ind w:left="160" w:right="139"/>
        <w:spacing w:after="0" w:line="22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BLU-285, BLU-554 and BLU-667; the timing of updated clinical data for Blueprint Medicines’ Phase 1 clinical trials for BLU-285 and BLU-554;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efficacy and safety of its drug candidates; the preclinical and clinical results for Blueprint Medicines’ drug candidates, which may not support further development of such drug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March 31, 2017, as filed with the Securities and Exchange Commission (SEC) on May 3,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129540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Blueprint Medicines Corporation</w:t>
      </w:r>
    </w:p>
    <w:p>
      <w:pPr>
        <w:jc w:val="center"/>
        <w:spacing w:after="0" w:line="197" w:lineRule="auto"/>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line="197"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15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1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r>
      <w:tr>
        <w:trPr>
          <w:trHeight w:val="23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421,014</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3,577</w:t>
            </w:r>
          </w:p>
        </w:tc>
      </w:tr>
      <w:tr>
        <w:trPr>
          <w:trHeight w:val="26"/>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1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398,336</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191,913</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444,721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282,795</w:t>
            </w:r>
          </w:p>
        </w:tc>
      </w:tr>
      <w:tr>
        <w:trPr>
          <w:trHeight w:val="26"/>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4,069</w:t>
            </w:r>
          </w:p>
        </w:tc>
      </w:tr>
      <w:tr>
        <w:trPr>
          <w:trHeight w:val="26"/>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1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374,089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213,078</w:t>
            </w:r>
          </w:p>
        </w:tc>
      </w:tr>
    </w:tbl>
    <w:p>
      <w:pPr>
        <w:spacing w:after="0" w:line="336"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149" w:lineRule="exact"/>
        <w:rPr>
          <w:sz w:val="20"/>
          <w:szCs w:val="20"/>
          <w:color w:val="auto"/>
        </w:rPr>
      </w:pPr>
    </w:p>
    <w:p>
      <w:pPr>
        <w:jc w:val="center"/>
        <w:ind w:left="140" w:right="139"/>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24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7"/>
                <w:szCs w:val="17"/>
                <w:color w:val="auto"/>
              </w:rPr>
            </w:pPr>
          </w:p>
        </w:tc>
        <w:tc>
          <w:tcPr>
            <w:tcW w:w="1720" w:type="dxa"/>
            <w:vAlign w:val="bottom"/>
            <w:gridSpan w:val="4"/>
            <w:vMerge w:val="restart"/>
          </w:tcPr>
          <w:p>
            <w:pPr>
              <w:jc w:val="right"/>
              <w:ind w:right="110"/>
              <w:spacing w:after="0"/>
              <w:rPr>
                <w:sz w:val="20"/>
                <w:szCs w:val="20"/>
                <w:color w:val="auto"/>
              </w:rPr>
            </w:pPr>
            <w:r>
              <w:rPr>
                <w:rFonts w:ascii="Arial" w:cs="Arial" w:eastAsia="Arial" w:hAnsi="Arial"/>
                <w:sz w:val="18"/>
                <w:szCs w:val="18"/>
                <w:b w:val="1"/>
                <w:bCs w:val="1"/>
                <w:color w:val="auto"/>
                <w:w w:val="96"/>
              </w:rPr>
              <w:t>Six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center"/>
              <w:ind w:right="340"/>
              <w:spacing w:after="0" w:line="202" w:lineRule="exact"/>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7"/>
                <w:szCs w:val="17"/>
                <w:color w:val="auto"/>
              </w:rPr>
            </w:pPr>
          </w:p>
        </w:tc>
        <w:tc>
          <w:tcPr>
            <w:tcW w:w="1720" w:type="dxa"/>
            <w:vAlign w:val="bottom"/>
            <w:gridSpan w:val="4"/>
          </w:tcPr>
          <w:p>
            <w:pPr>
              <w:jc w:val="right"/>
              <w:ind w:right="530"/>
              <w:spacing w:after="0" w:line="202"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90"/>
              <w:spacing w:after="0" w:line="170" w:lineRule="exact"/>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90"/>
              <w:spacing w:after="0" w:line="170"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30"/>
              <w:spacing w:after="0" w:line="170" w:lineRule="exact"/>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50"/>
              <w:spacing w:after="0" w:line="170" w:lineRule="exact"/>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21,273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4,688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(33,412)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(18,894)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(61,389)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06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Net loss per share applicable to common stockholders — basic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diluted</w:t>
            </w: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 net loss per</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38,775</w:t>
            </w:r>
          </w:p>
        </w:tc>
        <w:tc>
          <w:tcPr>
            <w:tcW w:w="1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27,170</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35,998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60" w:type="dxa"/>
            <w:vAlign w:val="bottom"/>
          </w:tcPr>
          <w:p>
            <w:pPr>
              <w:ind w:left="240"/>
              <w:spacing w:after="0" w:line="189" w:lineRule="exact"/>
              <w:rPr>
                <w:sz w:val="20"/>
                <w:szCs w:val="20"/>
                <w:color w:val="auto"/>
              </w:rPr>
            </w:pPr>
            <w:r>
              <w:rPr>
                <w:rFonts w:ascii="Arial" w:cs="Arial" w:eastAsia="Arial" w:hAnsi="Arial"/>
                <w:sz w:val="18"/>
                <w:szCs w:val="18"/>
                <w:color w:val="auto"/>
                <w:w w:val="97"/>
              </w:rPr>
              <w:t>share applicable to common stockholders — basic and diluted</w:t>
            </w: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4" w:right="1440" w:bottom="1440" w:gutter="0" w:footer="0" w:header="0"/>
        </w:sectPr>
      </w:pPr>
    </w:p>
    <w:bookmarkStart w:id="9" w:name="page10"/>
    <w:bookmarkEnd w:id="9"/>
    <w:p>
      <w:pPr>
        <w:ind w:left="160"/>
        <w:spacing w:after="0"/>
        <w:rPr>
          <w:sz w:val="20"/>
          <w:szCs w:val="20"/>
          <w:color w:val="auto"/>
        </w:rPr>
      </w:pPr>
      <w:r>
        <w:rPr>
          <w:rFonts w:ascii="Arial" w:cs="Arial" w:eastAsia="Arial" w:hAnsi="Arial"/>
          <w:sz w:val="16"/>
          <w:szCs w:val="16"/>
          <w:b w:val="1"/>
          <w:bCs w:val="1"/>
          <w:color w:val="auto"/>
        </w:rPr>
        <w:t>Media and Investor Relations Contacts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ind w:left="160"/>
        <w:spacing w:after="0" w:line="197" w:lineRule="auto"/>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ind w:left="160"/>
        <w:spacing w:after="0" w:line="197" w:lineRule="auto"/>
        <w:rPr>
          <w:sz w:val="20"/>
          <w:szCs w:val="20"/>
          <w:color w:val="auto"/>
        </w:rPr>
      </w:pPr>
      <w:r>
        <w:rPr>
          <w:rFonts w:ascii="Arial" w:cs="Arial" w:eastAsia="Arial" w:hAnsi="Arial"/>
          <w:sz w:val="20"/>
          <w:szCs w:val="20"/>
          <w:color w:val="auto"/>
        </w:rPr>
        <w:t>617-844-8236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900430</wp:posOffset>
            </wp:positionV>
            <wp:extent cx="5548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2019-12-07T21:42:19Z</dcterms:created>
  <dcterms:modified xsi:type="dcterms:W3CDTF">2019-12-07T21:42:19Z</dcterms:modified>
</cp:coreProperties>
</file>