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16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Hurley Ariel</w:t>
              </w:r>
            </w:hyperlink>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03/03/2021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65"/>
        <w:spacing w:after="0"/>
        <w:rPr>
          <w:sz w:val="20"/>
          <w:szCs w:val="20"/>
          <w:color w:val="auto"/>
        </w:rPr>
      </w:pPr>
      <w:r>
        <w:rPr>
          <w:rFonts w:ascii="Arial" w:cs="Arial" w:eastAsia="Arial" w:hAnsi="Arial"/>
          <w:sz w:val="17"/>
          <w:szCs w:val="17"/>
          <w:color w:val="0000FF"/>
        </w:rPr>
        <w:t>Principal Accounting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tcPr>
          <w:p>
            <w:pPr>
              <w:ind w:left="160"/>
              <w:spacing w:after="0" w:line="178" w:lineRule="exact"/>
              <w:rPr>
                <w:sz w:val="20"/>
                <w:szCs w:val="20"/>
                <w:color w:val="auto"/>
              </w:rPr>
            </w:pPr>
            <w:r>
              <w:rPr>
                <w:rFonts w:ascii="Arial" w:cs="Arial" w:eastAsia="Arial" w:hAnsi="Arial"/>
                <w:sz w:val="17"/>
                <w:szCs w:val="17"/>
                <w:color w:val="0000FF"/>
              </w:rPr>
              <w:t>03/05/2021</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512</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98.45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12,659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March 17, 2020 pursuant to Rule 10b5-1 under the Securities Exchange Act of 1934, as amended.</w:t>
      </w:r>
    </w:p>
    <w:p>
      <w:pPr>
        <w:spacing w:after="0" w:line="50" w:lineRule="exact"/>
        <w:rPr>
          <w:rFonts w:ascii="Arial" w:cs="Arial" w:eastAsia="Arial" w:hAnsi="Arial"/>
          <w:sz w:val="13"/>
          <w:szCs w:val="13"/>
          <w:color w:val="008000"/>
        </w:rPr>
      </w:pPr>
    </w:p>
    <w:p>
      <w:pPr>
        <w:ind w:left="40" w:right="3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amendment is being filed to correct the original Form 4 filed on March 5, 2021. The number of shares sold pursuant to the Reporting Person's 10b5-1 Plan were incorrect on the original Form 4 due to an administrative error by the Reporting Person's broker. The number of shares sold were incorrectly reported as 515 and have been corrected to 512 in this amended Form 4. In addition, the total number of shares owned in Column 5 has been increased by three shares to reflect the correct number of shares held by the reporting person after this transaction.</w:t>
      </w:r>
    </w:p>
    <w:p>
      <w:pPr>
        <w:spacing w:after="0" w:line="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03/17/2021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974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2021-03-17T16:50:22Z</dcterms:created>
  <dcterms:modified xsi:type="dcterms:W3CDTF">2021-03-17T16:50:22Z</dcterms:modified>
</cp:coreProperties>
</file>