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6"/>
          <w:szCs w:val="26"/>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2374265</wp:posOffset>
            </wp:positionH>
            <wp:positionV relativeFrom="paragraph">
              <wp:posOffset>193675</wp:posOffset>
            </wp:positionV>
            <wp:extent cx="15811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1150" cy="698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2374265</wp:posOffset>
            </wp:positionH>
            <wp:positionV relativeFrom="paragraph">
              <wp:posOffset>204470</wp:posOffset>
            </wp:positionV>
            <wp:extent cx="1581150" cy="13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1150" cy="1397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left="4300"/>
        <w:spacing w:after="0"/>
        <w:rPr>
          <w:sz w:val="20"/>
          <w:szCs w:val="20"/>
          <w:color w:val="auto"/>
        </w:rPr>
      </w:pPr>
      <w:r>
        <w:rPr>
          <w:rFonts w:ascii="Arial" w:cs="Arial" w:eastAsia="Arial" w:hAnsi="Arial"/>
          <w:sz w:val="14"/>
          <w:szCs w:val="14"/>
          <w:b w:val="1"/>
          <w:bCs w:val="1"/>
          <w:color w:val="auto"/>
        </w:rPr>
        <w:t>CURRENT REPORT</w:t>
      </w:r>
    </w:p>
    <w:p>
      <w:pPr>
        <w:spacing w:after="0" w:line="26"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Pursuant to Section 13 or 15(d)</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January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2374265</wp:posOffset>
            </wp:positionH>
            <wp:positionV relativeFrom="paragraph">
              <wp:posOffset>203835</wp:posOffset>
            </wp:positionV>
            <wp:extent cx="15811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1150" cy="698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Blueprint Medicines Corporation</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2374265</wp:posOffset>
            </wp:positionH>
            <wp:positionV relativeFrom="paragraph">
              <wp:posOffset>193675</wp:posOffset>
            </wp:positionV>
            <wp:extent cx="15811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1150" cy="6985"/>
                    </a:xfrm>
                    <a:prstGeom prst="rect">
                      <a:avLst/>
                    </a:prstGeom>
                    <a:noFill/>
                  </pic:spPr>
                </pic:pic>
              </a:graphicData>
            </a:graphic>
          </wp:anchor>
        </w:drawing>
      </w:r>
    </w:p>
    <w:p>
      <w:pPr>
        <w:sectPr>
          <w:pgSz w:w="11900" w:h="16838" w:orient="portrait"/>
          <w:cols w:equalWidth="0" w:num="1">
            <w:col w:w="9960"/>
          </w:cols>
          <w:pgMar w:left="960" w:top="540" w:right="979" w:bottom="1440" w:gutter="0" w:footer="0" w:header="0"/>
        </w:sectPr>
      </w:pPr>
    </w:p>
    <w:p>
      <w:pPr>
        <w:spacing w:after="0" w:line="200" w:lineRule="exact"/>
        <w:rPr>
          <w:sz w:val="24"/>
          <w:szCs w:val="24"/>
          <w:color w:val="auto"/>
        </w:rPr>
      </w:pPr>
    </w:p>
    <w:p>
      <w:pPr>
        <w:spacing w:after="0" w:line="395" w:lineRule="exact"/>
        <w:rPr>
          <w:sz w:val="24"/>
          <w:szCs w:val="24"/>
          <w:color w:val="auto"/>
        </w:rPr>
      </w:pPr>
    </w:p>
    <w:p>
      <w:pPr>
        <w:ind w:left="1320"/>
        <w:spacing w:after="0"/>
        <w:rPr>
          <w:sz w:val="20"/>
          <w:szCs w:val="20"/>
          <w:color w:val="auto"/>
        </w:rPr>
      </w:pPr>
      <w:r>
        <w:rPr>
          <w:rFonts w:ascii="Arial" w:cs="Arial" w:eastAsia="Arial" w:hAnsi="Arial"/>
          <w:sz w:val="14"/>
          <w:szCs w:val="14"/>
          <w:b w:val="1"/>
          <w:bCs w:val="1"/>
          <w:color w:val="auto"/>
        </w:rPr>
        <w:t>Delaware</w:t>
      </w:r>
    </w:p>
    <w:p>
      <w:pPr>
        <w:spacing w:after="0" w:line="26" w:lineRule="exact"/>
        <w:rPr>
          <w:sz w:val="24"/>
          <w:szCs w:val="24"/>
          <w:color w:val="auto"/>
        </w:rPr>
      </w:pPr>
    </w:p>
    <w:p>
      <w:pPr>
        <w:ind w:left="840"/>
        <w:spacing w:after="0"/>
        <w:rPr>
          <w:sz w:val="20"/>
          <w:szCs w:val="20"/>
          <w:color w:val="auto"/>
        </w:rPr>
      </w:pPr>
      <w:r>
        <w:rPr>
          <w:rFonts w:ascii="Arial" w:cs="Arial" w:eastAsia="Arial" w:hAnsi="Arial"/>
          <w:sz w:val="13"/>
          <w:szCs w:val="13"/>
          <w:color w:val="auto"/>
        </w:rPr>
        <w:t>(State or other jurisdiction</w:t>
      </w:r>
    </w:p>
    <w:p>
      <w:pPr>
        <w:spacing w:after="0" w:line="24" w:lineRule="exact"/>
        <w:rPr>
          <w:sz w:val="24"/>
          <w:szCs w:val="24"/>
          <w:color w:val="auto"/>
        </w:rPr>
      </w:pPr>
    </w:p>
    <w:p>
      <w:pPr>
        <w:ind w:left="1120"/>
        <w:spacing w:after="0"/>
        <w:rPr>
          <w:sz w:val="20"/>
          <w:szCs w:val="20"/>
          <w:color w:val="auto"/>
        </w:rPr>
      </w:pPr>
      <w:r>
        <w:rPr>
          <w:rFonts w:ascii="Arial" w:cs="Arial" w:eastAsia="Arial" w:hAnsi="Arial"/>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5" w:lineRule="exact"/>
        <w:rPr>
          <w:sz w:val="24"/>
          <w:szCs w:val="24"/>
          <w:color w:val="auto"/>
        </w:rPr>
      </w:pPr>
    </w:p>
    <w:p>
      <w:pPr>
        <w:jc w:val="center"/>
        <w:ind w:right="1320"/>
        <w:spacing w:after="0"/>
        <w:rPr>
          <w:sz w:val="20"/>
          <w:szCs w:val="20"/>
          <w:color w:val="auto"/>
        </w:rPr>
      </w:pPr>
      <w:r>
        <w:rPr>
          <w:rFonts w:ascii="Arial" w:cs="Arial" w:eastAsia="Arial" w:hAnsi="Arial"/>
          <w:sz w:val="14"/>
          <w:szCs w:val="14"/>
          <w:b w:val="1"/>
          <w:bCs w:val="1"/>
          <w:color w:val="auto"/>
        </w:rPr>
        <w:t>001-37359</w:t>
      </w:r>
    </w:p>
    <w:p>
      <w:pPr>
        <w:spacing w:after="0" w:line="26" w:lineRule="exact"/>
        <w:rPr>
          <w:sz w:val="24"/>
          <w:szCs w:val="24"/>
          <w:color w:val="auto"/>
        </w:rPr>
      </w:pPr>
    </w:p>
    <w:p>
      <w:pPr>
        <w:jc w:val="center"/>
        <w:ind w:right="132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5" w:lineRule="exact"/>
        <w:rPr>
          <w:sz w:val="24"/>
          <w:szCs w:val="24"/>
          <w:color w:val="auto"/>
        </w:rPr>
      </w:pPr>
    </w:p>
    <w:p>
      <w:pPr>
        <w:jc w:val="center"/>
        <w:ind w:right="1060"/>
        <w:spacing w:after="0"/>
        <w:rPr>
          <w:sz w:val="20"/>
          <w:szCs w:val="20"/>
          <w:color w:val="auto"/>
        </w:rPr>
      </w:pPr>
      <w:r>
        <w:rPr>
          <w:rFonts w:ascii="Arial" w:cs="Arial" w:eastAsia="Arial" w:hAnsi="Arial"/>
          <w:sz w:val="14"/>
          <w:szCs w:val="14"/>
          <w:b w:val="1"/>
          <w:bCs w:val="1"/>
          <w:color w:val="auto"/>
        </w:rPr>
        <w:t>26-3632015</w:t>
      </w:r>
    </w:p>
    <w:p>
      <w:pPr>
        <w:spacing w:after="0" w:line="26" w:lineRule="exact"/>
        <w:rPr>
          <w:sz w:val="24"/>
          <w:szCs w:val="24"/>
          <w:color w:val="auto"/>
        </w:rPr>
      </w:pPr>
    </w:p>
    <w:p>
      <w:pPr>
        <w:jc w:val="center"/>
        <w:ind w:right="1060"/>
        <w:spacing w:after="0"/>
        <w:rPr>
          <w:sz w:val="20"/>
          <w:szCs w:val="20"/>
          <w:color w:val="auto"/>
        </w:rPr>
      </w:pPr>
      <w:r>
        <w:rPr>
          <w:rFonts w:ascii="Arial" w:cs="Arial" w:eastAsia="Arial" w:hAnsi="Arial"/>
          <w:sz w:val="14"/>
          <w:szCs w:val="14"/>
          <w:color w:val="auto"/>
        </w:rPr>
        <w:t>(I.R.S. Employer</w:t>
      </w:r>
    </w:p>
    <w:p>
      <w:pPr>
        <w:spacing w:after="0" w:line="13" w:lineRule="exact"/>
        <w:rPr>
          <w:sz w:val="24"/>
          <w:szCs w:val="24"/>
          <w:color w:val="auto"/>
        </w:rPr>
      </w:pPr>
    </w:p>
    <w:p>
      <w:pPr>
        <w:jc w:val="center"/>
        <w:ind w:right="1060"/>
        <w:spacing w:after="0"/>
        <w:rPr>
          <w:sz w:val="20"/>
          <w:szCs w:val="20"/>
          <w:color w:val="auto"/>
        </w:rPr>
      </w:pPr>
      <w:r>
        <w:rPr>
          <w:rFonts w:ascii="Arial" w:cs="Arial" w:eastAsia="Arial" w:hAnsi="Arial"/>
          <w:sz w:val="13"/>
          <w:szCs w:val="13"/>
          <w:color w:val="auto"/>
        </w:rPr>
        <w:t>Identification No.)</w:t>
      </w:r>
    </w:p>
    <w:p>
      <w:pPr>
        <w:spacing w:after="0" w:line="211" w:lineRule="exact"/>
        <w:rPr>
          <w:sz w:val="24"/>
          <w:szCs w:val="24"/>
          <w:color w:val="auto"/>
        </w:rPr>
      </w:pPr>
    </w:p>
    <w:p>
      <w:pPr>
        <w:sectPr>
          <w:pgSz w:w="11900" w:h="16838" w:orient="portrait"/>
          <w:cols w:equalWidth="0" w:num="3">
            <w:col w:w="3480" w:space="720"/>
            <w:col w:w="2920" w:space="720"/>
            <w:col w:w="2120"/>
          </w:cols>
          <w:pgMar w:left="960" w:top="540" w:right="979" w:bottom="1440" w:gutter="0" w:footer="0" w:header="0"/>
          <w:type w:val="continuous"/>
        </w:sectPr>
      </w:pPr>
    </w:p>
    <w:p>
      <w:pPr>
        <w:spacing w:after="0" w:line="72" w:lineRule="exact"/>
        <w:rPr>
          <w:sz w:val="24"/>
          <w:szCs w:val="24"/>
          <w:color w:val="auto"/>
        </w:rPr>
      </w:pPr>
    </w:p>
    <w:p>
      <w:pPr>
        <w:ind w:left="1960"/>
        <w:spacing w:after="0"/>
        <w:rPr>
          <w:sz w:val="20"/>
          <w:szCs w:val="20"/>
          <w:color w:val="auto"/>
        </w:rPr>
      </w:pPr>
      <w:r>
        <w:rPr>
          <w:rFonts w:ascii="Arial" w:cs="Arial" w:eastAsia="Arial" w:hAnsi="Arial"/>
          <w:sz w:val="14"/>
          <w:szCs w:val="14"/>
          <w:b w:val="1"/>
          <w:bCs w:val="1"/>
          <w:color w:val="auto"/>
        </w:rPr>
        <w:t>45 Sidney Street</w:t>
      </w:r>
    </w:p>
    <w:p>
      <w:pPr>
        <w:spacing w:after="0" w:line="26" w:lineRule="exact"/>
        <w:rPr>
          <w:sz w:val="24"/>
          <w:szCs w:val="24"/>
          <w:color w:val="auto"/>
        </w:rPr>
      </w:pPr>
    </w:p>
    <w:p>
      <w:pPr>
        <w:ind w:left="1620"/>
        <w:spacing w:after="0"/>
        <w:rPr>
          <w:sz w:val="20"/>
          <w:szCs w:val="20"/>
          <w:color w:val="auto"/>
        </w:rPr>
      </w:pPr>
      <w:r>
        <w:rPr>
          <w:rFonts w:ascii="Arial" w:cs="Arial" w:eastAsia="Arial" w:hAnsi="Arial"/>
          <w:sz w:val="14"/>
          <w:szCs w:val="14"/>
          <w:b w:val="1"/>
          <w:bCs w:val="1"/>
          <w:color w:val="auto"/>
        </w:rPr>
        <w:t>Cambridge, Massachusetts</w:t>
      </w:r>
    </w:p>
    <w:p>
      <w:pPr>
        <w:spacing w:after="0" w:line="13" w:lineRule="exact"/>
        <w:rPr>
          <w:sz w:val="24"/>
          <w:szCs w:val="24"/>
          <w:color w:val="auto"/>
        </w:rPr>
      </w:pPr>
    </w:p>
    <w:p>
      <w:pPr>
        <w:ind w:left="130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auto"/>
        </w:rPr>
        <w:t>02139</w:t>
      </w:r>
    </w:p>
    <w:p>
      <w:pPr>
        <w:spacing w:after="0" w:line="26" w:lineRule="exact"/>
        <w:rPr>
          <w:sz w:val="24"/>
          <w:szCs w:val="24"/>
          <w:color w:val="auto"/>
        </w:rPr>
      </w:pPr>
    </w:p>
    <w:p>
      <w:pPr>
        <w:jc w:val="center"/>
        <w:ind w:right="2120"/>
        <w:spacing w:after="0"/>
        <w:rPr>
          <w:sz w:val="20"/>
          <w:szCs w:val="20"/>
          <w:color w:val="auto"/>
        </w:rPr>
      </w:pPr>
      <w:r>
        <w:rPr>
          <w:rFonts w:ascii="Arial" w:cs="Arial" w:eastAsia="Arial" w:hAnsi="Arial"/>
          <w:sz w:val="13"/>
          <w:szCs w:val="13"/>
          <w:color w:val="auto"/>
        </w:rPr>
        <w:t>(Zip Code)</w:t>
      </w:r>
    </w:p>
    <w:p>
      <w:pPr>
        <w:spacing w:after="0" w:line="200" w:lineRule="exact"/>
        <w:rPr>
          <w:sz w:val="24"/>
          <w:szCs w:val="24"/>
          <w:color w:val="auto"/>
        </w:rPr>
      </w:pPr>
    </w:p>
    <w:p>
      <w:pPr>
        <w:sectPr>
          <w:pgSz w:w="11900" w:h="16838" w:orient="portrait"/>
          <w:cols w:equalWidth="0" w:num="2">
            <w:col w:w="6480" w:space="720"/>
            <w:col w:w="2760"/>
          </w:cols>
          <w:pgMar w:left="960" w:top="540" w:right="979" w:bottom="1440" w:gutter="0" w:footer="0" w:header="0"/>
          <w:type w:val="continuous"/>
        </w:sectPr>
      </w:pPr>
    </w:p>
    <w:p>
      <w:pPr>
        <w:spacing w:after="0" w:line="7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(617) 374-7580</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2374265</wp:posOffset>
            </wp:positionH>
            <wp:positionV relativeFrom="paragraph">
              <wp:posOffset>83820</wp:posOffset>
            </wp:positionV>
            <wp:extent cx="158115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1150" cy="13970"/>
                    </a:xfrm>
                    <a:prstGeom prst="rect">
                      <a:avLst/>
                    </a:prstGeom>
                    <a:noFill/>
                  </pic:spPr>
                </pic:pic>
              </a:graphicData>
            </a:graphic>
          </wp:anchor>
        </w:drawing>
      </w:r>
    </w:p>
    <w:p>
      <w:pPr>
        <w:spacing w:after="0" w:line="395" w:lineRule="exact"/>
        <w:rPr>
          <w:sz w:val="24"/>
          <w:szCs w:val="24"/>
          <w:color w:val="auto"/>
        </w:rPr>
      </w:pPr>
    </w:p>
    <w:p>
      <w:pPr>
        <w:ind w:right="340" w:firstLine="522"/>
        <w:spacing w:after="0" w:line="292"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720" w:hanging="188"/>
        <w:spacing w:after="0"/>
        <w:tabs>
          <w:tab w:leader="none" w:pos="7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4" w:lineRule="exact"/>
        <w:rPr>
          <w:rFonts w:ascii="MS PGothic" w:cs="MS PGothic" w:eastAsia="MS PGothic" w:hAnsi="MS PGothic"/>
          <w:sz w:val="14"/>
          <w:szCs w:val="14"/>
          <w:color w:val="auto"/>
        </w:rPr>
      </w:pPr>
    </w:p>
    <w:p>
      <w:pPr>
        <w:ind w:left="720" w:hanging="188"/>
        <w:spacing w:after="0"/>
        <w:tabs>
          <w:tab w:leader="none" w:pos="7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2" w:lineRule="exact"/>
        <w:rPr>
          <w:rFonts w:ascii="MS PGothic" w:cs="MS PGothic" w:eastAsia="MS PGothic" w:hAnsi="MS PGothic"/>
          <w:sz w:val="14"/>
          <w:szCs w:val="14"/>
          <w:color w:val="auto"/>
        </w:rPr>
      </w:pPr>
    </w:p>
    <w:p>
      <w:pPr>
        <w:ind w:left="720" w:hanging="188"/>
        <w:spacing w:after="0"/>
        <w:tabs>
          <w:tab w:leader="none" w:pos="7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2" w:lineRule="exact"/>
        <w:rPr>
          <w:rFonts w:ascii="MS PGothic" w:cs="MS PGothic" w:eastAsia="MS PGothic" w:hAnsi="MS PGothic"/>
          <w:sz w:val="14"/>
          <w:szCs w:val="14"/>
          <w:color w:val="auto"/>
        </w:rPr>
      </w:pPr>
    </w:p>
    <w:p>
      <w:pPr>
        <w:ind w:left="720" w:hanging="188"/>
        <w:spacing w:after="0"/>
        <w:tabs>
          <w:tab w:leader="none" w:pos="7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75" w:lineRule="exact"/>
        <w:rPr>
          <w:sz w:val="24"/>
          <w:szCs w:val="24"/>
          <w:color w:val="auto"/>
        </w:rPr>
      </w:pPr>
    </w:p>
    <w:p>
      <w:pPr>
        <w:ind w:right="120" w:firstLine="522"/>
        <w:spacing w:after="0" w:line="292"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3" w:lineRule="exact"/>
        <w:rPr>
          <w:sz w:val="24"/>
          <w:szCs w:val="24"/>
          <w:color w:val="auto"/>
        </w:rPr>
      </w:pPr>
    </w:p>
    <w:p>
      <w:pPr>
        <w:ind w:left="54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14" w:lineRule="exact"/>
        <w:rPr>
          <w:sz w:val="24"/>
          <w:szCs w:val="24"/>
          <w:color w:val="auto"/>
        </w:rPr>
      </w:pPr>
    </w:p>
    <w:p>
      <w:pPr>
        <w:ind w:right="360" w:firstLine="522"/>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1" w:lineRule="exact"/>
        <w:rPr>
          <w:sz w:val="24"/>
          <w:szCs w:val="24"/>
          <w:color w:val="auto"/>
        </w:rPr>
      </w:pPr>
    </w:p>
    <w:p>
      <w:pPr>
        <w:jc w:val="center"/>
        <w:ind w:right="60"/>
        <w:spacing w:after="0"/>
        <w:rPr>
          <w:sz w:val="20"/>
          <w:szCs w:val="20"/>
          <w:color w:val="auto"/>
        </w:rPr>
      </w:pPr>
      <w:r>
        <w:rPr>
          <w:rFonts w:ascii="Arial" w:cs="Arial" w:eastAsia="Arial" w:hAnsi="Arial"/>
          <w:sz w:val="14"/>
          <w:szCs w:val="14"/>
          <w:color w:val="auto"/>
        </w:rPr>
        <w:t>Securities registered pursuant to Section 12(b) of the Exchange Act:</w:t>
      </w:r>
    </w:p>
    <w:p>
      <w:pPr>
        <w:spacing w:after="0" w:line="112" w:lineRule="exact"/>
        <w:rPr>
          <w:sz w:val="24"/>
          <w:szCs w:val="24"/>
          <w:color w:val="auto"/>
        </w:rPr>
      </w:pPr>
    </w:p>
    <w:tbl>
      <w:tblPr>
        <w:tblLayout w:type="fixed"/>
        <w:tblInd w:w="30" w:type="dxa"/>
        <w:tblCellMar>
          <w:top w:w="0" w:type="dxa"/>
          <w:left w:w="0" w:type="dxa"/>
          <w:bottom w:w="0" w:type="dxa"/>
          <w:right w:w="0" w:type="dxa"/>
        </w:tblCellMar>
      </w:tblPr>
      <w:tr>
        <w:trPr>
          <w:trHeight w:val="211"/>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4060" w:type="dxa"/>
            <w:vAlign w:val="bottom"/>
            <w:tcBorders>
              <w:top w:val="single" w:sz="8" w:color="auto"/>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w w:val="93"/>
              </w:rPr>
              <w:t>Name of each exchange on which registered</w:t>
            </w:r>
          </w:p>
        </w:tc>
      </w:tr>
      <w:tr>
        <w:trPr>
          <w:trHeight w:val="19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Common stock, par value $0.001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BPMC</w:t>
            </w:r>
          </w:p>
        </w:tc>
        <w:tc>
          <w:tcPr>
            <w:tcW w:w="406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w w:val="93"/>
              </w:rPr>
              <w:t>Nasdaq Global Select Market</w:t>
            </w:r>
          </w:p>
        </w:tc>
      </w:tr>
      <w:tr>
        <w:trPr>
          <w:trHeight w:val="455"/>
        </w:trPr>
        <w:tc>
          <w:tcPr>
            <w:tcW w:w="39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540"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212529"/>
        </w:rPr>
        <w:t>Item 1.01 Entry into a Material Definitive Agreement.</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i w:val="1"/>
          <w:iCs w:val="1"/>
          <w:color w:val="212529"/>
        </w:rPr>
        <w:t>Amendment – Roche Immunotherapy Collaboration</w:t>
      </w:r>
    </w:p>
    <w:p>
      <w:pPr>
        <w:spacing w:after="0" w:line="187" w:lineRule="exact"/>
        <w:rPr>
          <w:sz w:val="20"/>
          <w:szCs w:val="20"/>
          <w:color w:val="auto"/>
        </w:rPr>
      </w:pPr>
    </w:p>
    <w:p>
      <w:pPr>
        <w:ind w:right="60" w:firstLine="522"/>
        <w:spacing w:after="0" w:line="286" w:lineRule="auto"/>
        <w:rPr>
          <w:sz w:val="20"/>
          <w:szCs w:val="20"/>
          <w:color w:val="auto"/>
        </w:rPr>
      </w:pPr>
      <w:r>
        <w:rPr>
          <w:rFonts w:ascii="Arial" w:cs="Arial" w:eastAsia="Arial" w:hAnsi="Arial"/>
          <w:sz w:val="13"/>
          <w:szCs w:val="13"/>
          <w:color w:val="212529"/>
        </w:rPr>
        <w:t>On January 8, 2021, Blueprint Medicines Corporation (the “Company”) entered into a ninth amendment to its collaboration and license agreement, as amended, with F. Hoffmann-La Roche Ltd and Hoffmann-La Roche Inc. (collectively, “Roche”), related to the discovery, development and commercialization of small molecule therapeutics targeting kinases in cancer immunotherapy. Pursuant to the amendment, the Company and Roche agreed to modify certain time periods related to Roche’s option rights for one of the collaboration programs and agreed to terminate two of the other collaboration programs, including certain mechanics related to the wind-down of activities for such terminated targets. As a result of the amendment, the parties are currently conducting activities for up to two programs under the collaboration, including the previously announced program for the kinase target MAP4K1, which is believed to play a role in T cell regulation. Subject to the terms of the agreement, as amended, in addition to upfront and milestone payments previously received, the Company is eligible to receive up to approximately $323 million in contingent option fees and milestone payments related to specified research, pre-clinical, clinical, regulatory and sales-based milestones.</w:t>
      </w:r>
    </w:p>
    <w:p>
      <w:pPr>
        <w:spacing w:after="0" w:line="140" w:lineRule="exact"/>
        <w:rPr>
          <w:sz w:val="20"/>
          <w:szCs w:val="20"/>
          <w:color w:val="auto"/>
        </w:rPr>
      </w:pPr>
    </w:p>
    <w:p>
      <w:pPr>
        <w:ind w:right="240" w:firstLine="522"/>
        <w:spacing w:after="0" w:line="275" w:lineRule="auto"/>
        <w:rPr>
          <w:sz w:val="20"/>
          <w:szCs w:val="20"/>
          <w:color w:val="auto"/>
        </w:rPr>
      </w:pPr>
      <w:r>
        <w:rPr>
          <w:rFonts w:ascii="Arial" w:cs="Arial" w:eastAsia="Arial" w:hAnsi="Arial"/>
          <w:sz w:val="14"/>
          <w:szCs w:val="14"/>
          <w:color w:val="212529"/>
        </w:rPr>
        <w:t xml:space="preserve">The foregoing description of the material terms of the ninth amendment to the collaboration and license agreement with Roche is qualified in its entirety by reference to the complete text of such amendment, </w:t>
      </w:r>
      <w:r>
        <w:rPr>
          <w:rFonts w:ascii="Arial" w:cs="Arial" w:eastAsia="Arial" w:hAnsi="Arial"/>
          <w:sz w:val="14"/>
          <w:szCs w:val="14"/>
          <w:color w:val="000000"/>
        </w:rPr>
        <w:t>which the Company intends to file, with confidential terms redacted, with the Securities and Exchange Commission</w:t>
      </w:r>
      <w:r>
        <w:rPr>
          <w:rFonts w:ascii="Arial" w:cs="Arial" w:eastAsia="Arial" w:hAnsi="Arial"/>
          <w:sz w:val="14"/>
          <w:szCs w:val="14"/>
          <w:color w:val="212529"/>
        </w:rPr>
        <w:t xml:space="preserve"> </w:t>
      </w:r>
      <w:r>
        <w:rPr>
          <w:rFonts w:ascii="Arial" w:cs="Arial" w:eastAsia="Arial" w:hAnsi="Arial"/>
          <w:sz w:val="14"/>
          <w:szCs w:val="14"/>
          <w:color w:val="000000"/>
        </w:rPr>
        <w:t>(“SEC”) as an exhibit to the Company’s Annual Report on Form 10-K for the year ended December 31, 2020.</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212529"/>
        </w:rPr>
        <w:t>Item 5.02 Departure of Directors or Certain Officers; Election of Directors; Appointment of Certain Officers; Compensatory Arrangements of Certain Officers.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i w:val="1"/>
          <w:iCs w:val="1"/>
          <w:color w:val="212529"/>
        </w:rPr>
        <w:t>Transition of Anthony L. Boral, M.D., Ph.D. from Chief Medical Officer to Executive Vice President, Clinical Development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212529"/>
        </w:rPr>
        <w:t>Effective as of January 11, 2021, the Company entered into a first amendment to employment agreement with Anthony L. Boral, M.D., Ph.D. pursuant to</w:t>
      </w:r>
    </w:p>
    <w:p>
      <w:pPr>
        <w:spacing w:after="0" w:line="22" w:lineRule="exact"/>
        <w:rPr>
          <w:sz w:val="20"/>
          <w:szCs w:val="20"/>
          <w:color w:val="auto"/>
        </w:rPr>
      </w:pPr>
    </w:p>
    <w:p>
      <w:pPr>
        <w:spacing w:after="0" w:line="265" w:lineRule="auto"/>
        <w:rPr>
          <w:sz w:val="20"/>
          <w:szCs w:val="20"/>
          <w:color w:val="auto"/>
        </w:rPr>
      </w:pPr>
      <w:r>
        <w:rPr>
          <w:rFonts w:ascii="Arial" w:cs="Arial" w:eastAsia="Arial" w:hAnsi="Arial"/>
          <w:sz w:val="14"/>
          <w:szCs w:val="14"/>
          <w:color w:val="212529"/>
        </w:rPr>
        <w:t>which Dr. Boral will transition from the role of Chief Medical Officer into the role of Executive Vice President, Clinical Development. In this role, Dr. Boral will advise on clinical development, regulatory and business development strategy across the Company’s portfolio. Pursuant to the terms of the amendment, Dr. Boral will devote 60% of his full working time and efforts to the business and affairs of the Company, Dr. Boral’s annual base salary will be reduced to $286,196, and he will be eligible for an annual performance bonus targeted at 35% of his annualized base salary.</w:t>
      </w:r>
    </w:p>
    <w:p>
      <w:pPr>
        <w:spacing w:after="0" w:line="150" w:lineRule="exact"/>
        <w:rPr>
          <w:sz w:val="20"/>
          <w:szCs w:val="20"/>
          <w:color w:val="auto"/>
        </w:rPr>
      </w:pPr>
    </w:p>
    <w:p>
      <w:pPr>
        <w:ind w:right="260" w:firstLine="522"/>
        <w:spacing w:after="0" w:line="292" w:lineRule="auto"/>
        <w:rPr>
          <w:sz w:val="20"/>
          <w:szCs w:val="20"/>
          <w:color w:val="auto"/>
        </w:rPr>
      </w:pPr>
      <w:r>
        <w:rPr>
          <w:rFonts w:ascii="Arial" w:cs="Arial" w:eastAsia="Arial" w:hAnsi="Arial"/>
          <w:sz w:val="14"/>
          <w:szCs w:val="14"/>
          <w:color w:val="212529"/>
        </w:rPr>
        <w:t>The foregoing description of the first amendment to employment agreement with Dr. Boral is qualified in its entirety by reference to the complete text of such amendment, a copy of which is attached as Exhibit 10.1 to this Current Report on Form 8-K.</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212529"/>
        </w:rPr>
        <w:t>Appointment of Becker Hewes, M.D. as Chief Medical Officer</w:t>
      </w:r>
    </w:p>
    <w:p>
      <w:pPr>
        <w:spacing w:after="0" w:line="187" w:lineRule="exact"/>
        <w:rPr>
          <w:sz w:val="20"/>
          <w:szCs w:val="20"/>
          <w:color w:val="auto"/>
        </w:rPr>
      </w:pPr>
    </w:p>
    <w:p>
      <w:pPr>
        <w:ind w:right="180" w:firstLine="522"/>
        <w:spacing w:after="0" w:line="270" w:lineRule="auto"/>
        <w:rPr>
          <w:sz w:val="20"/>
          <w:szCs w:val="20"/>
          <w:color w:val="auto"/>
        </w:rPr>
      </w:pPr>
      <w:r>
        <w:rPr>
          <w:rFonts w:ascii="Arial" w:cs="Arial" w:eastAsia="Arial" w:hAnsi="Arial"/>
          <w:sz w:val="14"/>
          <w:szCs w:val="14"/>
          <w:color w:val="212529"/>
        </w:rPr>
        <w:t>Effective as of January 11, 2021, the board of directors of the Company promoted Becker Hewes, M.D., the Company’s Senior Vice President, Clinical Development, to succeed Dr. Boral and serve as Chief Medical Officer, and the Company entered into an amended and restated employment agreement with Dr. Hewes, which provides for “at will” employment. As Chief Medical Officer, Dr. Hewes will be responsible for clinical development, clinical operations, pharmacovigilance, translational medicine and biostatistics.</w:t>
      </w:r>
    </w:p>
    <w:p>
      <w:pPr>
        <w:spacing w:after="0" w:line="145" w:lineRule="exact"/>
        <w:rPr>
          <w:sz w:val="20"/>
          <w:szCs w:val="20"/>
          <w:color w:val="auto"/>
        </w:rPr>
      </w:pPr>
    </w:p>
    <w:p>
      <w:pPr>
        <w:ind w:right="60" w:firstLine="522"/>
        <w:spacing w:after="0" w:line="281" w:lineRule="auto"/>
        <w:rPr>
          <w:sz w:val="20"/>
          <w:szCs w:val="20"/>
          <w:color w:val="auto"/>
        </w:rPr>
      </w:pPr>
      <w:r>
        <w:rPr>
          <w:rFonts w:ascii="Arial" w:cs="Arial" w:eastAsia="Arial" w:hAnsi="Arial"/>
          <w:sz w:val="13"/>
          <w:szCs w:val="13"/>
          <w:color w:val="212529"/>
        </w:rPr>
        <w:t>Dr. Hewes brings 20 years of industry and clinical experience in oncology and hematology, including achieving the approval of three tyrosine kinase inhibitors. Dr. Hewes, age 55, previously served as Senior Vice President, Clinical Development, of the Company from May 2020 to January 2021. Prior to joining the Company, Dr. Hewes served as Chief Medical Officer of Repertoire Immune Medicines (formerly Torque Therapeutics) (“Repertoire”) from February 2017 to May 2020, where he built Repertoire’s multidisciplinary clinical and biomarker team and advanced its lead immuno-oncology programs into clinical development. From June 2013 to February 2017, Dr. Hewes served as Executive Director of Translational Clinical Oncology at the Novartis Institutes for BioMedical Research where he led clinical development and translational medicine efforts for multiple early-stage oncology programs through clinical proof-of-concept, including Kisqali® (ribociclib), a targeted therapy approved to treat breast cancer, and other programs combining novel therapies. Prior to that, he held roles of increasing responsibility related to clinical development in oncology and hematology within AstraZeneca PLC, Genzyme Corporation and Wyeth Pharmaceuticals, including leading registration programs</w:t>
      </w:r>
    </w:p>
    <w:p>
      <w:pPr>
        <w:spacing w:after="0" w:line="1" w:lineRule="exact"/>
        <w:rPr>
          <w:sz w:val="20"/>
          <w:szCs w:val="20"/>
          <w:color w:val="auto"/>
        </w:rPr>
      </w:pPr>
    </w:p>
    <w:p>
      <w:pPr>
        <w:jc w:val="both"/>
        <w:ind w:right="280"/>
        <w:spacing w:after="0" w:line="268" w:lineRule="auto"/>
        <w:rPr>
          <w:sz w:val="20"/>
          <w:szCs w:val="20"/>
          <w:color w:val="auto"/>
        </w:rPr>
      </w:pPr>
      <w:r>
        <w:rPr>
          <w:rFonts w:ascii="Arial" w:cs="Arial" w:eastAsia="Arial" w:hAnsi="Arial"/>
          <w:sz w:val="14"/>
          <w:szCs w:val="14"/>
          <w:color w:val="212529"/>
        </w:rPr>
        <w:t>for Bosulif® (bosutinib) and Torisel® (temsirolimus) for chronic myelogenous leukemia and mantle cell lymphoma, respectively. Before joining industry, he conducted immuno-oncology research at the Emory Vaccine Center while treating patients as a pediatric oncologist at Children’s Healthcare of Atlanta. Dr. Hewes holds an M.D. from the Georgetown University School of Medicine and a B.S. from Vanderbilt University.</w:t>
      </w:r>
    </w:p>
    <w:p>
      <w:pPr>
        <w:spacing w:after="0" w:line="147" w:lineRule="exact"/>
        <w:rPr>
          <w:sz w:val="20"/>
          <w:szCs w:val="20"/>
          <w:color w:val="auto"/>
        </w:rPr>
      </w:pPr>
    </w:p>
    <w:p>
      <w:pPr>
        <w:ind w:right="160" w:firstLine="522"/>
        <w:spacing w:after="0" w:line="263" w:lineRule="auto"/>
        <w:rPr>
          <w:sz w:val="20"/>
          <w:szCs w:val="20"/>
          <w:color w:val="auto"/>
        </w:rPr>
      </w:pPr>
      <w:r>
        <w:rPr>
          <w:rFonts w:ascii="Arial" w:cs="Arial" w:eastAsia="Arial" w:hAnsi="Arial"/>
          <w:sz w:val="14"/>
          <w:szCs w:val="14"/>
          <w:color w:val="212529"/>
        </w:rPr>
        <w:t>Pursuant to the terms of his amended and restated employment agreement, Dr. Hewes is entitled to an annual base salary of $462,000, effective as of January 1, 2021. Dr. Hewes is also eligible for an annual performance bonus targeted at 45% of his annualized base salary. In addition, pursuant to the terms of his amended and restated employment agreement,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395605</wp:posOffset>
            </wp:positionV>
            <wp:extent cx="631698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6980" cy="20955"/>
                    </a:xfrm>
                    <a:prstGeom prst="rect">
                      <a:avLst/>
                    </a:prstGeom>
                    <a:noFill/>
                  </pic:spPr>
                </pic:pic>
              </a:graphicData>
            </a:graphic>
          </wp:anchor>
        </w:drawing>
      </w:r>
    </w:p>
    <w:p>
      <w:pPr>
        <w:sectPr>
          <w:pgSz w:w="11900" w:h="16838" w:orient="portrait"/>
          <w:cols w:equalWidth="0" w:num="1">
            <w:col w:w="9940"/>
          </w:cols>
          <w:pgMar w:left="960" w:top="386" w:right="999" w:bottom="1440" w:gutter="0" w:footer="0" w:header="0"/>
        </w:sectPr>
      </w:pPr>
    </w:p>
    <w:bookmarkStart w:id="2" w:name="page3"/>
    <w:bookmarkEnd w:id="2"/>
    <w:p>
      <w:pPr>
        <w:ind w:right="60"/>
        <w:spacing w:after="0" w:line="284" w:lineRule="auto"/>
        <w:rPr>
          <w:sz w:val="20"/>
          <w:szCs w:val="20"/>
          <w:color w:val="auto"/>
        </w:rPr>
      </w:pPr>
      <w:r>
        <w:rPr>
          <w:rFonts w:ascii="Arial" w:cs="Arial" w:eastAsia="Arial" w:hAnsi="Arial"/>
          <w:sz w:val="13"/>
          <w:szCs w:val="13"/>
          <w:color w:val="212529"/>
        </w:rPr>
        <w:t>if Dr. Hewes’ employment is terminated by the Company without cause or by Dr. Hewes for good reason, and subject to Dr. Hewes’ execution of a release of potential claims against the Company, Dr. Hewes will be entitled to receive: (i) a lump sum in cash in an amount equal to 12 months of base salary and (ii) a monthly cash payment for 12 months for medical and dental benefits or Dr. Hewes’ COBRA health continuation period, whichever ends earlier. However, in the event</w:t>
      </w:r>
    </w:p>
    <w:p>
      <w:pPr>
        <w:spacing w:after="0" w:line="287" w:lineRule="auto"/>
        <w:rPr>
          <w:sz w:val="20"/>
          <w:szCs w:val="20"/>
          <w:color w:val="auto"/>
        </w:rPr>
      </w:pPr>
      <w:r>
        <w:rPr>
          <w:rFonts w:ascii="Arial" w:cs="Arial" w:eastAsia="Arial" w:hAnsi="Arial"/>
          <w:sz w:val="13"/>
          <w:szCs w:val="13"/>
          <w:color w:val="212529"/>
        </w:rPr>
        <w:t>that Dr. Hewes’ employment is terminated by the Company without cause, or Dr. Hewes terminates his employment with the Company for good reason, in either case within 12 months following the occurrence of a sale event (as defined in his amended and restated employment agreement), in lieu of the severance payments and benefits described in the preceding sentence and subject to Dr. Hewes’ execution of a release of potential claims against the Company, Dr. Hewes will be entitled to receive: (i) a lump sum in cash in an amount equal to the sum of 12 months of Dr. Hewes’ base salary then in effect plus Dr. Hewes’ target annual incentive compensation for the year in which the termination occurs, (ii) a monthly cash payment for 12 months for medical and dental benefits or Dr. Hewes’ COBRA health continuation period, whichever ends earlier, and (iii) full and immediate vesting and exercisability of all time-based stock options and other time-based stock-based awards held by Dr. Hewes.</w:t>
      </w:r>
    </w:p>
    <w:p>
      <w:pPr>
        <w:spacing w:after="0" w:line="136" w:lineRule="exact"/>
        <w:rPr>
          <w:sz w:val="20"/>
          <w:szCs w:val="20"/>
          <w:color w:val="auto"/>
        </w:rPr>
      </w:pPr>
    </w:p>
    <w:p>
      <w:pPr>
        <w:ind w:right="40" w:firstLine="522"/>
        <w:spacing w:after="0" w:line="282" w:lineRule="auto"/>
        <w:rPr>
          <w:sz w:val="20"/>
          <w:szCs w:val="20"/>
          <w:color w:val="auto"/>
        </w:rPr>
      </w:pPr>
      <w:r>
        <w:rPr>
          <w:rFonts w:ascii="Arial" w:cs="Arial" w:eastAsia="Arial" w:hAnsi="Arial"/>
          <w:sz w:val="13"/>
          <w:szCs w:val="13"/>
          <w:color w:val="212529"/>
        </w:rPr>
        <w:t>In connection with Dr. Hewes’ appointment as Chief Medical Officer, Dr. Hewes entered into the Company’s standard form of indemnification agreement, a copy of which was filed as Exhibit 10.12 to the Company’s Registration Statement on Form S-1 (File No. 333-202938) filed with the Securities and Exchange Commission on March 23, 2015. Pursuant to the terms of the indemnification agreement, the Company may be required, among other things, to indemnify Dr. Hewes for some expenses, including attorneys’ fees, judgments, fines and settlement amounts incurred by his in any action or proceeding arising out of his service as one of our officers. Dr.</w:t>
      </w:r>
    </w:p>
    <w:p>
      <w:pPr>
        <w:spacing w:after="0" w:line="2" w:lineRule="exact"/>
        <w:rPr>
          <w:sz w:val="20"/>
          <w:szCs w:val="20"/>
          <w:color w:val="auto"/>
        </w:rPr>
      </w:pPr>
    </w:p>
    <w:p>
      <w:pPr>
        <w:ind w:right="540"/>
        <w:spacing w:after="0" w:line="278" w:lineRule="auto"/>
        <w:rPr>
          <w:sz w:val="20"/>
          <w:szCs w:val="20"/>
          <w:color w:val="auto"/>
        </w:rPr>
      </w:pPr>
      <w:r>
        <w:rPr>
          <w:rFonts w:ascii="Arial" w:cs="Arial" w:eastAsia="Arial" w:hAnsi="Arial"/>
          <w:sz w:val="14"/>
          <w:szCs w:val="14"/>
          <w:color w:val="212529"/>
        </w:rPr>
        <w:t>Hewes has also previously entered into a confidentiality, assignment and non-competition agreement that contains, among other things, non-competition and non-solicitation provisions that apply during the term of Dr. Hewes’ employment and for 12 months thereafter.</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3"/>
          <w:szCs w:val="13"/>
          <w:color w:val="212529"/>
        </w:rPr>
        <w:t>Dr. Hewes has no family relationship with any of the executive officers or directors of the Company. There are no arrangements or understandings between Dr.</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212529"/>
        </w:rPr>
        <w:t>Hewes and any other person pursuant to which he was appointed as an officer of the Company.</w:t>
      </w:r>
    </w:p>
    <w:p>
      <w:pPr>
        <w:spacing w:after="0" w:line="178" w:lineRule="exact"/>
        <w:rPr>
          <w:sz w:val="20"/>
          <w:szCs w:val="20"/>
          <w:color w:val="auto"/>
        </w:rPr>
      </w:pPr>
    </w:p>
    <w:p>
      <w:pPr>
        <w:ind w:right="20" w:firstLine="522"/>
        <w:spacing w:after="0" w:line="292" w:lineRule="auto"/>
        <w:rPr>
          <w:sz w:val="20"/>
          <w:szCs w:val="20"/>
          <w:color w:val="auto"/>
        </w:rPr>
      </w:pPr>
      <w:r>
        <w:rPr>
          <w:rFonts w:ascii="Arial" w:cs="Arial" w:eastAsia="Arial" w:hAnsi="Arial"/>
          <w:sz w:val="14"/>
          <w:szCs w:val="14"/>
          <w:color w:val="212529"/>
        </w:rPr>
        <w:t>The foregoing description of the amended and restated employment agreement with Dr. Hewes is qualified in its entirety by reference to the complete text of such agreement, a copy of which is attached as Exhibit 10.2 to this Current Report on Form 8-K.</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212529"/>
        </w:rPr>
        <w:t>Item 7.01 Regulation FD.</w:t>
      </w:r>
    </w:p>
    <w:p>
      <w:pPr>
        <w:spacing w:after="0" w:line="191" w:lineRule="exact"/>
        <w:rPr>
          <w:sz w:val="20"/>
          <w:szCs w:val="20"/>
          <w:color w:val="auto"/>
        </w:rPr>
      </w:pPr>
    </w:p>
    <w:p>
      <w:pPr>
        <w:jc w:val="both"/>
        <w:ind w:right="60" w:firstLine="522"/>
        <w:spacing w:after="0" w:line="275" w:lineRule="auto"/>
        <w:rPr>
          <w:sz w:val="20"/>
          <w:szCs w:val="20"/>
          <w:color w:val="auto"/>
        </w:rPr>
      </w:pPr>
      <w:r>
        <w:rPr>
          <w:rFonts w:ascii="Arial" w:cs="Arial" w:eastAsia="Arial" w:hAnsi="Arial"/>
          <w:sz w:val="14"/>
          <w:szCs w:val="14"/>
          <w:color w:val="auto"/>
        </w:rPr>
        <w:t>From time to time, the Company presents and/or distributes to the investment community at various industry and other conferences slide presentations to provide updates and summaries of its business. The Company is posting to the “Investors &amp; Media” portion of its website at http://ir.blueprintmedicines.com/ a copy of its current corporate slide presentation. A copy of the presentation is furnished as Exhibit 99.1 to this Current Report on Form 8-K.</w:t>
      </w:r>
    </w:p>
    <w:p>
      <w:pPr>
        <w:spacing w:after="0" w:line="142" w:lineRule="exact"/>
        <w:rPr>
          <w:sz w:val="20"/>
          <w:szCs w:val="20"/>
          <w:color w:val="auto"/>
        </w:rPr>
      </w:pPr>
    </w:p>
    <w:p>
      <w:pPr>
        <w:ind w:firstLine="522"/>
        <w:spacing w:after="0" w:line="270" w:lineRule="auto"/>
        <w:rPr>
          <w:sz w:val="20"/>
          <w:szCs w:val="20"/>
          <w:color w:val="auto"/>
        </w:rPr>
      </w:pPr>
      <w:r>
        <w:rPr>
          <w:rFonts w:ascii="Arial" w:cs="Arial" w:eastAsia="Arial" w:hAnsi="Arial"/>
          <w:sz w:val="14"/>
          <w:szCs w:val="14"/>
          <w:color w:val="auto"/>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212529"/>
        </w:rPr>
        <w:t>Item 8.01 Other Events.</w:t>
      </w:r>
    </w:p>
    <w:p>
      <w:pPr>
        <w:spacing w:after="0" w:line="191" w:lineRule="exact"/>
        <w:rPr>
          <w:sz w:val="20"/>
          <w:szCs w:val="20"/>
          <w:color w:val="auto"/>
        </w:rPr>
      </w:pPr>
    </w:p>
    <w:p>
      <w:pPr>
        <w:ind w:right="100" w:firstLine="522"/>
        <w:spacing w:after="0" w:line="292" w:lineRule="auto"/>
        <w:rPr>
          <w:sz w:val="20"/>
          <w:szCs w:val="20"/>
          <w:color w:val="auto"/>
        </w:rPr>
      </w:pPr>
      <w:r>
        <w:rPr>
          <w:rFonts w:ascii="Arial" w:cs="Arial" w:eastAsia="Arial" w:hAnsi="Arial"/>
          <w:sz w:val="14"/>
          <w:szCs w:val="14"/>
          <w:color w:val="auto"/>
        </w:rPr>
        <w:t>On January 11, 2021, the Company issued a press release announcing its corporate goals for 2021 and certain other business updates. A copy of the press release is filed herewith as Exhibit 99.2 to this Current Report on Form 8-K and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480" w:type="dxa"/>
            <w:vAlign w:val="bottom"/>
          </w:tcPr>
          <w:p>
            <w:pPr>
              <w:spacing w:after="0"/>
              <w:rPr>
                <w:sz w:val="20"/>
                <w:szCs w:val="20"/>
                <w:color w:val="auto"/>
              </w:rPr>
            </w:pPr>
            <w:r>
              <w:rPr>
                <w:rFonts w:ascii="Arial" w:cs="Arial" w:eastAsia="Arial" w:hAnsi="Arial"/>
                <w:sz w:val="14"/>
                <w:szCs w:val="14"/>
                <w:color w:val="auto"/>
              </w:rPr>
              <w:t>(d) Exhibits.</w:t>
            </w:r>
          </w:p>
        </w:tc>
        <w:tc>
          <w:tcPr>
            <w:tcW w:w="700" w:type="dxa"/>
            <w:vAlign w:val="bottom"/>
          </w:tcPr>
          <w:p>
            <w:pPr>
              <w:spacing w:after="0"/>
              <w:rPr>
                <w:sz w:val="15"/>
                <w:szCs w:val="15"/>
                <w:color w:val="auto"/>
              </w:rPr>
            </w:pPr>
          </w:p>
        </w:tc>
        <w:tc>
          <w:tcPr>
            <w:tcW w:w="7620" w:type="dxa"/>
            <w:vAlign w:val="bottom"/>
          </w:tcPr>
          <w:p>
            <w:pPr>
              <w:spacing w:after="0"/>
              <w:rPr>
                <w:sz w:val="15"/>
                <w:szCs w:val="15"/>
                <w:color w:val="auto"/>
              </w:rPr>
            </w:pPr>
          </w:p>
        </w:tc>
      </w:tr>
      <w:tr>
        <w:trPr>
          <w:trHeight w:val="393"/>
        </w:trPr>
        <w:tc>
          <w:tcPr>
            <w:tcW w:w="14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83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152"/>
        </w:trPr>
        <w:tc>
          <w:tcPr>
            <w:tcW w:w="1480" w:type="dxa"/>
            <w:vAlign w:val="bottom"/>
          </w:tcPr>
          <w:p>
            <w:pPr>
              <w:spacing w:after="0" w:line="152" w:lineRule="exact"/>
              <w:rPr>
                <w:sz w:val="20"/>
                <w:szCs w:val="20"/>
                <w:color w:val="auto"/>
              </w:rPr>
            </w:pPr>
            <w:r>
              <w:rPr>
                <w:rFonts w:ascii="Arial" w:cs="Arial" w:eastAsia="Arial" w:hAnsi="Arial"/>
                <w:sz w:val="14"/>
                <w:szCs w:val="14"/>
                <w:color w:val="auto"/>
              </w:rPr>
              <w:t>10.1#</w:t>
            </w:r>
          </w:p>
        </w:tc>
        <w:tc>
          <w:tcPr>
            <w:tcW w:w="8320" w:type="dxa"/>
            <w:vAlign w:val="bottom"/>
            <w:tcBorders>
              <w:bottom w:val="single" w:sz="8" w:color="0000EE"/>
            </w:tcBorders>
            <w:gridSpan w:val="2"/>
          </w:tcPr>
          <w:p>
            <w:pPr>
              <w:spacing w:after="0" w:line="152" w:lineRule="exact"/>
              <w:rPr>
                <w:rFonts w:ascii="Arial" w:cs="Arial" w:eastAsia="Arial" w:hAnsi="Arial"/>
                <w:sz w:val="14"/>
                <w:szCs w:val="14"/>
                <w:color w:val="0000EE"/>
                <w:w w:val="94"/>
              </w:rPr>
            </w:pPr>
            <w:hyperlink w:anchor="page5">
              <w:r>
                <w:rPr>
                  <w:rFonts w:ascii="Arial" w:cs="Arial" w:eastAsia="Arial" w:hAnsi="Arial"/>
                  <w:sz w:val="14"/>
                  <w:szCs w:val="14"/>
                  <w:color w:val="0000EE"/>
                  <w:w w:val="94"/>
                </w:rPr>
                <w:t>First Amendment to Employment Agreement, dated January 11, 2021, by and between Blueprint Medicines Corporation and Anthony L. Boral,</w:t>
              </w:r>
            </w:hyperlink>
          </w:p>
        </w:tc>
      </w:tr>
      <w:tr>
        <w:trPr>
          <w:trHeight w:val="154"/>
        </w:trPr>
        <w:tc>
          <w:tcPr>
            <w:tcW w:w="1480" w:type="dxa"/>
            <w:vAlign w:val="bottom"/>
          </w:tcPr>
          <w:p>
            <w:pPr>
              <w:spacing w:after="0"/>
              <w:rPr>
                <w:sz w:val="13"/>
                <w:szCs w:val="13"/>
                <w:color w:val="auto"/>
              </w:rPr>
            </w:pPr>
          </w:p>
        </w:tc>
        <w:tc>
          <w:tcPr>
            <w:tcW w:w="8320" w:type="dxa"/>
            <w:vAlign w:val="bottom"/>
            <w:gridSpan w:val="2"/>
          </w:tcPr>
          <w:p>
            <w:pPr>
              <w:spacing w:after="0" w:line="154" w:lineRule="exact"/>
              <w:rPr>
                <w:rFonts w:ascii="Arial" w:cs="Arial" w:eastAsia="Arial" w:hAnsi="Arial"/>
                <w:sz w:val="14"/>
                <w:szCs w:val="14"/>
                <w:color w:val="0000EE"/>
              </w:rPr>
            </w:pPr>
            <w:hyperlink w:anchor="page5">
              <w:r>
                <w:rPr>
                  <w:rFonts w:ascii="Arial" w:cs="Arial" w:eastAsia="Arial" w:hAnsi="Arial"/>
                  <w:sz w:val="14"/>
                  <w:szCs w:val="14"/>
                  <w:color w:val="0000EE"/>
                </w:rPr>
                <w:t>M.D., Ph.D.</w:t>
              </w:r>
            </w:hyperlink>
          </w:p>
        </w:tc>
      </w:tr>
      <w:tr>
        <w:trPr>
          <w:trHeight w:val="20"/>
        </w:trPr>
        <w:tc>
          <w:tcPr>
            <w:tcW w:w="14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176"/>
        </w:trPr>
        <w:tc>
          <w:tcPr>
            <w:tcW w:w="1480" w:type="dxa"/>
            <w:vAlign w:val="bottom"/>
          </w:tcPr>
          <w:p>
            <w:pPr>
              <w:spacing w:after="0"/>
              <w:rPr>
                <w:sz w:val="20"/>
                <w:szCs w:val="20"/>
                <w:color w:val="auto"/>
              </w:rPr>
            </w:pPr>
            <w:r>
              <w:rPr>
                <w:rFonts w:ascii="Arial" w:cs="Arial" w:eastAsia="Arial" w:hAnsi="Arial"/>
                <w:sz w:val="14"/>
                <w:szCs w:val="14"/>
                <w:color w:val="auto"/>
              </w:rPr>
              <w:t>10.2#</w:t>
            </w:r>
          </w:p>
        </w:tc>
        <w:tc>
          <w:tcPr>
            <w:tcW w:w="8320" w:type="dxa"/>
            <w:vAlign w:val="bottom"/>
            <w:gridSpan w:val="2"/>
          </w:tcPr>
          <w:p>
            <w:pPr>
              <w:spacing w:after="0"/>
              <w:rPr>
                <w:rFonts w:ascii="Arial" w:cs="Arial" w:eastAsia="Arial" w:hAnsi="Arial"/>
                <w:sz w:val="14"/>
                <w:szCs w:val="14"/>
                <w:u w:val="single" w:color="auto"/>
                <w:color w:val="0000EE"/>
              </w:rPr>
            </w:pPr>
            <w:hyperlink w:anchor="page9">
              <w:r>
                <w:rPr>
                  <w:rFonts w:ascii="Arial" w:cs="Arial" w:eastAsia="Arial" w:hAnsi="Arial"/>
                  <w:sz w:val="14"/>
                  <w:szCs w:val="14"/>
                  <w:u w:val="single" w:color="auto"/>
                  <w:color w:val="0000EE"/>
                </w:rPr>
                <w:t>Amended and Restated Employment Agreement, dated January 11, 2021, by and between the Registrant and Becker Hewes, M.D.</w:t>
              </w:r>
            </w:hyperlink>
          </w:p>
        </w:tc>
      </w:tr>
      <w:tr>
        <w:trPr>
          <w:trHeight w:val="174"/>
        </w:trPr>
        <w:tc>
          <w:tcPr>
            <w:tcW w:w="1480" w:type="dxa"/>
            <w:vAlign w:val="bottom"/>
          </w:tcPr>
          <w:p>
            <w:pPr>
              <w:spacing w:after="0"/>
              <w:rPr>
                <w:sz w:val="20"/>
                <w:szCs w:val="20"/>
                <w:color w:val="auto"/>
              </w:rPr>
            </w:pPr>
            <w:r>
              <w:rPr>
                <w:rFonts w:ascii="Arial" w:cs="Arial" w:eastAsia="Arial" w:hAnsi="Arial"/>
                <w:sz w:val="14"/>
                <w:szCs w:val="14"/>
                <w:color w:val="auto"/>
              </w:rPr>
              <w:t>99.1</w:t>
            </w:r>
          </w:p>
        </w:tc>
        <w:tc>
          <w:tcPr>
            <w:tcW w:w="8320" w:type="dxa"/>
            <w:vAlign w:val="bottom"/>
            <w:gridSpan w:val="2"/>
          </w:tcPr>
          <w:p>
            <w:pPr>
              <w:spacing w:after="0"/>
              <w:rPr>
                <w:rFonts w:ascii="Arial" w:cs="Arial" w:eastAsia="Arial" w:hAnsi="Arial"/>
                <w:sz w:val="14"/>
                <w:szCs w:val="14"/>
                <w:u w:val="single" w:color="auto"/>
                <w:color w:val="0000EE"/>
              </w:rPr>
            </w:pPr>
            <w:hyperlink w:anchor="page22">
              <w:r>
                <w:rPr>
                  <w:rFonts w:ascii="Arial" w:cs="Arial" w:eastAsia="Arial" w:hAnsi="Arial"/>
                  <w:sz w:val="14"/>
                  <w:szCs w:val="14"/>
                  <w:u w:val="single" w:color="auto"/>
                  <w:color w:val="0000EE"/>
                </w:rPr>
                <w:t>Corporate slide presentation of Blueprint Medicines Corporation dated January 11, 2021</w:t>
              </w:r>
            </w:hyperlink>
          </w:p>
        </w:tc>
      </w:tr>
      <w:tr>
        <w:trPr>
          <w:trHeight w:val="174"/>
        </w:trPr>
        <w:tc>
          <w:tcPr>
            <w:tcW w:w="1480" w:type="dxa"/>
            <w:vAlign w:val="bottom"/>
          </w:tcPr>
          <w:p>
            <w:pPr>
              <w:spacing w:after="0"/>
              <w:rPr>
                <w:sz w:val="20"/>
                <w:szCs w:val="20"/>
                <w:color w:val="auto"/>
              </w:rPr>
            </w:pPr>
            <w:r>
              <w:rPr>
                <w:rFonts w:ascii="Arial" w:cs="Arial" w:eastAsia="Arial" w:hAnsi="Arial"/>
                <w:sz w:val="14"/>
                <w:szCs w:val="14"/>
                <w:color w:val="auto"/>
              </w:rPr>
              <w:t>99.2</w:t>
            </w:r>
          </w:p>
        </w:tc>
        <w:tc>
          <w:tcPr>
            <w:tcW w:w="8320" w:type="dxa"/>
            <w:vAlign w:val="bottom"/>
            <w:gridSpan w:val="2"/>
          </w:tcPr>
          <w:p>
            <w:pPr>
              <w:spacing w:after="0"/>
              <w:rPr>
                <w:rFonts w:ascii="Arial" w:cs="Arial" w:eastAsia="Arial" w:hAnsi="Arial"/>
                <w:sz w:val="14"/>
                <w:szCs w:val="14"/>
                <w:u w:val="single" w:color="auto"/>
                <w:color w:val="0000EE"/>
              </w:rPr>
            </w:pPr>
            <w:hyperlink w:anchor="page51">
              <w:r>
                <w:rPr>
                  <w:rFonts w:ascii="Arial" w:cs="Arial" w:eastAsia="Arial" w:hAnsi="Arial"/>
                  <w:sz w:val="14"/>
                  <w:szCs w:val="14"/>
                  <w:u w:val="single" w:color="auto"/>
                  <w:color w:val="0000EE"/>
                </w:rPr>
                <w:t>Press release issued by Blueprint Medicines Corporation on January 11, 2021</w:t>
              </w:r>
            </w:hyperlink>
          </w:p>
        </w:tc>
      </w:tr>
      <w:tr>
        <w:trPr>
          <w:trHeight w:val="183"/>
        </w:trPr>
        <w:tc>
          <w:tcPr>
            <w:tcW w:w="1480" w:type="dxa"/>
            <w:vAlign w:val="bottom"/>
          </w:tcPr>
          <w:p>
            <w:pPr>
              <w:spacing w:after="0"/>
              <w:rPr>
                <w:sz w:val="20"/>
                <w:szCs w:val="20"/>
                <w:color w:val="auto"/>
              </w:rPr>
            </w:pPr>
            <w:r>
              <w:rPr>
                <w:rFonts w:ascii="Arial" w:cs="Arial" w:eastAsia="Arial" w:hAnsi="Arial"/>
                <w:sz w:val="14"/>
                <w:szCs w:val="14"/>
                <w:color w:val="auto"/>
              </w:rPr>
              <w:t>104</w:t>
            </w:r>
          </w:p>
        </w:tc>
        <w:tc>
          <w:tcPr>
            <w:tcW w:w="8320" w:type="dxa"/>
            <w:vAlign w:val="bottom"/>
            <w:gridSpan w:val="2"/>
          </w:tcPr>
          <w:p>
            <w:pPr>
              <w:spacing w:after="0"/>
              <w:rPr>
                <w:sz w:val="20"/>
                <w:szCs w:val="20"/>
                <w:color w:val="auto"/>
              </w:rPr>
            </w:pPr>
            <w:r>
              <w:rPr>
                <w:rFonts w:ascii="Arial" w:cs="Arial" w:eastAsia="Arial" w:hAnsi="Arial"/>
                <w:sz w:val="14"/>
                <w:szCs w:val="14"/>
                <w:color w:val="auto"/>
              </w:rPr>
              <w:t>Cover Page Interactive Data File (embedded within the Inline XBRL document and incorporated as Exhibit 101)</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 or arrangement.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395605</wp:posOffset>
            </wp:positionV>
            <wp:extent cx="631698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16980" cy="2095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3" w:name="page4"/>
    <w:bookmarkEnd w:id="3"/>
    <w:p>
      <w:pPr>
        <w:jc w:val="center"/>
        <w:ind w:right="-419"/>
        <w:spacing w:after="0"/>
        <w:rPr>
          <w:sz w:val="20"/>
          <w:szCs w:val="20"/>
          <w:color w:val="auto"/>
        </w:rPr>
      </w:pPr>
      <w:r>
        <w:rPr>
          <w:rFonts w:ascii="Arial" w:cs="Arial" w:eastAsia="Arial" w:hAnsi="Arial"/>
          <w:sz w:val="14"/>
          <w:szCs w:val="14"/>
          <w:b w:val="1"/>
          <w:bCs w:val="1"/>
          <w:color w:val="auto"/>
        </w:rPr>
        <w:t>SIGNATURES</w:t>
      </w:r>
    </w:p>
    <w:p>
      <w:pPr>
        <w:spacing w:after="0" w:line="191" w:lineRule="exact"/>
        <w:rPr>
          <w:sz w:val="20"/>
          <w:szCs w:val="20"/>
          <w:color w:val="auto"/>
        </w:rPr>
      </w:pPr>
    </w:p>
    <w:p>
      <w:pPr>
        <w:ind w:firstLine="522"/>
        <w:spacing w:after="0" w:line="292"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344"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5680" w:val="left"/>
          <w:tab w:leader="none" w:pos="6040" w:val="left"/>
        </w:tabs>
        <w:rPr>
          <w:sz w:val="20"/>
          <w:szCs w:val="20"/>
          <w:color w:val="auto"/>
        </w:rPr>
      </w:pPr>
      <w:r>
        <w:rPr>
          <w:rFonts w:ascii="Arial" w:cs="Arial" w:eastAsia="Arial" w:hAnsi="Arial"/>
          <w:sz w:val="14"/>
          <w:szCs w:val="14"/>
          <w:color w:val="auto"/>
        </w:rPr>
        <w:t>Date: January 11,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21590</wp:posOffset>
            </wp:positionV>
            <wp:extent cx="247142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71420" cy="6985"/>
                    </a:xfrm>
                    <a:prstGeom prst="rect">
                      <a:avLst/>
                    </a:prstGeom>
                    <a:noFill/>
                  </pic:spPr>
                </pic:pic>
              </a:graphicData>
            </a:graphic>
          </wp:anchor>
        </w:drawing>
      </w:r>
    </w:p>
    <w:p>
      <w:pPr>
        <w:spacing w:after="0" w:line="47" w:lineRule="exact"/>
        <w:rPr>
          <w:sz w:val="20"/>
          <w:szCs w:val="20"/>
          <w:color w:val="auto"/>
        </w:rPr>
      </w:pPr>
    </w:p>
    <w:p>
      <w:pPr>
        <w:ind w:left="6060"/>
        <w:spacing w:after="0"/>
        <w:rPr>
          <w:sz w:val="20"/>
          <w:szCs w:val="20"/>
          <w:color w:val="auto"/>
        </w:rPr>
      </w:pPr>
      <w:r>
        <w:rPr>
          <w:rFonts w:ascii="Arial" w:cs="Arial" w:eastAsia="Arial" w:hAnsi="Arial"/>
          <w:sz w:val="14"/>
          <w:szCs w:val="14"/>
          <w:color w:val="auto"/>
        </w:rPr>
        <w:t>Jeffrey W. Albers</w:t>
      </w:r>
    </w:p>
    <w:p>
      <w:pPr>
        <w:spacing w:after="0" w:line="35" w:lineRule="exact"/>
        <w:rPr>
          <w:sz w:val="20"/>
          <w:szCs w:val="20"/>
          <w:color w:val="auto"/>
        </w:rPr>
      </w:pPr>
    </w:p>
    <w:p>
      <w:pPr>
        <w:ind w:left="6060"/>
        <w:spacing w:after="0"/>
        <w:rPr>
          <w:sz w:val="20"/>
          <w:szCs w:val="20"/>
          <w:color w:val="auto"/>
        </w:rPr>
      </w:pPr>
      <w:r>
        <w:rPr>
          <w:rFonts w:ascii="Arial" w:cs="Arial" w:eastAsia="Arial" w:hAnsi="Arial"/>
          <w:sz w:val="14"/>
          <w:szCs w:val="14"/>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401320</wp:posOffset>
            </wp:positionV>
            <wp:extent cx="631698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6980" cy="20955"/>
                    </a:xfrm>
                    <a:prstGeom prst="rect">
                      <a:avLst/>
                    </a:prstGeom>
                    <a:noFill/>
                  </pic:spPr>
                </pic:pic>
              </a:graphicData>
            </a:graphic>
          </wp:anchor>
        </w:drawing>
      </w:r>
    </w:p>
    <w:p>
      <w:pPr>
        <w:sectPr>
          <w:pgSz w:w="11900" w:h="16838" w:orient="portrait"/>
          <w:cols w:equalWidth="0" w:num="1">
            <w:col w:w="9540"/>
          </w:cols>
          <w:pgMar w:left="960" w:top="886" w:right="1399" w:bottom="1440" w:gutter="0" w:footer="0" w:header="0"/>
        </w:sectPr>
      </w:pPr>
    </w:p>
    <w:bookmarkStart w:id="4" w:name="page5"/>
    <w:bookmarkEnd w:id="4"/>
    <w:p>
      <w:pPr>
        <w:jc w:val="right"/>
        <w:ind w:right="199"/>
        <w:spacing w:after="0"/>
        <w:rPr>
          <w:sz w:val="20"/>
          <w:szCs w:val="20"/>
          <w:color w:val="auto"/>
        </w:rPr>
      </w:pPr>
      <w:r>
        <w:rPr>
          <w:rFonts w:ascii="Arial" w:cs="Arial" w:eastAsia="Arial" w:hAnsi="Arial"/>
          <w:sz w:val="17"/>
          <w:szCs w:val="17"/>
          <w:color w:val="auto"/>
        </w:rPr>
        <w:t>Exhibit 10.1</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FIRST AMENDMENT TO EMPLOYMENT AGREEMENT</w:t>
      </w:r>
    </w:p>
    <w:p>
      <w:pPr>
        <w:spacing w:after="0" w:line="196" w:lineRule="exact"/>
        <w:rPr>
          <w:sz w:val="20"/>
          <w:szCs w:val="20"/>
          <w:color w:val="auto"/>
        </w:rPr>
      </w:pPr>
    </w:p>
    <w:p>
      <w:pPr>
        <w:ind w:left="200" w:right="259" w:firstLine="522"/>
        <w:spacing w:after="0" w:line="253" w:lineRule="auto"/>
        <w:rPr>
          <w:sz w:val="20"/>
          <w:szCs w:val="20"/>
          <w:color w:val="auto"/>
        </w:rPr>
      </w:pPr>
      <w:r>
        <w:rPr>
          <w:rFonts w:ascii="Arial" w:cs="Arial" w:eastAsia="Arial" w:hAnsi="Arial"/>
          <w:sz w:val="17"/>
          <w:szCs w:val="17"/>
          <w:color w:val="auto"/>
        </w:rPr>
        <w:t>This First Amendment to Employment Agreement (the “</w:t>
      </w:r>
      <w:r>
        <w:rPr>
          <w:rFonts w:ascii="Arial" w:cs="Arial" w:eastAsia="Arial" w:hAnsi="Arial"/>
          <w:sz w:val="17"/>
          <w:szCs w:val="17"/>
          <w:b w:val="1"/>
          <w:bCs w:val="1"/>
          <w:color w:val="auto"/>
        </w:rPr>
        <w:t>First Amendment</w:t>
      </w:r>
      <w:r>
        <w:rPr>
          <w:rFonts w:ascii="Arial" w:cs="Arial" w:eastAsia="Arial" w:hAnsi="Arial"/>
          <w:sz w:val="17"/>
          <w:szCs w:val="17"/>
          <w:color w:val="auto"/>
        </w:rPr>
        <w:t>”) between Blueprint Medicines Corporation,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Anthony L. Boral (the “</w:t>
      </w:r>
      <w:r>
        <w:rPr>
          <w:rFonts w:ascii="Arial" w:cs="Arial" w:eastAsia="Arial" w:hAnsi="Arial"/>
          <w:sz w:val="17"/>
          <w:szCs w:val="17"/>
          <w:b w:val="1"/>
          <w:bCs w:val="1"/>
          <w:color w:val="auto"/>
        </w:rPr>
        <w:t>Executive</w:t>
      </w:r>
      <w:r>
        <w:rPr>
          <w:rFonts w:ascii="Arial" w:cs="Arial" w:eastAsia="Arial" w:hAnsi="Arial"/>
          <w:sz w:val="17"/>
          <w:szCs w:val="17"/>
          <w:color w:val="auto"/>
        </w:rPr>
        <w:t>”), is effective as of January 11, 2021 (the “</w:t>
      </w:r>
      <w:r>
        <w:rPr>
          <w:rFonts w:ascii="Arial" w:cs="Arial" w:eastAsia="Arial" w:hAnsi="Arial"/>
          <w:sz w:val="17"/>
          <w:szCs w:val="17"/>
          <w:b w:val="1"/>
          <w:bCs w:val="1"/>
          <w:color w:val="auto"/>
        </w:rPr>
        <w:t>Amendment Effective Date</w:t>
      </w:r>
      <w:r>
        <w:rPr>
          <w:rFonts w:ascii="Arial" w:cs="Arial" w:eastAsia="Arial" w:hAnsi="Arial"/>
          <w:sz w:val="17"/>
          <w:szCs w:val="17"/>
          <w:color w:val="auto"/>
        </w:rPr>
        <w:t>”). Capitalized terms used and not defined herein shall have the meanings ascribed to such terms in the Employment Agreement (as defined below).</w:t>
      </w:r>
    </w:p>
    <w:p>
      <w:pPr>
        <w:spacing w:after="0" w:line="160" w:lineRule="exact"/>
        <w:rPr>
          <w:sz w:val="20"/>
          <w:szCs w:val="20"/>
          <w:color w:val="auto"/>
        </w:rPr>
      </w:pPr>
    </w:p>
    <w:p>
      <w:pPr>
        <w:ind w:left="200" w:right="459" w:firstLine="522"/>
        <w:spacing w:after="0" w:line="271" w:lineRule="auto"/>
        <w:rPr>
          <w:sz w:val="20"/>
          <w:szCs w:val="20"/>
          <w:color w:val="auto"/>
        </w:rPr>
      </w:pPr>
      <w:r>
        <w:rPr>
          <w:rFonts w:ascii="Arial" w:cs="Arial" w:eastAsia="Arial" w:hAnsi="Arial"/>
          <w:sz w:val="17"/>
          <w:szCs w:val="17"/>
          <w:color w:val="auto"/>
        </w:rPr>
        <w:t>WHEREAS, the Company and the Executive are parties to the Employment Agreement dated as of November 6, 2015 (the “</w:t>
      </w:r>
      <w:r>
        <w:rPr>
          <w:rFonts w:ascii="Arial" w:cs="Arial" w:eastAsia="Arial" w:hAnsi="Arial"/>
          <w:sz w:val="17"/>
          <w:szCs w:val="17"/>
          <w:b w:val="1"/>
          <w:bCs w:val="1"/>
          <w:color w:val="auto"/>
        </w:rPr>
        <w:t>Employment Agreement</w:t>
      </w:r>
      <w:r>
        <w:rPr>
          <w:rFonts w:ascii="Arial" w:cs="Arial" w:eastAsia="Arial" w:hAnsi="Arial"/>
          <w:sz w:val="17"/>
          <w:szCs w:val="17"/>
          <w:color w:val="auto"/>
        </w:rPr>
        <w:t>”); and</w:t>
      </w:r>
    </w:p>
    <w:p>
      <w:pPr>
        <w:spacing w:after="0" w:line="124" w:lineRule="exact"/>
        <w:rPr>
          <w:sz w:val="20"/>
          <w:szCs w:val="20"/>
          <w:color w:val="auto"/>
        </w:rPr>
      </w:pPr>
    </w:p>
    <w:p>
      <w:pPr>
        <w:ind w:left="200" w:right="539" w:firstLine="522"/>
        <w:spacing w:after="0" w:line="255" w:lineRule="auto"/>
        <w:rPr>
          <w:sz w:val="20"/>
          <w:szCs w:val="20"/>
          <w:color w:val="auto"/>
        </w:rPr>
      </w:pPr>
      <w:r>
        <w:rPr>
          <w:rFonts w:ascii="Arial" w:cs="Arial" w:eastAsia="Arial" w:hAnsi="Arial"/>
          <w:sz w:val="17"/>
          <w:szCs w:val="17"/>
          <w:color w:val="auto"/>
        </w:rPr>
        <w:t>WHEREAS, the Company and the Executive desire to amend the Employment Agreement as set forth below in connection with the mutually agreed upon reduction in the amount of the Executive’s time that will be devoted to the Company;</w:t>
      </w:r>
    </w:p>
    <w:p>
      <w:pPr>
        <w:spacing w:after="0" w:line="160" w:lineRule="exact"/>
        <w:rPr>
          <w:sz w:val="20"/>
          <w:szCs w:val="20"/>
          <w:color w:val="auto"/>
        </w:rPr>
      </w:pPr>
    </w:p>
    <w:p>
      <w:pPr>
        <w:ind w:left="200" w:right="299" w:firstLine="522"/>
        <w:spacing w:after="0" w:line="255" w:lineRule="auto"/>
        <w:rPr>
          <w:sz w:val="20"/>
          <w:szCs w:val="20"/>
          <w:color w:val="auto"/>
        </w:rPr>
      </w:pPr>
      <w:r>
        <w:rPr>
          <w:rFonts w:ascii="Arial" w:cs="Arial" w:eastAsia="Arial" w:hAnsi="Arial"/>
          <w:sz w:val="17"/>
          <w:szCs w:val="17"/>
          <w:color w:val="auto"/>
        </w:rPr>
        <w:t>NOW, THEREFORE, for good and valuable consideration, the receipt of which is hereby confirmed, the Company and the Executive agree that the Employment Agreement is amended effective as of the Amendment Effective Date, as follows:</w:t>
      </w:r>
    </w:p>
    <w:p>
      <w:pPr>
        <w:spacing w:after="0" w:line="160" w:lineRule="exact"/>
        <w:rPr>
          <w:sz w:val="20"/>
          <w:szCs w:val="20"/>
          <w:color w:val="auto"/>
        </w:rPr>
      </w:pPr>
    </w:p>
    <w:p>
      <w:pPr>
        <w:ind w:left="1240" w:hanging="526"/>
        <w:spacing w:after="0"/>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Section 1(b) of the Employment Agreement shall be replaced in its entirety with the following:</w:t>
      </w:r>
    </w:p>
    <w:p>
      <w:pPr>
        <w:spacing w:after="0" w:line="196" w:lineRule="exact"/>
        <w:rPr>
          <w:sz w:val="20"/>
          <w:szCs w:val="20"/>
          <w:color w:val="auto"/>
        </w:rPr>
      </w:pPr>
    </w:p>
    <w:p>
      <w:pPr>
        <w:ind w:left="720" w:right="319" w:firstLine="522"/>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Position and Duties</w:t>
      </w:r>
      <w:r>
        <w:rPr>
          <w:rFonts w:ascii="Arial" w:cs="Arial" w:eastAsia="Arial" w:hAnsi="Arial"/>
          <w:sz w:val="16"/>
          <w:szCs w:val="16"/>
          <w:color w:val="auto"/>
        </w:rPr>
        <w:t>. The Executive shall serve as Executive Vice President, Clinical Development, of the Company. As Executive Vice President, Clinical Development, the Executive shall report to, and perform services for the Company as determined by, the Company’s President, Research and Development (“</w:t>
      </w:r>
      <w:r>
        <w:rPr>
          <w:rFonts w:ascii="Arial" w:cs="Arial" w:eastAsia="Arial" w:hAnsi="Arial"/>
          <w:sz w:val="16"/>
          <w:szCs w:val="16"/>
          <w:b w:val="1"/>
          <w:bCs w:val="1"/>
          <w:color w:val="auto"/>
        </w:rPr>
        <w:t>President, R&amp;D”</w:t>
      </w:r>
      <w:r>
        <w:rPr>
          <w:rFonts w:ascii="Arial" w:cs="Arial" w:eastAsia="Arial" w:hAnsi="Arial"/>
          <w:sz w:val="16"/>
          <w:szCs w:val="16"/>
          <w:color w:val="auto"/>
        </w:rPr>
        <w:t>) or another executive designated by the Company. The Executive acknowledges and agrees that his role as Executive Vice President, Clinical Development, may change from time to time, and such changes shall not constitute “Good Reason” as defined herein unless they are made without his consent and constitute a material diminution in the Executive’s responsibilities, authority or duties, in the aggregate, as Executive Vice President, Clinical Development. The Executive will devote sixty percent (60%) of his full working time and efforts to the business and affairs of the Company. The Executive may engage in outside professional activities including by serving on other boards of directors, provided such activities do not pose a conflict of interest and are approved in advance by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The Executive may also engage in religious, charitable, or other community activities as long as such services and activities do not materially interfere with the performance of his duties to the Company as provided in this Agreement.”</w:t>
      </w:r>
    </w:p>
    <w:p>
      <w:pPr>
        <w:spacing w:after="0" w:line="159" w:lineRule="exact"/>
        <w:rPr>
          <w:sz w:val="20"/>
          <w:szCs w:val="20"/>
          <w:color w:val="auto"/>
        </w:rPr>
      </w:pPr>
    </w:p>
    <w:p>
      <w:pPr>
        <w:ind w:left="1200" w:hanging="486"/>
        <w:spacing w:after="0"/>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Section 2(a) of the Employment Agreement shall be replaced in its entirety with the following:</w:t>
      </w:r>
    </w:p>
    <w:p>
      <w:pPr>
        <w:spacing w:after="0" w:line="196" w:lineRule="exact"/>
        <w:rPr>
          <w:sz w:val="20"/>
          <w:szCs w:val="20"/>
          <w:color w:val="auto"/>
        </w:rPr>
      </w:pPr>
    </w:p>
    <w:p>
      <w:pPr>
        <w:ind w:left="720" w:right="279" w:firstLine="522"/>
        <w:spacing w:after="0" w:line="25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Salary</w:t>
      </w:r>
      <w:r>
        <w:rPr>
          <w:rFonts w:ascii="Arial" w:cs="Arial" w:eastAsia="Arial" w:hAnsi="Arial"/>
          <w:sz w:val="17"/>
          <w:szCs w:val="17"/>
          <w:color w:val="auto"/>
        </w:rPr>
        <w:t>. The Executive’s annualized base salary shall be $286,196. The Executive’s annualized base salary shall be reviewed annually and may be subject to increase but not decrease (other than for any mutually agreed-upon reduction in the amount of the Executive’s time that will be devoted to the Company) while serving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391160</wp:posOffset>
            </wp:positionV>
            <wp:extent cx="547433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74335" cy="209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ind w:left="720" w:right="419"/>
        <w:spacing w:after="0" w:line="255" w:lineRule="auto"/>
        <w:rPr>
          <w:sz w:val="20"/>
          <w:szCs w:val="20"/>
          <w:color w:val="auto"/>
        </w:rPr>
      </w:pPr>
      <w:r>
        <w:rPr>
          <w:rFonts w:ascii="Arial" w:cs="Arial" w:eastAsia="Arial" w:hAnsi="Arial"/>
          <w:sz w:val="17"/>
          <w:szCs w:val="17"/>
          <w:color w:val="auto"/>
        </w:rPr>
        <w:t>role as Executive Vice President, Clinical Development. The annualized base salary in effect at any given time is referred to herein as “</w:t>
      </w:r>
      <w:r>
        <w:rPr>
          <w:rFonts w:ascii="Arial" w:cs="Arial" w:eastAsia="Arial" w:hAnsi="Arial"/>
          <w:sz w:val="17"/>
          <w:szCs w:val="17"/>
          <w:b w:val="1"/>
          <w:bCs w:val="1"/>
          <w:color w:val="auto"/>
        </w:rPr>
        <w:t>Base Salary</w:t>
      </w:r>
      <w:r>
        <w:rPr>
          <w:rFonts w:ascii="Arial" w:cs="Arial" w:eastAsia="Arial" w:hAnsi="Arial"/>
          <w:sz w:val="17"/>
          <w:szCs w:val="17"/>
          <w:color w:val="auto"/>
        </w:rPr>
        <w:t>.” The Base Salary shall be payable in a manner that is consistent with the Company’s usual payroll practices for senior executives.”</w:t>
      </w:r>
    </w:p>
    <w:p>
      <w:pPr>
        <w:spacing w:after="0" w:line="160" w:lineRule="exact"/>
        <w:rPr>
          <w:sz w:val="20"/>
          <w:szCs w:val="20"/>
          <w:color w:val="auto"/>
        </w:rPr>
      </w:pPr>
    </w:p>
    <w:p>
      <w:pPr>
        <w:ind w:left="1240" w:hanging="526"/>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Section 2(b) of the Employment Agreement shall be replaced in its entirety with the following:</w:t>
      </w:r>
    </w:p>
    <w:p>
      <w:pPr>
        <w:spacing w:after="0" w:line="196" w:lineRule="exact"/>
        <w:rPr>
          <w:sz w:val="20"/>
          <w:szCs w:val="20"/>
          <w:color w:val="auto"/>
        </w:rPr>
      </w:pPr>
    </w:p>
    <w:p>
      <w:pPr>
        <w:ind w:left="720" w:right="239" w:firstLine="522"/>
        <w:spacing w:after="0" w:line="279" w:lineRule="auto"/>
        <w:rPr>
          <w:sz w:val="20"/>
          <w:szCs w:val="20"/>
          <w:color w:val="auto"/>
        </w:rPr>
      </w:pPr>
      <w:r>
        <w:rPr>
          <w:rFonts w:ascii="Arial" w:cs="Arial" w:eastAsia="Arial" w:hAnsi="Arial"/>
          <w:sz w:val="15"/>
          <w:szCs w:val="15"/>
          <w:u w:val="single" w:color="auto"/>
          <w:color w:val="auto"/>
        </w:rPr>
        <w:t>“Incentive Compensation</w:t>
      </w:r>
      <w:r>
        <w:rPr>
          <w:rFonts w:ascii="Arial" w:cs="Arial" w:eastAsia="Arial" w:hAnsi="Arial"/>
          <w:sz w:val="15"/>
          <w:szCs w:val="15"/>
          <w:color w:val="auto"/>
        </w:rPr>
        <w:t>. During the Term, the Executive shall be eligible to earn cash incentive compensation as determined by the Board or the Compensation Committee of the Board from time to time. Beginning with the performance period for the year ending December 31, 2021, Executive’s target annual incentive compensation shall be 35% of his Base Salary (the “Target Incentive Compensation”), and the Board shall weigh its bonus determination as follows: 60% on Company performance and 40% on Executive’s individual performance. For the avoidance of doubt, for the year ended December 31, 2020, the Executive shall remain eligible to earn incentive compensation based on Executive’s previously determined target annual incentive compensation for such year, which is 45% of his Base Salary, with the Board weighing the bonus determination as 75% on Company performance and 25% on Executive’s individual performance. To earn any incentive compensation, the Executive must be employed by the Company on the day such incentive compensation is paid.”</w:t>
      </w:r>
    </w:p>
    <w:p>
      <w:pPr>
        <w:spacing w:after="0" w:line="147" w:lineRule="exact"/>
        <w:rPr>
          <w:sz w:val="20"/>
          <w:szCs w:val="20"/>
          <w:color w:val="auto"/>
        </w:rPr>
      </w:pPr>
    </w:p>
    <w:p>
      <w:pPr>
        <w:ind w:left="1240" w:hanging="526"/>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Section 2(d) of the Employment Agreement shall be replaced in its entirety with the following:</w:t>
      </w:r>
    </w:p>
    <w:p>
      <w:pPr>
        <w:spacing w:after="0" w:line="196" w:lineRule="exact"/>
        <w:rPr>
          <w:sz w:val="20"/>
          <w:szCs w:val="20"/>
          <w:color w:val="auto"/>
        </w:rPr>
      </w:pPr>
    </w:p>
    <w:p>
      <w:pPr>
        <w:ind w:left="720" w:right="319" w:firstLine="522"/>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Benefits</w:t>
      </w:r>
      <w:r>
        <w:rPr>
          <w:rFonts w:ascii="Arial" w:cs="Arial" w:eastAsia="Arial" w:hAnsi="Arial"/>
          <w:sz w:val="17"/>
          <w:szCs w:val="17"/>
          <w:color w:val="auto"/>
        </w:rPr>
        <w:t>. The Executive shall be eligible to participate in or receive benefits under the Company’s employee benefit plans in effect from time to time to the extent such plans apply to part-time employees working a 60% schedule, subject to the plans’ respective terms and conditions.”</w:t>
      </w:r>
    </w:p>
    <w:p>
      <w:pPr>
        <w:spacing w:after="0" w:line="160" w:lineRule="exact"/>
        <w:rPr>
          <w:sz w:val="20"/>
          <w:szCs w:val="20"/>
          <w:color w:val="auto"/>
        </w:rPr>
      </w:pPr>
    </w:p>
    <w:p>
      <w:pPr>
        <w:ind w:left="1240" w:hanging="526"/>
        <w:spacing w:after="0"/>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Section 2(e) of the Employment Agreement shall be replaced in the entirety with the following:</w:t>
      </w:r>
    </w:p>
    <w:p>
      <w:pPr>
        <w:spacing w:after="0" w:line="196" w:lineRule="exact"/>
        <w:rPr>
          <w:sz w:val="20"/>
          <w:szCs w:val="20"/>
          <w:color w:val="auto"/>
        </w:rPr>
      </w:pPr>
    </w:p>
    <w:p>
      <w:pPr>
        <w:ind w:left="720" w:right="379" w:firstLine="522"/>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Vacation</w:t>
      </w:r>
      <w:r>
        <w:rPr>
          <w:rFonts w:ascii="Arial" w:cs="Arial" w:eastAsia="Arial" w:hAnsi="Arial"/>
          <w:sz w:val="17"/>
          <w:szCs w:val="17"/>
          <w:color w:val="auto"/>
        </w:rPr>
        <w:t>. The Executive shall be entitled to accrue paid vacation during the Term in accordance with the Company’s applicable policy, pro-rated based on his part-time schedule.</w:t>
      </w:r>
    </w:p>
    <w:p>
      <w:pPr>
        <w:spacing w:after="0" w:line="146" w:lineRule="exact"/>
        <w:rPr>
          <w:sz w:val="20"/>
          <w:szCs w:val="20"/>
          <w:color w:val="auto"/>
        </w:rPr>
      </w:pPr>
    </w:p>
    <w:p>
      <w:pPr>
        <w:ind w:left="1240" w:hanging="526"/>
        <w:spacing w:after="0"/>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Section 3(c)(iii) of the Employment Agreement, “CEO” shall be replaced with “President, R&amp;D.”</w:t>
      </w:r>
    </w:p>
    <w:p>
      <w:pPr>
        <w:spacing w:after="0" w:line="195" w:lineRule="exact"/>
        <w:rPr>
          <w:rFonts w:ascii="Arial" w:cs="Arial" w:eastAsia="Arial" w:hAnsi="Arial"/>
          <w:sz w:val="17"/>
          <w:szCs w:val="17"/>
          <w:color w:val="auto"/>
        </w:rPr>
      </w:pPr>
    </w:p>
    <w:p>
      <w:pPr>
        <w:ind w:left="1240" w:hanging="526"/>
        <w:spacing w:after="0"/>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Section 3(e)(i) of the Employment Agreement shall be replaced in its entirety with:</w:t>
      </w:r>
    </w:p>
    <w:p>
      <w:pPr>
        <w:spacing w:after="0" w:line="200" w:lineRule="exact"/>
        <w:rPr>
          <w:rFonts w:ascii="Arial" w:cs="Arial" w:eastAsia="Arial" w:hAnsi="Arial"/>
          <w:sz w:val="17"/>
          <w:szCs w:val="17"/>
          <w:color w:val="auto"/>
        </w:rPr>
      </w:pPr>
    </w:p>
    <w:p>
      <w:pPr>
        <w:spacing w:after="0" w:line="343" w:lineRule="exact"/>
        <w:rPr>
          <w:rFonts w:ascii="Arial" w:cs="Arial" w:eastAsia="Arial" w:hAnsi="Arial"/>
          <w:sz w:val="17"/>
          <w:szCs w:val="17"/>
          <w:color w:val="auto"/>
        </w:rPr>
      </w:pPr>
    </w:p>
    <w:p>
      <w:pPr>
        <w:ind w:left="4460" w:hanging="102"/>
        <w:spacing w:after="0"/>
        <w:tabs>
          <w:tab w:leader="none" w:pos="4460" w:val="left"/>
        </w:tabs>
        <w:numPr>
          <w:ilvl w:val="1"/>
          <w:numId w:val="7"/>
        </w:numPr>
        <w:rPr>
          <w:rFonts w:ascii="Arial" w:cs="Arial" w:eastAsia="Arial" w:hAnsi="Arial"/>
          <w:sz w:val="17"/>
          <w:szCs w:val="17"/>
          <w:color w:val="auto"/>
        </w:rPr>
      </w:pPr>
      <w:r>
        <w:rPr>
          <w:rFonts w:ascii="Arial" w:cs="Arial" w:eastAsia="Arial" w:hAnsi="Arial"/>
          <w:sz w:val="17"/>
          <w:szCs w:val="17"/>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287020</wp:posOffset>
            </wp:positionV>
            <wp:extent cx="547433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74335" cy="20955"/>
                    </a:xfrm>
                    <a:prstGeom prst="rect">
                      <a:avLst/>
                    </a:prstGeom>
                    <a:noFill/>
                  </pic:spPr>
                </pic:pic>
              </a:graphicData>
            </a:graphic>
          </wp:anchor>
        </w:drawing>
      </w:r>
    </w:p>
    <w:p>
      <w:pPr>
        <w:sectPr>
          <w:pgSz w:w="11900" w:h="16838" w:orient="portrait"/>
          <w:cols w:equalWidth="0" w:num="1">
            <w:col w:w="9019"/>
          </w:cols>
          <w:pgMar w:left="1440" w:top="753" w:right="1440" w:bottom="1440" w:gutter="0" w:footer="0" w:header="0"/>
        </w:sectPr>
      </w:pPr>
    </w:p>
    <w:bookmarkStart w:id="6" w:name="page7"/>
    <w:bookmarkEnd w:id="6"/>
    <w:p>
      <w:pPr>
        <w:ind w:left="720" w:right="379" w:firstLine="522"/>
        <w:spacing w:after="0" w:line="271" w:lineRule="auto"/>
        <w:rPr>
          <w:sz w:val="20"/>
          <w:szCs w:val="20"/>
          <w:color w:val="auto"/>
        </w:rPr>
      </w:pPr>
      <w:r>
        <w:rPr>
          <w:rFonts w:ascii="Arial" w:cs="Arial" w:eastAsia="Arial" w:hAnsi="Arial"/>
          <w:sz w:val="17"/>
          <w:szCs w:val="17"/>
          <w:color w:val="auto"/>
        </w:rPr>
        <w:t>“a material diminution in the Executive’s responsibilities, authority or duties, in the aggregate, without the Executive’s consent.”</w:t>
      </w:r>
    </w:p>
    <w:p>
      <w:pPr>
        <w:spacing w:after="0" w:line="146" w:lineRule="exact"/>
        <w:rPr>
          <w:sz w:val="20"/>
          <w:szCs w:val="20"/>
          <w:color w:val="auto"/>
        </w:rPr>
      </w:pPr>
    </w:p>
    <w:p>
      <w:pPr>
        <w:ind w:left="200" w:right="219" w:firstLine="514"/>
        <w:spacing w:after="0" w:line="264" w:lineRule="auto"/>
        <w:tabs>
          <w:tab w:leader="none" w:pos="124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Executive hereby gives his express written consent in this First Amendment for the terms described herein. Accordingly, the Executive acknowledges and agrees that the terms set forth herein shall not be the basis of a “Good Reason” trigger as defined in the Employment Agreement, and therefore the Executive shall not be eligible to resign for Good Reason as a result of any such terms or in connection with the negotiation, execution and delivery of this First Amendment, and shall not be eligible to receive the Severance Amount and monthly COBRA cash payment as detailed in Section 4(b) of the Employment Agreement based on any resignation.</w:t>
      </w:r>
    </w:p>
    <w:p>
      <w:pPr>
        <w:spacing w:after="0" w:line="155" w:lineRule="exact"/>
        <w:rPr>
          <w:rFonts w:ascii="Arial" w:cs="Arial" w:eastAsia="Arial" w:hAnsi="Arial"/>
          <w:sz w:val="16"/>
          <w:szCs w:val="16"/>
          <w:color w:val="auto"/>
        </w:rPr>
      </w:pPr>
    </w:p>
    <w:p>
      <w:pPr>
        <w:ind w:left="200" w:right="319" w:firstLine="514"/>
        <w:spacing w:after="0" w:line="339" w:lineRule="auto"/>
        <w:tabs>
          <w:tab w:leader="none" w:pos="1244" w:val="left"/>
        </w:tabs>
        <w:numPr>
          <w:ilvl w:val="0"/>
          <w:numId w:val="8"/>
        </w:numPr>
        <w:rPr>
          <w:rFonts w:ascii="Arial" w:cs="Arial" w:eastAsia="Arial" w:hAnsi="Arial"/>
          <w:sz w:val="15"/>
          <w:szCs w:val="15"/>
          <w:color w:val="auto"/>
        </w:rPr>
      </w:pPr>
      <w:r>
        <w:rPr>
          <w:rFonts w:ascii="Arial" w:cs="Arial" w:eastAsia="Arial" w:hAnsi="Arial"/>
          <w:sz w:val="15"/>
          <w:szCs w:val="15"/>
          <w:color w:val="auto"/>
        </w:rPr>
        <w:t>To the extent that there is any inconsistency between the terms and conditions of this First Amendment and the terms and conditions of the Employment Agreement, the terms and conditions of this First Amendment shall prevail.</w:t>
      </w:r>
    </w:p>
    <w:p>
      <w:pPr>
        <w:spacing w:after="0" w:line="99" w:lineRule="exact"/>
        <w:rPr>
          <w:rFonts w:ascii="Arial" w:cs="Arial" w:eastAsia="Arial" w:hAnsi="Arial"/>
          <w:sz w:val="15"/>
          <w:szCs w:val="15"/>
          <w:color w:val="auto"/>
        </w:rPr>
      </w:pPr>
    </w:p>
    <w:p>
      <w:pPr>
        <w:ind w:left="200" w:right="379" w:firstLine="514"/>
        <w:spacing w:after="0" w:line="250" w:lineRule="auto"/>
        <w:tabs>
          <w:tab w:leader="none" w:pos="124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Executive hereby reaffirms his obligations under the terms of the Non-Solicitation, Non-Competition, Confidentiality and Assignment Agreement, dated as of November 22, 2014 by and between the Company and the Executive (the “</w:t>
      </w:r>
      <w:r>
        <w:rPr>
          <w:rFonts w:ascii="Arial" w:cs="Arial" w:eastAsia="Arial" w:hAnsi="Arial"/>
          <w:sz w:val="17"/>
          <w:szCs w:val="17"/>
          <w:b w:val="1"/>
          <w:bCs w:val="1"/>
          <w:color w:val="auto"/>
        </w:rPr>
        <w:t>Restrictive Covenant Agreement</w:t>
      </w:r>
      <w:r>
        <w:rPr>
          <w:rFonts w:ascii="Arial" w:cs="Arial" w:eastAsia="Arial" w:hAnsi="Arial"/>
          <w:sz w:val="17"/>
          <w:szCs w:val="17"/>
          <w:color w:val="auto"/>
        </w:rPr>
        <w:t>”), the terms of which are hereby are incorporated by reference as material terms of this First Amendment.</w:t>
      </w:r>
    </w:p>
    <w:p>
      <w:pPr>
        <w:spacing w:after="0" w:line="163" w:lineRule="exact"/>
        <w:rPr>
          <w:rFonts w:ascii="Arial" w:cs="Arial" w:eastAsia="Arial" w:hAnsi="Arial"/>
          <w:sz w:val="17"/>
          <w:szCs w:val="17"/>
          <w:color w:val="auto"/>
        </w:rPr>
      </w:pPr>
    </w:p>
    <w:p>
      <w:pPr>
        <w:ind w:left="200" w:right="219" w:firstLine="514"/>
        <w:spacing w:after="0" w:line="248" w:lineRule="auto"/>
        <w:tabs>
          <w:tab w:leader="none" w:pos="124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This First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64" w:lineRule="exact"/>
        <w:rPr>
          <w:rFonts w:ascii="Arial" w:cs="Arial" w:eastAsia="Arial" w:hAnsi="Arial"/>
          <w:sz w:val="17"/>
          <w:szCs w:val="17"/>
          <w:color w:val="auto"/>
        </w:rPr>
      </w:pPr>
    </w:p>
    <w:p>
      <w:pPr>
        <w:ind w:left="200" w:right="239" w:firstLine="514"/>
        <w:spacing w:after="0" w:line="246" w:lineRule="auto"/>
        <w:tabs>
          <w:tab w:leader="none" w:pos="1244"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Except as amended hereby, the Employment Agreement remains in full force and effect, and the Employment Agreement, as amended hereby, together with the Executive’s written consent to the Company dated August 18, 2020, represent the entire agreement among the Executive and the Company, and there are no other agreements, written or oral, relating to the subject matter hereof. All references in the Employment Agreement to “this Agreement” (including “hereof,” “herein” and similar words or phrases) shall mean the Employment Agreement, as amended by this First Amendment.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287020</wp:posOffset>
            </wp:positionV>
            <wp:extent cx="547433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74335" cy="20955"/>
                    </a:xfrm>
                    <a:prstGeom prst="rect">
                      <a:avLst/>
                    </a:prstGeom>
                    <a:noFill/>
                  </pic:spPr>
                </pic:pic>
              </a:graphicData>
            </a:graphic>
          </wp:anchor>
        </w:drawing>
      </w:r>
    </w:p>
    <w:p>
      <w:pPr>
        <w:sectPr>
          <w:pgSz w:w="11900" w:h="16838" w:orient="portrait"/>
          <w:cols w:equalWidth="0" w:num="1">
            <w:col w:w="9019"/>
          </w:cols>
          <w:pgMar w:left="1440" w:top="753" w:right="1440" w:bottom="1440" w:gutter="0" w:footer="0" w:header="0"/>
        </w:sectPr>
      </w:pPr>
    </w:p>
    <w:bookmarkStart w:id="7" w:name="page8"/>
    <w:bookmarkEnd w:id="7"/>
    <w:p>
      <w:pPr>
        <w:ind w:left="720"/>
        <w:spacing w:after="0"/>
        <w:rPr>
          <w:sz w:val="20"/>
          <w:szCs w:val="20"/>
          <w:color w:val="auto"/>
        </w:rPr>
      </w:pPr>
      <w:r>
        <w:rPr>
          <w:rFonts w:ascii="Arial" w:cs="Arial" w:eastAsia="Arial" w:hAnsi="Arial"/>
          <w:sz w:val="15"/>
          <w:szCs w:val="15"/>
          <w:color w:val="auto"/>
        </w:rPr>
        <w:t>IN WITNESS WHEREOF, the undersigned have executed this First Amendment as of the Amendment Effective</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Date.</w:t>
      </w:r>
    </w:p>
    <w:p>
      <w:pPr>
        <w:spacing w:after="0" w:line="200" w:lineRule="exact"/>
        <w:rPr>
          <w:sz w:val="20"/>
          <w:szCs w:val="20"/>
          <w:color w:val="auto"/>
        </w:rPr>
      </w:pPr>
    </w:p>
    <w:p>
      <w:pPr>
        <w:spacing w:after="0" w:line="34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BLUEPRINT MEDICINES CORPORATION</w:t>
      </w:r>
    </w:p>
    <w:p>
      <w:pPr>
        <w:spacing w:after="0" w:line="202" w:lineRule="exact"/>
        <w:rPr>
          <w:sz w:val="20"/>
          <w:szCs w:val="20"/>
          <w:color w:val="auto"/>
        </w:rPr>
      </w:pPr>
    </w:p>
    <w:p>
      <w:pPr>
        <w:ind w:left="4520"/>
        <w:spacing w:after="0"/>
        <w:tabs>
          <w:tab w:leader="none" w:pos="51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7"/>
          <w:szCs w:val="17"/>
          <w:color w:val="auto"/>
        </w:rPr>
        <w:t>Jeffrey W. Albers</w:t>
      </w:r>
    </w:p>
    <w:p>
      <w:pPr>
        <w:spacing w:after="0" w:line="14" w:lineRule="exact"/>
        <w:rPr>
          <w:sz w:val="20"/>
          <w:szCs w:val="20"/>
          <w:color w:val="auto"/>
        </w:rPr>
      </w:pPr>
    </w:p>
    <w:p>
      <w:pPr>
        <w:ind w:left="4520"/>
        <w:spacing w:after="0"/>
        <w:tabs>
          <w:tab w:leader="none" w:pos="512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6"/>
          <w:szCs w:val="16"/>
          <w:color w:val="auto"/>
        </w:rPr>
        <w:t>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-121920</wp:posOffset>
            </wp:positionV>
            <wp:extent cx="233362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33625" cy="6985"/>
                    </a:xfrm>
                    <a:prstGeom prst="rect">
                      <a:avLst/>
                    </a:prstGeom>
                    <a:noFill/>
                  </pic:spPr>
                </pic:pic>
              </a:graphicData>
            </a:graphic>
          </wp:anchor>
        </w:drawing>
      </w:r>
    </w:p>
    <w:p>
      <w:pPr>
        <w:ind w:left="4520"/>
        <w:spacing w:after="0"/>
        <w:tabs>
          <w:tab w:leader="none" w:pos="5120" w:val="left"/>
        </w:tabs>
        <w:rPr>
          <w:sz w:val="20"/>
          <w:szCs w:val="20"/>
          <w:color w:val="auto"/>
        </w:rPr>
      </w:pPr>
      <w:r>
        <w:rPr>
          <w:rFonts w:ascii="Arial" w:cs="Arial" w:eastAsia="Arial" w:hAnsi="Arial"/>
          <w:sz w:val="17"/>
          <w:szCs w:val="17"/>
          <w:color w:val="auto"/>
        </w:rPr>
        <w:t>Title:</w:t>
        <w:tab/>
        <w:t>President and Chief Executive Officer</w:t>
      </w:r>
    </w:p>
    <w:p>
      <w:pPr>
        <w:spacing w:after="0" w:line="372"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EXECUTIVE</w:t>
      </w:r>
    </w:p>
    <w:p>
      <w:pPr>
        <w:spacing w:after="0" w:line="20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Anthony L. Boral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10795</wp:posOffset>
            </wp:positionV>
            <wp:extent cx="272669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26690" cy="698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Anthony L. Boral</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287020</wp:posOffset>
            </wp:positionV>
            <wp:extent cx="547433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74335" cy="20955"/>
                    </a:xfrm>
                    <a:prstGeom prst="rect">
                      <a:avLst/>
                    </a:prstGeom>
                    <a:noFill/>
                  </pic:spPr>
                </pic:pic>
              </a:graphicData>
            </a:graphic>
          </wp:anchor>
        </w:drawing>
      </w:r>
    </w:p>
    <w:p>
      <w:pPr>
        <w:sectPr>
          <w:pgSz w:w="11900" w:h="16838" w:orient="portrait"/>
          <w:cols w:equalWidth="0" w:num="1">
            <w:col w:w="9019"/>
          </w:cols>
          <w:pgMar w:left="1440" w:top="753" w:right="1440" w:bottom="1440" w:gutter="0" w:footer="0" w:header="0"/>
        </w:sectPr>
      </w:pPr>
    </w:p>
    <w:bookmarkStart w:id="8" w:name="page9"/>
    <w:bookmarkEnd w:id="8"/>
    <w:p>
      <w:pPr>
        <w:jc w:val="right"/>
        <w:ind w:right="199"/>
        <w:spacing w:after="0"/>
        <w:rPr>
          <w:sz w:val="20"/>
          <w:szCs w:val="20"/>
          <w:color w:val="auto"/>
        </w:rPr>
      </w:pPr>
      <w:r>
        <w:rPr>
          <w:rFonts w:ascii="Arial" w:cs="Arial" w:eastAsia="Arial" w:hAnsi="Arial"/>
          <w:sz w:val="17"/>
          <w:szCs w:val="17"/>
          <w:color w:val="auto"/>
        </w:rPr>
        <w:t>Exhibit 10.2</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EMPLOYMENT AGREEMENT</w:t>
      </w:r>
    </w:p>
    <w:p>
      <w:pPr>
        <w:spacing w:after="0" w:line="160" w:lineRule="exact"/>
        <w:rPr>
          <w:sz w:val="20"/>
          <w:szCs w:val="20"/>
          <w:color w:val="auto"/>
        </w:rPr>
      </w:pPr>
    </w:p>
    <w:p>
      <w:pPr>
        <w:jc w:val="both"/>
        <w:ind w:left="200" w:right="379" w:firstLine="522"/>
        <w:spacing w:after="0" w:line="255" w:lineRule="auto"/>
        <w:rPr>
          <w:sz w:val="20"/>
          <w:szCs w:val="20"/>
          <w:color w:val="auto"/>
        </w:rPr>
      </w:pPr>
      <w:r>
        <w:rPr>
          <w:rFonts w:ascii="Arial" w:cs="Arial" w:eastAsia="Arial" w:hAnsi="Arial"/>
          <w:sz w:val="17"/>
          <w:szCs w:val="17"/>
          <w:color w:val="auto"/>
        </w:rPr>
        <w:t>This amended and restated employment agreement (“Agreement”) is between Blueprint Medicines Corporation, a Delaware corporation (the “Company”), and L. Becker Hewes, M.D. (the “Executive”) and is effective as of January 11, 2021 (the “Effective Date”).</w:t>
      </w:r>
    </w:p>
    <w:p>
      <w:pPr>
        <w:spacing w:after="0" w:line="138" w:lineRule="exact"/>
        <w:rPr>
          <w:sz w:val="20"/>
          <w:szCs w:val="20"/>
          <w:color w:val="auto"/>
        </w:rPr>
      </w:pPr>
    </w:p>
    <w:p>
      <w:pPr>
        <w:ind w:left="320" w:right="499" w:firstLine="522"/>
        <w:spacing w:after="0" w:line="271" w:lineRule="auto"/>
        <w:rPr>
          <w:sz w:val="20"/>
          <w:szCs w:val="20"/>
          <w:color w:val="auto"/>
        </w:rPr>
      </w:pPr>
      <w:r>
        <w:rPr>
          <w:rFonts w:ascii="Arial" w:cs="Arial" w:eastAsia="Arial" w:hAnsi="Arial"/>
          <w:sz w:val="17"/>
          <w:szCs w:val="17"/>
          <w:color w:val="auto"/>
        </w:rPr>
        <w:t>WHEREAS, the Company and the Executive are parties to an employment agreement, effective as of May 20, 2020 (the “Original Employment Agreement”);</w:t>
      </w:r>
    </w:p>
    <w:p>
      <w:pPr>
        <w:spacing w:after="0" w:line="124" w:lineRule="exact"/>
        <w:rPr>
          <w:sz w:val="20"/>
          <w:szCs w:val="20"/>
          <w:color w:val="auto"/>
        </w:rPr>
      </w:pPr>
    </w:p>
    <w:p>
      <w:pPr>
        <w:ind w:left="200" w:right="1099" w:firstLine="522"/>
        <w:spacing w:after="0" w:line="271" w:lineRule="auto"/>
        <w:rPr>
          <w:sz w:val="20"/>
          <w:szCs w:val="20"/>
          <w:color w:val="auto"/>
        </w:rPr>
      </w:pPr>
      <w:r>
        <w:rPr>
          <w:rFonts w:ascii="Arial" w:cs="Arial" w:eastAsia="Arial" w:hAnsi="Arial"/>
          <w:sz w:val="17"/>
          <w:szCs w:val="17"/>
          <w:color w:val="auto"/>
        </w:rPr>
        <w:t>WHEREAS, the Company and the Executive desire to enter into this Agreement to replace the Original Employment Agreement; and</w:t>
      </w:r>
    </w:p>
    <w:p>
      <w:pPr>
        <w:spacing w:after="0" w:line="124" w:lineRule="exact"/>
        <w:rPr>
          <w:sz w:val="20"/>
          <w:szCs w:val="20"/>
          <w:color w:val="auto"/>
        </w:rPr>
      </w:pPr>
    </w:p>
    <w:p>
      <w:pPr>
        <w:ind w:left="200" w:right="779" w:firstLine="522"/>
        <w:spacing w:after="0" w:line="271" w:lineRule="auto"/>
        <w:rPr>
          <w:sz w:val="20"/>
          <w:szCs w:val="20"/>
          <w:color w:val="auto"/>
        </w:rPr>
      </w:pPr>
      <w:r>
        <w:rPr>
          <w:rFonts w:ascii="Arial" w:cs="Arial" w:eastAsia="Arial" w:hAnsi="Arial"/>
          <w:sz w:val="17"/>
          <w:szCs w:val="17"/>
          <w:color w:val="auto"/>
        </w:rPr>
        <w:t>WHEREAS, the Company desires to employ the Executive and the Executive desires to be employed by the Company on the terms and conditions contained herein.</w:t>
      </w:r>
    </w:p>
    <w:p>
      <w:pPr>
        <w:spacing w:after="0" w:line="124" w:lineRule="exact"/>
        <w:rPr>
          <w:sz w:val="20"/>
          <w:szCs w:val="20"/>
          <w:color w:val="auto"/>
        </w:rPr>
      </w:pPr>
    </w:p>
    <w:p>
      <w:pPr>
        <w:ind w:left="200" w:right="479" w:firstLine="522"/>
        <w:spacing w:after="0" w:line="339" w:lineRule="auto"/>
        <w:rPr>
          <w:sz w:val="20"/>
          <w:szCs w:val="20"/>
          <w:color w:val="auto"/>
        </w:rPr>
      </w:pPr>
      <w:r>
        <w:rPr>
          <w:rFonts w:ascii="Arial" w:cs="Arial" w:eastAsia="Arial" w:hAnsi="Arial"/>
          <w:sz w:val="15"/>
          <w:szCs w:val="15"/>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78" w:lineRule="exact"/>
        <w:rPr>
          <w:sz w:val="20"/>
          <w:szCs w:val="20"/>
          <w:color w:val="auto"/>
        </w:rPr>
      </w:pPr>
    </w:p>
    <w:p>
      <w:pPr>
        <w:ind w:left="1240" w:hanging="526"/>
        <w:spacing w:after="0"/>
        <w:tabs>
          <w:tab w:leader="none" w:pos="1240" w:val="left"/>
        </w:tabs>
        <w:numPr>
          <w:ilvl w:val="0"/>
          <w:numId w:val="9"/>
        </w:numPr>
        <w:rPr>
          <w:rFonts w:ascii="Arial" w:cs="Arial" w:eastAsia="Arial" w:hAnsi="Arial"/>
          <w:sz w:val="16"/>
          <w:szCs w:val="16"/>
          <w:color w:val="auto"/>
        </w:rPr>
      </w:pPr>
      <w:r>
        <w:rPr>
          <w:rFonts w:ascii="Arial" w:cs="Arial" w:eastAsia="Arial" w:hAnsi="Arial"/>
          <w:sz w:val="17"/>
          <w:szCs w:val="17"/>
          <w:u w:val="single" w:color="auto"/>
          <w:color w:val="auto"/>
        </w:rPr>
        <w:t>Employment</w:t>
      </w:r>
      <w:r>
        <w:rPr>
          <w:rFonts w:ascii="Arial" w:cs="Arial" w:eastAsia="Arial" w:hAnsi="Arial"/>
          <w:sz w:val="17"/>
          <w:szCs w:val="17"/>
          <w:color w:val="auto"/>
        </w:rPr>
        <w:t>.</w:t>
      </w:r>
    </w:p>
    <w:p>
      <w:pPr>
        <w:spacing w:after="0" w:line="174" w:lineRule="exact"/>
        <w:rPr>
          <w:rFonts w:ascii="Arial" w:cs="Arial" w:eastAsia="Arial" w:hAnsi="Arial"/>
          <w:sz w:val="16"/>
          <w:szCs w:val="16"/>
          <w:color w:val="auto"/>
        </w:rPr>
      </w:pPr>
    </w:p>
    <w:p>
      <w:pPr>
        <w:ind w:left="200" w:right="219" w:firstLine="1036"/>
        <w:spacing w:after="0" w:line="294" w:lineRule="auto"/>
        <w:tabs>
          <w:tab w:leader="none" w:pos="1766" w:val="left"/>
        </w:tabs>
        <w:numPr>
          <w:ilvl w:val="1"/>
          <w:numId w:val="9"/>
        </w:numPr>
        <w:rPr>
          <w:rFonts w:ascii="Arial" w:cs="Arial" w:eastAsia="Arial" w:hAnsi="Arial"/>
          <w:sz w:val="14"/>
          <w:szCs w:val="14"/>
          <w:color w:val="auto"/>
        </w:rPr>
      </w:pPr>
      <w:r>
        <w:rPr>
          <w:rFonts w:ascii="Arial" w:cs="Arial" w:eastAsia="Arial" w:hAnsi="Arial"/>
          <w:sz w:val="15"/>
          <w:szCs w:val="15"/>
          <w:u w:val="single" w:color="auto"/>
          <w:color w:val="auto"/>
        </w:rPr>
        <w:t>Term</w:t>
      </w:r>
      <w:r>
        <w:rPr>
          <w:rFonts w:ascii="Arial" w:cs="Arial" w:eastAsia="Arial" w:hAnsi="Arial"/>
          <w:sz w:val="15"/>
          <w:szCs w:val="15"/>
          <w:color w:val="auto"/>
        </w:rPr>
        <w:t>. The term of this Agreement shall commence on the Effective Date and continue until terminated in accordance with the provisions of Section 3 (the “Term”). Notwithstanding anything to the contrary in this Agreement, the Executive’s employment with the Company will be “at will,” meaning that the Executive’s employment may be terminated by the Company or the Executive at any time and for any reason, subject to the terms of this Agreement.</w:t>
      </w:r>
    </w:p>
    <w:p>
      <w:pPr>
        <w:spacing w:after="0" w:line="111" w:lineRule="exact"/>
        <w:rPr>
          <w:rFonts w:ascii="Arial" w:cs="Arial" w:eastAsia="Arial" w:hAnsi="Arial"/>
          <w:sz w:val="14"/>
          <w:szCs w:val="14"/>
          <w:color w:val="auto"/>
        </w:rPr>
      </w:pPr>
    </w:p>
    <w:p>
      <w:pPr>
        <w:ind w:left="200" w:right="359" w:firstLine="1036"/>
        <w:spacing w:after="0" w:line="244" w:lineRule="auto"/>
        <w:tabs>
          <w:tab w:leader="none" w:pos="1766" w:val="left"/>
        </w:tabs>
        <w:numPr>
          <w:ilvl w:val="1"/>
          <w:numId w:val="9"/>
        </w:numPr>
        <w:rPr>
          <w:rFonts w:ascii="Arial" w:cs="Arial" w:eastAsia="Arial" w:hAnsi="Arial"/>
          <w:sz w:val="16"/>
          <w:szCs w:val="16"/>
          <w:color w:val="auto"/>
        </w:rPr>
      </w:pPr>
      <w:r>
        <w:rPr>
          <w:rFonts w:ascii="Arial" w:cs="Arial" w:eastAsia="Arial" w:hAnsi="Arial"/>
          <w:sz w:val="17"/>
          <w:szCs w:val="17"/>
          <w:u w:val="single" w:color="auto"/>
          <w:color w:val="auto"/>
        </w:rPr>
        <w:t>Position and Duties</w:t>
      </w:r>
      <w:r>
        <w:rPr>
          <w:rFonts w:ascii="Arial" w:cs="Arial" w:eastAsia="Arial" w:hAnsi="Arial"/>
          <w:sz w:val="17"/>
          <w:szCs w:val="17"/>
          <w:color w:val="auto"/>
        </w:rPr>
        <w:t>. During the Term, the Executive shall serve as the Chief Medical Officer of the Company, and shall have such duties as are consistent with such position. The Executive shall report to the President, Research &amp; Development, of the Company (the “President, R&amp;D”) or another executive designated by the Company. The Executive shall devote his full working time and efforts to the business and affairs of the Company. Notwithstanding the foregoing, the Executive may serve on other boards of directors, with the approval of the Board of Directors of the Company (the “Board”), or engage in religious, charitable or other activities as long as such services and activities are approved by the Board and do not materially interfere with the Executive’s performance of his duties to the Company as provided in this Agreement.</w:t>
      </w:r>
    </w:p>
    <w:p>
      <w:pPr>
        <w:spacing w:after="0" w:line="149" w:lineRule="exact"/>
        <w:rPr>
          <w:rFonts w:ascii="Arial" w:cs="Arial" w:eastAsia="Arial" w:hAnsi="Arial"/>
          <w:sz w:val="16"/>
          <w:szCs w:val="16"/>
          <w:color w:val="auto"/>
        </w:rPr>
      </w:pPr>
    </w:p>
    <w:p>
      <w:pPr>
        <w:ind w:left="1220" w:hanging="506"/>
        <w:spacing w:after="0"/>
        <w:tabs>
          <w:tab w:leader="none" w:pos="1220" w:val="left"/>
        </w:tabs>
        <w:numPr>
          <w:ilvl w:val="0"/>
          <w:numId w:val="9"/>
        </w:numPr>
        <w:rPr>
          <w:rFonts w:ascii="Arial" w:cs="Arial" w:eastAsia="Arial" w:hAnsi="Arial"/>
          <w:sz w:val="16"/>
          <w:szCs w:val="16"/>
          <w:color w:val="auto"/>
        </w:rPr>
      </w:pPr>
      <w:r>
        <w:rPr>
          <w:rFonts w:ascii="Arial" w:cs="Arial" w:eastAsia="Arial" w:hAnsi="Arial"/>
          <w:sz w:val="17"/>
          <w:szCs w:val="17"/>
          <w:u w:val="single" w:color="auto"/>
          <w:color w:val="auto"/>
        </w:rPr>
        <w:t>Compensation and Related Matters</w:t>
      </w:r>
      <w:r>
        <w:rPr>
          <w:rFonts w:ascii="Arial" w:cs="Arial" w:eastAsia="Arial" w:hAnsi="Arial"/>
          <w:sz w:val="17"/>
          <w:szCs w:val="17"/>
          <w:color w:val="auto"/>
        </w:rPr>
        <w:t>.</w:t>
      </w:r>
    </w:p>
    <w:p>
      <w:pPr>
        <w:spacing w:after="0" w:line="174" w:lineRule="exact"/>
        <w:rPr>
          <w:rFonts w:ascii="Arial" w:cs="Arial" w:eastAsia="Arial" w:hAnsi="Arial"/>
          <w:sz w:val="16"/>
          <w:szCs w:val="16"/>
          <w:color w:val="auto"/>
        </w:rPr>
      </w:pPr>
    </w:p>
    <w:p>
      <w:pPr>
        <w:ind w:left="200" w:right="259" w:firstLine="1036"/>
        <w:spacing w:after="0" w:line="294" w:lineRule="auto"/>
        <w:tabs>
          <w:tab w:leader="none" w:pos="1766" w:val="left"/>
        </w:tabs>
        <w:numPr>
          <w:ilvl w:val="1"/>
          <w:numId w:val="9"/>
        </w:numPr>
        <w:rPr>
          <w:rFonts w:ascii="Arial" w:cs="Arial" w:eastAsia="Arial" w:hAnsi="Arial"/>
          <w:sz w:val="14"/>
          <w:szCs w:val="14"/>
          <w:color w:val="auto"/>
        </w:rPr>
      </w:pPr>
      <w:r>
        <w:rPr>
          <w:rFonts w:ascii="Arial" w:cs="Arial" w:eastAsia="Arial" w:hAnsi="Arial"/>
          <w:sz w:val="15"/>
          <w:szCs w:val="15"/>
          <w:u w:val="single" w:color="auto"/>
          <w:color w:val="auto"/>
        </w:rPr>
        <w:t>Base Salary</w:t>
      </w:r>
      <w:r>
        <w:rPr>
          <w:rFonts w:ascii="Arial" w:cs="Arial" w:eastAsia="Arial" w:hAnsi="Arial"/>
          <w:sz w:val="15"/>
          <w:szCs w:val="15"/>
          <w:color w:val="auto"/>
        </w:rPr>
        <w:t>. Effective January 1, 2021, the Executive’s annualized base salary shall be $462,000.00. The Executive’s base salary shall be re-determined annually by the Board or the Compensation Committee of the Board and shall be subject to increase but not decrease while Executive is serving in the Chief Medical Officer role. The annualized base salary in effect at any given time is referred to herein as “Base Salary.” The Base Salary shall be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287020</wp:posOffset>
            </wp:positionV>
            <wp:extent cx="547433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74335" cy="209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ind w:left="200"/>
        <w:spacing w:after="0"/>
        <w:rPr>
          <w:sz w:val="20"/>
          <w:szCs w:val="20"/>
          <w:color w:val="auto"/>
        </w:rPr>
      </w:pPr>
      <w:r>
        <w:rPr>
          <w:rFonts w:ascii="Arial" w:cs="Arial" w:eastAsia="Arial" w:hAnsi="Arial"/>
          <w:sz w:val="17"/>
          <w:szCs w:val="17"/>
          <w:color w:val="auto"/>
        </w:rPr>
        <w:t>payable in a manner that is consistent with the Company’s usual payroll practices for senior executives.</w:t>
      </w:r>
    </w:p>
    <w:p>
      <w:pPr>
        <w:spacing w:after="0" w:line="174" w:lineRule="exact"/>
        <w:rPr>
          <w:sz w:val="20"/>
          <w:szCs w:val="20"/>
          <w:color w:val="auto"/>
        </w:rPr>
      </w:pPr>
    </w:p>
    <w:p>
      <w:pPr>
        <w:ind w:left="200" w:right="259" w:firstLine="1036"/>
        <w:spacing w:after="0" w:line="260" w:lineRule="auto"/>
        <w:tabs>
          <w:tab w:leader="none" w:pos="1766" w:val="left"/>
        </w:tabs>
        <w:numPr>
          <w:ilvl w:val="0"/>
          <w:numId w:val="10"/>
        </w:numPr>
        <w:rPr>
          <w:rFonts w:ascii="Arial" w:cs="Arial" w:eastAsia="Arial" w:hAnsi="Arial"/>
          <w:sz w:val="15"/>
          <w:szCs w:val="15"/>
          <w:color w:val="auto"/>
        </w:rPr>
      </w:pPr>
      <w:r>
        <w:rPr>
          <w:rFonts w:ascii="Arial" w:cs="Arial" w:eastAsia="Arial" w:hAnsi="Arial"/>
          <w:sz w:val="16"/>
          <w:szCs w:val="16"/>
          <w:u w:val="single" w:color="auto"/>
          <w:color w:val="auto"/>
        </w:rPr>
        <w:t>Sign-On Bonus</w:t>
      </w:r>
      <w:r>
        <w:rPr>
          <w:rFonts w:ascii="Arial" w:cs="Arial" w:eastAsia="Arial" w:hAnsi="Arial"/>
          <w:sz w:val="16"/>
          <w:szCs w:val="16"/>
          <w:color w:val="auto"/>
        </w:rPr>
        <w:t>. In connection with the commencement of Executive’s employment with the Company as Senior Vice President, Clinical Development, on May 20, 2020 (the “Start Date”), Executive previously received a one-time sign-on bonus of $75,000.00 (the “Sign-On Bonus”), subject to legally required tax withholdings. Executive acknowledges and agrees that (i) if within 12 months of the Start Date, the Executive either (A) is terminated for Cause (as defined below) or (B) terminates his employment, for any reason, and regardless of whether Executive has Good Reason (as defined in this Agreement) to terminate his employment, Executive shall repay the entire Sign-On Bonus in accordance with the Company’s policies then in effect concerning such bonuses, and (ii) if at any time after the first 12 months of employment after the Start Date but within 24 month of the Start Date the Executive either (A) is terminated for Cause or (B) terminates his employment, for any reason, and regardless of whether Executive has Good Reason to terminate his employment, Executive shall repay 50% of the Sign-On Bonus in accordance with the Company’s policies then in effect concerning such bonuses.</w:t>
      </w:r>
    </w:p>
    <w:p>
      <w:pPr>
        <w:spacing w:after="0" w:line="134" w:lineRule="exact"/>
        <w:rPr>
          <w:rFonts w:ascii="Arial" w:cs="Arial" w:eastAsia="Arial" w:hAnsi="Arial"/>
          <w:sz w:val="15"/>
          <w:szCs w:val="15"/>
          <w:color w:val="auto"/>
        </w:rPr>
      </w:pPr>
    </w:p>
    <w:p>
      <w:pPr>
        <w:ind w:left="200" w:right="299" w:firstLine="1036"/>
        <w:spacing w:after="0" w:line="255" w:lineRule="auto"/>
        <w:tabs>
          <w:tab w:leader="none" w:pos="1766" w:val="left"/>
        </w:tabs>
        <w:numPr>
          <w:ilvl w:val="0"/>
          <w:numId w:val="10"/>
        </w:numPr>
        <w:rPr>
          <w:rFonts w:ascii="Arial" w:cs="Arial" w:eastAsia="Arial" w:hAnsi="Arial"/>
          <w:sz w:val="16"/>
          <w:szCs w:val="16"/>
          <w:color w:val="auto"/>
        </w:rPr>
      </w:pPr>
      <w:r>
        <w:rPr>
          <w:rFonts w:ascii="Arial" w:cs="Arial" w:eastAsia="Arial" w:hAnsi="Arial"/>
          <w:sz w:val="17"/>
          <w:szCs w:val="17"/>
          <w:u w:val="single" w:color="auto"/>
          <w:color w:val="auto"/>
        </w:rPr>
        <w:t>Equity</w:t>
      </w:r>
      <w:r>
        <w:rPr>
          <w:rFonts w:ascii="Arial" w:cs="Arial" w:eastAsia="Arial" w:hAnsi="Arial"/>
          <w:sz w:val="17"/>
          <w:szCs w:val="17"/>
          <w:color w:val="auto"/>
        </w:rPr>
        <w:t>. The Executive may be eligible to receive future equity awards under the Company’s 2015 Stock Option and Incentive Plan (as amended and/or restated from time to time) or such other equity plan as then in effect, in the sole discretion of the Board or the Compensation Committee of the Board.</w:t>
      </w:r>
    </w:p>
    <w:p>
      <w:pPr>
        <w:spacing w:after="0" w:line="137" w:lineRule="exact"/>
        <w:rPr>
          <w:rFonts w:ascii="Arial" w:cs="Arial" w:eastAsia="Arial" w:hAnsi="Arial"/>
          <w:sz w:val="16"/>
          <w:szCs w:val="16"/>
          <w:color w:val="auto"/>
        </w:rPr>
      </w:pPr>
    </w:p>
    <w:p>
      <w:pPr>
        <w:ind w:left="200" w:right="279" w:firstLine="1036"/>
        <w:spacing w:after="0" w:line="261" w:lineRule="auto"/>
        <w:tabs>
          <w:tab w:leader="none" w:pos="1766" w:val="left"/>
        </w:tabs>
        <w:numPr>
          <w:ilvl w:val="0"/>
          <w:numId w:val="10"/>
        </w:numPr>
        <w:rPr>
          <w:rFonts w:ascii="Arial" w:cs="Arial" w:eastAsia="Arial" w:hAnsi="Arial"/>
          <w:sz w:val="15"/>
          <w:szCs w:val="15"/>
          <w:color w:val="auto"/>
        </w:rPr>
      </w:pPr>
      <w:r>
        <w:rPr>
          <w:rFonts w:ascii="Arial" w:cs="Arial" w:eastAsia="Arial" w:hAnsi="Arial"/>
          <w:sz w:val="16"/>
          <w:szCs w:val="16"/>
          <w:u w:val="single" w:color="auto"/>
          <w:color w:val="auto"/>
        </w:rPr>
        <w:t>Incentive Compensation</w:t>
      </w:r>
      <w:r>
        <w:rPr>
          <w:rFonts w:ascii="Arial" w:cs="Arial" w:eastAsia="Arial" w:hAnsi="Arial"/>
          <w:sz w:val="16"/>
          <w:szCs w:val="16"/>
          <w:color w:val="auto"/>
        </w:rPr>
        <w:t>. During the Term, the Executive shall be eligible to earn cash incentive compensation as determined by the Board or the Compensation Committee of the Board from time to time. Executive’s target annual incentive compensation shall be 45% of his Base Salary (the “Target Incentive Compensation”). The Board shall weigh its bonus determination as follows: 75% on Company performance and 25% on Executive’s individual performance. To earn incentive compensation, the Executive must be employed by the Company on the day such incentive compensation is paid. For the avoidance of doubt, for the year ended December 31, 2020, the Executive shall be eligible to earn incentive compensation pro-rated for the period of time Executive was employed at the Company during the 2020 calendar year based on Executive’s target incentive compensation set forth in the Original Employment Agreement, provided Executive remains employed by the Company on the day such incentive compensation is paid.</w:t>
      </w:r>
    </w:p>
    <w:p>
      <w:pPr>
        <w:spacing w:after="0" w:line="134" w:lineRule="exact"/>
        <w:rPr>
          <w:rFonts w:ascii="Arial" w:cs="Arial" w:eastAsia="Arial" w:hAnsi="Arial"/>
          <w:sz w:val="15"/>
          <w:szCs w:val="15"/>
          <w:color w:val="auto"/>
        </w:rPr>
      </w:pPr>
    </w:p>
    <w:p>
      <w:pPr>
        <w:ind w:left="200" w:right="319" w:firstLine="1036"/>
        <w:spacing w:after="0" w:line="279" w:lineRule="auto"/>
        <w:tabs>
          <w:tab w:leader="none" w:pos="1766" w:val="left"/>
        </w:tabs>
        <w:numPr>
          <w:ilvl w:val="0"/>
          <w:numId w:val="10"/>
        </w:numPr>
        <w:rPr>
          <w:rFonts w:ascii="Arial" w:cs="Arial" w:eastAsia="Arial" w:hAnsi="Arial"/>
          <w:sz w:val="15"/>
          <w:szCs w:val="15"/>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senior executive officers.</w:t>
      </w:r>
    </w:p>
    <w:p>
      <w:pPr>
        <w:spacing w:after="0" w:line="119" w:lineRule="exact"/>
        <w:rPr>
          <w:rFonts w:ascii="Arial" w:cs="Arial" w:eastAsia="Arial" w:hAnsi="Arial"/>
          <w:sz w:val="15"/>
          <w:szCs w:val="15"/>
          <w:color w:val="auto"/>
        </w:rPr>
      </w:pPr>
    </w:p>
    <w:p>
      <w:pPr>
        <w:ind w:left="200" w:right="359" w:firstLine="1036"/>
        <w:spacing w:after="0" w:line="303" w:lineRule="auto"/>
        <w:tabs>
          <w:tab w:leader="none" w:pos="1766" w:val="left"/>
        </w:tabs>
        <w:numPr>
          <w:ilvl w:val="0"/>
          <w:numId w:val="10"/>
        </w:numPr>
        <w:rPr>
          <w:rFonts w:ascii="Arial" w:cs="Arial" w:eastAsia="Arial" w:hAnsi="Arial"/>
          <w:sz w:val="15"/>
          <w:szCs w:val="15"/>
          <w:color w:val="auto"/>
        </w:rPr>
      </w:pPr>
      <w:r>
        <w:rPr>
          <w:rFonts w:ascii="Arial" w:cs="Arial" w:eastAsia="Arial" w:hAnsi="Arial"/>
          <w:sz w:val="16"/>
          <w:szCs w:val="16"/>
          <w:u w:val="single" w:color="auto"/>
          <w:color w:val="auto"/>
        </w:rPr>
        <w:t>Other Benefits</w:t>
      </w:r>
      <w:r>
        <w:rPr>
          <w:rFonts w:ascii="Arial" w:cs="Arial" w:eastAsia="Arial" w:hAnsi="Arial"/>
          <w:sz w:val="16"/>
          <w:szCs w:val="16"/>
          <w:color w:val="auto"/>
        </w:rPr>
        <w:t>. During the Term, the Executive shall be eligible to participate in or receive benefits under the Company’s employee benefit plans in effect from time to time, subject to the terms of such plans.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411480</wp:posOffset>
            </wp:positionV>
            <wp:extent cx="547433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74335" cy="20955"/>
                    </a:xfrm>
                    <a:prstGeom prst="rect">
                      <a:avLst/>
                    </a:prstGeom>
                    <a:noFill/>
                  </pic:spPr>
                </pic:pic>
              </a:graphicData>
            </a:graphic>
          </wp:anchor>
        </w:drawing>
      </w:r>
    </w:p>
    <w:p>
      <w:pPr>
        <w:sectPr>
          <w:pgSz w:w="11900" w:h="16838" w:orient="portrait"/>
          <w:cols w:equalWidth="0" w:num="1">
            <w:col w:w="9019"/>
          </w:cols>
          <w:pgMar w:left="1440" w:top="753" w:right="1440" w:bottom="1440" w:gutter="0" w:footer="0" w:header="0"/>
        </w:sectPr>
      </w:pPr>
    </w:p>
    <w:bookmarkStart w:id="10" w:name="page11"/>
    <w:bookmarkEnd w:id="10"/>
    <w:p>
      <w:pPr>
        <w:ind w:left="200" w:right="219" w:firstLine="1036"/>
        <w:spacing w:after="0" w:line="271" w:lineRule="auto"/>
        <w:tabs>
          <w:tab w:leader="none" w:pos="1766" w:val="left"/>
        </w:tabs>
        <w:numPr>
          <w:ilvl w:val="1"/>
          <w:numId w:val="11"/>
        </w:numPr>
        <w:rPr>
          <w:rFonts w:ascii="Arial" w:cs="Arial" w:eastAsia="Arial" w:hAnsi="Arial"/>
          <w:sz w:val="16"/>
          <w:szCs w:val="16"/>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During the Term, the Executive shall be entitled to accrue paid vacation in accordance with the Company’s applicable policy.</w:t>
      </w:r>
    </w:p>
    <w:p>
      <w:pPr>
        <w:spacing w:after="0" w:line="123" w:lineRule="exact"/>
        <w:rPr>
          <w:rFonts w:ascii="Arial" w:cs="Arial" w:eastAsia="Arial" w:hAnsi="Arial"/>
          <w:sz w:val="16"/>
          <w:szCs w:val="16"/>
          <w:color w:val="auto"/>
        </w:rPr>
      </w:pPr>
    </w:p>
    <w:p>
      <w:pPr>
        <w:ind w:left="200" w:right="679" w:firstLine="514"/>
        <w:spacing w:after="0" w:line="271" w:lineRule="auto"/>
        <w:tabs>
          <w:tab w:leader="none" w:pos="1244" w:val="left"/>
        </w:tabs>
        <w:numPr>
          <w:ilvl w:val="0"/>
          <w:numId w:val="12"/>
        </w:numPr>
        <w:rPr>
          <w:rFonts w:ascii="Arial" w:cs="Arial" w:eastAsia="Arial" w:hAnsi="Arial"/>
          <w:sz w:val="16"/>
          <w:szCs w:val="16"/>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During the Term, the Executive’s employment hereunder may be terminated without any breach of this Agreement under the following circumstances:</w:t>
      </w:r>
    </w:p>
    <w:p>
      <w:pPr>
        <w:spacing w:after="0" w:line="123" w:lineRule="exact"/>
        <w:rPr>
          <w:rFonts w:ascii="Arial" w:cs="Arial" w:eastAsia="Arial" w:hAnsi="Arial"/>
          <w:sz w:val="16"/>
          <w:szCs w:val="16"/>
          <w:color w:val="auto"/>
        </w:rPr>
      </w:pPr>
    </w:p>
    <w:p>
      <w:pPr>
        <w:ind w:left="1760" w:hanging="524"/>
        <w:spacing w:after="0"/>
        <w:tabs>
          <w:tab w:leader="none" w:pos="1760" w:val="left"/>
        </w:tabs>
        <w:numPr>
          <w:ilvl w:val="1"/>
          <w:numId w:val="12"/>
        </w:numPr>
        <w:rPr>
          <w:rFonts w:ascii="Arial" w:cs="Arial" w:eastAsia="Arial" w:hAnsi="Arial"/>
          <w:sz w:val="16"/>
          <w:szCs w:val="16"/>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The Executive’s employment hereunder shall terminate upon his death.</w:t>
      </w:r>
    </w:p>
    <w:p>
      <w:pPr>
        <w:spacing w:after="0" w:line="174" w:lineRule="exact"/>
        <w:rPr>
          <w:rFonts w:ascii="Arial" w:cs="Arial" w:eastAsia="Arial" w:hAnsi="Arial"/>
          <w:sz w:val="16"/>
          <w:szCs w:val="16"/>
          <w:color w:val="auto"/>
        </w:rPr>
      </w:pPr>
    </w:p>
    <w:p>
      <w:pPr>
        <w:ind w:left="200" w:right="239" w:firstLine="1036"/>
        <w:spacing w:after="0" w:line="259" w:lineRule="auto"/>
        <w:tabs>
          <w:tab w:leader="none" w:pos="1766" w:val="left"/>
        </w:tabs>
        <w:numPr>
          <w:ilvl w:val="1"/>
          <w:numId w:val="12"/>
        </w:numPr>
        <w:rPr>
          <w:rFonts w:ascii="Arial" w:cs="Arial" w:eastAsia="Arial" w:hAnsi="Arial"/>
          <w:sz w:val="15"/>
          <w:szCs w:val="15"/>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xml:space="preserve">. The Company may terminate the Executive’s employment if he is disabled and unable to perform the essential functions of his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§260l </w:t>
      </w:r>
      <w:r>
        <w:rPr>
          <w:rFonts w:ascii="Arial" w:cs="Arial" w:eastAsia="Arial" w:hAnsi="Arial"/>
          <w:sz w:val="16"/>
          <w:szCs w:val="16"/>
          <w:i w:val="1"/>
          <w:iCs w:val="1"/>
          <w:color w:val="auto"/>
        </w:rPr>
        <w:t>et seq.</w:t>
      </w:r>
      <w:r>
        <w:rPr>
          <w:rFonts w:ascii="Arial" w:cs="Arial" w:eastAsia="Arial" w:hAnsi="Arial"/>
          <w:sz w:val="16"/>
          <w:szCs w:val="16"/>
          <w:color w:val="auto"/>
        </w:rPr>
        <w:t xml:space="preserve"> and the Americans with Disabilities Act, 42 U.S.C. §12101 </w:t>
      </w:r>
      <w:r>
        <w:rPr>
          <w:rFonts w:ascii="Arial" w:cs="Arial" w:eastAsia="Arial" w:hAnsi="Arial"/>
          <w:sz w:val="16"/>
          <w:szCs w:val="16"/>
          <w:i w:val="1"/>
          <w:iCs w:val="1"/>
          <w:color w:val="auto"/>
        </w:rPr>
        <w:t>et seq.</w:t>
      </w:r>
    </w:p>
    <w:p>
      <w:pPr>
        <w:spacing w:after="0" w:line="136" w:lineRule="exact"/>
        <w:rPr>
          <w:rFonts w:ascii="Arial" w:cs="Arial" w:eastAsia="Arial" w:hAnsi="Arial"/>
          <w:sz w:val="15"/>
          <w:szCs w:val="15"/>
          <w:color w:val="auto"/>
        </w:rPr>
      </w:pPr>
    </w:p>
    <w:p>
      <w:pPr>
        <w:ind w:left="200" w:right="199" w:firstLine="1036"/>
        <w:spacing w:after="0" w:line="258" w:lineRule="auto"/>
        <w:tabs>
          <w:tab w:leader="none" w:pos="1766" w:val="left"/>
        </w:tabs>
        <w:numPr>
          <w:ilvl w:val="1"/>
          <w:numId w:val="12"/>
        </w:numPr>
        <w:rPr>
          <w:rFonts w:ascii="Arial" w:cs="Arial" w:eastAsia="Arial" w:hAnsi="Arial"/>
          <w:sz w:val="15"/>
          <w:szCs w:val="15"/>
          <w:color w:val="auto"/>
        </w:rPr>
      </w:pPr>
      <w:r>
        <w:rPr>
          <w:rFonts w:ascii="Arial" w:cs="Arial" w:eastAsia="Arial" w:hAnsi="Arial"/>
          <w:sz w:val="16"/>
          <w:szCs w:val="16"/>
          <w:u w:val="single" w:color="auto"/>
          <w:color w:val="auto"/>
        </w:rPr>
        <w:t>Termination by Company for Cause</w:t>
      </w:r>
      <w:r>
        <w:rPr>
          <w:rFonts w:ascii="Arial" w:cs="Arial" w:eastAsia="Arial" w:hAnsi="Arial"/>
          <w:sz w:val="16"/>
          <w:szCs w:val="16"/>
          <w:color w:val="auto"/>
        </w:rPr>
        <w:t>. The Company may terminate the Executive’s employment hereunder for Cause. For purposes of this Agreement, “Cause” shall mean: (i) conduct by the Executive constituting a material act of misconduct in connection with the performance of his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 injury or reputational harm to the Company or any of its subsidiaries and affiliates if he were retained in his position; (iii) continued non-performance by the Executive of his duties hereunder (other than by reason of the Executive’s physical or mental illness, incapacity or disability) which has continued for more than 30 days following written notice of such non-performance from the President, R&amp;D or the Chief Executive Officer of the Company; (iv) a material breach by the Executive of any of the provisions contained in Section 7 of this Agreement; (v) a material violation by the Executive of the Company’s written employment policies; or (vi) the Executive’s failure to cooperate with a bona fide internal investigation or an investigation by regulatory or law enforcement authorities, after being instructed by the Company to cooperate, or the willful destruction of or failure to preserve documents or other materials that Executive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411480</wp:posOffset>
            </wp:positionV>
            <wp:extent cx="547433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74335" cy="20955"/>
                    </a:xfrm>
                    <a:prstGeom prst="rect">
                      <a:avLst/>
                    </a:prstGeom>
                    <a:noFill/>
                  </pic:spPr>
                </pic:pic>
              </a:graphicData>
            </a:graphic>
          </wp:anchor>
        </w:drawing>
      </w:r>
    </w:p>
    <w:p>
      <w:pPr>
        <w:sectPr>
          <w:pgSz w:w="11900" w:h="16838" w:orient="portrait"/>
          <w:cols w:equalWidth="0" w:num="1">
            <w:col w:w="9019"/>
          </w:cols>
          <w:pgMar w:left="1440" w:top="753" w:right="1440" w:bottom="1440" w:gutter="0" w:footer="0" w:header="0"/>
        </w:sectPr>
      </w:pPr>
    </w:p>
    <w:bookmarkStart w:id="11" w:name="page12"/>
    <w:bookmarkEnd w:id="11"/>
    <w:p>
      <w:pPr>
        <w:ind w:left="200" w:right="319"/>
        <w:spacing w:after="0" w:line="271" w:lineRule="auto"/>
        <w:rPr>
          <w:sz w:val="20"/>
          <w:szCs w:val="20"/>
          <w:color w:val="auto"/>
        </w:rPr>
      </w:pPr>
      <w:r>
        <w:rPr>
          <w:rFonts w:ascii="Arial" w:cs="Arial" w:eastAsia="Arial" w:hAnsi="Arial"/>
          <w:sz w:val="17"/>
          <w:szCs w:val="17"/>
          <w:color w:val="auto"/>
        </w:rPr>
        <w:t>knows are relevant to such investigation, or the inducement of others to fail to cooperate or to produce documents or other materials in connection with such investigation.</w:t>
      </w:r>
    </w:p>
    <w:p>
      <w:pPr>
        <w:spacing w:after="0" w:line="124" w:lineRule="exact"/>
        <w:rPr>
          <w:sz w:val="20"/>
          <w:szCs w:val="20"/>
          <w:color w:val="auto"/>
        </w:rPr>
      </w:pPr>
    </w:p>
    <w:p>
      <w:pPr>
        <w:ind w:left="200" w:right="619" w:firstLine="1036"/>
        <w:spacing w:after="0" w:line="294" w:lineRule="auto"/>
        <w:tabs>
          <w:tab w:leader="none" w:pos="1766" w:val="left"/>
        </w:tabs>
        <w:numPr>
          <w:ilvl w:val="1"/>
          <w:numId w:val="13"/>
        </w:numPr>
        <w:rPr>
          <w:rFonts w:ascii="Arial" w:cs="Arial" w:eastAsia="Arial" w:hAnsi="Arial"/>
          <w:sz w:val="14"/>
          <w:szCs w:val="14"/>
          <w:color w:val="auto"/>
        </w:rPr>
      </w:pPr>
      <w:r>
        <w:rPr>
          <w:rFonts w:ascii="Arial" w:cs="Arial" w:eastAsia="Arial" w:hAnsi="Arial"/>
          <w:sz w:val="15"/>
          <w:szCs w:val="15"/>
          <w:u w:val="single" w:color="auto"/>
          <w:color w:val="auto"/>
        </w:rPr>
        <w:t>Termination by the Company Without Cause</w:t>
      </w:r>
      <w:r>
        <w:rPr>
          <w:rFonts w:ascii="Arial" w:cs="Arial" w:eastAsia="Arial" w:hAnsi="Arial"/>
          <w:sz w:val="15"/>
          <w:szCs w:val="15"/>
          <w:color w:val="auto"/>
        </w:rPr>
        <w:t>. The Company may terminate the Executive’s employment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by the Company without Cause.</w:t>
      </w:r>
    </w:p>
    <w:p>
      <w:pPr>
        <w:spacing w:after="0" w:line="111" w:lineRule="exact"/>
        <w:rPr>
          <w:rFonts w:ascii="Arial" w:cs="Arial" w:eastAsia="Arial" w:hAnsi="Arial"/>
          <w:sz w:val="14"/>
          <w:szCs w:val="14"/>
          <w:color w:val="auto"/>
        </w:rPr>
      </w:pPr>
    </w:p>
    <w:p>
      <w:pPr>
        <w:ind w:left="200" w:right="279" w:firstLine="1036"/>
        <w:spacing w:after="0" w:line="256" w:lineRule="auto"/>
        <w:tabs>
          <w:tab w:leader="none" w:pos="1766" w:val="left"/>
        </w:tabs>
        <w:numPr>
          <w:ilvl w:val="1"/>
          <w:numId w:val="13"/>
        </w:numPr>
        <w:rPr>
          <w:rFonts w:ascii="Arial" w:cs="Arial" w:eastAsia="Arial" w:hAnsi="Arial"/>
          <w:sz w:val="15"/>
          <w:szCs w:val="15"/>
          <w:color w:val="auto"/>
        </w:rPr>
      </w:pPr>
      <w:r>
        <w:rPr>
          <w:rFonts w:ascii="Arial" w:cs="Arial" w:eastAsia="Arial" w:hAnsi="Arial"/>
          <w:sz w:val="16"/>
          <w:szCs w:val="16"/>
          <w:u w:val="single" w:color="auto"/>
          <w:color w:val="auto"/>
        </w:rPr>
        <w:t>Termination by the Executive</w:t>
      </w:r>
      <w:r>
        <w:rPr>
          <w:rFonts w:ascii="Arial" w:cs="Arial" w:eastAsia="Arial" w:hAnsi="Arial"/>
          <w:sz w:val="16"/>
          <w:szCs w:val="16"/>
          <w:color w:val="auto"/>
        </w:rPr>
        <w:t>. The Executive may terminate his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without the Executive’s express written consent: (i) a material diminution in the Executive’s responsibilities, authority or duties; (ii) a material diminution in the Executive’s Base Salary and/or Target Incentive Compensation (unless such diminution is in connection with a proportional reduction in compensation to all or substantially all of the Company’s employees); (iii) a material change of more than 50 miles in the geographic location at which the Executive provides services to the Company; or (iv) the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not less than 30 days following such notice (the “Cure Period “) to remedy the condition;</w:t>
      </w:r>
    </w:p>
    <w:p>
      <w:pPr>
        <w:spacing w:after="0" w:line="7" w:lineRule="exact"/>
        <w:rPr>
          <w:rFonts w:ascii="Arial" w:cs="Arial" w:eastAsia="Arial" w:hAnsi="Arial"/>
          <w:sz w:val="15"/>
          <w:szCs w:val="15"/>
          <w:color w:val="auto"/>
        </w:rPr>
      </w:pPr>
    </w:p>
    <w:p>
      <w:pPr>
        <w:ind w:left="200" w:right="359" w:hanging="7"/>
        <w:spacing w:after="0" w:line="247" w:lineRule="auto"/>
        <w:tabs>
          <w:tab w:leader="none" w:pos="4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notwithstanding such efforts, the Good Reason condition continues to exist; and (v) the Executive terminates his employment within 60 days after the end of the Cure Period. If the Company cures the Good Reason condition during the Cure Period, Good Reason shall be deemed not to have occurred.</w:t>
      </w:r>
    </w:p>
    <w:p>
      <w:pPr>
        <w:spacing w:after="0" w:line="143" w:lineRule="exact"/>
        <w:rPr>
          <w:rFonts w:ascii="Arial" w:cs="Arial" w:eastAsia="Arial" w:hAnsi="Arial"/>
          <w:sz w:val="17"/>
          <w:szCs w:val="17"/>
          <w:color w:val="auto"/>
        </w:rPr>
      </w:pPr>
    </w:p>
    <w:p>
      <w:pPr>
        <w:ind w:left="200" w:right="319" w:firstLine="1036"/>
        <w:spacing w:after="0" w:line="250" w:lineRule="auto"/>
        <w:tabs>
          <w:tab w:leader="none" w:pos="1766" w:val="left"/>
        </w:tabs>
        <w:numPr>
          <w:ilvl w:val="1"/>
          <w:numId w:val="14"/>
        </w:numPr>
        <w:rPr>
          <w:rFonts w:ascii="Arial" w:cs="Arial" w:eastAsia="Arial" w:hAnsi="Arial"/>
          <w:sz w:val="16"/>
          <w:szCs w:val="16"/>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Except for termination as specified in Section 3(a), any termination of the Executive’s employment by the Company or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42" w:lineRule="exact"/>
        <w:rPr>
          <w:rFonts w:ascii="Arial" w:cs="Arial" w:eastAsia="Arial" w:hAnsi="Arial"/>
          <w:sz w:val="16"/>
          <w:szCs w:val="16"/>
          <w:color w:val="auto"/>
        </w:rPr>
      </w:pPr>
    </w:p>
    <w:p>
      <w:pPr>
        <w:ind w:left="200" w:right="219" w:firstLine="1036"/>
        <w:spacing w:after="0" w:line="262" w:lineRule="auto"/>
        <w:tabs>
          <w:tab w:leader="none" w:pos="1766" w:val="left"/>
        </w:tabs>
        <w:numPr>
          <w:ilvl w:val="1"/>
          <w:numId w:val="14"/>
        </w:numPr>
        <w:rPr>
          <w:rFonts w:ascii="Arial" w:cs="Arial" w:eastAsia="Arial" w:hAnsi="Arial"/>
          <w:sz w:val="15"/>
          <w:szCs w:val="15"/>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shall mean: (i) if the Executive’s employment is terminated by his death, the date of his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(iv) 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 Period. Notwithstanding the foregoing, in the event that the Executive gives a</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411480</wp:posOffset>
            </wp:positionV>
            <wp:extent cx="547433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74335" cy="20955"/>
                    </a:xfrm>
                    <a:prstGeom prst="rect">
                      <a:avLst/>
                    </a:prstGeom>
                    <a:noFill/>
                  </pic:spPr>
                </pic:pic>
              </a:graphicData>
            </a:graphic>
          </wp:anchor>
        </w:drawing>
      </w:r>
    </w:p>
    <w:p>
      <w:pPr>
        <w:sectPr>
          <w:pgSz w:w="11900" w:h="16838" w:orient="portrait"/>
          <w:cols w:equalWidth="0" w:num="1">
            <w:col w:w="9019"/>
          </w:cols>
          <w:pgMar w:left="1440" w:top="753" w:right="1440" w:bottom="1440" w:gutter="0" w:footer="0" w:header="0"/>
        </w:sectPr>
      </w:pPr>
    </w:p>
    <w:bookmarkStart w:id="12" w:name="page13"/>
    <w:bookmarkEnd w:id="12"/>
    <w:p>
      <w:pPr>
        <w:ind w:left="200" w:right="839"/>
        <w:spacing w:after="0" w:line="271" w:lineRule="auto"/>
        <w:rPr>
          <w:sz w:val="20"/>
          <w:szCs w:val="20"/>
          <w:color w:val="auto"/>
        </w:rPr>
      </w:pPr>
      <w:r>
        <w:rPr>
          <w:rFonts w:ascii="Arial" w:cs="Arial" w:eastAsia="Arial" w:hAnsi="Arial"/>
          <w:sz w:val="17"/>
          <w:szCs w:val="17"/>
          <w:color w:val="auto"/>
        </w:rPr>
        <w:t>Notice of Termination to the Company, the Company may unilaterally accelerate the Date of Termination and such acceleration shall not result in a termination by the Company for purposes of this Agreement.</w:t>
      </w:r>
    </w:p>
    <w:p>
      <w:pPr>
        <w:spacing w:after="0" w:line="124" w:lineRule="exact"/>
        <w:rPr>
          <w:sz w:val="20"/>
          <w:szCs w:val="20"/>
          <w:color w:val="auto"/>
        </w:rPr>
      </w:pPr>
    </w:p>
    <w:p>
      <w:pPr>
        <w:ind w:left="200" w:right="259" w:firstLine="1036"/>
        <w:spacing w:after="0" w:line="246" w:lineRule="auto"/>
        <w:tabs>
          <w:tab w:leader="none" w:pos="1766" w:val="left"/>
        </w:tabs>
        <w:numPr>
          <w:ilvl w:val="1"/>
          <w:numId w:val="15"/>
        </w:numPr>
        <w:rPr>
          <w:rFonts w:ascii="Arial" w:cs="Arial" w:eastAsia="Arial" w:hAnsi="Arial"/>
          <w:sz w:val="16"/>
          <w:szCs w:val="16"/>
          <w:color w:val="auto"/>
        </w:rPr>
      </w:pPr>
      <w:r>
        <w:rPr>
          <w:rFonts w:ascii="Arial" w:cs="Arial" w:eastAsia="Arial" w:hAnsi="Arial"/>
          <w:sz w:val="17"/>
          <w:szCs w:val="17"/>
          <w:u w:val="single" w:color="auto"/>
          <w:color w:val="auto"/>
        </w:rPr>
        <w:t>Consent to Amended and Restated Employment Agreement</w:t>
      </w:r>
      <w:r>
        <w:rPr>
          <w:rFonts w:ascii="Arial" w:cs="Arial" w:eastAsia="Arial" w:hAnsi="Arial"/>
          <w:sz w:val="17"/>
          <w:szCs w:val="17"/>
          <w:color w:val="auto"/>
        </w:rPr>
        <w:t>. The Executive hereby gives his express written consent to this Agreement which amends and restates the Original Employment Agreement. Accordingly, the Executive acknowledges and agrees that none of the terms hereof shall serve as the basis of a “Good Reason” trigger as defined in this Agreement or the Original Employment Agreement, and therefore the Executive shall not be eligible to resign for Good Reason as a result of any terms, or in connection with the negotiation, execution and delivery, of this Agreement.</w:t>
      </w:r>
    </w:p>
    <w:p>
      <w:pPr>
        <w:spacing w:after="0" w:line="145" w:lineRule="exact"/>
        <w:rPr>
          <w:rFonts w:ascii="Arial" w:cs="Arial" w:eastAsia="Arial" w:hAnsi="Arial"/>
          <w:sz w:val="16"/>
          <w:szCs w:val="16"/>
          <w:color w:val="auto"/>
        </w:rPr>
      </w:pPr>
    </w:p>
    <w:p>
      <w:pPr>
        <w:ind w:left="1240" w:hanging="526"/>
        <w:spacing w:after="0"/>
        <w:tabs>
          <w:tab w:leader="none" w:pos="1240" w:val="left"/>
        </w:tabs>
        <w:numPr>
          <w:ilvl w:val="0"/>
          <w:numId w:val="16"/>
        </w:numPr>
        <w:rPr>
          <w:rFonts w:ascii="Arial" w:cs="Arial" w:eastAsia="Arial" w:hAnsi="Arial"/>
          <w:sz w:val="16"/>
          <w:szCs w:val="16"/>
          <w:color w:val="auto"/>
        </w:rPr>
      </w:pPr>
      <w:r>
        <w:rPr>
          <w:rFonts w:ascii="Arial" w:cs="Arial" w:eastAsia="Arial" w:hAnsi="Arial"/>
          <w:sz w:val="17"/>
          <w:szCs w:val="17"/>
          <w:u w:val="single" w:color="auto"/>
          <w:color w:val="auto"/>
        </w:rPr>
        <w:t>Compensation Upon Termination</w:t>
      </w:r>
      <w:r>
        <w:rPr>
          <w:rFonts w:ascii="Arial" w:cs="Arial" w:eastAsia="Arial" w:hAnsi="Arial"/>
          <w:sz w:val="17"/>
          <w:szCs w:val="17"/>
          <w:color w:val="auto"/>
        </w:rPr>
        <w:t>.</w:t>
      </w:r>
    </w:p>
    <w:p>
      <w:pPr>
        <w:spacing w:after="0" w:line="174" w:lineRule="exact"/>
        <w:rPr>
          <w:rFonts w:ascii="Arial" w:cs="Arial" w:eastAsia="Arial" w:hAnsi="Arial"/>
          <w:sz w:val="16"/>
          <w:szCs w:val="16"/>
          <w:color w:val="auto"/>
        </w:rPr>
      </w:pPr>
    </w:p>
    <w:p>
      <w:pPr>
        <w:ind w:left="200" w:right="219" w:firstLine="1036"/>
        <w:spacing w:after="0" w:line="283" w:lineRule="auto"/>
        <w:tabs>
          <w:tab w:leader="none" w:pos="1766" w:val="left"/>
        </w:tabs>
        <w:numPr>
          <w:ilvl w:val="1"/>
          <w:numId w:val="16"/>
        </w:numPr>
        <w:rPr>
          <w:rFonts w:ascii="Arial" w:cs="Arial" w:eastAsia="Arial" w:hAnsi="Arial"/>
          <w:sz w:val="14"/>
          <w:szCs w:val="14"/>
          <w:color w:val="auto"/>
        </w:rPr>
      </w:pPr>
      <w:r>
        <w:rPr>
          <w:rFonts w:ascii="Arial" w:cs="Arial" w:eastAsia="Arial" w:hAnsi="Arial"/>
          <w:sz w:val="15"/>
          <w:szCs w:val="15"/>
          <w:u w:val="single" w:color="auto"/>
          <w:color w:val="auto"/>
        </w:rPr>
        <w:t>Termination Generally</w:t>
      </w:r>
      <w:r>
        <w:rPr>
          <w:rFonts w:ascii="Arial" w:cs="Arial" w:eastAsia="Arial" w:hAnsi="Arial"/>
          <w:sz w:val="15"/>
          <w:szCs w:val="15"/>
          <w:color w:val="auto"/>
        </w:rPr>
        <w:t>. If the Executive’s employment with the Company is terminated for any reason, the Company shall pay or provide to the Executive (or to his authorized representative or estate) (i) any Base Salary earned, and any unused vacation accrued, through the Date of Termination, and any unpaid expense reimbursements (subject to, and in accordance with, Section 2(e) of this Agreement), payable on or before the time required by applicable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20" w:lineRule="exact"/>
        <w:rPr>
          <w:rFonts w:ascii="Arial" w:cs="Arial" w:eastAsia="Arial" w:hAnsi="Arial"/>
          <w:sz w:val="14"/>
          <w:szCs w:val="14"/>
          <w:color w:val="auto"/>
        </w:rPr>
      </w:pPr>
    </w:p>
    <w:p>
      <w:pPr>
        <w:ind w:left="200" w:right="259" w:firstLine="1036"/>
        <w:spacing w:after="0" w:line="260" w:lineRule="auto"/>
        <w:tabs>
          <w:tab w:leader="none" w:pos="1766" w:val="left"/>
        </w:tabs>
        <w:numPr>
          <w:ilvl w:val="1"/>
          <w:numId w:val="16"/>
        </w:numPr>
        <w:rPr>
          <w:rFonts w:ascii="Arial" w:cs="Arial" w:eastAsia="Arial" w:hAnsi="Arial"/>
          <w:sz w:val="15"/>
          <w:szCs w:val="15"/>
          <w:color w:val="auto"/>
        </w:rPr>
      </w:pPr>
      <w:r>
        <w:rPr>
          <w:rFonts w:ascii="Arial" w:cs="Arial" w:eastAsia="Arial" w:hAnsi="Arial"/>
          <w:sz w:val="16"/>
          <w:szCs w:val="16"/>
          <w:u w:val="single" w:color="auto"/>
          <w:color w:val="auto"/>
        </w:rPr>
        <w:t>Termination by the Company Without Cause or by the Executive with Good Reason</w:t>
      </w:r>
      <w:r>
        <w:rPr>
          <w:rFonts w:ascii="Arial" w:cs="Arial" w:eastAsia="Arial" w:hAnsi="Arial"/>
          <w:sz w:val="16"/>
          <w:szCs w:val="16"/>
          <w:color w:val="auto"/>
        </w:rPr>
        <w:t>. During the Term, if the Executive’s employment is terminated by the Company without Cause as provided in Section 3(d), or the Executive terminates his employment for Good Reason as provided in Section 3(e), then the Company shall pay the Executive his Accrued Benefit. In addition and provided that the Date of Termination does not occur within the Protection Period as defined in Section 5 hereof, subject to the Executive signing a separation agreement containing, among other provisions, a general release of claims in favor of the Company and related persons and entities, confidentiality, return of property and non-disparagement, and a noncompetition agreement with terms substantially similar to the Restrictive Covenants Agreement (defined in Section 7 hereof), such separation agreement to be in a form and manner satisfactory to the Company (the “Separation Agreement and Release”) and the Separation Agreement and Release becoming irrevocable, all within 60 days after the Date of Termination:</w:t>
      </w:r>
    </w:p>
    <w:p>
      <w:pPr>
        <w:spacing w:after="0" w:line="137" w:lineRule="exact"/>
        <w:rPr>
          <w:rFonts w:ascii="Arial" w:cs="Arial" w:eastAsia="Arial" w:hAnsi="Arial"/>
          <w:sz w:val="15"/>
          <w:szCs w:val="15"/>
          <w:color w:val="auto"/>
        </w:rPr>
      </w:pPr>
    </w:p>
    <w:p>
      <w:pPr>
        <w:ind w:left="720" w:right="319" w:firstLine="1038"/>
        <w:spacing w:after="0" w:line="271" w:lineRule="auto"/>
        <w:tabs>
          <w:tab w:leader="none" w:pos="2286" w:val="left"/>
        </w:tabs>
        <w:numPr>
          <w:ilvl w:val="2"/>
          <w:numId w:val="16"/>
        </w:numPr>
        <w:rPr>
          <w:rFonts w:ascii="Arial" w:cs="Arial" w:eastAsia="Arial" w:hAnsi="Arial"/>
          <w:sz w:val="15"/>
          <w:szCs w:val="15"/>
          <w:color w:val="424242"/>
        </w:rPr>
      </w:pPr>
      <w:r>
        <w:rPr>
          <w:rFonts w:ascii="Arial" w:cs="Arial" w:eastAsia="Arial" w:hAnsi="Arial"/>
          <w:sz w:val="16"/>
          <w:szCs w:val="16"/>
          <w:color w:val="auto"/>
        </w:rPr>
        <w:t>the Company shall pay the Executive an amount equal to one (1) times the Executive’s Base Salary (the “Severance Amount”), provided in the event the Executive is entitled to any payments pursuant to the Restrictive Covenants Agreement, the Severance Amount will be reduced by the amount the Executive is paid pursuant to the Restrictive Covenants Agreement (the “Restrictive Covenants Agreement Setoff”); and</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411480</wp:posOffset>
            </wp:positionV>
            <wp:extent cx="547433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74335" cy="20955"/>
                    </a:xfrm>
                    <a:prstGeom prst="rect">
                      <a:avLst/>
                    </a:prstGeom>
                    <a:noFill/>
                  </pic:spPr>
                </pic:pic>
              </a:graphicData>
            </a:graphic>
          </wp:anchor>
        </w:drawing>
      </w:r>
    </w:p>
    <w:p>
      <w:pPr>
        <w:sectPr>
          <w:pgSz w:w="11900" w:h="16838" w:orient="portrait"/>
          <w:cols w:equalWidth="0" w:num="1">
            <w:col w:w="9019"/>
          </w:cols>
          <w:pgMar w:left="1440" w:top="753" w:right="1440" w:bottom="1440" w:gutter="0" w:footer="0" w:header="0"/>
        </w:sectPr>
      </w:pPr>
    </w:p>
    <w:bookmarkStart w:id="13" w:name="page14"/>
    <w:bookmarkEnd w:id="13"/>
    <w:p>
      <w:pPr>
        <w:ind w:left="720" w:right="399" w:firstLine="1038"/>
        <w:spacing w:after="0" w:line="267" w:lineRule="auto"/>
        <w:tabs>
          <w:tab w:leader="none" w:pos="2286" w:val="left"/>
        </w:tabs>
        <w:numPr>
          <w:ilvl w:val="0"/>
          <w:numId w:val="17"/>
        </w:numPr>
        <w:rPr>
          <w:rFonts w:ascii="Arial" w:cs="Arial" w:eastAsia="Arial" w:hAnsi="Arial"/>
          <w:sz w:val="15"/>
          <w:szCs w:val="15"/>
          <w:color w:val="424242"/>
        </w:rPr>
      </w:pPr>
      <w:r>
        <w:rPr>
          <w:rFonts w:ascii="Arial" w:cs="Arial" w:eastAsia="Arial" w:hAnsi="Arial"/>
          <w:sz w:val="16"/>
          <w:szCs w:val="16"/>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w:t>
      </w:r>
    </w:p>
    <w:p>
      <w:pPr>
        <w:spacing w:after="0" w:line="129" w:lineRule="exact"/>
        <w:rPr>
          <w:sz w:val="20"/>
          <w:szCs w:val="20"/>
          <w:color w:val="auto"/>
        </w:rPr>
      </w:pPr>
    </w:p>
    <w:p>
      <w:pPr>
        <w:ind w:left="200" w:right="319"/>
        <w:spacing w:after="0" w:line="245" w:lineRule="auto"/>
        <w:rPr>
          <w:sz w:val="20"/>
          <w:szCs w:val="20"/>
          <w:color w:val="auto"/>
        </w:rPr>
      </w:pPr>
      <w:r>
        <w:rPr>
          <w:rFonts w:ascii="Arial" w:cs="Arial" w:eastAsia="Arial" w:hAnsi="Arial"/>
          <w:sz w:val="17"/>
          <w:szCs w:val="17"/>
          <w:color w:val="auto"/>
        </w:rPr>
        <w:t>The amounts payable under this Section 4(b) shall be paid out in substantially equal installments in accordance with the Company’s payroll practice over twelve (12)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l.409A-2(b)(2).</w:t>
      </w:r>
    </w:p>
    <w:p>
      <w:pPr>
        <w:spacing w:after="0" w:line="147" w:lineRule="exact"/>
        <w:rPr>
          <w:sz w:val="20"/>
          <w:szCs w:val="20"/>
          <w:color w:val="auto"/>
        </w:rPr>
      </w:pPr>
    </w:p>
    <w:p>
      <w:pPr>
        <w:ind w:left="200" w:right="239"/>
        <w:spacing w:after="0" w:line="246" w:lineRule="auto"/>
        <w:rPr>
          <w:sz w:val="20"/>
          <w:szCs w:val="20"/>
          <w:color w:val="auto"/>
        </w:rPr>
      </w:pPr>
      <w:r>
        <w:rPr>
          <w:rFonts w:ascii="Arial" w:cs="Arial" w:eastAsia="Arial" w:hAnsi="Arial"/>
          <w:sz w:val="17"/>
          <w:szCs w:val="17"/>
          <w:color w:val="auto"/>
        </w:rPr>
        <w:t>The receipt of severance payments and benefits pursuant to Section 4 will be subject to Executive not violating the Restrictive Covenants Agreement and the Separation Agreement and Release. In the event Executive breaches any of the provisions of either such agreement, in addition to all other available legal and equitable remedies, the Company shall have the right to terminate or suspend all continuing payments and benefits to which Executive may otherwise be entitled pursuant to Section 4 (including without limitation the Severance Amount) without affecting the Executive’s release or Executive’s obligations under the Separation Agreement and Release.</w:t>
      </w:r>
    </w:p>
    <w:p>
      <w:pPr>
        <w:spacing w:after="0" w:line="146" w:lineRule="exact"/>
        <w:rPr>
          <w:sz w:val="20"/>
          <w:szCs w:val="20"/>
          <w:color w:val="auto"/>
        </w:rPr>
      </w:pPr>
    </w:p>
    <w:p>
      <w:pPr>
        <w:ind w:left="200" w:right="219" w:firstLine="514"/>
        <w:spacing w:after="0" w:line="281" w:lineRule="auto"/>
        <w:tabs>
          <w:tab w:leader="none" w:pos="1244" w:val="left"/>
        </w:tabs>
        <w:numPr>
          <w:ilvl w:val="0"/>
          <w:numId w:val="18"/>
        </w:numPr>
        <w:rPr>
          <w:rFonts w:ascii="Arial" w:cs="Arial" w:eastAsia="Arial" w:hAnsi="Arial"/>
          <w:sz w:val="14"/>
          <w:szCs w:val="14"/>
          <w:color w:val="auto"/>
        </w:rPr>
      </w:pPr>
      <w:r>
        <w:rPr>
          <w:rFonts w:ascii="Arial" w:cs="Arial" w:eastAsia="Arial" w:hAnsi="Arial"/>
          <w:sz w:val="15"/>
          <w:szCs w:val="15"/>
          <w:u w:val="single" w:color="auto"/>
          <w:color w:val="auto"/>
        </w:rPr>
        <w:t>Sale Event Payment</w:t>
      </w:r>
      <w:r>
        <w:rPr>
          <w:rFonts w:ascii="Arial" w:cs="Arial" w:eastAsia="Arial" w:hAnsi="Arial"/>
          <w:sz w:val="15"/>
          <w:szCs w:val="15"/>
          <w:color w:val="auto"/>
        </w:rPr>
        <w:t>. This Section 5 is intended to assure and encourage in advance the Executive’s continued attention and dedication to his assigned duties and his objectivity during the pendency and after the occurrence of any Sale Event (as defined below). This Section 5 shall apply in lieu of, and expressly supersede, the provisions of Section 4(b) regarding severance pay and benefits upon a termination of employment, if the Date of Termination occurs within twelve (12) months after the occurrence of the first event constituting a Sale Event (the “Protection Period”). This Section 5 shall terminate and be of no further force or effect upon the later of (x) expiration of the Protection Period or (y) fulfillment of all obligations pursuant to this Section 5 arising from the Executive’s termination of employment under either Section 3(d) or Section 3(e) of this Agreement where the Date of Termination occurs during the Protection Period.</w:t>
      </w:r>
    </w:p>
    <w:p>
      <w:pPr>
        <w:spacing w:after="0" w:line="123" w:lineRule="exact"/>
        <w:rPr>
          <w:rFonts w:ascii="Arial" w:cs="Arial" w:eastAsia="Arial" w:hAnsi="Arial"/>
          <w:sz w:val="14"/>
          <w:szCs w:val="14"/>
          <w:color w:val="auto"/>
        </w:rPr>
      </w:pPr>
    </w:p>
    <w:p>
      <w:pPr>
        <w:ind w:left="200" w:right="559" w:firstLine="1036"/>
        <w:spacing w:after="0" w:line="248" w:lineRule="auto"/>
        <w:tabs>
          <w:tab w:leader="none" w:pos="1766" w:val="left"/>
        </w:tabs>
        <w:numPr>
          <w:ilvl w:val="1"/>
          <w:numId w:val="18"/>
        </w:numPr>
        <w:rPr>
          <w:rFonts w:ascii="Arial" w:cs="Arial" w:eastAsia="Arial" w:hAnsi="Arial"/>
          <w:sz w:val="16"/>
          <w:szCs w:val="16"/>
          <w:color w:val="auto"/>
        </w:rPr>
      </w:pPr>
      <w:r>
        <w:rPr>
          <w:rFonts w:ascii="Arial" w:cs="Arial" w:eastAsia="Arial" w:hAnsi="Arial"/>
          <w:sz w:val="17"/>
          <w:szCs w:val="17"/>
          <w:u w:val="single" w:color="auto"/>
          <w:color w:val="auto"/>
        </w:rPr>
        <w:t>Sale Event</w:t>
      </w:r>
      <w:r>
        <w:rPr>
          <w:rFonts w:ascii="Arial" w:cs="Arial" w:eastAsia="Arial" w:hAnsi="Arial"/>
          <w:sz w:val="17"/>
          <w:szCs w:val="17"/>
          <w:color w:val="auto"/>
        </w:rPr>
        <w:t>. During the Term, if during the Protection Period, the Executive’s employment is terminated by the Company without Cause as provided in Section 3(d) or the Executive terminates his employment for Good Reason as provided in Section 3(e), then, subject to the signing of the Separation Agreement and Release by the Executive and the Separation Agreement and Release becoming irrevocable, all within 60 days after the Date of Termination,</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411480</wp:posOffset>
            </wp:positionV>
            <wp:extent cx="547433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74335" cy="20955"/>
                    </a:xfrm>
                    <a:prstGeom prst="rect">
                      <a:avLst/>
                    </a:prstGeom>
                    <a:noFill/>
                  </pic:spPr>
                </pic:pic>
              </a:graphicData>
            </a:graphic>
          </wp:anchor>
        </w:drawing>
      </w:r>
    </w:p>
    <w:p>
      <w:pPr>
        <w:sectPr>
          <w:pgSz w:w="11900" w:h="16838" w:orient="portrait"/>
          <w:cols w:equalWidth="0" w:num="1">
            <w:col w:w="9019"/>
          </w:cols>
          <w:pgMar w:left="1440" w:top="753" w:right="1440" w:bottom="1440" w:gutter="0" w:footer="0" w:header="0"/>
        </w:sectPr>
      </w:pPr>
    </w:p>
    <w:bookmarkStart w:id="14" w:name="page15"/>
    <w:bookmarkEnd w:id="14"/>
    <w:p>
      <w:pPr>
        <w:ind w:left="2280" w:hanging="522"/>
        <w:spacing w:after="0"/>
        <w:tabs>
          <w:tab w:leader="none" w:pos="2280" w:val="left"/>
        </w:tabs>
        <w:numPr>
          <w:ilvl w:val="1"/>
          <w:numId w:val="19"/>
        </w:numPr>
        <w:rPr>
          <w:rFonts w:ascii="Arial" w:cs="Arial" w:eastAsia="Arial" w:hAnsi="Arial"/>
          <w:sz w:val="15"/>
          <w:szCs w:val="15"/>
          <w:color w:val="424242"/>
        </w:rPr>
      </w:pPr>
      <w:r>
        <w:rPr>
          <w:rFonts w:ascii="Arial" w:cs="Arial" w:eastAsia="Arial" w:hAnsi="Arial"/>
          <w:sz w:val="16"/>
          <w:szCs w:val="16"/>
          <w:color w:val="auto"/>
        </w:rPr>
        <w:t>the Company shall pay the Executive a lump sum in cash in an amount equal to the sum of</w:t>
      </w:r>
    </w:p>
    <w:p>
      <w:pPr>
        <w:spacing w:after="0" w:line="25" w:lineRule="exact"/>
        <w:rPr>
          <w:rFonts w:ascii="Arial" w:cs="Arial" w:eastAsia="Arial" w:hAnsi="Arial"/>
          <w:sz w:val="15"/>
          <w:szCs w:val="15"/>
          <w:color w:val="424242"/>
        </w:rPr>
      </w:pPr>
    </w:p>
    <w:p>
      <w:pPr>
        <w:ind w:left="720" w:right="279" w:hanging="6"/>
        <w:spacing w:after="0" w:line="244" w:lineRule="auto"/>
        <w:tabs>
          <w:tab w:leader="none" w:pos="1005"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one (1) times the Executive’s current Base Salary (or the Executive’s Base Salary in effect immediately prior to the Sale Event, if higher) plus (B) one (1) times the Executive’s Target Incentive Compensation ((A) and (B) together, the “Change in Control Payment”), provided any Change in Control Payment shall be less the Restrictive Covenants Agreement Setoff, if applicable; and</w:t>
      </w:r>
    </w:p>
    <w:p>
      <w:pPr>
        <w:spacing w:after="0" w:line="147" w:lineRule="exact"/>
        <w:rPr>
          <w:rFonts w:ascii="Arial" w:cs="Arial" w:eastAsia="Arial" w:hAnsi="Arial"/>
          <w:sz w:val="17"/>
          <w:szCs w:val="17"/>
          <w:color w:val="auto"/>
        </w:rPr>
      </w:pPr>
    </w:p>
    <w:p>
      <w:pPr>
        <w:ind w:left="720" w:right="399" w:firstLine="1038"/>
        <w:spacing w:after="0" w:line="267" w:lineRule="auto"/>
        <w:tabs>
          <w:tab w:leader="none" w:pos="2286" w:val="left"/>
        </w:tabs>
        <w:numPr>
          <w:ilvl w:val="1"/>
          <w:numId w:val="20"/>
        </w:numPr>
        <w:rPr>
          <w:rFonts w:ascii="Arial" w:cs="Arial" w:eastAsia="Arial" w:hAnsi="Arial"/>
          <w:sz w:val="15"/>
          <w:szCs w:val="15"/>
          <w:color w:val="424242"/>
        </w:rPr>
      </w:pPr>
      <w:r>
        <w:rPr>
          <w:rFonts w:ascii="Arial" w:cs="Arial" w:eastAsia="Arial" w:hAnsi="Arial"/>
          <w:sz w:val="16"/>
          <w:szCs w:val="16"/>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28" w:lineRule="exact"/>
        <w:rPr>
          <w:rFonts w:ascii="Arial" w:cs="Arial" w:eastAsia="Arial" w:hAnsi="Arial"/>
          <w:sz w:val="15"/>
          <w:szCs w:val="15"/>
          <w:color w:val="424242"/>
        </w:rPr>
      </w:pPr>
    </w:p>
    <w:p>
      <w:pPr>
        <w:ind w:left="720" w:right="339" w:firstLine="1038"/>
        <w:spacing w:after="0" w:line="271" w:lineRule="auto"/>
        <w:tabs>
          <w:tab w:leader="none" w:pos="2286" w:val="left"/>
        </w:tabs>
        <w:numPr>
          <w:ilvl w:val="1"/>
          <w:numId w:val="20"/>
        </w:numPr>
        <w:rPr>
          <w:rFonts w:ascii="Arial" w:cs="Arial" w:eastAsia="Arial" w:hAnsi="Arial"/>
          <w:sz w:val="16"/>
          <w:szCs w:val="16"/>
          <w:color w:val="424242"/>
        </w:rPr>
      </w:pPr>
      <w:r>
        <w:rPr>
          <w:rFonts w:ascii="Arial" w:cs="Arial" w:eastAsia="Arial" w:hAnsi="Arial"/>
          <w:sz w:val="17"/>
          <w:szCs w:val="17"/>
          <w:color w:val="auto"/>
        </w:rPr>
        <w:t>all time-based stock options and other time-based stock-based awards held by the Executive shall accelerate and become fully exercisable or non-forfeitable as of the Date of Termination.</w:t>
      </w:r>
    </w:p>
    <w:p>
      <w:pPr>
        <w:spacing w:after="0" w:line="124" w:lineRule="exact"/>
        <w:rPr>
          <w:sz w:val="20"/>
          <w:szCs w:val="20"/>
          <w:color w:val="auto"/>
        </w:rPr>
      </w:pPr>
    </w:p>
    <w:p>
      <w:pPr>
        <w:jc w:val="both"/>
        <w:ind w:left="260" w:right="339"/>
        <w:spacing w:after="0" w:line="306" w:lineRule="auto"/>
        <w:rPr>
          <w:sz w:val="20"/>
          <w:szCs w:val="20"/>
          <w:color w:val="auto"/>
        </w:rPr>
      </w:pPr>
      <w:r>
        <w:rPr>
          <w:rFonts w:ascii="Arial" w:cs="Arial" w:eastAsia="Arial" w:hAnsi="Arial"/>
          <w:sz w:val="15"/>
          <w:szCs w:val="15"/>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01" w:lineRule="exact"/>
        <w:rPr>
          <w:sz w:val="20"/>
          <w:szCs w:val="20"/>
          <w:color w:val="auto"/>
        </w:rPr>
      </w:pPr>
    </w:p>
    <w:p>
      <w:pPr>
        <w:ind w:left="1760" w:hanging="524"/>
        <w:spacing w:after="0"/>
        <w:tabs>
          <w:tab w:leader="none" w:pos="176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Additional Limitation</w:t>
      </w:r>
      <w:r>
        <w:rPr>
          <w:rFonts w:ascii="Arial" w:cs="Arial" w:eastAsia="Arial" w:hAnsi="Arial"/>
          <w:sz w:val="17"/>
          <w:szCs w:val="17"/>
          <w:color w:val="auto"/>
        </w:rPr>
        <w:t>.</w:t>
      </w:r>
    </w:p>
    <w:p>
      <w:pPr>
        <w:spacing w:after="0" w:line="174" w:lineRule="exact"/>
        <w:rPr>
          <w:rFonts w:ascii="Arial" w:cs="Arial" w:eastAsia="Arial" w:hAnsi="Arial"/>
          <w:sz w:val="17"/>
          <w:szCs w:val="17"/>
          <w:color w:val="auto"/>
        </w:rPr>
      </w:pPr>
    </w:p>
    <w:p>
      <w:pPr>
        <w:ind w:left="720" w:right="199" w:firstLine="1038"/>
        <w:spacing w:after="0" w:line="258" w:lineRule="auto"/>
        <w:tabs>
          <w:tab w:leader="none" w:pos="2286"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411480</wp:posOffset>
            </wp:positionV>
            <wp:extent cx="547433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74335" cy="20955"/>
                    </a:xfrm>
                    <a:prstGeom prst="rect">
                      <a:avLst/>
                    </a:prstGeom>
                    <a:noFill/>
                  </pic:spPr>
                </pic:pic>
              </a:graphicData>
            </a:graphic>
          </wp:anchor>
        </w:drawing>
      </w:r>
    </w:p>
    <w:p>
      <w:pPr>
        <w:sectPr>
          <w:pgSz w:w="11900" w:h="16838" w:orient="portrait"/>
          <w:cols w:equalWidth="0" w:num="1">
            <w:col w:w="9019"/>
          </w:cols>
          <w:pgMar w:left="1440" w:top="753" w:right="1440" w:bottom="1440" w:gutter="0" w:footer="0" w:header="0"/>
        </w:sectPr>
      </w:pPr>
    </w:p>
    <w:bookmarkStart w:id="15" w:name="page16"/>
    <w:bookmarkEnd w:id="15"/>
    <w:p>
      <w:pPr>
        <w:ind w:left="720" w:right="279"/>
        <w:spacing w:after="0" w:line="271" w:lineRule="auto"/>
        <w:rPr>
          <w:sz w:val="20"/>
          <w:szCs w:val="20"/>
          <w:color w:val="auto"/>
        </w:rPr>
      </w:pPr>
      <w:r>
        <w:rPr>
          <w:rFonts w:ascii="Arial" w:cs="Arial" w:eastAsia="Arial" w:hAnsi="Arial"/>
          <w:sz w:val="17"/>
          <w:szCs w:val="17"/>
          <w:color w:val="auto"/>
        </w:rPr>
        <w:t>under Treas. Reg. §1.280G-1, Q&amp;A-24(b) or (c) shall be reduced before any amounts that are subject to calculation under Treas. Reg. §1.280G-1, Q&amp;A-24(b) or (c).</w:t>
      </w:r>
    </w:p>
    <w:p>
      <w:pPr>
        <w:spacing w:after="0" w:line="124" w:lineRule="exact"/>
        <w:rPr>
          <w:sz w:val="20"/>
          <w:szCs w:val="20"/>
          <w:color w:val="auto"/>
        </w:rPr>
      </w:pPr>
    </w:p>
    <w:p>
      <w:pPr>
        <w:ind w:left="720" w:right="339" w:firstLine="1038"/>
        <w:spacing w:after="0" w:line="244" w:lineRule="auto"/>
        <w:tabs>
          <w:tab w:leader="none" w:pos="2286" w:val="left"/>
        </w:tabs>
        <w:numPr>
          <w:ilvl w:val="1"/>
          <w:numId w:val="22"/>
        </w:numPr>
        <w:rPr>
          <w:rFonts w:ascii="Arial" w:cs="Arial" w:eastAsia="Arial" w:hAnsi="Arial"/>
          <w:sz w:val="17"/>
          <w:szCs w:val="17"/>
          <w:color w:val="auto"/>
        </w:rPr>
      </w:pPr>
      <w:r>
        <w:rPr>
          <w:rFonts w:ascii="Arial" w:cs="Arial" w:eastAsia="Arial" w:hAnsi="Arial"/>
          <w:sz w:val="17"/>
          <w:szCs w:val="17"/>
          <w:color w:val="auto"/>
        </w:rPr>
        <w:t>For purposes of this Section 5(b),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49" w:lineRule="exact"/>
        <w:rPr>
          <w:rFonts w:ascii="Arial" w:cs="Arial" w:eastAsia="Arial" w:hAnsi="Arial"/>
          <w:sz w:val="17"/>
          <w:szCs w:val="17"/>
          <w:color w:val="auto"/>
        </w:rPr>
      </w:pPr>
    </w:p>
    <w:p>
      <w:pPr>
        <w:ind w:left="720" w:right="319" w:firstLine="1038"/>
        <w:spacing w:after="0" w:line="246" w:lineRule="auto"/>
        <w:tabs>
          <w:tab w:leader="none" w:pos="2286"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after the Date of Termination, if applicable, or at such earlier time as is reasonably requested by the Company or the Executive. Any determination by the Accounting Firm shall be binding upon the Company and the Executive.</w:t>
      </w:r>
    </w:p>
    <w:p>
      <w:pPr>
        <w:spacing w:after="0" w:line="145" w:lineRule="exact"/>
        <w:rPr>
          <w:rFonts w:ascii="Arial" w:cs="Arial" w:eastAsia="Arial" w:hAnsi="Arial"/>
          <w:sz w:val="17"/>
          <w:szCs w:val="17"/>
          <w:color w:val="auto"/>
        </w:rPr>
      </w:pPr>
    </w:p>
    <w:p>
      <w:pPr>
        <w:ind w:left="200" w:right="219" w:firstLine="1036"/>
        <w:spacing w:after="0" w:line="243" w:lineRule="auto"/>
        <w:tabs>
          <w:tab w:leader="none" w:pos="1766"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Sale Event Definition</w:t>
      </w:r>
      <w:r>
        <w:rPr>
          <w:rFonts w:ascii="Arial" w:cs="Arial" w:eastAsia="Arial" w:hAnsi="Arial"/>
          <w:sz w:val="17"/>
          <w:szCs w:val="17"/>
          <w:color w:val="auto"/>
        </w:rPr>
        <w:t>. For purposes of this Section 5, “Sale Event”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Notwithstanding the foregoing, a “Sale Event” shall not be deemed to have occurred for purposes of the foregoing clauses</w:t>
      </w:r>
    </w:p>
    <w:p>
      <w:pPr>
        <w:spacing w:after="0" w:line="37" w:lineRule="exact"/>
        <w:rPr>
          <w:sz w:val="20"/>
          <w:szCs w:val="20"/>
          <w:color w:val="auto"/>
        </w:rPr>
      </w:pPr>
    </w:p>
    <w:p>
      <w:pPr>
        <w:ind w:left="200" w:right="259" w:hanging="7"/>
        <w:spacing w:after="0" w:line="242" w:lineRule="auto"/>
        <w:tabs>
          <w:tab w:leader="none" w:pos="4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and (iv) solely as the result of an acquisition of securities by the Company which, by reducing the number of shares of voting securities outstanding, increases the proportionate number of voting securities beneficially owned by any person to 50%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or more of the combined voting power of all of the then outstanding voting securities, then a “Sale Event” shall be deemed to have occurred for purposes of the foregoing clauses (ii) and (iv).</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411480</wp:posOffset>
            </wp:positionV>
            <wp:extent cx="547433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74335" cy="20955"/>
                    </a:xfrm>
                    <a:prstGeom prst="rect">
                      <a:avLst/>
                    </a:prstGeom>
                    <a:noFill/>
                  </pic:spPr>
                </pic:pic>
              </a:graphicData>
            </a:graphic>
          </wp:anchor>
        </w:drawing>
      </w:r>
    </w:p>
    <w:p>
      <w:pPr>
        <w:sectPr>
          <w:pgSz w:w="11900" w:h="16838" w:orient="portrait"/>
          <w:cols w:equalWidth="0" w:num="1">
            <w:col w:w="9019"/>
          </w:cols>
          <w:pgMar w:left="1440" w:top="753" w:right="1440" w:bottom="1440" w:gutter="0" w:footer="0" w:header="0"/>
        </w:sectPr>
      </w:pPr>
    </w:p>
    <w:bookmarkStart w:id="16" w:name="page17"/>
    <w:bookmarkEnd w:id="16"/>
    <w:p>
      <w:pPr>
        <w:ind w:left="1240" w:hanging="526"/>
        <w:spacing w:after="0"/>
        <w:tabs>
          <w:tab w:leader="none" w:pos="1240" w:val="left"/>
        </w:tabs>
        <w:numPr>
          <w:ilvl w:val="0"/>
          <w:numId w:val="25"/>
        </w:numPr>
        <w:rPr>
          <w:rFonts w:ascii="Arial" w:cs="Arial" w:eastAsia="Arial" w:hAnsi="Arial"/>
          <w:sz w:val="16"/>
          <w:szCs w:val="16"/>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w:t>
      </w:r>
    </w:p>
    <w:p>
      <w:pPr>
        <w:spacing w:after="0" w:line="174" w:lineRule="exact"/>
        <w:rPr>
          <w:rFonts w:ascii="Arial" w:cs="Arial" w:eastAsia="Arial" w:hAnsi="Arial"/>
          <w:sz w:val="16"/>
          <w:szCs w:val="16"/>
          <w:color w:val="auto"/>
        </w:rPr>
      </w:pPr>
    </w:p>
    <w:p>
      <w:pPr>
        <w:ind w:left="200" w:right="319" w:firstLine="1036"/>
        <w:spacing w:after="0" w:line="260" w:lineRule="auto"/>
        <w:tabs>
          <w:tab w:leader="none" w:pos="1766" w:val="left"/>
        </w:tabs>
        <w:numPr>
          <w:ilvl w:val="1"/>
          <w:numId w:val="25"/>
        </w:numPr>
        <w:rPr>
          <w:rFonts w:ascii="Arial" w:cs="Arial" w:eastAsia="Arial" w:hAnsi="Arial"/>
          <w:sz w:val="15"/>
          <w:szCs w:val="15"/>
          <w:color w:val="auto"/>
        </w:rPr>
      </w:pPr>
      <w:r>
        <w:rPr>
          <w:rFonts w:ascii="Arial" w:cs="Arial" w:eastAsia="Arial" w:hAnsi="Arial"/>
          <w:sz w:val="16"/>
          <w:szCs w:val="16"/>
          <w:color w:val="auto"/>
        </w:rPr>
        <w:t>Anything in this Agreement to the contrary notwithstanding ,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34" w:lineRule="exact"/>
        <w:rPr>
          <w:rFonts w:ascii="Arial" w:cs="Arial" w:eastAsia="Arial" w:hAnsi="Arial"/>
          <w:sz w:val="15"/>
          <w:szCs w:val="15"/>
          <w:color w:val="auto"/>
        </w:rPr>
      </w:pPr>
    </w:p>
    <w:p>
      <w:pPr>
        <w:ind w:left="200" w:right="239" w:firstLine="1036"/>
        <w:spacing w:after="0" w:line="244" w:lineRule="auto"/>
        <w:tabs>
          <w:tab w:leader="none" w:pos="1766" w:val="left"/>
        </w:tabs>
        <w:numPr>
          <w:ilvl w:val="1"/>
          <w:numId w:val="25"/>
        </w:numPr>
        <w:rPr>
          <w:rFonts w:ascii="Arial" w:cs="Arial" w:eastAsia="Arial" w:hAnsi="Arial"/>
          <w:sz w:val="16"/>
          <w:szCs w:val="16"/>
          <w:color w:val="auto"/>
        </w:rPr>
      </w:pPr>
      <w:r>
        <w:rPr>
          <w:rFonts w:ascii="Arial" w:cs="Arial" w:eastAsia="Arial" w:hAnsi="Arial"/>
          <w:sz w:val="17"/>
          <w:szCs w:val="17"/>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49" w:lineRule="exact"/>
        <w:rPr>
          <w:rFonts w:ascii="Arial" w:cs="Arial" w:eastAsia="Arial" w:hAnsi="Arial"/>
          <w:sz w:val="16"/>
          <w:szCs w:val="16"/>
          <w:color w:val="auto"/>
        </w:rPr>
      </w:pPr>
    </w:p>
    <w:p>
      <w:pPr>
        <w:ind w:left="200" w:right="219" w:firstLine="1036"/>
        <w:spacing w:after="0" w:line="267" w:lineRule="auto"/>
        <w:tabs>
          <w:tab w:leader="none" w:pos="1766" w:val="left"/>
        </w:tabs>
        <w:numPr>
          <w:ilvl w:val="1"/>
          <w:numId w:val="25"/>
        </w:numPr>
        <w:rPr>
          <w:rFonts w:ascii="Arial" w:cs="Arial" w:eastAsia="Arial" w:hAnsi="Arial"/>
          <w:sz w:val="15"/>
          <w:szCs w:val="15"/>
          <w:color w:val="auto"/>
        </w:rPr>
      </w:pPr>
      <w:r>
        <w:rPr>
          <w:rFonts w:ascii="Arial" w:cs="Arial" w:eastAsia="Arial" w:hAnsi="Arial"/>
          <w:sz w:val="16"/>
          <w:szCs w:val="16"/>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1.409A-l(h).</w:t>
      </w:r>
    </w:p>
    <w:p>
      <w:pPr>
        <w:spacing w:after="0" w:line="128" w:lineRule="exact"/>
        <w:rPr>
          <w:rFonts w:ascii="Arial" w:cs="Arial" w:eastAsia="Arial" w:hAnsi="Arial"/>
          <w:sz w:val="15"/>
          <w:szCs w:val="15"/>
          <w:color w:val="auto"/>
        </w:rPr>
      </w:pPr>
    </w:p>
    <w:p>
      <w:pPr>
        <w:ind w:left="200" w:right="239" w:firstLine="1036"/>
        <w:spacing w:after="0" w:line="263" w:lineRule="auto"/>
        <w:tabs>
          <w:tab w:leader="none" w:pos="1766" w:val="left"/>
        </w:tabs>
        <w:numPr>
          <w:ilvl w:val="1"/>
          <w:numId w:val="25"/>
        </w:numPr>
        <w:rPr>
          <w:rFonts w:ascii="Arial" w:cs="Arial" w:eastAsia="Arial" w:hAnsi="Arial"/>
          <w:sz w:val="15"/>
          <w:szCs w:val="15"/>
          <w:color w:val="auto"/>
        </w:rPr>
      </w:pPr>
      <w:r>
        <w:rPr>
          <w:rFonts w:ascii="Arial" w:cs="Arial" w:eastAsia="Arial" w:hAnsi="Arial"/>
          <w:sz w:val="16"/>
          <w:szCs w:val="16"/>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411480</wp:posOffset>
            </wp:positionV>
            <wp:extent cx="547433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74335" cy="20955"/>
                    </a:xfrm>
                    <a:prstGeom prst="rect">
                      <a:avLst/>
                    </a:prstGeom>
                    <a:noFill/>
                  </pic:spPr>
                </pic:pic>
              </a:graphicData>
            </a:graphic>
          </wp:anchor>
        </w:drawing>
      </w:r>
    </w:p>
    <w:p>
      <w:pPr>
        <w:sectPr>
          <w:pgSz w:w="11900" w:h="16838" w:orient="portrait"/>
          <w:cols w:equalWidth="0" w:num="1">
            <w:col w:w="9019"/>
          </w:cols>
          <w:pgMar w:left="1440" w:top="753" w:right="1440" w:bottom="1440" w:gutter="0" w:footer="0" w:header="0"/>
        </w:sectPr>
      </w:pPr>
    </w:p>
    <w:bookmarkStart w:id="17" w:name="page18"/>
    <w:bookmarkEnd w:id="17"/>
    <w:p>
      <w:pPr>
        <w:ind w:left="200" w:right="259" w:firstLine="1036"/>
        <w:spacing w:after="0" w:line="279" w:lineRule="auto"/>
        <w:tabs>
          <w:tab w:leader="none" w:pos="1766" w:val="left"/>
        </w:tabs>
        <w:numPr>
          <w:ilvl w:val="1"/>
          <w:numId w:val="26"/>
        </w:numPr>
        <w:rPr>
          <w:rFonts w:ascii="Arial" w:cs="Arial" w:eastAsia="Arial" w:hAnsi="Arial"/>
          <w:sz w:val="15"/>
          <w:szCs w:val="15"/>
          <w:color w:val="auto"/>
        </w:rPr>
      </w:pPr>
      <w:r>
        <w:rPr>
          <w:rFonts w:ascii="Arial" w:cs="Arial" w:eastAsia="Arial" w:hAnsi="Arial"/>
          <w:sz w:val="16"/>
          <w:szCs w:val="16"/>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19" w:lineRule="exact"/>
        <w:rPr>
          <w:rFonts w:ascii="Arial" w:cs="Arial" w:eastAsia="Arial" w:hAnsi="Arial"/>
          <w:sz w:val="15"/>
          <w:szCs w:val="15"/>
          <w:color w:val="auto"/>
        </w:rPr>
      </w:pPr>
    </w:p>
    <w:p>
      <w:pPr>
        <w:ind w:left="200" w:right="339" w:firstLine="514"/>
        <w:spacing w:after="0" w:line="245" w:lineRule="auto"/>
        <w:tabs>
          <w:tab w:leader="none" w:pos="1244" w:val="left"/>
        </w:tabs>
        <w:numPr>
          <w:ilvl w:val="0"/>
          <w:numId w:val="27"/>
        </w:numPr>
        <w:rPr>
          <w:rFonts w:ascii="Arial" w:cs="Arial" w:eastAsia="Arial" w:hAnsi="Arial"/>
          <w:sz w:val="16"/>
          <w:szCs w:val="16"/>
          <w:color w:val="auto"/>
        </w:rPr>
      </w:pPr>
      <w:r>
        <w:rPr>
          <w:rFonts w:ascii="Arial" w:cs="Arial" w:eastAsia="Arial" w:hAnsi="Arial"/>
          <w:sz w:val="17"/>
          <w:szCs w:val="17"/>
          <w:u w:val="single" w:color="auto"/>
          <w:color w:val="auto"/>
        </w:rPr>
        <w:t>Restrictive Covenants Agreement</w:t>
      </w:r>
      <w:r>
        <w:rPr>
          <w:rFonts w:ascii="Arial" w:cs="Arial" w:eastAsia="Arial" w:hAnsi="Arial"/>
          <w:sz w:val="17"/>
          <w:szCs w:val="17"/>
          <w:color w:val="auto"/>
        </w:rPr>
        <w:t>. The Executive hereby acknowledges and agrees that the terms of the Employee Confidentiality, Assignment and Non-Competition Agreement, dated as of May 6, 2020, entered into by and between the Company and the Executive (the “Restrictive Covenants Agreement”), remain in full force and effect and are incorporated herein by reference, the terms of which are material terms of this Agreement. For the avoidance of doubt, in the event of a breach of the Restrictive Covenants Agreement by the Executive, the Company may discontinue any post-employment payments made pursuant to this Agreement, the Separation Agreement and Release, or the Restrictive Covenants Agreement.</w:t>
      </w:r>
    </w:p>
    <w:p>
      <w:pPr>
        <w:spacing w:after="0" w:line="146" w:lineRule="exact"/>
        <w:rPr>
          <w:rFonts w:ascii="Arial" w:cs="Arial" w:eastAsia="Arial" w:hAnsi="Arial"/>
          <w:sz w:val="16"/>
          <w:szCs w:val="16"/>
          <w:color w:val="auto"/>
        </w:rPr>
      </w:pPr>
    </w:p>
    <w:p>
      <w:pPr>
        <w:ind w:left="200" w:right="199" w:firstLine="514"/>
        <w:spacing w:after="0" w:line="258" w:lineRule="auto"/>
        <w:tabs>
          <w:tab w:leader="none" w:pos="1244" w:val="left"/>
        </w:tabs>
        <w:numPr>
          <w:ilvl w:val="0"/>
          <w:numId w:val="27"/>
        </w:numPr>
        <w:rPr>
          <w:rFonts w:ascii="Arial" w:cs="Arial" w:eastAsia="Arial" w:hAnsi="Arial"/>
          <w:sz w:val="15"/>
          <w:szCs w:val="15"/>
          <w:color w:val="auto"/>
        </w:rPr>
      </w:pPr>
      <w:r>
        <w:rPr>
          <w:rFonts w:ascii="Arial" w:cs="Arial" w:eastAsia="Arial" w:hAnsi="Arial"/>
          <w:sz w:val="16"/>
          <w:szCs w:val="16"/>
          <w:u w:val="single" w:color="auto"/>
          <w:color w:val="auto"/>
        </w:rPr>
        <w:t>Arbitration of Disputes</w:t>
      </w:r>
      <w:r>
        <w:rPr>
          <w:rFonts w:ascii="Arial" w:cs="Arial" w:eastAsia="Arial" w:hAnsi="Arial"/>
          <w:sz w:val="16"/>
          <w:szCs w:val="16"/>
          <w:color w:val="auto"/>
        </w:rPr>
        <w: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The parties expressly waive the right to a jury trial for all claims subject to this arbitration provision.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w:t>
      </w:r>
    </w:p>
    <w:p>
      <w:pPr>
        <w:spacing w:after="0" w:line="144" w:lineRule="exact"/>
        <w:rPr>
          <w:rFonts w:ascii="Arial" w:cs="Arial" w:eastAsia="Arial" w:hAnsi="Arial"/>
          <w:sz w:val="15"/>
          <w:szCs w:val="15"/>
          <w:color w:val="auto"/>
        </w:rPr>
      </w:pPr>
    </w:p>
    <w:p>
      <w:pPr>
        <w:jc w:val="both"/>
        <w:ind w:left="200" w:right="199" w:firstLine="514"/>
        <w:spacing w:after="0" w:line="246" w:lineRule="auto"/>
        <w:tabs>
          <w:tab w:leader="none" w:pos="1244" w:val="left"/>
        </w:tabs>
        <w:numPr>
          <w:ilvl w:val="0"/>
          <w:numId w:val="27"/>
        </w:numPr>
        <w:rPr>
          <w:rFonts w:ascii="Arial" w:cs="Arial" w:eastAsia="Arial" w:hAnsi="Arial"/>
          <w:sz w:val="16"/>
          <w:szCs w:val="16"/>
          <w:color w:val="auto"/>
        </w:rPr>
      </w:pPr>
      <w:r>
        <w:rPr>
          <w:rFonts w:ascii="Arial" w:cs="Arial" w:eastAsia="Arial" w:hAnsi="Arial"/>
          <w:sz w:val="17"/>
          <w:szCs w:val="17"/>
          <w:u w:val="single" w:color="auto"/>
          <w:color w:val="auto"/>
        </w:rPr>
        <w:t>Consent to Jurisdiction</w:t>
      </w:r>
      <w:r>
        <w:rPr>
          <w:rFonts w:ascii="Arial" w:cs="Arial" w:eastAsia="Arial" w:hAnsi="Arial"/>
          <w:sz w:val="17"/>
          <w:szCs w:val="17"/>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45" w:lineRule="exact"/>
        <w:rPr>
          <w:rFonts w:ascii="Arial" w:cs="Arial" w:eastAsia="Arial" w:hAnsi="Arial"/>
          <w:sz w:val="16"/>
          <w:szCs w:val="16"/>
          <w:color w:val="auto"/>
        </w:rPr>
      </w:pPr>
    </w:p>
    <w:p>
      <w:pPr>
        <w:jc w:val="both"/>
        <w:ind w:left="200" w:right="219" w:firstLine="514"/>
        <w:spacing w:after="0" w:line="294" w:lineRule="auto"/>
        <w:tabs>
          <w:tab w:leader="none" w:pos="1244" w:val="left"/>
        </w:tabs>
        <w:numPr>
          <w:ilvl w:val="0"/>
          <w:numId w:val="27"/>
        </w:numPr>
        <w:rPr>
          <w:rFonts w:ascii="Arial" w:cs="Arial" w:eastAsia="Arial" w:hAnsi="Arial"/>
          <w:sz w:val="14"/>
          <w:szCs w:val="14"/>
          <w:color w:val="auto"/>
        </w:rPr>
      </w:pPr>
      <w:r>
        <w:rPr>
          <w:rFonts w:ascii="Arial" w:cs="Arial" w:eastAsia="Arial" w:hAnsi="Arial"/>
          <w:sz w:val="15"/>
          <w:szCs w:val="15"/>
          <w:u w:val="single" w:color="auto"/>
          <w:color w:val="auto"/>
        </w:rPr>
        <w:t>Integration</w:t>
      </w:r>
      <w:r>
        <w:rPr>
          <w:rFonts w:ascii="Arial" w:cs="Arial" w:eastAsia="Arial" w:hAnsi="Arial"/>
          <w:sz w:val="15"/>
          <w:szCs w:val="15"/>
          <w:color w:val="auto"/>
        </w:rPr>
        <w:t>. This Agreement constitutes the entire agreement between the parties with respect to the subject matter hereof and supersedes all other prior agreements, written or oral, between the parties concerning such subject matter (including without limitation any offer letter, the Original Employment Agreement, or any severance agreement); provided that (i) the Restrictive Covenants Agreement and (ii) any equity award agreements entered into by the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411480</wp:posOffset>
            </wp:positionV>
            <wp:extent cx="547433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74335" cy="20955"/>
                    </a:xfrm>
                    <a:prstGeom prst="rect">
                      <a:avLst/>
                    </a:prstGeom>
                    <a:noFill/>
                  </pic:spPr>
                </pic:pic>
              </a:graphicData>
            </a:graphic>
          </wp:anchor>
        </w:drawing>
      </w:r>
    </w:p>
    <w:p>
      <w:pPr>
        <w:sectPr>
          <w:pgSz w:w="11900" w:h="16838" w:orient="portrait"/>
          <w:cols w:equalWidth="0" w:num="1">
            <w:col w:w="9019"/>
          </w:cols>
          <w:pgMar w:left="1440" w:top="753" w:right="1440" w:bottom="1440" w:gutter="0" w:footer="0" w:header="0"/>
        </w:sectPr>
      </w:pPr>
    </w:p>
    <w:bookmarkStart w:id="18" w:name="page19"/>
    <w:bookmarkEnd w:id="18"/>
    <w:p>
      <w:pPr>
        <w:ind w:left="200" w:right="219"/>
        <w:spacing w:after="0" w:line="271" w:lineRule="auto"/>
        <w:rPr>
          <w:sz w:val="20"/>
          <w:szCs w:val="20"/>
          <w:color w:val="auto"/>
        </w:rPr>
      </w:pPr>
      <w:r>
        <w:rPr>
          <w:rFonts w:ascii="Arial" w:cs="Arial" w:eastAsia="Arial" w:hAnsi="Arial"/>
          <w:sz w:val="17"/>
          <w:szCs w:val="17"/>
          <w:color w:val="auto"/>
        </w:rPr>
        <w:t>Company and the Executive prior to the date hereof, in each case, are expressly preserved and incorporated by reference herein.</w:t>
      </w:r>
    </w:p>
    <w:p>
      <w:pPr>
        <w:spacing w:after="0" w:line="124" w:lineRule="exact"/>
        <w:rPr>
          <w:sz w:val="20"/>
          <w:szCs w:val="20"/>
          <w:color w:val="auto"/>
        </w:rPr>
      </w:pPr>
    </w:p>
    <w:p>
      <w:pPr>
        <w:ind w:left="200" w:right="239" w:firstLine="514"/>
        <w:spacing w:after="0" w:line="271" w:lineRule="auto"/>
        <w:tabs>
          <w:tab w:leader="none" w:pos="1244" w:val="left"/>
        </w:tabs>
        <w:numPr>
          <w:ilvl w:val="0"/>
          <w:numId w:val="28"/>
        </w:numPr>
        <w:rPr>
          <w:rFonts w:ascii="Arial" w:cs="Arial" w:eastAsia="Arial" w:hAnsi="Arial"/>
          <w:sz w:val="16"/>
          <w:szCs w:val="16"/>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payments made by the Company to the Executive under this Agreement shall be net of any tax or other amounts required to be withheld by the Company under applicable law.</w:t>
      </w:r>
    </w:p>
    <w:p>
      <w:pPr>
        <w:spacing w:after="0" w:line="123" w:lineRule="exact"/>
        <w:rPr>
          <w:rFonts w:ascii="Arial" w:cs="Arial" w:eastAsia="Arial" w:hAnsi="Arial"/>
          <w:sz w:val="16"/>
          <w:szCs w:val="16"/>
          <w:color w:val="auto"/>
        </w:rPr>
      </w:pPr>
    </w:p>
    <w:p>
      <w:pPr>
        <w:ind w:left="200" w:right="279" w:firstLine="514"/>
        <w:spacing w:after="0" w:line="246" w:lineRule="auto"/>
        <w:tabs>
          <w:tab w:leader="none" w:pos="1244" w:val="left"/>
        </w:tabs>
        <w:numPr>
          <w:ilvl w:val="0"/>
          <w:numId w:val="28"/>
        </w:numPr>
        <w:rPr>
          <w:rFonts w:ascii="Arial" w:cs="Arial" w:eastAsia="Arial" w:hAnsi="Arial"/>
          <w:sz w:val="16"/>
          <w:szCs w:val="16"/>
          <w:color w:val="auto"/>
        </w:rPr>
      </w:pPr>
      <w:r>
        <w:rPr>
          <w:rFonts w:ascii="Arial" w:cs="Arial" w:eastAsia="Arial" w:hAnsi="Arial"/>
          <w:sz w:val="17"/>
          <w:szCs w:val="17"/>
          <w:u w:val="single" w:color="auto"/>
          <w:color w:val="auto"/>
        </w:rPr>
        <w:t>Successor to the Executive</w:t>
      </w:r>
      <w:r>
        <w:rPr>
          <w:rFonts w:ascii="Arial" w:cs="Arial" w:eastAsia="Arial" w:hAnsi="Arial"/>
          <w:sz w:val="17"/>
          <w:szCs w:val="17"/>
          <w:color w:val="auto"/>
        </w:rPr>
        <w:t>. This Agreement shall not be assignable by the Executive, but shall inure to the benefit of and be enforceable by the Executive’s personal representatives, executors, administrators, heirs, distributees, devisees and legatees. In the event of the Executive’s death after termination of employment but prior to the completion by the Company of all payments due under this Agreement, the Company shall continue such payments to the Executive’s beneficiary designated in writing to the Company prior to his death (or to his estate, if the Executive fails to make such designation).</w:t>
      </w:r>
    </w:p>
    <w:p>
      <w:pPr>
        <w:spacing w:after="0" w:line="145" w:lineRule="exact"/>
        <w:rPr>
          <w:rFonts w:ascii="Arial" w:cs="Arial" w:eastAsia="Arial" w:hAnsi="Arial"/>
          <w:sz w:val="16"/>
          <w:szCs w:val="16"/>
          <w:color w:val="auto"/>
        </w:rPr>
      </w:pPr>
    </w:p>
    <w:p>
      <w:pPr>
        <w:ind w:left="200" w:right="239" w:firstLine="514"/>
        <w:spacing w:after="0" w:line="267" w:lineRule="auto"/>
        <w:tabs>
          <w:tab w:leader="none" w:pos="1244" w:val="left"/>
        </w:tabs>
        <w:numPr>
          <w:ilvl w:val="0"/>
          <w:numId w:val="28"/>
        </w:numPr>
        <w:rPr>
          <w:rFonts w:ascii="Arial" w:cs="Arial" w:eastAsia="Arial" w:hAnsi="Arial"/>
          <w:sz w:val="15"/>
          <w:szCs w:val="15"/>
          <w:color w:val="auto"/>
        </w:rPr>
      </w:pPr>
      <w:r>
        <w:rPr>
          <w:rFonts w:ascii="Arial" w:cs="Arial" w:eastAsia="Arial" w:hAnsi="Arial"/>
          <w:sz w:val="16"/>
          <w:szCs w:val="16"/>
          <w:u w:val="single" w:color="auto"/>
          <w:color w:val="auto"/>
        </w:rPr>
        <w:t>Enforceability</w:t>
      </w:r>
      <w:r>
        <w:rPr>
          <w:rFonts w:ascii="Arial" w:cs="Arial" w:eastAsia="Arial" w:hAnsi="Arial"/>
          <w:sz w:val="16"/>
          <w:szCs w:val="16"/>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28" w:lineRule="exact"/>
        <w:rPr>
          <w:rFonts w:ascii="Arial" w:cs="Arial" w:eastAsia="Arial" w:hAnsi="Arial"/>
          <w:sz w:val="15"/>
          <w:szCs w:val="15"/>
          <w:color w:val="auto"/>
        </w:rPr>
      </w:pPr>
    </w:p>
    <w:p>
      <w:pPr>
        <w:ind w:left="200" w:right="699" w:firstLine="514"/>
        <w:spacing w:after="0" w:line="303" w:lineRule="auto"/>
        <w:tabs>
          <w:tab w:leader="none" w:pos="1244" w:val="left"/>
        </w:tabs>
        <w:numPr>
          <w:ilvl w:val="0"/>
          <w:numId w:val="28"/>
        </w:numPr>
        <w:rPr>
          <w:rFonts w:ascii="Arial" w:cs="Arial" w:eastAsia="Arial" w:hAnsi="Arial"/>
          <w:sz w:val="15"/>
          <w:szCs w:val="15"/>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provisions of this Agreement shall survive the termination of this Agreement and/or the termination of the Executive’s employment to the extent necessary to effectuate the terms contained herein.</w:t>
      </w:r>
    </w:p>
    <w:p>
      <w:pPr>
        <w:spacing w:after="0" w:line="100" w:lineRule="exact"/>
        <w:rPr>
          <w:rFonts w:ascii="Arial" w:cs="Arial" w:eastAsia="Arial" w:hAnsi="Arial"/>
          <w:sz w:val="15"/>
          <w:szCs w:val="15"/>
          <w:color w:val="auto"/>
        </w:rPr>
      </w:pPr>
    </w:p>
    <w:p>
      <w:pPr>
        <w:jc w:val="both"/>
        <w:ind w:left="200" w:right="679" w:firstLine="514"/>
        <w:spacing w:after="0" w:line="250" w:lineRule="auto"/>
        <w:tabs>
          <w:tab w:leader="none" w:pos="1244" w:val="left"/>
        </w:tabs>
        <w:numPr>
          <w:ilvl w:val="0"/>
          <w:numId w:val="28"/>
        </w:numPr>
        <w:rPr>
          <w:rFonts w:ascii="Arial" w:cs="Arial" w:eastAsia="Arial" w:hAnsi="Arial"/>
          <w:sz w:val="16"/>
          <w:szCs w:val="16"/>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42" w:lineRule="exact"/>
        <w:rPr>
          <w:rFonts w:ascii="Arial" w:cs="Arial" w:eastAsia="Arial" w:hAnsi="Arial"/>
          <w:sz w:val="16"/>
          <w:szCs w:val="16"/>
          <w:color w:val="auto"/>
        </w:rPr>
      </w:pPr>
    </w:p>
    <w:p>
      <w:pPr>
        <w:jc w:val="both"/>
        <w:ind w:left="200" w:right="259" w:firstLine="514"/>
        <w:spacing w:after="0" w:line="271" w:lineRule="auto"/>
        <w:tabs>
          <w:tab w:leader="none" w:pos="1244" w:val="left"/>
        </w:tabs>
        <w:numPr>
          <w:ilvl w:val="0"/>
          <w:numId w:val="28"/>
        </w:numPr>
        <w:rPr>
          <w:rFonts w:ascii="Arial" w:cs="Arial" w:eastAsia="Arial" w:hAnsi="Arial"/>
          <w:sz w:val="15"/>
          <w:szCs w:val="15"/>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25" w:lineRule="exact"/>
        <w:rPr>
          <w:rFonts w:ascii="Arial" w:cs="Arial" w:eastAsia="Arial" w:hAnsi="Arial"/>
          <w:sz w:val="15"/>
          <w:szCs w:val="15"/>
          <w:color w:val="auto"/>
        </w:rPr>
      </w:pPr>
    </w:p>
    <w:p>
      <w:pPr>
        <w:ind w:left="200" w:right="639" w:firstLine="514"/>
        <w:spacing w:after="0" w:line="271" w:lineRule="auto"/>
        <w:tabs>
          <w:tab w:leader="none" w:pos="1244" w:val="left"/>
        </w:tabs>
        <w:numPr>
          <w:ilvl w:val="0"/>
          <w:numId w:val="28"/>
        </w:numPr>
        <w:rPr>
          <w:rFonts w:ascii="Arial" w:cs="Arial" w:eastAsia="Arial" w:hAnsi="Arial"/>
          <w:sz w:val="16"/>
          <w:szCs w:val="16"/>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This Agreement may be amended or modified only by a written instrument signed by the Executive and by a duly authorized representative of the Company.</w:t>
      </w:r>
    </w:p>
    <w:p>
      <w:pPr>
        <w:spacing w:after="0" w:line="123" w:lineRule="exact"/>
        <w:rPr>
          <w:rFonts w:ascii="Arial" w:cs="Arial" w:eastAsia="Arial" w:hAnsi="Arial"/>
          <w:sz w:val="16"/>
          <w:szCs w:val="16"/>
          <w:color w:val="auto"/>
        </w:rPr>
      </w:pPr>
    </w:p>
    <w:p>
      <w:pPr>
        <w:ind w:left="200" w:right="219" w:firstLine="514"/>
        <w:spacing w:after="0" w:line="255" w:lineRule="auto"/>
        <w:tabs>
          <w:tab w:leader="none" w:pos="1244" w:val="left"/>
        </w:tabs>
        <w:numPr>
          <w:ilvl w:val="0"/>
          <w:numId w:val="28"/>
        </w:numPr>
        <w:rPr>
          <w:rFonts w:ascii="Arial" w:cs="Arial" w:eastAsia="Arial" w:hAnsi="Arial"/>
          <w:sz w:val="16"/>
          <w:szCs w:val="16"/>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is a Massachusetts contract and shall be construed under and be governed in all respects by the laws of the Commonwealth of Massachusetts, without giving effect to the conflict of laws principles of such Commonwealth. With respect to any</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411480</wp:posOffset>
            </wp:positionV>
            <wp:extent cx="547433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74335" cy="20955"/>
                    </a:xfrm>
                    <a:prstGeom prst="rect">
                      <a:avLst/>
                    </a:prstGeom>
                    <a:noFill/>
                  </pic:spPr>
                </pic:pic>
              </a:graphicData>
            </a:graphic>
          </wp:anchor>
        </w:drawing>
      </w:r>
    </w:p>
    <w:p>
      <w:pPr>
        <w:sectPr>
          <w:pgSz w:w="11900" w:h="16838" w:orient="portrait"/>
          <w:cols w:equalWidth="0" w:num="1">
            <w:col w:w="9019"/>
          </w:cols>
          <w:pgMar w:left="1440" w:top="753" w:right="1440" w:bottom="1440" w:gutter="0" w:footer="0" w:header="0"/>
        </w:sectPr>
      </w:pPr>
    </w:p>
    <w:bookmarkStart w:id="19" w:name="page20"/>
    <w:bookmarkEnd w:id="19"/>
    <w:p>
      <w:pPr>
        <w:ind w:left="200" w:right="479"/>
        <w:spacing w:after="0" w:line="271" w:lineRule="auto"/>
        <w:rPr>
          <w:sz w:val="20"/>
          <w:szCs w:val="20"/>
          <w:color w:val="auto"/>
        </w:rPr>
      </w:pPr>
      <w:r>
        <w:rPr>
          <w:rFonts w:ascii="Arial" w:cs="Arial" w:eastAsia="Arial" w:hAnsi="Arial"/>
          <w:sz w:val="17"/>
          <w:szCs w:val="17"/>
          <w:color w:val="auto"/>
        </w:rPr>
        <w:t>disputes concerning federal law, such disputes shall be determined in accordance with the law as it would be interpreted and applied by the United States Court of Appeals for the First Circuit.</w:t>
      </w:r>
    </w:p>
    <w:p>
      <w:pPr>
        <w:spacing w:after="0" w:line="124" w:lineRule="exact"/>
        <w:rPr>
          <w:sz w:val="20"/>
          <w:szCs w:val="20"/>
          <w:color w:val="auto"/>
        </w:rPr>
      </w:pPr>
    </w:p>
    <w:p>
      <w:pPr>
        <w:ind w:left="200" w:right="519" w:firstLine="514"/>
        <w:spacing w:after="0" w:line="255" w:lineRule="auto"/>
        <w:tabs>
          <w:tab w:leader="none" w:pos="1244" w:val="left"/>
        </w:tabs>
        <w:numPr>
          <w:ilvl w:val="0"/>
          <w:numId w:val="29"/>
        </w:numPr>
        <w:rPr>
          <w:rFonts w:ascii="Arial" w:cs="Arial" w:eastAsia="Arial" w:hAnsi="Arial"/>
          <w:sz w:val="16"/>
          <w:szCs w:val="16"/>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each of which when so executed and delivered shall be taken to be an original, but such counterparts shall together constitute one and the same document.</w:t>
      </w:r>
    </w:p>
    <w:p>
      <w:pPr>
        <w:spacing w:after="0" w:line="137" w:lineRule="exact"/>
        <w:rPr>
          <w:rFonts w:ascii="Arial" w:cs="Arial" w:eastAsia="Arial" w:hAnsi="Arial"/>
          <w:sz w:val="16"/>
          <w:szCs w:val="16"/>
          <w:color w:val="auto"/>
        </w:rPr>
      </w:pPr>
    </w:p>
    <w:p>
      <w:pPr>
        <w:ind w:left="200" w:right="299" w:firstLine="514"/>
        <w:spacing w:after="0" w:line="248" w:lineRule="auto"/>
        <w:tabs>
          <w:tab w:leader="none" w:pos="1244" w:val="left"/>
        </w:tabs>
        <w:numPr>
          <w:ilvl w:val="0"/>
          <w:numId w:val="29"/>
        </w:numPr>
        <w:rPr>
          <w:rFonts w:ascii="Arial" w:cs="Arial" w:eastAsia="Arial" w:hAnsi="Arial"/>
          <w:sz w:val="16"/>
          <w:szCs w:val="16"/>
          <w:color w:val="auto"/>
        </w:rPr>
      </w:pPr>
      <w:r>
        <w:rPr>
          <w:rFonts w:ascii="Arial" w:cs="Arial" w:eastAsia="Arial" w:hAnsi="Arial"/>
          <w:sz w:val="17"/>
          <w:szCs w:val="17"/>
          <w:u w:val="single" w:color="auto"/>
          <w:color w:val="auto"/>
        </w:rPr>
        <w:t>Successor to Company</w:t>
      </w:r>
      <w:r>
        <w:rPr>
          <w:rFonts w:ascii="Arial" w:cs="Arial" w:eastAsia="Arial" w:hAnsi="Arial"/>
          <w:sz w:val="17"/>
          <w:szCs w:val="17"/>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[Signature page follows.]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411480</wp:posOffset>
            </wp:positionV>
            <wp:extent cx="547433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74335" cy="20955"/>
                    </a:xfrm>
                    <a:prstGeom prst="rect">
                      <a:avLst/>
                    </a:prstGeom>
                    <a:noFill/>
                  </pic:spPr>
                </pic:pic>
              </a:graphicData>
            </a:graphic>
          </wp:anchor>
        </w:drawing>
      </w:r>
    </w:p>
    <w:p>
      <w:pPr>
        <w:sectPr>
          <w:pgSz w:w="11900" w:h="16838" w:orient="portrait"/>
          <w:cols w:equalWidth="0" w:num="1">
            <w:col w:w="9019"/>
          </w:cols>
          <w:pgMar w:left="1440" w:top="753" w:right="1440" w:bottom="1440" w:gutter="0" w:footer="0" w:header="0"/>
        </w:sectPr>
      </w:pPr>
    </w:p>
    <w:bookmarkStart w:id="20" w:name="page21"/>
    <w:bookmarkEnd w:id="20"/>
    <w:p>
      <w:pPr>
        <w:ind w:left="720"/>
        <w:spacing w:after="0"/>
        <w:rPr>
          <w:sz w:val="20"/>
          <w:szCs w:val="20"/>
          <w:color w:val="auto"/>
        </w:rPr>
      </w:pPr>
      <w:r>
        <w:rPr>
          <w:rFonts w:ascii="Arial" w:cs="Arial" w:eastAsia="Arial" w:hAnsi="Arial"/>
          <w:sz w:val="17"/>
          <w:szCs w:val="17"/>
          <w:color w:val="auto"/>
        </w:rPr>
        <w:t>IN WITNESS WHEREOF, the parties have executed this Agreement as of the Effective Date.</w:t>
      </w:r>
    </w:p>
    <w:p>
      <w:pPr>
        <w:spacing w:after="0" w:line="375" w:lineRule="exact"/>
        <w:rPr>
          <w:sz w:val="20"/>
          <w:szCs w:val="20"/>
          <w:color w:val="auto"/>
        </w:rPr>
      </w:pPr>
    </w:p>
    <w:p>
      <w:pPr>
        <w:jc w:val="right"/>
        <w:ind w:right="1339"/>
        <w:spacing w:after="0"/>
        <w:rPr>
          <w:sz w:val="20"/>
          <w:szCs w:val="20"/>
          <w:color w:val="auto"/>
        </w:rPr>
      </w:pPr>
      <w:r>
        <w:rPr>
          <w:rFonts w:ascii="Arial" w:cs="Arial" w:eastAsia="Arial" w:hAnsi="Arial"/>
          <w:sz w:val="17"/>
          <w:szCs w:val="17"/>
          <w:b w:val="1"/>
          <w:bCs w:val="1"/>
          <w:color w:val="auto"/>
        </w:rPr>
        <w:t>BLUEPRINT MEDICINES CORPORATION</w:t>
      </w:r>
    </w:p>
    <w:p>
      <w:pPr>
        <w:spacing w:after="0" w:line="202" w:lineRule="exact"/>
        <w:rPr>
          <w:sz w:val="20"/>
          <w:szCs w:val="20"/>
          <w:color w:val="auto"/>
        </w:rPr>
      </w:pPr>
    </w:p>
    <w:tbl>
      <w:tblPr>
        <w:tblLayout w:type="fixed"/>
        <w:tblInd w:w="4260" w:type="dxa"/>
        <w:tblCellMar>
          <w:top w:w="0" w:type="dxa"/>
          <w:left w:w="0" w:type="dxa"/>
          <w:bottom w:w="0" w:type="dxa"/>
          <w:right w:w="0" w:type="dxa"/>
        </w:tblCellMar>
      </w:tblPr>
      <w:tr>
        <w:trPr>
          <w:trHeight w:val="203"/>
        </w:trPr>
        <w:tc>
          <w:tcPr>
            <w:tcW w:w="740" w:type="dxa"/>
            <w:vAlign w:val="bottom"/>
          </w:tcPr>
          <w:p>
            <w:pPr>
              <w:spacing w:after="0"/>
              <w:rPr>
                <w:sz w:val="20"/>
                <w:szCs w:val="20"/>
                <w:color w:val="auto"/>
              </w:rPr>
            </w:pPr>
            <w:r>
              <w:rPr>
                <w:rFonts w:ascii="Arial" w:cs="Arial" w:eastAsia="Arial" w:hAnsi="Arial"/>
                <w:sz w:val="17"/>
                <w:szCs w:val="17"/>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Jeffrey Albers</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7"/>
                <w:szCs w:val="17"/>
                <w:color w:val="auto"/>
              </w:rPr>
              <w:t>Name:</w:t>
            </w:r>
          </w:p>
        </w:tc>
        <w:tc>
          <w:tcPr>
            <w:tcW w:w="3820" w:type="dxa"/>
            <w:vAlign w:val="bottom"/>
          </w:tcPr>
          <w:p>
            <w:pPr>
              <w:spacing w:after="0" w:line="179" w:lineRule="exact"/>
              <w:rPr>
                <w:sz w:val="20"/>
                <w:szCs w:val="20"/>
                <w:color w:val="auto"/>
              </w:rPr>
            </w:pPr>
            <w:r>
              <w:rPr>
                <w:rFonts w:ascii="Arial" w:cs="Arial" w:eastAsia="Arial" w:hAnsi="Arial"/>
                <w:sz w:val="17"/>
                <w:szCs w:val="17"/>
                <w:color w:val="auto"/>
              </w:rPr>
              <w:t>Jeffrey Albers</w:t>
            </w:r>
          </w:p>
        </w:tc>
      </w:tr>
      <w:tr>
        <w:trPr>
          <w:trHeight w:val="221"/>
        </w:trPr>
        <w:tc>
          <w:tcPr>
            <w:tcW w:w="740" w:type="dxa"/>
            <w:vAlign w:val="bottom"/>
          </w:tcPr>
          <w:p>
            <w:pPr>
              <w:spacing w:after="0"/>
              <w:rPr>
                <w:sz w:val="20"/>
                <w:szCs w:val="20"/>
                <w:color w:val="auto"/>
              </w:rPr>
            </w:pPr>
            <w:r>
              <w:rPr>
                <w:rFonts w:ascii="Arial" w:cs="Arial" w:eastAsia="Arial" w:hAnsi="Arial"/>
                <w:sz w:val="17"/>
                <w:szCs w:val="17"/>
                <w:color w:val="auto"/>
              </w:rPr>
              <w:t>Title:</w:t>
            </w:r>
          </w:p>
        </w:tc>
        <w:tc>
          <w:tcPr>
            <w:tcW w:w="382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bl>
    <w:p>
      <w:pPr>
        <w:spacing w:after="0" w:line="164"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auto"/>
        </w:rPr>
        <w:t>EXECUTIVE</w:t>
      </w:r>
    </w:p>
    <w:p>
      <w:pPr>
        <w:spacing w:after="0" w:line="202"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/s/ L. Becker Hewes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10795</wp:posOffset>
            </wp:positionV>
            <wp:extent cx="289242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2425" cy="6985"/>
                    </a:xfrm>
                    <a:prstGeom prst="rect">
                      <a:avLst/>
                    </a:prstGeom>
                    <a:noFill/>
                  </pic:spPr>
                </pic:pic>
              </a:graphicData>
            </a:graphic>
          </wp:anchor>
        </w:drawing>
      </w:r>
    </w:p>
    <w:p>
      <w:pPr>
        <w:spacing w:after="0" w:line="5" w:lineRule="exact"/>
        <w:rPr>
          <w:sz w:val="20"/>
          <w:szCs w:val="20"/>
          <w:color w:val="auto"/>
        </w:rPr>
      </w:pPr>
    </w:p>
    <w:p>
      <w:pPr>
        <w:ind w:left="4260"/>
        <w:spacing w:after="0"/>
        <w:tabs>
          <w:tab w:leader="none" w:pos="498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L. Becker Hewes, M.D.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 – Amended and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278130</wp:posOffset>
            </wp:positionV>
            <wp:extent cx="547433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74335" cy="20955"/>
                    </a:xfrm>
                    <a:prstGeom prst="rect">
                      <a:avLst/>
                    </a:prstGeom>
                    <a:noFill/>
                  </pic:spPr>
                </pic:pic>
              </a:graphicData>
            </a:graphic>
          </wp:anchor>
        </w:drawing>
      </w:r>
    </w:p>
    <w:p>
      <w:pPr>
        <w:sectPr>
          <w:pgSz w:w="11900" w:h="16838" w:orient="portrait"/>
          <w:cols w:equalWidth="0" w:num="1">
            <w:col w:w="9019"/>
          </w:cols>
          <w:pgMar w:left="1440" w:top="753" w:right="1440" w:bottom="1440" w:gutter="0" w:footer="0" w:header="0"/>
        </w:sectPr>
      </w:pPr>
    </w:p>
    <w:bookmarkStart w:id="21" w:name="page22"/>
    <w:bookmarkEnd w:id="21"/>
    <w:p>
      <w:pPr>
        <w:ind w:left="9400"/>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24765</wp:posOffset>
            </wp:positionV>
            <wp:extent cx="691769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0" w:num="1">
            <w:col w:w="10140"/>
          </w:cols>
          <w:pgMar w:left="1440" w:top="125" w:right="319" w:bottom="1440"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690" cy="4176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1769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right"/>
        <w:ind w:right="199"/>
        <w:spacing w:after="0"/>
        <w:rPr>
          <w:sz w:val="20"/>
          <w:szCs w:val="20"/>
          <w:color w:val="auto"/>
        </w:rPr>
      </w:pPr>
      <w:r>
        <w:rPr>
          <w:rFonts w:ascii="Arial" w:cs="Arial" w:eastAsia="Arial" w:hAnsi="Arial"/>
          <w:sz w:val="16"/>
          <w:szCs w:val="16"/>
          <w:color w:val="auto"/>
        </w:rPr>
        <w:t>Exhibit 99.2</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Blueprint Medicines Reports Portfolio Milestones and Outlines 2021 Roadmap for Precision Medicine Leadership</w:t>
      </w:r>
    </w:p>
    <w:p>
      <w:pPr>
        <w:spacing w:after="0" w:line="191" w:lineRule="exact"/>
        <w:rPr>
          <w:sz w:val="20"/>
          <w:szCs w:val="20"/>
          <w:color w:val="auto"/>
        </w:rPr>
      </w:pPr>
    </w:p>
    <w:p>
      <w:pPr>
        <w:ind w:left="340" w:hanging="137"/>
        <w:spacing w:after="0"/>
        <w:tabs>
          <w:tab w:leader="none" w:pos="340" w:val="left"/>
        </w:tabs>
        <w:numPr>
          <w:ilvl w:val="0"/>
          <w:numId w:val="30"/>
        </w:numPr>
        <w:rPr>
          <w:rFonts w:ascii="Arial" w:cs="Arial" w:eastAsia="Arial" w:hAnsi="Arial"/>
          <w:sz w:val="13"/>
          <w:szCs w:val="13"/>
          <w:i w:val="1"/>
          <w:iCs w:val="1"/>
          <w:color w:val="auto"/>
        </w:rPr>
      </w:pPr>
      <w:r>
        <w:rPr>
          <w:rFonts w:ascii="Arial" w:cs="Arial" w:eastAsia="Arial" w:hAnsi="Arial"/>
          <w:sz w:val="13"/>
          <w:szCs w:val="13"/>
          <w:i w:val="1"/>
          <w:iCs w:val="1"/>
          <w:color w:val="auto"/>
        </w:rPr>
        <w:t>AYVAKIT™ (avapritinib) granted FDA breakthrough therapy designation for the treatment of moderate to severe indolent systemic mastocytosis -</w:t>
      </w:r>
    </w:p>
    <w:p>
      <w:pPr>
        <w:spacing w:after="0" w:line="33" w:lineRule="exact"/>
        <w:rPr>
          <w:rFonts w:ascii="Arial" w:cs="Arial" w:eastAsia="Arial" w:hAnsi="Arial"/>
          <w:sz w:val="13"/>
          <w:szCs w:val="13"/>
          <w:i w:val="1"/>
          <w:iCs w:val="1"/>
          <w:color w:val="auto"/>
        </w:rPr>
      </w:pPr>
    </w:p>
    <w:p>
      <w:pPr>
        <w:ind w:left="4480"/>
        <w:spacing w:after="0"/>
        <w:rPr>
          <w:rFonts w:ascii="Arial" w:cs="Arial" w:eastAsia="Arial" w:hAnsi="Arial"/>
          <w:sz w:val="13"/>
          <w:szCs w:val="13"/>
          <w:i w:val="1"/>
          <w:iCs w:val="1"/>
          <w:color w:val="auto"/>
        </w:rPr>
      </w:pPr>
      <w:r>
        <w:rPr>
          <w:rFonts w:ascii="Arial" w:cs="Arial" w:eastAsia="Arial" w:hAnsi="Arial"/>
          <w:sz w:val="14"/>
          <w:szCs w:val="14"/>
          <w:i w:val="1"/>
          <w:iCs w:val="1"/>
          <w:color w:val="auto"/>
        </w:rPr>
        <w:t>-</w:t>
      </w:r>
    </w:p>
    <w:p>
      <w:pPr>
        <w:spacing w:after="0" w:line="12" w:lineRule="exact"/>
        <w:rPr>
          <w:rFonts w:ascii="Arial" w:cs="Arial" w:eastAsia="Arial" w:hAnsi="Arial"/>
          <w:sz w:val="13"/>
          <w:szCs w:val="13"/>
          <w:i w:val="1"/>
          <w:iCs w:val="1"/>
          <w:color w:val="auto"/>
        </w:rPr>
      </w:pPr>
    </w:p>
    <w:p>
      <w:pPr>
        <w:ind w:left="540" w:hanging="125"/>
        <w:spacing w:after="0"/>
        <w:tabs>
          <w:tab w:leader="none" w:pos="540" w:val="left"/>
        </w:tabs>
        <w:numPr>
          <w:ilvl w:val="1"/>
          <w:numId w:val="30"/>
        </w:numPr>
        <w:rPr>
          <w:rFonts w:ascii="Arial" w:cs="Arial" w:eastAsia="Arial" w:hAnsi="Arial"/>
          <w:sz w:val="13"/>
          <w:szCs w:val="13"/>
          <w:i w:val="1"/>
          <w:iCs w:val="1"/>
          <w:color w:val="auto"/>
        </w:rPr>
      </w:pPr>
      <w:r>
        <w:rPr>
          <w:rFonts w:ascii="Arial" w:cs="Arial" w:eastAsia="Arial" w:hAnsi="Arial"/>
          <w:sz w:val="13"/>
          <w:szCs w:val="13"/>
          <w:i w:val="1"/>
          <w:iCs w:val="1"/>
          <w:color w:val="auto"/>
        </w:rPr>
        <w:t>Positive top-line results from Phase 1 healthy volunteer trial of BLU-263 support plans to initiate Phase 2 HARBOR trial in non-advanced</w:t>
      </w:r>
    </w:p>
    <w:p>
      <w:pPr>
        <w:spacing w:after="0" w:line="24" w:lineRule="exact"/>
        <w:rPr>
          <w:rFonts w:ascii="Arial" w:cs="Arial" w:eastAsia="Arial" w:hAnsi="Arial"/>
          <w:sz w:val="13"/>
          <w:szCs w:val="13"/>
          <w:i w:val="1"/>
          <w:iCs w:val="1"/>
          <w:color w:val="auto"/>
        </w:rPr>
      </w:pPr>
    </w:p>
    <w:p>
      <w:pPr>
        <w:ind w:left="3440"/>
        <w:spacing w:after="0"/>
        <w:rPr>
          <w:rFonts w:ascii="Arial" w:cs="Arial" w:eastAsia="Arial" w:hAnsi="Arial"/>
          <w:sz w:val="13"/>
          <w:szCs w:val="13"/>
          <w:i w:val="1"/>
          <w:iCs w:val="1"/>
          <w:color w:val="auto"/>
        </w:rPr>
      </w:pPr>
      <w:r>
        <w:rPr>
          <w:rFonts w:ascii="Arial" w:cs="Arial" w:eastAsia="Arial" w:hAnsi="Arial"/>
          <w:sz w:val="14"/>
          <w:szCs w:val="14"/>
          <w:i w:val="1"/>
          <w:iCs w:val="1"/>
          <w:color w:val="auto"/>
        </w:rPr>
        <w:t>systemic mastocytosis in mid-2021 --</w:t>
      </w:r>
    </w:p>
    <w:p>
      <w:pPr>
        <w:spacing w:after="0" w:line="12" w:lineRule="exact"/>
        <w:rPr>
          <w:rFonts w:ascii="Arial" w:cs="Arial" w:eastAsia="Arial" w:hAnsi="Arial"/>
          <w:sz w:val="13"/>
          <w:szCs w:val="13"/>
          <w:i w:val="1"/>
          <w:iCs w:val="1"/>
          <w:color w:val="auto"/>
        </w:rPr>
      </w:pPr>
    </w:p>
    <w:p>
      <w:pPr>
        <w:ind w:left="820" w:hanging="134"/>
        <w:spacing w:after="0"/>
        <w:tabs>
          <w:tab w:leader="none" w:pos="820" w:val="left"/>
        </w:tabs>
        <w:numPr>
          <w:ilvl w:val="3"/>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Nominated potential first-in-class development candidate targeting double-mutant EGFR, deepening leadership in lung cancer --</w:t>
      </w:r>
    </w:p>
    <w:p>
      <w:pPr>
        <w:spacing w:after="0" w:line="12" w:lineRule="exact"/>
        <w:rPr>
          <w:rFonts w:ascii="Arial" w:cs="Arial" w:eastAsia="Arial" w:hAnsi="Arial"/>
          <w:sz w:val="14"/>
          <w:szCs w:val="14"/>
          <w:i w:val="1"/>
          <w:iCs w:val="1"/>
          <w:color w:val="auto"/>
        </w:rPr>
      </w:pPr>
    </w:p>
    <w:p>
      <w:pPr>
        <w:ind w:left="640" w:hanging="133"/>
        <w:spacing w:after="0"/>
        <w:tabs>
          <w:tab w:leader="none" w:pos="640" w:val="left"/>
        </w:tabs>
        <w:numPr>
          <w:ilvl w:val="2"/>
          <w:numId w:val="30"/>
        </w:numPr>
        <w:rPr>
          <w:rFonts w:ascii="Arial" w:cs="Arial" w:eastAsia="Arial" w:hAnsi="Arial"/>
          <w:sz w:val="13"/>
          <w:szCs w:val="13"/>
          <w:i w:val="1"/>
          <w:iCs w:val="1"/>
          <w:color w:val="auto"/>
        </w:rPr>
      </w:pPr>
      <w:r>
        <w:rPr>
          <w:rFonts w:ascii="Arial" w:cs="Arial" w:eastAsia="Arial" w:hAnsi="Arial"/>
          <w:sz w:val="13"/>
          <w:szCs w:val="13"/>
          <w:i w:val="1"/>
          <w:iCs w:val="1"/>
          <w:color w:val="auto"/>
        </w:rPr>
        <w:t>Nominated potential best-in-class development candidate targeting MAP4K1 under cancer immunotherapy collaboration with Roche --</w:t>
      </w:r>
    </w:p>
    <w:p>
      <w:pPr>
        <w:spacing w:after="0" w:line="189" w:lineRule="exact"/>
        <w:rPr>
          <w:sz w:val="20"/>
          <w:szCs w:val="20"/>
          <w:color w:val="auto"/>
        </w:rPr>
      </w:pPr>
    </w:p>
    <w:p>
      <w:pPr>
        <w:ind w:left="200" w:right="539"/>
        <w:spacing w:after="0" w:line="292" w:lineRule="auto"/>
        <w:rPr>
          <w:sz w:val="20"/>
          <w:szCs w:val="20"/>
          <w:color w:val="auto"/>
        </w:rPr>
      </w:pPr>
      <w:r>
        <w:rPr>
          <w:rFonts w:ascii="Arial" w:cs="Arial" w:eastAsia="Arial" w:hAnsi="Arial"/>
          <w:sz w:val="14"/>
          <w:szCs w:val="14"/>
          <w:color w:val="auto"/>
        </w:rPr>
        <w:t>CAMBRIDGE, Mass., Jan. 11, 2021 /PR Newswire/ -- Blueprint Medicines Corporation (NASDAQ: BPMC) today provided an update on key portfolio milestones and outlined a strategic roadmap to become the world’s leading precision therapy company.</w:t>
      </w:r>
    </w:p>
    <w:p>
      <w:pPr>
        <w:spacing w:after="0" w:line="130" w:lineRule="exact"/>
        <w:rPr>
          <w:sz w:val="20"/>
          <w:szCs w:val="20"/>
          <w:color w:val="auto"/>
        </w:rPr>
      </w:pPr>
    </w:p>
    <w:p>
      <w:pPr>
        <w:ind w:left="200" w:right="219"/>
        <w:spacing w:after="0" w:line="265" w:lineRule="auto"/>
        <w:rPr>
          <w:sz w:val="20"/>
          <w:szCs w:val="20"/>
          <w:color w:val="auto"/>
        </w:rPr>
      </w:pPr>
      <w:r>
        <w:rPr>
          <w:rFonts w:ascii="Arial" w:cs="Arial" w:eastAsia="Arial" w:hAnsi="Arial"/>
          <w:sz w:val="14"/>
          <w:szCs w:val="14"/>
          <w:color w:val="auto"/>
        </w:rPr>
        <w:t>“For the first time, we enter a new year as a fully integrated, global biopharmaceutical company, with four regulatory approvals in the United States and Europe in 2020, a pipeline of eight wholly owned or partnered precision therapies, and the strongest financial position since our inception,” said Jeff Albers, Chief Executive Officer of Blueprint Medicines. “With this solid foundation, we are now scaling our ambition and aim to make real the promise of precision medicine to improve and extend life for as many people with cancer and hematologic disorders as possible. We will do this by bringing our medicines to more patients globally, rapidly advancing a wave of new therapeutic candidates to clinical proof-of-concept, and further expanding our platform-enabled research pipeline.”</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In addition, Blueprint Medicines today announced the achievement of several portfolio milestones:</w:t>
      </w:r>
    </w:p>
    <w:p>
      <w:pPr>
        <w:spacing w:after="0" w:line="187" w:lineRule="exact"/>
        <w:rPr>
          <w:sz w:val="20"/>
          <w:szCs w:val="20"/>
          <w:color w:val="auto"/>
        </w:rPr>
      </w:pPr>
    </w:p>
    <w:p>
      <w:pPr>
        <w:ind w:left="460" w:right="459" w:hanging="267"/>
        <w:spacing w:after="0" w:line="284" w:lineRule="auto"/>
        <w:tabs>
          <w:tab w:leader="none" w:pos="4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AYVAKIT received breakthrough therapy designation from the U.S. Food and Drug Administration (FDA) for the treatment of moderate to severe indolent systemic mastocytosis (SM), which encompasses the majority of patients with SM, highlighting the medical need in this population as well as the clinical potential of AYVAKIT to demonstrate substantial improvement over the current standard of care.</w:t>
      </w:r>
    </w:p>
    <w:p>
      <w:pPr>
        <w:jc w:val="both"/>
        <w:ind w:left="460" w:right="339" w:hanging="267"/>
        <w:spacing w:after="0" w:line="259" w:lineRule="auto"/>
        <w:tabs>
          <w:tab w:leader="none" w:pos="4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Positive top-line results from a Phase 1 trial in healthy volunteers showed BLU-263 was well-tolerated across a range of single- and multiple-ascending doses predicted to potently inhibit D816V mutant KIT, the underlying SM disease driver. These data support development of BLU-263 as a potential treatment for patients with SM and other mast cell disorders.</w:t>
      </w:r>
    </w:p>
    <w:p>
      <w:pPr>
        <w:jc w:val="both"/>
        <w:ind w:left="460" w:right="219" w:hanging="267"/>
        <w:spacing w:after="0" w:line="259" w:lineRule="auto"/>
        <w:tabs>
          <w:tab w:leader="none" w:pos="4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company nominated a selective, brain-penetrant development candidate for treatment-resistant double-mutant EGFR-driven non-small cell lung cancer (NSCLC), with the potential to be first-in-class, showing potent activity against the activating L858R or exon 19 deletion mutations and the acquired C797S mutation, the most common on-target resistance mutation to osimertinib.</w:t>
      </w:r>
    </w:p>
    <w:p>
      <w:pPr>
        <w:ind w:left="460" w:right="259" w:hanging="267"/>
        <w:spacing w:after="0" w:line="265" w:lineRule="auto"/>
        <w:tabs>
          <w:tab w:leader="none" w:pos="4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company nominated a development candidate targeting MAP4K1, a kinase believed to play a role in T-cell regulation, with the potential to be best-in-class. The program was developed under the company’s cancer immunotherapy collaboration with Roche. In addition, Blueprint Medicines and Roche have amended their agreement to focus on MAP4K1 and one additional undisclosed target, collectively identified as the most promising targets of the collaboration to date.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Entering 2021, the company’s key strategies and goals include: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1. Accelerate global adoption of AYVAKIT and GAVRETO™ (pralsetinib)</w:t>
      </w:r>
    </w:p>
    <w:p>
      <w:pPr>
        <w:spacing w:after="0" w:line="191" w:lineRule="exact"/>
        <w:rPr>
          <w:sz w:val="20"/>
          <w:szCs w:val="20"/>
          <w:color w:val="auto"/>
        </w:rPr>
      </w:pPr>
    </w:p>
    <w:p>
      <w:pPr>
        <w:ind w:left="460" w:right="719"/>
        <w:spacing w:after="0" w:line="266" w:lineRule="auto"/>
        <w:rPr>
          <w:sz w:val="20"/>
          <w:szCs w:val="20"/>
          <w:color w:val="auto"/>
        </w:rPr>
      </w:pPr>
      <w:r>
        <w:rPr>
          <w:rFonts w:ascii="Arial" w:cs="Arial" w:eastAsia="Arial" w:hAnsi="Arial"/>
          <w:sz w:val="14"/>
          <w:szCs w:val="14"/>
          <w:i w:val="1"/>
          <w:iCs w:val="1"/>
          <w:color w:val="auto"/>
        </w:rPr>
        <w:t>AYVAKIT, a selective KIT and PDGFRA inhibitor, is approved in the U.S. and Europe for the treatment of patients with unresectable or metastatic gastrointestinal stromal tumor driven by certain PDGFRA mutations.</w:t>
      </w:r>
    </w:p>
    <w:p>
      <w:pPr>
        <w:ind w:left="720" w:hanging="266"/>
        <w:spacing w:after="0"/>
        <w:tabs>
          <w:tab w:leader="none" w:pos="7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Obtain FDA approval and launch AYVAKIT in advanced SM in the U.S. in the second half of 2021.</w:t>
      </w:r>
    </w:p>
    <w:p>
      <w:pPr>
        <w:spacing w:after="0" w:line="12" w:lineRule="exact"/>
        <w:rPr>
          <w:rFonts w:ascii="Arial" w:cs="Arial" w:eastAsia="Arial" w:hAnsi="Arial"/>
          <w:sz w:val="14"/>
          <w:szCs w:val="14"/>
          <w:color w:val="auto"/>
        </w:rPr>
      </w:pPr>
    </w:p>
    <w:p>
      <w:pPr>
        <w:ind w:left="720" w:right="639" w:hanging="266"/>
        <w:spacing w:after="0" w:line="278" w:lineRule="auto"/>
        <w:tabs>
          <w:tab w:leader="none" w:pos="7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Submit a Type II variation marketing authorization application (MAA) to the European Medicines Agency (EMA) for AYVAKYT® (avapritinib) for advanced SM in the first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260985</wp:posOffset>
            </wp:positionV>
            <wp:extent cx="547433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74335" cy="20955"/>
                    </a:xfrm>
                    <a:prstGeom prst="rect">
                      <a:avLst/>
                    </a:prstGeom>
                    <a:noFill/>
                  </pic:spPr>
                </pic:pic>
              </a:graphicData>
            </a:graphic>
          </wp:anchor>
        </w:drawing>
      </w:r>
    </w:p>
    <w:p>
      <w:pPr>
        <w:sectPr>
          <w:pgSz w:w="11900" w:h="16838" w:orient="portrait"/>
          <w:cols w:equalWidth="0" w:num="1">
            <w:col w:w="9019"/>
          </w:cols>
          <w:pgMar w:left="1440" w:top="138" w:right="1440" w:bottom="1440" w:gutter="0" w:footer="0" w:header="0"/>
        </w:sectPr>
      </w:pPr>
    </w:p>
    <w:bookmarkStart w:id="51" w:name="page52"/>
    <w:bookmarkEnd w:id="51"/>
    <w:p>
      <w:pPr>
        <w:ind w:left="720" w:hanging="266"/>
        <w:spacing w:after="0"/>
        <w:tabs>
          <w:tab w:leader="none" w:pos="7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Present registrational data from the PATHFINDER trial of AYVAKIT in advanced SM in the first half of 2021.</w:t>
      </w:r>
    </w:p>
    <w:p>
      <w:pPr>
        <w:spacing w:after="0" w:line="22" w:lineRule="exact"/>
        <w:rPr>
          <w:rFonts w:ascii="Arial" w:cs="Arial" w:eastAsia="Arial" w:hAnsi="Arial"/>
          <w:sz w:val="14"/>
          <w:szCs w:val="14"/>
          <w:color w:val="auto"/>
        </w:rPr>
      </w:pPr>
    </w:p>
    <w:p>
      <w:pPr>
        <w:ind w:left="720" w:hanging="266"/>
        <w:spacing w:after="0"/>
        <w:tabs>
          <w:tab w:leader="none" w:pos="7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Complete enrollment of the registration-enabling Part 2 of the PIONEER trial of AYVAKIT in non-advanced SM in mid-2021.</w:t>
      </w:r>
    </w:p>
    <w:p>
      <w:pPr>
        <w:spacing w:after="0" w:line="178" w:lineRule="exact"/>
        <w:rPr>
          <w:sz w:val="20"/>
          <w:szCs w:val="20"/>
          <w:color w:val="auto"/>
        </w:rPr>
      </w:pPr>
    </w:p>
    <w:p>
      <w:pPr>
        <w:ind w:left="460" w:right="219"/>
        <w:spacing w:after="0" w:line="284" w:lineRule="auto"/>
        <w:rPr>
          <w:sz w:val="20"/>
          <w:szCs w:val="20"/>
          <w:color w:val="auto"/>
        </w:rPr>
      </w:pPr>
      <w:r>
        <w:rPr>
          <w:rFonts w:ascii="Arial" w:cs="Arial" w:eastAsia="Arial" w:hAnsi="Arial"/>
          <w:sz w:val="13"/>
          <w:szCs w:val="13"/>
          <w:i w:val="1"/>
          <w:iCs w:val="1"/>
          <w:color w:val="auto"/>
        </w:rPr>
        <w:t>GAVRETO, a selective RET inhibitor, is approved in the U.S. for the treatment of patients with certain advanced or metastatic RET fusion-positive NSCLC, RET-mutant medullary thyroid cancer (MTC) and RET fusion-positive thyroid cancer. Under a global collaboration, Blueprint Medicines and Roche are developing and commercializing GAVRETO for the treatment of RET-altered cancers.</w:t>
      </w:r>
    </w:p>
    <w:p>
      <w:pPr>
        <w:ind w:left="720" w:right="359" w:hanging="266"/>
        <w:spacing w:after="0" w:line="259" w:lineRule="auto"/>
        <w:tabs>
          <w:tab w:leader="none" w:pos="7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Obtain regulatory approval from the European Commission and launch GAVRETO in RET fusion-positive NSCLC in Europe in the first half of 2021.</w:t>
      </w:r>
    </w:p>
    <w:p>
      <w:pPr>
        <w:ind w:left="720" w:hanging="266"/>
        <w:spacing w:after="0"/>
        <w:tabs>
          <w:tab w:leader="none" w:pos="7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Submit a Type II variation MAA to the EMA for GAVRETO for RET-altered thyroid cancers in the second half of 2021.</w:t>
      </w:r>
    </w:p>
    <w:p>
      <w:pPr>
        <w:spacing w:after="0" w:line="12" w:lineRule="exact"/>
        <w:rPr>
          <w:rFonts w:ascii="Arial" w:cs="Arial" w:eastAsia="Arial" w:hAnsi="Arial"/>
          <w:sz w:val="14"/>
          <w:szCs w:val="14"/>
          <w:color w:val="auto"/>
        </w:rPr>
      </w:pPr>
    </w:p>
    <w:p>
      <w:pPr>
        <w:ind w:left="720" w:hanging="266"/>
        <w:spacing w:after="0"/>
        <w:tabs>
          <w:tab w:leader="none" w:pos="7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Initiate a GAVRETO cohort in Roche’s TAPISTRY tumor-agnostic platform trial in the second half of 2021.</w:t>
      </w:r>
    </w:p>
    <w:p>
      <w:pPr>
        <w:spacing w:after="0" w:line="12" w:lineRule="exact"/>
        <w:rPr>
          <w:rFonts w:ascii="Arial" w:cs="Arial" w:eastAsia="Arial" w:hAnsi="Arial"/>
          <w:sz w:val="14"/>
          <w:szCs w:val="14"/>
          <w:color w:val="auto"/>
        </w:rPr>
      </w:pPr>
    </w:p>
    <w:p>
      <w:pPr>
        <w:ind w:left="720" w:right="319" w:hanging="266"/>
        <w:spacing w:after="0" w:line="278" w:lineRule="auto"/>
        <w:tabs>
          <w:tab w:leader="none" w:pos="7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Submit marketing applications for GAVRETO for RET-altered NSCLC and thyroid cancers across multiple additional global geographies in 2021.</w:t>
      </w:r>
    </w:p>
    <w:p>
      <w:pPr>
        <w:spacing w:after="0" w:line="135" w:lineRule="exact"/>
        <w:rPr>
          <w:rFonts w:ascii="Arial" w:cs="Arial" w:eastAsia="Arial" w:hAnsi="Arial"/>
          <w:sz w:val="14"/>
          <w:szCs w:val="14"/>
          <w:color w:val="auto"/>
        </w:rPr>
      </w:pPr>
    </w:p>
    <w:p>
      <w:pPr>
        <w:ind w:left="200" w:right="459" w:hanging="7"/>
        <w:spacing w:after="0" w:line="298" w:lineRule="auto"/>
        <w:tabs>
          <w:tab w:leader="none" w:pos="345"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Advance a new wave of innovative therapeutic candidates into clinical development, with plans to achieve rapid proof-of-concept and regulatory approval.</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BLU-263, a next-generation selective KIT inhibitor</w:t>
      </w:r>
    </w:p>
    <w:p>
      <w:pPr>
        <w:spacing w:after="0" w:line="22" w:lineRule="exact"/>
        <w:rPr>
          <w:sz w:val="20"/>
          <w:szCs w:val="20"/>
          <w:color w:val="auto"/>
        </w:rPr>
      </w:pPr>
    </w:p>
    <w:p>
      <w:pPr>
        <w:ind w:left="720" w:hanging="266"/>
        <w:spacing w:after="0"/>
        <w:tabs>
          <w:tab w:leader="none" w:pos="7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Initiate the Phase 2 HARBOR trial of BLU-263 in patients with non-advanced SM in mid-2021.</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Development candidates for treatment-resistant EGFR-driven NSCLC</w:t>
      </w:r>
    </w:p>
    <w:p>
      <w:pPr>
        <w:spacing w:after="0" w:line="22" w:lineRule="exact"/>
        <w:rPr>
          <w:sz w:val="20"/>
          <w:szCs w:val="20"/>
          <w:color w:val="auto"/>
        </w:rPr>
      </w:pPr>
    </w:p>
    <w:p>
      <w:pPr>
        <w:ind w:left="720" w:right="379" w:hanging="266"/>
        <w:spacing w:after="0" w:line="259" w:lineRule="auto"/>
        <w:tabs>
          <w:tab w:leader="none" w:pos="7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Initiate a Phase 1 trial of BLU-945, a triple-mutant EGFR inhibitor, in patients with treatment-resistant EGFR-driven NSCLC in the first half of 2021.</w:t>
      </w:r>
    </w:p>
    <w:p>
      <w:pPr>
        <w:ind w:left="720" w:right="419" w:hanging="266"/>
        <w:spacing w:after="0" w:line="259" w:lineRule="auto"/>
        <w:tabs>
          <w:tab w:leader="none" w:pos="7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Initiate a Phase 1 trial of the company’s double-mutant EGFR inhibitor in patients with treatment-resistant EGFR-driven NSCLC by the end of 2021.</w:t>
      </w:r>
    </w:p>
    <w:p>
      <w:pPr>
        <w:ind w:left="720" w:hanging="266"/>
        <w:spacing w:after="0"/>
        <w:tabs>
          <w:tab w:leader="none" w:pos="7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Present foundational preclinical data for the company’s double-mutant EGFR inhibitor in the first half of 2021.</w:t>
      </w:r>
    </w:p>
    <w:p>
      <w:pPr>
        <w:spacing w:after="0" w:line="12" w:lineRule="exact"/>
        <w:rPr>
          <w:rFonts w:ascii="Arial" w:cs="Arial" w:eastAsia="Arial" w:hAnsi="Arial"/>
          <w:sz w:val="14"/>
          <w:szCs w:val="14"/>
          <w:color w:val="auto"/>
        </w:rPr>
      </w:pPr>
    </w:p>
    <w:p>
      <w:pPr>
        <w:ind w:left="720" w:right="339" w:hanging="266"/>
        <w:spacing w:after="0" w:line="278" w:lineRule="auto"/>
        <w:tabs>
          <w:tab w:leader="none" w:pos="7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Present preclinical data supporting combination of the company’s wholly owned double- and triple-mutant EGFR inhibitors in treatment-naïve EGFR-driven NSCLC in the second half of 2021.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Development candidate targeting MAP4K1, under the cancer immunotherapy collaboration with Roche</w:t>
      </w:r>
    </w:p>
    <w:p>
      <w:pPr>
        <w:spacing w:after="0" w:line="22" w:lineRule="exact"/>
        <w:rPr>
          <w:sz w:val="20"/>
          <w:szCs w:val="20"/>
          <w:color w:val="auto"/>
        </w:rPr>
      </w:pPr>
    </w:p>
    <w:p>
      <w:pPr>
        <w:ind w:left="720" w:hanging="266"/>
        <w:spacing w:after="0"/>
        <w:tabs>
          <w:tab w:leader="none" w:pos="720" w:val="left"/>
        </w:tabs>
        <w:numPr>
          <w:ilvl w:val="1"/>
          <w:numId w:val="37"/>
        </w:numPr>
        <w:rPr>
          <w:rFonts w:ascii="Arial" w:cs="Arial" w:eastAsia="Arial" w:hAnsi="Arial"/>
          <w:sz w:val="14"/>
          <w:szCs w:val="14"/>
          <w:color w:val="auto"/>
        </w:rPr>
      </w:pPr>
      <w:r>
        <w:rPr>
          <w:rFonts w:ascii="Arial" w:cs="Arial" w:eastAsia="Arial" w:hAnsi="Arial"/>
          <w:sz w:val="14"/>
          <w:szCs w:val="14"/>
          <w:color w:val="auto"/>
        </w:rPr>
        <w:t>Present foundational preclinical data in the first half of 2021.</w:t>
      </w:r>
    </w:p>
    <w:p>
      <w:pPr>
        <w:spacing w:after="0" w:line="173" w:lineRule="exact"/>
        <w:rPr>
          <w:rFonts w:ascii="Arial" w:cs="Arial" w:eastAsia="Arial" w:hAnsi="Arial"/>
          <w:sz w:val="14"/>
          <w:szCs w:val="14"/>
          <w:color w:val="auto"/>
        </w:rPr>
      </w:pPr>
    </w:p>
    <w:p>
      <w:pPr>
        <w:ind w:left="200" w:right="439" w:hanging="7"/>
        <w:spacing w:after="0" w:line="298" w:lineRule="auto"/>
        <w:tabs>
          <w:tab w:leader="none" w:pos="345"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Further expand the company’s precision medicine pipeline with a focus on delivering transformational benefit to patients with cancer and hematologic disorders.</w:t>
      </w:r>
    </w:p>
    <w:p>
      <w:pPr>
        <w:spacing w:after="0" w:line="126" w:lineRule="exact"/>
        <w:rPr>
          <w:rFonts w:ascii="Arial" w:cs="Arial" w:eastAsia="Arial" w:hAnsi="Arial"/>
          <w:sz w:val="14"/>
          <w:szCs w:val="14"/>
          <w:b w:val="1"/>
          <w:bCs w:val="1"/>
          <w:color w:val="auto"/>
        </w:rPr>
      </w:pPr>
    </w:p>
    <w:p>
      <w:pPr>
        <w:ind w:left="720" w:hanging="266"/>
        <w:spacing w:after="0"/>
        <w:tabs>
          <w:tab w:leader="none" w:pos="720" w:val="left"/>
        </w:tabs>
        <w:numPr>
          <w:ilvl w:val="1"/>
          <w:numId w:val="37"/>
        </w:numPr>
        <w:rPr>
          <w:rFonts w:ascii="Arial" w:cs="Arial" w:eastAsia="Arial" w:hAnsi="Arial"/>
          <w:sz w:val="14"/>
          <w:szCs w:val="14"/>
          <w:color w:val="auto"/>
        </w:rPr>
      </w:pPr>
      <w:r>
        <w:rPr>
          <w:rFonts w:ascii="Arial" w:cs="Arial" w:eastAsia="Arial" w:hAnsi="Arial"/>
          <w:sz w:val="14"/>
          <w:szCs w:val="14"/>
          <w:color w:val="auto"/>
        </w:rPr>
        <w:t>Expand pipeline with one or more development candidates in 2021.</w:t>
      </w:r>
    </w:p>
    <w:p>
      <w:pPr>
        <w:spacing w:after="0" w:line="22" w:lineRule="exact"/>
        <w:rPr>
          <w:rFonts w:ascii="Arial" w:cs="Arial" w:eastAsia="Arial" w:hAnsi="Arial"/>
          <w:sz w:val="14"/>
          <w:szCs w:val="14"/>
          <w:color w:val="auto"/>
        </w:rPr>
      </w:pPr>
    </w:p>
    <w:p>
      <w:pPr>
        <w:ind w:left="720" w:hanging="266"/>
        <w:spacing w:after="0"/>
        <w:tabs>
          <w:tab w:leader="none" w:pos="720" w:val="left"/>
        </w:tabs>
        <w:numPr>
          <w:ilvl w:val="1"/>
          <w:numId w:val="37"/>
        </w:numPr>
        <w:rPr>
          <w:rFonts w:ascii="Arial" w:cs="Arial" w:eastAsia="Arial" w:hAnsi="Arial"/>
          <w:sz w:val="14"/>
          <w:szCs w:val="14"/>
          <w:color w:val="auto"/>
        </w:rPr>
      </w:pPr>
      <w:r>
        <w:rPr>
          <w:rFonts w:ascii="Arial" w:cs="Arial" w:eastAsia="Arial" w:hAnsi="Arial"/>
          <w:sz w:val="14"/>
          <w:szCs w:val="14"/>
          <w:color w:val="auto"/>
        </w:rPr>
        <w:t>Pursue external opportunities to complement the company’s precision medicine pipeline.</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Financial Guidance</w:t>
      </w:r>
    </w:p>
    <w:p>
      <w:pPr>
        <w:spacing w:after="0" w:line="191" w:lineRule="exact"/>
        <w:rPr>
          <w:sz w:val="20"/>
          <w:szCs w:val="20"/>
          <w:color w:val="auto"/>
        </w:rPr>
      </w:pPr>
    </w:p>
    <w:p>
      <w:pPr>
        <w:ind w:left="200" w:right="339"/>
        <w:spacing w:after="0" w:line="333" w:lineRule="auto"/>
        <w:rPr>
          <w:sz w:val="20"/>
          <w:szCs w:val="20"/>
          <w:color w:val="auto"/>
        </w:rPr>
      </w:pPr>
      <w:r>
        <w:rPr>
          <w:rFonts w:ascii="Arial" w:cs="Arial" w:eastAsia="Arial" w:hAnsi="Arial"/>
          <w:sz w:val="13"/>
          <w:szCs w:val="13"/>
          <w:color w:val="auto"/>
        </w:rPr>
        <w:t>Based on its current operating plans, Blueprint Medicines continues to anticipate its existing cash, cash equivalents and investments, together with anticipated future product revenues, will provide sufficient capital to enable the company to achieve a self-sustainable financial profile.</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About Blueprint Medicines</w:t>
      </w:r>
    </w:p>
    <w:p>
      <w:pPr>
        <w:spacing w:after="0" w:line="191" w:lineRule="exact"/>
        <w:rPr>
          <w:sz w:val="20"/>
          <w:szCs w:val="20"/>
          <w:color w:val="auto"/>
        </w:rPr>
      </w:pPr>
    </w:p>
    <w:p>
      <w:pPr>
        <w:ind w:left="200" w:right="379"/>
        <w:spacing w:after="0" w:line="275" w:lineRule="auto"/>
        <w:rPr>
          <w:sz w:val="20"/>
          <w:szCs w:val="20"/>
          <w:color w:val="auto"/>
        </w:rPr>
      </w:pPr>
      <w:r>
        <w:rPr>
          <w:rFonts w:ascii="Arial" w:cs="Arial" w:eastAsia="Arial" w:hAnsi="Arial"/>
          <w:sz w:val="14"/>
          <w:szCs w:val="14"/>
          <w:color w:val="auto"/>
        </w:rPr>
        <w:t>Blueprint Medicines is a global precision therapy company that invents life-changing therapies for people with cancer and hematologic disorders. Applying an approach that is both precise and agile, we create medicines that selectively target genetic drivers, with the goal of staying one step ahead across stages of disease. Since 2011,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594360</wp:posOffset>
            </wp:positionV>
            <wp:extent cx="547433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74335" cy="20955"/>
                    </a:xfrm>
                    <a:prstGeom prst="rect">
                      <a:avLst/>
                    </a:prstGeom>
                    <a:noFill/>
                  </pic:spPr>
                </pic:pic>
              </a:graphicData>
            </a:graphic>
          </wp:anchor>
        </w:drawing>
      </w:r>
    </w:p>
    <w:p>
      <w:pPr>
        <w:sectPr>
          <w:pgSz w:w="11900" w:h="16838" w:orient="portrait"/>
          <w:cols w:equalWidth="0" w:num="1">
            <w:col w:w="9019"/>
          </w:cols>
          <w:pgMar w:left="1440" w:top="129" w:right="1440" w:bottom="1440" w:gutter="0" w:footer="0" w:header="0"/>
        </w:sectPr>
      </w:pPr>
    </w:p>
    <w:bookmarkStart w:id="52" w:name="page53"/>
    <w:bookmarkEnd w:id="52"/>
    <w:p>
      <w:pPr>
        <w:ind w:left="200" w:right="399"/>
        <w:spacing w:after="0" w:line="297" w:lineRule="auto"/>
        <w:rPr>
          <w:sz w:val="20"/>
          <w:szCs w:val="20"/>
          <w:color w:val="auto"/>
        </w:rPr>
      </w:pPr>
      <w:r>
        <w:rPr>
          <w:rFonts w:ascii="Arial" w:cs="Arial" w:eastAsia="Arial" w:hAnsi="Arial"/>
          <w:sz w:val="13"/>
          <w:szCs w:val="13"/>
          <w:color w:val="auto"/>
        </w:rPr>
        <w:t>have leveraged our research platform, including expertise in molecular targeting and world-class drug design capabilities, to rapidly and reproducibly translate science into a broad pipeline of precision therapies. Today, we are delivering approved medicines directly to patients in the United States and Europe, and we are globally advancing multiple programs for genomically defined cancers, systemic mastocytosis, and cancer immunotherapy. For more information, visit www.BlueprintMedicines.com and follow us on Twitter (@BlueprintMeds) and LinkedIn.</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A0A0A"/>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-92075</wp:posOffset>
            </wp:positionV>
            <wp:extent cx="5474335" cy="1104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74335" cy="110490"/>
                    </a:xfrm>
                    <a:prstGeom prst="rect">
                      <a:avLst/>
                    </a:prstGeom>
                    <a:noFill/>
                  </pic:spPr>
                </pic:pic>
              </a:graphicData>
            </a:graphic>
          </wp:anchor>
        </w:drawing>
      </w:r>
    </w:p>
    <w:p>
      <w:pPr>
        <w:spacing w:after="0" w:line="171" w:lineRule="exact"/>
        <w:rPr>
          <w:sz w:val="20"/>
          <w:szCs w:val="20"/>
          <w:color w:val="auto"/>
        </w:rPr>
      </w:pPr>
    </w:p>
    <w:p>
      <w:pPr>
        <w:ind w:left="200" w:right="199"/>
        <w:spacing w:after="0" w:line="280" w:lineRule="auto"/>
        <w:rPr>
          <w:sz w:val="20"/>
          <w:szCs w:val="20"/>
          <w:color w:val="auto"/>
        </w:rPr>
      </w:pPr>
      <w:r>
        <w:rPr>
          <w:rFonts w:ascii="Arial" w:cs="Arial" w:eastAsia="Arial" w:hAnsi="Arial"/>
          <w:sz w:val="13"/>
          <w:szCs w:val="13"/>
          <w:color w:val="0A0A0A"/>
          <w:highlight w:val="white"/>
        </w:rPr>
        <w:t xml:space="preserve">This press release contains forward-looking statements within the meaning of the Private Securities Litigation Reform Act of 1995, as amended, including, without limitation, statements regarding Blueprint Medicines’ 2021 goals and anticipated milestones; </w:t>
      </w:r>
      <w:r>
        <w:rPr>
          <w:rFonts w:ascii="Arial" w:cs="Arial" w:eastAsia="Arial" w:hAnsi="Arial"/>
          <w:sz w:val="13"/>
          <w:szCs w:val="13"/>
          <w:color w:val="000000"/>
        </w:rPr>
        <w:t>plans, strategies, timelines and</w:t>
      </w:r>
      <w:r>
        <w:rPr>
          <w:rFonts w:ascii="Arial" w:cs="Arial" w:eastAsia="Arial" w:hAnsi="Arial"/>
          <w:sz w:val="13"/>
          <w:szCs w:val="13"/>
          <w:color w:val="0A0A0A"/>
          <w:highlight w:val="white"/>
        </w:rPr>
        <w:t xml:space="preserve"> </w:t>
      </w:r>
      <w:r>
        <w:rPr>
          <w:rFonts w:ascii="Arial" w:cs="Arial" w:eastAsia="Arial" w:hAnsi="Arial"/>
          <w:sz w:val="13"/>
          <w:szCs w:val="13"/>
          <w:color w:val="000000"/>
        </w:rPr>
        <w:t xml:space="preserve">expectations for Blueprint Medicines’ current or future approved drugs and drug candidates, including timelines for marketing applications and approvals, the initiation of clinical trials or the results of ongoing and planned clinical trials; </w:t>
      </w:r>
      <w:r>
        <w:rPr>
          <w:rFonts w:ascii="Arial" w:cs="Arial" w:eastAsia="Arial" w:hAnsi="Arial"/>
          <w:sz w:val="13"/>
          <w:szCs w:val="13"/>
          <w:color w:val="000000"/>
          <w:highlight w:val="white"/>
        </w:rPr>
        <w:t>the potential benefits of any of Blueprint Medicines’</w:t>
      </w:r>
      <w:r>
        <w:rPr>
          <w:rFonts w:ascii="Arial" w:cs="Arial" w:eastAsia="Arial" w:hAnsi="Arial"/>
          <w:sz w:val="13"/>
          <w:szCs w:val="13"/>
          <w:color w:val="000000"/>
        </w:rPr>
        <w:t xml:space="preserve"> </w:t>
      </w:r>
      <w:r>
        <w:rPr>
          <w:rFonts w:ascii="Arial" w:cs="Arial" w:eastAsia="Arial" w:hAnsi="Arial"/>
          <w:sz w:val="13"/>
          <w:szCs w:val="13"/>
          <w:color w:val="000000"/>
          <w:highlight w:val="white"/>
        </w:rPr>
        <w:t xml:space="preserve">current or future approved drugs or drug candidates in treating patients; </w:t>
      </w:r>
      <w:r>
        <w:rPr>
          <w:rFonts w:ascii="Arial" w:cs="Arial" w:eastAsia="Arial" w:hAnsi="Arial"/>
          <w:sz w:val="13"/>
          <w:szCs w:val="13"/>
          <w:color w:val="0A0A0A"/>
        </w:rPr>
        <w:t>and Blueprint Medicines’ strategy, goals and anticipated milestones,</w:t>
      </w:r>
      <w:r>
        <w:rPr>
          <w:rFonts w:ascii="Arial" w:cs="Arial" w:eastAsia="Arial" w:hAnsi="Arial"/>
          <w:sz w:val="13"/>
          <w:szCs w:val="13"/>
          <w:color w:val="000000"/>
          <w:highlight w:val="white"/>
        </w:rPr>
        <w:t xml:space="preserve"> </w:t>
      </w:r>
      <w:r>
        <w:rPr>
          <w:rFonts w:ascii="Arial" w:cs="Arial" w:eastAsia="Arial" w:hAnsi="Arial"/>
          <w:sz w:val="13"/>
          <w:szCs w:val="13"/>
          <w:color w:val="0A0A0A"/>
        </w:rPr>
        <w:t>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establishing a commercial infrastructure, and successfully launching, marketing and selling current or future approved products, including AYVAKIT and GAVRETO; Blueprint</w:t>
      </w:r>
    </w:p>
    <w:p>
      <w:pPr>
        <w:spacing w:after="0" w:line="2" w:lineRule="exact"/>
        <w:rPr>
          <w:sz w:val="20"/>
          <w:szCs w:val="20"/>
          <w:color w:val="auto"/>
        </w:rPr>
      </w:pPr>
    </w:p>
    <w:p>
      <w:pPr>
        <w:ind w:left="200" w:right="319"/>
        <w:spacing w:after="0" w:line="279" w:lineRule="auto"/>
        <w:rPr>
          <w:sz w:val="20"/>
          <w:szCs w:val="20"/>
          <w:color w:val="auto"/>
        </w:rPr>
      </w:pPr>
      <w:r>
        <w:rPr>
          <w:rFonts w:ascii="Arial" w:cs="Arial" w:eastAsia="Arial" w:hAnsi="Arial"/>
          <w:sz w:val="13"/>
          <w:szCs w:val="13"/>
          <w:color w:val="0A0A0A"/>
        </w:rPr>
        <w:t>Medicines’ ability to successfully expand the approved indications for AYVAKIT and GAVRETO or obtain marketing approval for AYVAKIT and GAVRETO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partnerships or licensing arrangements, including Blueprint Medicines’ global collaboration with Roche for the development and commercialization of GAVRETO. These and other risks and uncertainties are described in greater detail in the section entitled “Risk Factors”</w:t>
      </w:r>
    </w:p>
    <w:p>
      <w:pPr>
        <w:spacing w:after="0" w:line="1" w:lineRule="exact"/>
        <w:rPr>
          <w:sz w:val="20"/>
          <w:szCs w:val="20"/>
          <w:color w:val="auto"/>
        </w:rPr>
      </w:pPr>
    </w:p>
    <w:p>
      <w:pPr>
        <w:ind w:left="200" w:right="219"/>
        <w:spacing w:after="0" w:line="264" w:lineRule="auto"/>
        <w:rPr>
          <w:sz w:val="20"/>
          <w:szCs w:val="20"/>
          <w:color w:val="auto"/>
        </w:rPr>
      </w:pPr>
      <w:r>
        <w:rPr>
          <w:rFonts w:ascii="Arial" w:cs="Arial" w:eastAsia="Arial" w:hAnsi="Arial"/>
          <w:sz w:val="14"/>
          <w:szCs w:val="14"/>
          <w:color w:val="0A0A0A"/>
        </w:rPr>
        <w:t>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Trademarks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4"/>
          <w:szCs w:val="14"/>
          <w:color w:val="0A0A0A"/>
          <w:highlight w:val="white"/>
        </w:rPr>
        <w:t>Blueprint Medicines, AYVAKIT, AYVAKYT, GAVRETO and associated logos are trademarks of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732790</wp:posOffset>
            </wp:positionV>
            <wp:extent cx="547433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74335" cy="20955"/>
                    </a:xfrm>
                    <a:prstGeom prst="rect">
                      <a:avLst/>
                    </a:prstGeom>
                    <a:noFill/>
                  </pic:spPr>
                </pic:pic>
              </a:graphicData>
            </a:graphic>
          </wp:anchor>
        </w:drawing>
      </w:r>
    </w:p>
    <w:p>
      <w:pPr>
        <w:sectPr>
          <w:pgSz w:w="11900" w:h="16838" w:orient="portrait"/>
          <w:cols w:equalWidth="0" w:num="1">
            <w:col w:w="9019"/>
          </w:cols>
          <w:pgMar w:left="1440" w:top="129" w:right="1440" w:bottom="1440" w:gutter="0" w:footer="0" w:header="0"/>
        </w:sectPr>
      </w:pPr>
    </w:p>
    <w:bookmarkStart w:id="53" w:name="page54"/>
    <w:bookmarkEnd w:id="53"/>
    <w:p>
      <w:pPr>
        <w:ind w:left="200"/>
        <w:spacing w:after="0"/>
        <w:rPr>
          <w:sz w:val="20"/>
          <w:szCs w:val="20"/>
          <w:color w:val="auto"/>
        </w:rPr>
      </w:pPr>
      <w:r>
        <w:rPr>
          <w:rFonts w:ascii="Arial" w:cs="Arial" w:eastAsia="Arial" w:hAnsi="Arial"/>
          <w:sz w:val="14"/>
          <w:szCs w:val="14"/>
          <w:b w:val="1"/>
          <w:bCs w:val="1"/>
          <w:color w:val="auto"/>
        </w:rPr>
        <w:t>Media Contact</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Andrew Law</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617-844-8205</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3"/>
          <w:szCs w:val="13"/>
          <w:u w:val="single" w:color="auto"/>
          <w:color w:val="0000FF"/>
        </w:rPr>
        <w:t>media@blueprintmedicines.com</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Investor Contact</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Kristin Hodous</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617-714-6674</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4"/>
          <w:szCs w:val="14"/>
          <w:u w:val="single" w:color="auto"/>
          <w:color w:val="0000FF"/>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616585</wp:posOffset>
            </wp:positionV>
            <wp:extent cx="547433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74335" cy="2095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1."/>
      <w:numFmt w:val="decimal"/>
      <w:start w:val="2"/>
    </w:lvl>
  </w:abstractNum>
  <w:abstractNum w:abstractNumId="3">
    <w:nsid w:val="436C6125"/>
    <w:multiLevelType w:val="hybridMultilevel"/>
    <w:lvl w:ilvl="0">
      <w:lvlJc w:val="left"/>
      <w:lvlText w:val="%1."/>
      <w:numFmt w:val="decimal"/>
      <w:start w:val="3"/>
    </w:lvl>
  </w:abstractNum>
  <w:abstractNum w:abstractNumId="4">
    <w:nsid w:val="628C895D"/>
    <w:multiLevelType w:val="hybridMultilevel"/>
    <w:lvl w:ilvl="0">
      <w:lvlJc w:val="left"/>
      <w:lvlText w:val="%1."/>
      <w:numFmt w:val="decimal"/>
      <w:start w:val="4"/>
    </w:lvl>
  </w:abstractNum>
  <w:abstractNum w:abstractNumId="5">
    <w:nsid w:val="333AB105"/>
    <w:multiLevelType w:val="hybridMultilevel"/>
    <w:lvl w:ilvl="0">
      <w:lvlJc w:val="left"/>
      <w:lvlText w:val="%1."/>
      <w:numFmt w:val="decimal"/>
      <w:start w:val="5"/>
    </w:lvl>
  </w:abstractNum>
  <w:abstractNum w:abstractNumId="6">
    <w:nsid w:val="721DA317"/>
    <w:multiLevelType w:val="hybridMultilevel"/>
    <w:lvl w:ilvl="0">
      <w:lvlJc w:val="left"/>
      <w:lvlText w:val="%1."/>
      <w:numFmt w:val="decimal"/>
      <w:start w:val="6"/>
    </w:lvl>
    <w:lvl w:ilvl="1">
      <w:lvlJc w:val="left"/>
      <w:lvlText w:val="-"/>
      <w:numFmt w:val="bullet"/>
      <w:start w:val="1"/>
    </w:lvl>
  </w:abstractNum>
  <w:abstractNum w:abstractNumId="7">
    <w:nsid w:val="2443A858"/>
    <w:multiLevelType w:val="hybridMultilevel"/>
    <w:lvl w:ilvl="0">
      <w:lvlJc w:val="left"/>
      <w:lvlText w:val="%1."/>
      <w:numFmt w:val="decimal"/>
      <w:start w:val="8"/>
    </w:lvl>
  </w:abstractNum>
  <w:abstractNum w:abstractNumId="8">
    <w:nsid w:val="2D1D5AE9"/>
    <w:multiLevelType w:val="hybridMultilevel"/>
    <w:lvl w:ilvl="0">
      <w:lvlJc w:val="left"/>
      <w:lvlText w:val="%1."/>
      <w:numFmt w:val="decimal"/>
      <w:start w:val="1"/>
    </w:lvl>
    <w:lvl w:ilvl="1">
      <w:lvlJc w:val="left"/>
      <w:lvlText w:val="(%2)"/>
      <w:numFmt w:val="lowerLetter"/>
      <w:start w:val="1"/>
    </w:lvl>
  </w:abstractNum>
  <w:abstractNum w:abstractNumId="9">
    <w:nsid w:val="6763845E"/>
    <w:multiLevelType w:val="hybridMultilevel"/>
    <w:lvl w:ilvl="0">
      <w:lvlJc w:val="left"/>
      <w:lvlText w:val="(%1)"/>
      <w:numFmt w:val="lowerLetter"/>
      <w:start w:val="2"/>
    </w:lvl>
  </w:abstractNum>
  <w:abstractNum w:abstractNumId="10">
    <w:nsid w:val="75A2A8D4"/>
    <w:multiLevelType w:val="hybridMultilevel"/>
    <w:lvl w:ilvl="0">
      <w:lvlJc w:val="left"/>
      <w:lvlText w:val="%1"/>
      <w:numFmt w:val="decimal"/>
      <w:start w:val="1"/>
    </w:lvl>
    <w:lvl w:ilvl="1">
      <w:lvlJc w:val="left"/>
      <w:lvlText w:val="(%2)"/>
      <w:numFmt w:val="lowerLetter"/>
      <w:start w:val="7"/>
    </w:lvl>
  </w:abstractNum>
  <w:abstractNum w:abstractNumId="11">
    <w:nsid w:val="8EDBDAB"/>
    <w:multiLevelType w:val="hybridMultilevel"/>
    <w:lvl w:ilvl="0">
      <w:lvlJc w:val="left"/>
      <w:lvlText w:val="%1."/>
      <w:numFmt w:val="decimal"/>
      <w:start w:val="3"/>
    </w:lvl>
    <w:lvl w:ilvl="1">
      <w:lvlJc w:val="left"/>
      <w:lvlText w:val="(%2)"/>
      <w:numFmt w:val="lowerLetter"/>
      <w:start w:val="1"/>
    </w:lvl>
  </w:abstractNum>
  <w:abstractNum w:abstractNumId="12">
    <w:nsid w:val="79838CB2"/>
    <w:multiLevelType w:val="hybridMultilevel"/>
    <w:lvl w:ilvl="0">
      <w:lvlJc w:val="left"/>
      <w:lvlText w:val="%1"/>
      <w:numFmt w:val="lowerRoman"/>
      <w:start w:val="1"/>
    </w:lvl>
    <w:lvl w:ilvl="1">
      <w:lvlJc w:val="left"/>
      <w:lvlText w:val="(%2)"/>
      <w:numFmt w:val="lowerLetter"/>
      <w:start w:val="4"/>
    </w:lvl>
  </w:abstractNum>
  <w:abstractNum w:abstractNumId="13">
    <w:nsid w:val="4353D0CD"/>
    <w:multiLevelType w:val="hybridMultilevel"/>
    <w:lvl w:ilvl="0">
      <w:lvlJc w:val="left"/>
      <w:lvlText w:val="(%1)"/>
      <w:numFmt w:val="lowerRoman"/>
      <w:start w:val="4"/>
    </w:lvl>
    <w:lvl w:ilvl="1">
      <w:lvlJc w:val="left"/>
      <w:lvlText w:val="(%2)"/>
      <w:numFmt w:val="lowerLetter"/>
      <w:start w:val="6"/>
    </w:lvl>
  </w:abstractNum>
  <w:abstractNum w:abstractNumId="14">
    <w:nsid w:val="B03E0C6"/>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15">
    <w:nsid w:val="189A769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6">
    <w:nsid w:val="54E49EB4"/>
    <w:multiLevelType w:val="hybridMultilevel"/>
    <w:lvl w:ilvl="0">
      <w:lvlJc w:val="left"/>
      <w:lvlText w:val="(%1)"/>
      <w:numFmt w:val="lowerRoman"/>
      <w:start w:val="2"/>
    </w:lvl>
  </w:abstractNum>
  <w:abstractNum w:abstractNumId="17">
    <w:nsid w:val="71F32454"/>
    <w:multiLevelType w:val="hybridMultilevel"/>
    <w:lvl w:ilvl="0">
      <w:lvlJc w:val="left"/>
      <w:lvlText w:val="%1."/>
      <w:numFmt w:val="decimal"/>
      <w:start w:val="5"/>
    </w:lvl>
    <w:lvl w:ilvl="1">
      <w:lvlJc w:val="left"/>
      <w:lvlText w:val="(%2)"/>
      <w:numFmt w:val="lowerLetter"/>
      <w:start w:val="1"/>
    </w:lvl>
  </w:abstractNum>
  <w:abstractNum w:abstractNumId="18">
    <w:nsid w:val="2CA88611"/>
    <w:multiLevelType w:val="hybridMultilevel"/>
    <w:lvl w:ilvl="0">
      <w:lvlJc w:val="left"/>
      <w:lvlText w:val="%1"/>
      <w:numFmt w:val="upperLetter"/>
      <w:start w:val="1"/>
    </w:lvl>
    <w:lvl w:ilvl="1">
      <w:lvlJc w:val="left"/>
      <w:lvlText w:val="(%2)"/>
      <w:numFmt w:val="lowerRoman"/>
      <w:start w:val="1"/>
    </w:lvl>
  </w:abstractNum>
  <w:abstractNum w:abstractNumId="19">
    <w:nsid w:val="836C40E"/>
    <w:multiLevelType w:val="hybridMultilevel"/>
    <w:lvl w:ilvl="0">
      <w:lvlJc w:val="left"/>
      <w:lvlText w:val="(%1)"/>
      <w:numFmt w:val="upperLetter"/>
      <w:start w:val="1"/>
    </w:lvl>
    <w:lvl w:ilvl="1">
      <w:lvlJc w:val="left"/>
      <w:lvlText w:val="(%2)"/>
      <w:numFmt w:val="lowerRoman"/>
      <w:start w:val="2"/>
    </w:lvl>
  </w:abstractNum>
  <w:abstractNum w:abstractNumId="20">
    <w:nsid w:val="2901D82"/>
    <w:multiLevelType w:val="hybridMultilevel"/>
    <w:lvl w:ilvl="0">
      <w:lvlJc w:val="left"/>
      <w:lvlText w:val="(%1)"/>
      <w:numFmt w:val="lowerLetter"/>
      <w:start w:val="2"/>
    </w:lvl>
    <w:lvl w:ilvl="1">
      <w:lvlJc w:val="left"/>
      <w:lvlText w:val="(%2)"/>
      <w:numFmt w:val="lowerLetter"/>
      <w:start w:val="9"/>
    </w:lvl>
  </w:abstractNum>
  <w:abstractNum w:abstractNumId="21">
    <w:nsid w:val="3A95F874"/>
    <w:multiLevelType w:val="hybridMultilevel"/>
    <w:lvl w:ilvl="0">
      <w:lvlJc w:val="left"/>
      <w:lvlText w:val="%1"/>
      <w:numFmt w:val="lowerLetter"/>
      <w:start w:val="1"/>
    </w:lvl>
    <w:lvl w:ilvl="1">
      <w:lvlJc w:val="left"/>
      <w:lvlText w:val="(%2)"/>
      <w:numFmt w:val="lowerRoman"/>
      <w:start w:val="2"/>
    </w:lvl>
  </w:abstractNum>
  <w:abstractNum w:abstractNumId="22">
    <w:nsid w:val="8138641"/>
    <w:multiLevelType w:val="hybridMultilevel"/>
    <w:lvl w:ilvl="0">
      <w:lvlJc w:val="left"/>
      <w:lvlText w:val="(%1)"/>
      <w:numFmt w:val="lowerLetter"/>
      <w:start w:val="3"/>
    </w:lvl>
    <w:lvl w:ilvl="1">
      <w:lvlJc w:val="left"/>
      <w:lvlText w:val="%2"/>
      <w:numFmt w:val="lowerRoman"/>
      <w:start w:val="1"/>
    </w:lvl>
  </w:abstractNum>
  <w:abstractNum w:abstractNumId="23">
    <w:nsid w:val="1E7FF521"/>
    <w:multiLevelType w:val="hybridMultilevel"/>
    <w:lvl w:ilvl="0">
      <w:lvlJc w:val="left"/>
      <w:lvlText w:val="(%1)"/>
      <w:numFmt w:val="lowerRoman"/>
      <w:start w:val="2"/>
    </w:lvl>
  </w:abstractNum>
  <w:abstractNum w:abstractNumId="24">
    <w:nsid w:val="7C3DBD3D"/>
    <w:multiLevelType w:val="hybridMultilevel"/>
    <w:lvl w:ilvl="0">
      <w:lvlJc w:val="left"/>
      <w:lvlText w:val="%1."/>
      <w:numFmt w:val="decimal"/>
      <w:start w:val="6"/>
    </w:lvl>
    <w:lvl w:ilvl="1">
      <w:lvlJc w:val="left"/>
      <w:lvlText w:val="(%2)"/>
      <w:numFmt w:val="lowerLetter"/>
      <w:start w:val="1"/>
    </w:lvl>
  </w:abstractNum>
  <w:abstractNum w:abstractNumId="25">
    <w:nsid w:val="737B8DDC"/>
    <w:multiLevelType w:val="hybridMultilevel"/>
    <w:lvl w:ilvl="0">
      <w:lvlJc w:val="left"/>
      <w:lvlText w:val="%1"/>
      <w:numFmt w:val="decimal"/>
      <w:start w:val="1"/>
    </w:lvl>
    <w:lvl w:ilvl="1">
      <w:lvlJc w:val="left"/>
      <w:lvlText w:val="(%2)"/>
      <w:numFmt w:val="lowerLetter"/>
      <w:start w:val="5"/>
    </w:lvl>
  </w:abstractNum>
  <w:abstractNum w:abstractNumId="26">
    <w:nsid w:val="6CEAF087"/>
    <w:multiLevelType w:val="hybridMultilevel"/>
    <w:lvl w:ilvl="0">
      <w:lvlJc w:val="left"/>
      <w:lvlText w:val="%1."/>
      <w:numFmt w:val="decimal"/>
      <w:start w:val="7"/>
    </w:lvl>
    <w:lvl w:ilvl="1">
      <w:lvlJc w:val="left"/>
      <w:lvlText w:val="%2"/>
      <w:numFmt w:val="lowerLetter"/>
      <w:start w:val="1"/>
    </w:lvl>
  </w:abstractNum>
  <w:abstractNum w:abstractNumId="27">
    <w:nsid w:val="22221A70"/>
    <w:multiLevelType w:val="hybridMultilevel"/>
    <w:lvl w:ilvl="0">
      <w:lvlJc w:val="left"/>
      <w:lvlText w:val="%1."/>
      <w:numFmt w:val="decimal"/>
      <w:start w:val="11"/>
    </w:lvl>
  </w:abstractNum>
  <w:abstractNum w:abstractNumId="28">
    <w:nsid w:val="4516DDE9"/>
    <w:multiLevelType w:val="hybridMultilevel"/>
    <w:lvl w:ilvl="0">
      <w:lvlJc w:val="left"/>
      <w:lvlText w:val="%1."/>
      <w:numFmt w:val="decimal"/>
      <w:start w:val="19"/>
    </w:lvl>
  </w:abstractNum>
  <w:abstractNum w:abstractNumId="29">
    <w:nsid w:val="3006C83E"/>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2021-01-11T07:23:04Z</dcterms:created>
  <dcterms:modified xsi:type="dcterms:W3CDTF">2021-01-11T07:23:04Z</dcterms:modified>
</cp:coreProperties>
</file>