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Goldberg Mark Alan</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8"/>
          </w:tcPr>
          <w:p>
            <w:pPr>
              <w:ind w:left="80"/>
              <w:spacing w:after="0" w:line="104"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Blueprint Medicines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gridSpan w:val="3"/>
            <w:vMerge w:val="continue"/>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ind w:left="12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600" w:type="dxa"/>
            <w:vAlign w:val="bottom"/>
            <w:gridSpan w:val="5"/>
            <w:vMerge w:val="restart"/>
          </w:tcPr>
          <w:p>
            <w:pPr>
              <w:ind w:left="240"/>
              <w:spacing w:after="0"/>
              <w:rPr>
                <w:sz w:val="20"/>
                <w:szCs w:val="20"/>
                <w:color w:val="auto"/>
              </w:rPr>
            </w:pPr>
            <w:r>
              <w:rPr>
                <w:rFonts w:ascii="Arial" w:cs="Arial" w:eastAsia="Arial" w:hAnsi="Arial"/>
                <w:sz w:val="17"/>
                <w:szCs w:val="17"/>
                <w:color w:val="0000FF"/>
              </w:rPr>
              <w:t>12/24/2020</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BLUEPRINT MEDICINES CORPORATION</w:t>
            </w:r>
          </w:p>
        </w:tc>
        <w:tc>
          <w:tcPr>
            <w:tcW w:w="16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45 SIDNEY STREET</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14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7"/>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4"/>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40"/>
              <w:spacing w:after="0"/>
              <w:rPr>
                <w:sz w:val="20"/>
                <w:szCs w:val="20"/>
                <w:color w:val="auto"/>
              </w:rPr>
            </w:pPr>
            <w:r>
              <w:rPr>
                <w:rFonts w:ascii="Arial" w:cs="Arial" w:eastAsia="Arial" w:hAnsi="Arial"/>
                <w:sz w:val="17"/>
                <w:szCs w:val="17"/>
                <w:color w:val="0000FF"/>
              </w:rPr>
              <w:t>12/24/2020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5,455</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4"/>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28.15</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9,017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40"/>
              <w:spacing w:after="0"/>
              <w:rPr>
                <w:sz w:val="20"/>
                <w:szCs w:val="20"/>
                <w:color w:val="auto"/>
              </w:rPr>
            </w:pPr>
            <w:r>
              <w:rPr>
                <w:rFonts w:ascii="Arial" w:cs="Arial" w:eastAsia="Arial" w:hAnsi="Arial"/>
                <w:sz w:val="17"/>
                <w:szCs w:val="17"/>
                <w:color w:val="0000FF"/>
              </w:rPr>
              <w:t>12/24/2020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5,455</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4"/>
          </w:tcPr>
          <w:p>
            <w:pPr>
              <w:ind w:left="1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125</w:t>
            </w:r>
            <w:r>
              <w:rPr>
                <w:rFonts w:ascii="Arial" w:cs="Arial" w:eastAsia="Arial" w:hAnsi="Arial"/>
                <w:sz w:val="21"/>
                <w:szCs w:val="21"/>
                <w:color w:val="008000"/>
                <w:w w:val="98"/>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3,562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28.15</w:t>
            </w: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12/24/2020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ind w:left="20"/>
              <w:spacing w:after="0" w:line="269"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rPr>
              <w:t>5,455</w:t>
            </w:r>
          </w:p>
        </w:tc>
        <w:tc>
          <w:tcPr>
            <w:tcW w:w="76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(3)</w:t>
            </w: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06/25/2025</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5,455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-3364230</wp:posOffset>
            </wp:positionV>
            <wp:extent cx="7033260" cy="3504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0456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August 5, 2020 pursuant to Rule 10b5-1 under the Securities Exchange Act of 1934, as amended.</w:t>
      </w:r>
    </w:p>
    <w:p>
      <w:pPr>
        <w:spacing w:after="0" w:line="45" w:lineRule="exact"/>
        <w:rPr>
          <w:rFonts w:ascii="Arial" w:cs="Arial" w:eastAsia="Arial" w:hAnsi="Arial"/>
          <w:sz w:val="13"/>
          <w:szCs w:val="13"/>
          <w:color w:val="008000"/>
        </w:rPr>
      </w:pPr>
    </w:p>
    <w:p>
      <w:pPr>
        <w:ind w:left="40" w:right="20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$125.00 to $125.01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25, 2015 and is fully vested as of the date hereof.</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6"/>
              </w:rPr>
              <w:t>/s/ Christopher Frankenfield,</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12/28/2020</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8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8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32475"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2020-12-28T15:24:26Z</dcterms:created>
  <dcterms:modified xsi:type="dcterms:W3CDTF">2020-12-28T15:24:26Z</dcterms:modified>
</cp:coreProperties>
</file>