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358140</wp:posOffset>
            </wp:positionV>
            <wp:extent cx="1655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116205</wp:posOffset>
            </wp:positionV>
            <wp:extent cx="1655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51" w:lineRule="exact"/>
        <w:rPr>
          <w:sz w:val="24"/>
          <w:szCs w:val="24"/>
          <w:color w:val="auto"/>
        </w:rPr>
      </w:pPr>
    </w:p>
    <w:tbl>
      <w:tblPr>
        <w:tblLayout w:type="fixed"/>
        <w:tblInd w:w="9" w:type="dxa"/>
        <w:tblCellMar>
          <w:top w:w="0" w:type="dxa"/>
          <w:left w:w="0" w:type="dxa"/>
          <w:bottom w:w="0" w:type="dxa"/>
          <w:right w:w="0" w:type="dxa"/>
        </w:tblCellMar>
      </w:tblPr>
      <w:tr>
        <w:trPr>
          <w:trHeight w:val="421"/>
        </w:trPr>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gridSpan w:val="2"/>
          </w:tcPr>
          <w:p>
            <w:pPr>
              <w:jc w:val="center"/>
              <w:ind w:right="960"/>
              <w:spacing w:after="0"/>
              <w:rPr>
                <w:sz w:val="20"/>
                <w:szCs w:val="20"/>
                <w:color w:val="auto"/>
              </w:rPr>
            </w:pPr>
            <w:r>
              <w:rPr>
                <w:rFonts w:ascii="Arial" w:cs="Arial" w:eastAsia="Arial" w:hAnsi="Arial"/>
                <w:sz w:val="32"/>
                <w:szCs w:val="32"/>
                <w:b w:val="1"/>
                <w:bCs w:val="1"/>
                <w:color w:val="auto"/>
                <w:w w:val="99"/>
              </w:rPr>
              <w:t>SCHEDULE 14A</w:t>
            </w:r>
          </w:p>
        </w:tc>
      </w:tr>
      <w:tr>
        <w:trPr>
          <w:trHeight w:val="295"/>
        </w:trPr>
        <w:tc>
          <w:tcPr>
            <w:tcW w:w="2440" w:type="dxa"/>
            <w:vAlign w:val="bottom"/>
          </w:tcPr>
          <w:p>
            <w:pPr>
              <w:spacing w:after="0"/>
              <w:rPr>
                <w:sz w:val="24"/>
                <w:szCs w:val="24"/>
                <w:color w:val="auto"/>
              </w:rPr>
            </w:pPr>
          </w:p>
        </w:tc>
        <w:tc>
          <w:tcPr>
            <w:tcW w:w="5000" w:type="dxa"/>
            <w:vAlign w:val="bottom"/>
            <w:gridSpan w:val="3"/>
          </w:tcPr>
          <w:p>
            <w:pPr>
              <w:jc w:val="center"/>
              <w:ind w:left="398"/>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440" w:type="dxa"/>
            <w:vAlign w:val="bottom"/>
          </w:tcPr>
          <w:p>
            <w:pPr>
              <w:spacing w:after="0"/>
              <w:rPr>
                <w:sz w:val="21"/>
                <w:szCs w:val="21"/>
                <w:color w:val="auto"/>
              </w:rPr>
            </w:pPr>
          </w:p>
        </w:tc>
        <w:tc>
          <w:tcPr>
            <w:tcW w:w="5000" w:type="dxa"/>
            <w:vAlign w:val="bottom"/>
            <w:gridSpan w:val="3"/>
          </w:tcPr>
          <w:p>
            <w:pPr>
              <w:jc w:val="center"/>
              <w:ind w:left="538"/>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gridSpan w:val="2"/>
          </w:tcPr>
          <w:p>
            <w:pPr>
              <w:jc w:val="center"/>
              <w:ind w:right="820"/>
              <w:spacing w:after="0"/>
              <w:rPr>
                <w:sz w:val="20"/>
                <w:szCs w:val="20"/>
                <w:color w:val="auto"/>
              </w:rPr>
            </w:pPr>
            <w:r>
              <w:rPr>
                <w:rFonts w:ascii="Arial" w:cs="Arial" w:eastAsia="Arial" w:hAnsi="Arial"/>
                <w:sz w:val="22"/>
                <w:szCs w:val="22"/>
                <w:b w:val="1"/>
                <w:bCs w:val="1"/>
                <w:color w:val="auto"/>
                <w:w w:val="96"/>
              </w:rPr>
              <w:t>(Amendment No.  )</w:t>
            </w:r>
          </w:p>
        </w:tc>
      </w:tr>
      <w:tr>
        <w:trPr>
          <w:trHeight w:val="179"/>
        </w:trPr>
        <w:tc>
          <w:tcPr>
            <w:tcW w:w="2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432"/>
        </w:trPr>
        <w:tc>
          <w:tcPr>
            <w:tcW w:w="244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000" w:type="dxa"/>
            <w:vAlign w:val="bottom"/>
            <w:gridSpan w:val="3"/>
          </w:tcPr>
          <w:p>
            <w:pPr>
              <w:ind w:left="7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91"/>
        </w:trPr>
        <w:tc>
          <w:tcPr>
            <w:tcW w:w="244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80" w:lineRule="exact"/>
        <w:rPr>
          <w:sz w:val="24"/>
          <w:szCs w:val="24"/>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4" w:lineRule="exact"/>
        <w:rPr>
          <w:rFonts w:ascii="MS PGothic" w:cs="MS PGothic" w:eastAsia="MS PGothic" w:hAnsi="MS PGothic"/>
          <w:sz w:val="18"/>
          <w:szCs w:val="18"/>
          <w:color w:val="auto"/>
        </w:rPr>
      </w:pPr>
    </w:p>
    <w:p>
      <w:pPr>
        <w:ind w:left="9"/>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36" w:lineRule="exact"/>
        <w:rPr>
          <w:rFonts w:ascii="MS PGothic" w:cs="MS PGothic" w:eastAsia="MS PGothic" w:hAnsi="MS PGothic"/>
          <w:sz w:val="18"/>
          <w:szCs w:val="18"/>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0" w:lineRule="exact"/>
        <w:rPr>
          <w:sz w:val="24"/>
          <w:szCs w:val="24"/>
          <w:color w:val="auto"/>
        </w:rPr>
      </w:pPr>
    </w:p>
    <w:p>
      <w:pPr>
        <w:jc w:val="center"/>
        <w:ind w:right="-48"/>
        <w:spacing w:after="0"/>
        <w:rPr>
          <w:sz w:val="20"/>
          <w:szCs w:val="20"/>
          <w:color w:val="auto"/>
        </w:rPr>
      </w:pPr>
      <w:r>
        <w:rPr>
          <w:rFonts w:ascii="Arial" w:cs="Arial" w:eastAsia="Arial" w:hAnsi="Arial"/>
          <w:sz w:val="40"/>
          <w:szCs w:val="40"/>
          <w:b w:val="1"/>
          <w:bCs w:val="1"/>
          <w:color w:val="auto"/>
        </w:rPr>
        <w:t>BLUEPRINT MEDICINES CORPORATION</w:t>
      </w:r>
    </w:p>
    <w:p>
      <w:pPr>
        <w:spacing w:after="0" w:line="35" w:lineRule="exact"/>
        <w:rPr>
          <w:sz w:val="24"/>
          <w:szCs w:val="24"/>
          <w:color w:val="auto"/>
        </w:rPr>
      </w:pPr>
    </w:p>
    <w:p>
      <w:pPr>
        <w:ind w:left="2649"/>
        <w:spacing w:after="0"/>
        <w:rPr>
          <w:sz w:val="20"/>
          <w:szCs w:val="20"/>
          <w:color w:val="auto"/>
        </w:rPr>
      </w:pPr>
      <w:r>
        <w:rPr>
          <w:rFonts w:ascii="Arial" w:cs="Arial" w:eastAsia="Arial" w:hAnsi="Arial"/>
          <w:sz w:val="18"/>
          <w:szCs w:val="18"/>
          <w:b w:val="1"/>
          <w:bCs w:val="1"/>
          <w:color w:val="auto"/>
        </w:rPr>
        <w:t>(Name of Registrant as Specified in Its certificate of incorporation)</w:t>
      </w:r>
    </w:p>
    <w:p>
      <w:pPr>
        <w:spacing w:after="0" w:line="84" w:lineRule="exact"/>
        <w:rPr>
          <w:sz w:val="24"/>
          <w:szCs w:val="24"/>
          <w:color w:val="auto"/>
        </w:rPr>
      </w:pPr>
    </w:p>
    <w:p>
      <w:pPr>
        <w:ind w:left="236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8" w:lineRule="exact"/>
        <w:rPr>
          <w:sz w:val="24"/>
          <w:szCs w:val="24"/>
          <w:color w:val="auto"/>
        </w:rPr>
      </w:pPr>
    </w:p>
    <w:p>
      <w:pPr>
        <w:ind w:left="9"/>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29" w:hanging="529"/>
        <w:spacing w:after="0"/>
        <w:tabs>
          <w:tab w:leader="none" w:pos="52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29" w:hanging="529"/>
        <w:spacing w:after="0"/>
        <w:tabs>
          <w:tab w:leader="none" w:pos="52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009" w:hanging="482"/>
        <w:spacing w:after="0"/>
        <w:tabs>
          <w:tab w:leader="none" w:pos="1009"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009" w:hanging="482"/>
        <w:spacing w:after="0"/>
        <w:tabs>
          <w:tab w:leader="none" w:pos="10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1009" w:right="300" w:hanging="482"/>
        <w:spacing w:after="0" w:line="246" w:lineRule="auto"/>
        <w:tabs>
          <w:tab w:leader="none" w:pos="1009"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8"/>
          <w:szCs w:val="18"/>
          <w:color w:val="auto"/>
        </w:rPr>
      </w:pPr>
    </w:p>
    <w:p>
      <w:pPr>
        <w:ind w:left="1009" w:hanging="482"/>
        <w:spacing w:after="0"/>
        <w:tabs>
          <w:tab w:leader="none" w:pos="1009"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009" w:hanging="482"/>
        <w:spacing w:after="0"/>
        <w:tabs>
          <w:tab w:leader="none" w:pos="1009"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529" w:hanging="529"/>
        <w:spacing w:after="0"/>
        <w:tabs>
          <w:tab w:leader="none" w:pos="52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 w:lineRule="exact"/>
        <w:rPr>
          <w:rFonts w:ascii="MS PGothic" w:cs="MS PGothic" w:eastAsia="MS PGothic" w:hAnsi="MS PGothic"/>
          <w:sz w:val="18"/>
          <w:szCs w:val="18"/>
          <w:color w:val="auto"/>
        </w:rPr>
      </w:pPr>
    </w:p>
    <w:p>
      <w:pPr>
        <w:ind w:left="529" w:hanging="529"/>
        <w:spacing w:after="0" w:line="286" w:lineRule="auto"/>
        <w:tabs>
          <w:tab w:leader="none" w:pos="529"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89" w:hanging="462"/>
        <w:spacing w:after="0"/>
        <w:tabs>
          <w:tab w:leader="none" w:pos="989"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989" w:hanging="462"/>
        <w:spacing w:after="0"/>
        <w:tabs>
          <w:tab w:leader="none" w:pos="989"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989" w:hanging="462"/>
        <w:spacing w:after="0"/>
        <w:tabs>
          <w:tab w:leader="none" w:pos="989"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989" w:hanging="462"/>
        <w:spacing w:after="0"/>
        <w:tabs>
          <w:tab w:leader="none" w:pos="989"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623570</wp:posOffset>
            </wp:positionH>
            <wp:positionV relativeFrom="paragraph">
              <wp:posOffset>74930</wp:posOffset>
            </wp:positionV>
            <wp:extent cx="5977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-190500</wp:posOffset>
            </wp:positionV>
            <wp:extent cx="5977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-455930</wp:posOffset>
            </wp:positionV>
            <wp:extent cx="5977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-721995</wp:posOffset>
            </wp:positionV>
            <wp:extent cx="597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-1424940</wp:posOffset>
            </wp:positionV>
            <wp:extent cx="5960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-1691005</wp:posOffset>
            </wp:positionV>
            <wp:extent cx="5960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-1957070</wp:posOffset>
            </wp:positionV>
            <wp:extent cx="5960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-2325370</wp:posOffset>
            </wp:positionV>
            <wp:extent cx="5960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-2591435</wp:posOffset>
            </wp:positionV>
            <wp:extent cx="5960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233"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358140</wp:posOffset>
            </wp:positionV>
            <wp:extent cx="170688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8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38 Sidney Street, Suite 200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(617) 374-7580</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2017 ANNUAL MEETING OF STOCKHOLDERS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June 20,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jc w:val="both"/>
        <w:ind w:right="99" w:firstLine="648"/>
        <w:spacing w:after="0" w:line="312" w:lineRule="auto"/>
        <w:rPr>
          <w:sz w:val="20"/>
          <w:szCs w:val="20"/>
          <w:color w:val="auto"/>
        </w:rPr>
      </w:pPr>
      <w:r>
        <w:rPr>
          <w:rFonts w:ascii="Arial" w:cs="Arial" w:eastAsia="Arial" w:hAnsi="Arial"/>
          <w:sz w:val="16"/>
          <w:szCs w:val="16"/>
          <w:color w:val="auto"/>
        </w:rPr>
        <w:t>You are cordially invited to attend the 2017 annual meeting of stockholders of Blueprint Medicines Corporation to be held on Tuesday, June 20, 2017 at 3:00 p.m., Eastern Daylight Time, at our offices located at 38 Sidney Street, Suite 200, Cambridge, Massachusetts 02139. At the annual meeting, stockholders will consider and vote on the following matters:</w:t>
      </w:r>
    </w:p>
    <w:p>
      <w:pPr>
        <w:spacing w:after="0" w:line="39" w:lineRule="exact"/>
        <w:rPr>
          <w:sz w:val="20"/>
          <w:szCs w:val="20"/>
          <w:color w:val="auto"/>
        </w:rPr>
      </w:pPr>
    </w:p>
    <w:p>
      <w:pPr>
        <w:jc w:val="both"/>
        <w:ind w:left="1120" w:right="339" w:hanging="134"/>
        <w:spacing w:after="0" w:line="264" w:lineRule="auto"/>
        <w:rPr>
          <w:sz w:val="20"/>
          <w:szCs w:val="20"/>
          <w:color w:val="auto"/>
        </w:rPr>
      </w:pPr>
      <w:r>
        <w:rPr>
          <w:rFonts w:ascii="Arial" w:cs="Arial" w:eastAsia="Arial" w:hAnsi="Arial"/>
          <w:sz w:val="18"/>
          <w:szCs w:val="18"/>
          <w:color w:val="auto"/>
        </w:rPr>
        <w:t>1.The election of three Class II directors nominated by our board of directors, each to serve for a three-year term expiring at the 2020 annual meeting of stockholders or until his successor has been duly elected and qualified;</w:t>
      </w:r>
    </w:p>
    <w:p>
      <w:pPr>
        <w:spacing w:after="0" w:line="73" w:lineRule="exact"/>
        <w:rPr>
          <w:sz w:val="20"/>
          <w:szCs w:val="20"/>
          <w:color w:val="auto"/>
        </w:rPr>
      </w:pPr>
    </w:p>
    <w:p>
      <w:pPr>
        <w:ind w:left="1120" w:right="239" w:hanging="134"/>
        <w:spacing w:after="0" w:line="277" w:lineRule="auto"/>
        <w:rPr>
          <w:sz w:val="20"/>
          <w:szCs w:val="20"/>
          <w:color w:val="auto"/>
        </w:rPr>
      </w:pPr>
      <w:r>
        <w:rPr>
          <w:rFonts w:ascii="Arial" w:cs="Arial" w:eastAsia="Arial" w:hAnsi="Arial"/>
          <w:sz w:val="18"/>
          <w:szCs w:val="18"/>
          <w:color w:val="auto"/>
        </w:rPr>
        <w:t>2.The ratification of the appointment of Ernst &amp; Young LLP as our independent registered public accounting firm for the fiscal year ended December 31, 2017; and</w:t>
      </w:r>
    </w:p>
    <w:p>
      <w:pPr>
        <w:spacing w:after="0" w:line="62" w:lineRule="exact"/>
        <w:rPr>
          <w:sz w:val="20"/>
          <w:szCs w:val="20"/>
          <w:color w:val="auto"/>
        </w:rPr>
      </w:pPr>
    </w:p>
    <w:p>
      <w:pPr>
        <w:ind w:left="1120" w:right="119" w:hanging="134"/>
        <w:spacing w:after="0" w:line="277" w:lineRule="auto"/>
        <w:rPr>
          <w:sz w:val="20"/>
          <w:szCs w:val="20"/>
          <w:color w:val="auto"/>
        </w:rPr>
      </w:pPr>
      <w:r>
        <w:rPr>
          <w:rFonts w:ascii="Arial" w:cs="Arial" w:eastAsia="Arial" w:hAnsi="Arial"/>
          <w:sz w:val="18"/>
          <w:szCs w:val="18"/>
          <w:color w:val="auto"/>
        </w:rPr>
        <w:t>3.The transaction of any other business that may properly come before the annual meeting or any adjournment or postponement thereof.</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items of business are more fully described in the proxy statement accompanying this notice.</w:t>
      </w:r>
    </w:p>
    <w:p>
      <w:pPr>
        <w:spacing w:after="0" w:line="129" w:lineRule="exact"/>
        <w:rPr>
          <w:sz w:val="20"/>
          <w:szCs w:val="20"/>
          <w:color w:val="auto"/>
        </w:rPr>
      </w:pPr>
    </w:p>
    <w:p>
      <w:pPr>
        <w:ind w:right="439" w:firstLine="648"/>
        <w:spacing w:after="0" w:line="277" w:lineRule="auto"/>
        <w:rPr>
          <w:sz w:val="20"/>
          <w:szCs w:val="20"/>
          <w:color w:val="auto"/>
        </w:rPr>
      </w:pPr>
      <w:r>
        <w:rPr>
          <w:rFonts w:ascii="Arial" w:cs="Arial" w:eastAsia="Arial" w:hAnsi="Arial"/>
          <w:sz w:val="18"/>
          <w:szCs w:val="18"/>
          <w:color w:val="auto"/>
        </w:rPr>
        <w:t>Stockholders of record at the close of business on April 24, 2017 will be entitled to notice of and to vote at the annual meeting or any adjournment or postponement thereof.</w:t>
      </w:r>
    </w:p>
    <w:p>
      <w:pPr>
        <w:spacing w:after="0" w:line="62" w:lineRule="exact"/>
        <w:rPr>
          <w:sz w:val="20"/>
          <w:szCs w:val="20"/>
          <w:color w:val="auto"/>
        </w:rPr>
      </w:pPr>
    </w:p>
    <w:p>
      <w:pPr>
        <w:ind w:right="519" w:firstLine="648"/>
        <w:spacing w:after="0" w:line="312"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spacing w:after="0" w:line="39" w:lineRule="exact"/>
        <w:rPr>
          <w:sz w:val="20"/>
          <w:szCs w:val="20"/>
          <w:color w:val="auto"/>
        </w:rPr>
      </w:pPr>
    </w:p>
    <w:p>
      <w:pPr>
        <w:ind w:right="59" w:firstLine="648"/>
        <w:spacing w:after="0" w:line="312" w:lineRule="auto"/>
        <w:rPr>
          <w:sz w:val="20"/>
          <w:szCs w:val="20"/>
          <w:color w:val="auto"/>
        </w:rPr>
      </w:pPr>
      <w:r>
        <w:rPr>
          <w:rFonts w:ascii="Arial" w:cs="Arial" w:eastAsia="Arial" w:hAnsi="Arial"/>
          <w:sz w:val="16"/>
          <w:szCs w:val="16"/>
          <w:color w:val="auto"/>
        </w:rPr>
        <w:t>We encourage all stockholders to attend the annual meeting in person. However, whether or not you plan to attend the annual meeting in person, we encourage you to read this proxy statement and submit your proxy or voting instructions as soon as possible. Please review the instructions on each of your voting options described in the proxy statement.</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ongoing support and continued interest in Blueprint Medicines Corporation.</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152400</wp:posOffset>
            </wp:positionV>
            <wp:extent cx="189547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W. Albers</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99" w:lineRule="exact"/>
        <w:rPr>
          <w:sz w:val="20"/>
          <w:szCs w:val="20"/>
          <w:color w:val="auto"/>
        </w:rPr>
      </w:pPr>
    </w:p>
    <w:p>
      <w:pPr>
        <w:ind w:right="239" w:firstLine="648"/>
        <w:spacing w:after="0" w:line="258"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w:t>
      </w:r>
      <w:r>
        <w:rPr>
          <w:rFonts w:ascii="Arial" w:cs="Arial" w:eastAsia="Arial" w:hAnsi="Arial"/>
          <w:sz w:val="18"/>
          <w:szCs w:val="18"/>
          <w:color w:val="auto"/>
        </w:rPr>
        <w:t>This proxy statement and our 2016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report to stockholders, which consists of our Annual Report on Form 10-K for the fiscal year ended December 31, 2016, are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These documents are also available to any stockholder who wishes to receive a paper copy by calling 1-800-579-1639, by emailing sendmaterial@proxyvote.com or by submitting a request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582930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INFORMATION CONCERNING SOLICITATION AND VOTING</w:t>
        </w:r>
      </w:hyperlink>
    </w:p>
    <w:p>
      <w:pPr>
        <w:spacing w:after="0" w:line="117" w:lineRule="exact"/>
        <w:rPr>
          <w:sz w:val="20"/>
          <w:szCs w:val="20"/>
          <w:color w:val="auto"/>
        </w:rPr>
      </w:pPr>
    </w:p>
    <w:p>
      <w:pPr>
        <w:ind w:right="1960"/>
        <w:spacing w:after="0" w:line="37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IMPORTANT INFORMATION ABOUT THE ANNUAL MEETING AND VOTING</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PROPOSAL 1 ELECTION OF DIRECTORS</w:t>
        </w:r>
      </w:hyperlink>
    </w:p>
    <w:p>
      <w:pPr>
        <w:spacing w:after="0" w:line="1" w:lineRule="exact"/>
        <w:rPr>
          <w:sz w:val="20"/>
          <w:szCs w:val="20"/>
          <w:color w:val="auto"/>
        </w:rPr>
      </w:pPr>
    </w:p>
    <w:p>
      <w:pPr>
        <w:ind w:left="1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Information Regarding Directors</w:t>
        </w:r>
      </w:hyperlink>
    </w:p>
    <w:p>
      <w:pPr>
        <w:spacing w:after="0" w:line="117" w:lineRule="exact"/>
        <w:rPr>
          <w:sz w:val="20"/>
          <w:szCs w:val="20"/>
          <w:color w:val="auto"/>
        </w:rPr>
      </w:pPr>
    </w:p>
    <w:p>
      <w:pPr>
        <w:ind w:left="400" w:right="40"/>
        <w:spacing w:after="0" w:line="375" w:lineRule="auto"/>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Class II Director Nominees—For a Three-Year Term Expiring at the 2020 Annual Meeting of Stockholders</w:t>
        </w:r>
      </w:hyperlink>
      <w:r>
        <w:rPr>
          <w:rFonts w:ascii="Arial" w:cs="Arial" w:eastAsia="Arial" w:hAnsi="Arial"/>
          <w:sz w:val="18"/>
          <w:szCs w:val="18"/>
          <w:u w:val="single" w:color="auto"/>
          <w:color w:val="0000EE"/>
        </w:rPr>
        <w:t xml:space="preserve"> </w:t>
      </w:r>
      <w:hyperlink w:anchor="page11">
        <w:r>
          <w:rPr>
            <w:rFonts w:ascii="Arial" w:cs="Arial" w:eastAsia="Arial" w:hAnsi="Arial"/>
            <w:sz w:val="18"/>
            <w:szCs w:val="18"/>
            <w:u w:val="single" w:color="auto"/>
            <w:color w:val="0000EE"/>
          </w:rPr>
          <w:t>Class I Directors—Term Expiring at the 2019 Annual Meeting of Stockholders</w:t>
        </w:r>
      </w:hyperlink>
    </w:p>
    <w:p>
      <w:pPr>
        <w:spacing w:after="0" w:line="1" w:lineRule="exact"/>
        <w:rPr>
          <w:sz w:val="20"/>
          <w:szCs w:val="20"/>
          <w:color w:val="auto"/>
        </w:rPr>
      </w:pPr>
    </w:p>
    <w:p>
      <w:pPr>
        <w:ind w:left="160" w:right="1960" w:firstLine="227"/>
        <w:spacing w:after="0" w:line="375"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Class III Directors—Term Expiring at the 2018 Annual Meeting of Stockholders</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EE"/>
          </w:rPr>
          <w:t>Recommendation of the Board of Directors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GOVERNANCE</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General</w:t>
        </w:r>
      </w:hyperlink>
    </w:p>
    <w:p>
      <w:pPr>
        <w:spacing w:after="0" w:line="117" w:lineRule="exact"/>
        <w:rPr>
          <w:sz w:val="20"/>
          <w:szCs w:val="20"/>
          <w:color w:val="auto"/>
        </w:rPr>
      </w:pPr>
    </w:p>
    <w:p>
      <w:pPr>
        <w:ind w:left="160" w:right="2480"/>
        <w:spacing w:after="0" w:line="375"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Code of Business Conduct and Ethics and Corporate Governance Guidelines</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Board Leadership Structure and Risk Oversight</w:t>
        </w:r>
      </w:hyperlink>
    </w:p>
    <w:p>
      <w:pPr>
        <w:spacing w:after="0" w:line="1" w:lineRule="exact"/>
        <w:rPr>
          <w:sz w:val="20"/>
          <w:szCs w:val="20"/>
          <w:color w:val="auto"/>
        </w:rPr>
      </w:pPr>
    </w:p>
    <w:p>
      <w:pPr>
        <w:ind w:left="40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Board Leadership Structure</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Oversight</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Determination of Independence</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of Director Meetings and Attendance</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Communicating with the Board of Directors</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Committees of the Board of Directors</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Audit Committee</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Compensation Committee</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Nominating and Corporate Governance Committee</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Research and Development Committee</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Director Nomination Process</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Criteria and Diversity</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Stockholder Nominations</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Compensation Committee Interlocks and Insider Participation</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EXECUTIVE OFFICERS</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Compensation</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Summary Compensation Table</w:t>
        </w:r>
      </w:hyperlink>
    </w:p>
    <w:p>
      <w:pPr>
        <w:spacing w:after="0" w:line="117" w:lineRule="exact"/>
        <w:rPr>
          <w:sz w:val="20"/>
          <w:szCs w:val="20"/>
          <w:color w:val="auto"/>
        </w:rPr>
      </w:pPr>
    </w:p>
    <w:p>
      <w:pPr>
        <w:ind w:left="160" w:right="3500" w:firstLine="243"/>
        <w:spacing w:after="0" w:line="375"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Narrative Disclosure to Summary Compensation Table</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Outstanding Equity Awards at December 31, 2016</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Employment, Severance and Change in Control Arrangements</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Other Agreements</w:t>
        </w:r>
      </w:hyperlink>
    </w:p>
    <w:p>
      <w:pPr>
        <w:spacing w:after="0" w:line="3" w:lineRule="exact"/>
        <w:rPr>
          <w:rFonts w:ascii="Arial" w:cs="Arial" w:eastAsia="Arial" w:hAnsi="Arial"/>
          <w:sz w:val="18"/>
          <w:szCs w:val="18"/>
          <w:u w:val="single" w:color="auto"/>
          <w:color w:val="0000EE"/>
        </w:rPr>
      </w:pPr>
    </w:p>
    <w:p>
      <w:pPr>
        <w:ind w:left="1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Limitation of Liability and Indemnification</w:t>
        </w:r>
      </w:hyperlink>
    </w:p>
    <w:p>
      <w:pPr>
        <w:spacing w:after="0" w:line="117"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DIRECTOR COMPENSATION</w:t>
        </w:r>
      </w:hyperlink>
    </w:p>
    <w:p>
      <w:pPr>
        <w:spacing w:after="0" w:line="117"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SECURITIES AUTHORIZED FOR ISSUANCE UNDER EQUITY COMPENSATION PLANS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65" w:lineRule="exact"/>
        <w:rPr>
          <w:rFonts w:ascii="Arial" w:cs="Arial" w:eastAsia="Arial" w:hAnsi="Arial"/>
          <w:sz w:val="18"/>
          <w:szCs w:val="18"/>
          <w:u w:val="single" w:color="auto"/>
          <w:color w:val="0000EE"/>
        </w:rPr>
      </w:pPr>
    </w:p>
    <w:p>
      <w:pPr>
        <w:jc w:val="center"/>
        <w:ind w:left="90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8</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9</w:t>
      </w:r>
    </w:p>
    <w:p>
      <w:pPr>
        <w:spacing w:after="0" w:line="11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10</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10</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10</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10</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10</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10</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11</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11</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11</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12</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12</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12</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13</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13</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13</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13</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14</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14</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15</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17</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17</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17</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19</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20</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21</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21</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22</w:t>
      </w:r>
    </w:p>
    <w:p>
      <w:pPr>
        <w:spacing w:after="0" w:line="140"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24</w:t>
      </w:r>
    </w:p>
    <w:p>
      <w:pPr>
        <w:sectPr>
          <w:pgSz w:w="11900" w:h="16838" w:orient="portrait"/>
          <w:cols w:equalWidth="0" w:num="2">
            <w:col w:w="8160" w:space="720"/>
            <w:col w:w="180"/>
          </w:cols>
          <w:pgMar w:left="1420" w:top="125" w:right="1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REPORT OF THE AUDIT COMMITTEE OF THE BOARD OF DIRECTORS</w:t>
        </w:r>
      </w:hyperlink>
    </w:p>
    <w:p>
      <w:pPr>
        <w:spacing w:after="0" w:line="117" w:lineRule="exact"/>
        <w:rPr>
          <w:sz w:val="20"/>
          <w:szCs w:val="20"/>
          <w:color w:val="auto"/>
        </w:rPr>
      </w:pPr>
    </w:p>
    <w:p>
      <w:pPr>
        <w:ind w:right="300"/>
        <w:spacing w:after="0" w:line="277"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PROPOSAL 2 RATIFICATION OF THE APPOINTMENT OF INDEPENDENT REGISTERED PUBLIC</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ACCOUNTING FIRM</w:t>
        </w:r>
      </w:hyperlink>
    </w:p>
    <w:p>
      <w:pPr>
        <w:spacing w:after="0" w:line="62" w:lineRule="exact"/>
        <w:rPr>
          <w:sz w:val="20"/>
          <w:szCs w:val="20"/>
          <w:color w:val="auto"/>
        </w:rPr>
      </w:pPr>
    </w:p>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Audit Fees and Services</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Pre-Approval Policies and Procedures</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Recommendation of the Board of Directors</w:t>
        </w:r>
      </w:hyperlink>
    </w:p>
    <w:p>
      <w:pPr>
        <w:spacing w:after="0" w:line="117" w:lineRule="exact"/>
        <w:rPr>
          <w:sz w:val="20"/>
          <w:szCs w:val="20"/>
          <w:color w:val="auto"/>
        </w:rPr>
      </w:pPr>
    </w:p>
    <w:p>
      <w:pPr>
        <w:ind w:left="160" w:right="2560" w:hanging="161"/>
        <w:spacing w:after="0" w:line="397" w:lineRule="auto"/>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CERTAIN RELATIONSHIPS AND RELATED PERSON TRANSACTIONS</w:t>
        </w:r>
      </w:hyperlink>
      <w:r>
        <w:rPr>
          <w:rFonts w:ascii="Arial" w:cs="Arial" w:eastAsia="Arial" w:hAnsi="Arial"/>
          <w:sz w:val="17"/>
          <w:szCs w:val="17"/>
          <w:u w:val="single" w:color="auto"/>
          <w:color w:val="0000EE"/>
        </w:rPr>
        <w:t xml:space="preserve"> </w:t>
      </w:r>
      <w:hyperlink w:anchor="page32">
        <w:r>
          <w:rPr>
            <w:rFonts w:ascii="Arial" w:cs="Arial" w:eastAsia="Arial" w:hAnsi="Arial"/>
            <w:sz w:val="17"/>
            <w:szCs w:val="17"/>
            <w:u w:val="single" w:color="auto"/>
            <w:color w:val="0000EE"/>
          </w:rPr>
          <w:t>Policies and Procedures for Related Person Transactions</w:t>
        </w:r>
      </w:hyperlink>
    </w:p>
    <w:p>
      <w:pPr>
        <w:spacing w:after="0" w:line="2" w:lineRule="exact"/>
        <w:rPr>
          <w:sz w:val="20"/>
          <w:szCs w:val="20"/>
          <w:color w:val="auto"/>
        </w:rPr>
      </w:pPr>
    </w:p>
    <w:p>
      <w:pPr>
        <w:ind w:left="1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Related Person Transactions</w:t>
        </w:r>
      </w:hyperlink>
    </w:p>
    <w:p>
      <w:pPr>
        <w:spacing w:after="0" w:line="117" w:lineRule="exact"/>
        <w:rPr>
          <w:sz w:val="20"/>
          <w:szCs w:val="20"/>
          <w:color w:val="auto"/>
        </w:rPr>
      </w:pPr>
    </w:p>
    <w:p>
      <w:pPr>
        <w:ind w:left="3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Participation in Follow-On Public Offerings</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STOCK OWNERSHIP AND REPORTING</w:t>
        </w:r>
      </w:hyperlink>
    </w:p>
    <w:p>
      <w:pPr>
        <w:spacing w:after="0" w:line="117" w:lineRule="exact"/>
        <w:rPr>
          <w:sz w:val="20"/>
          <w:szCs w:val="20"/>
          <w:color w:val="auto"/>
        </w:rPr>
      </w:pPr>
    </w:p>
    <w:p>
      <w:pPr>
        <w:ind w:left="160" w:right="3120"/>
        <w:spacing w:after="0" w:line="422" w:lineRule="auto"/>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Security Ownership of Certain Beneficial Owners and Management</w:t>
        </w:r>
      </w:hyperlink>
      <w:r>
        <w:rPr>
          <w:rFonts w:ascii="Arial" w:cs="Arial" w:eastAsia="Arial" w:hAnsi="Arial"/>
          <w:sz w:val="16"/>
          <w:szCs w:val="16"/>
          <w:u w:val="single" w:color="auto"/>
          <w:color w:val="0000EE"/>
        </w:rPr>
        <w:t xml:space="preserve"> </w:t>
      </w:r>
      <w:hyperlink w:anchor="page36">
        <w:r>
          <w:rPr>
            <w:rFonts w:ascii="Arial" w:cs="Arial" w:eastAsia="Arial" w:hAnsi="Arial"/>
            <w:sz w:val="16"/>
            <w:szCs w:val="16"/>
            <w:u w:val="single" w:color="auto"/>
            <w:color w:val="0000EE"/>
          </w:rPr>
          <w:t>Section 16(a) Beneficial Ownership Reporting Compliance</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OTHER MATTERS</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Stockholder Proposals for our 2018 Annual Meeting</w:t>
        </w:r>
      </w:hyperlink>
    </w:p>
    <w:p>
      <w:pPr>
        <w:spacing w:after="0" w:line="117" w:lineRule="exact"/>
        <w:rPr>
          <w:sz w:val="20"/>
          <w:szCs w:val="20"/>
          <w:color w:val="auto"/>
        </w:rPr>
      </w:pPr>
    </w:p>
    <w:p>
      <w:pPr>
        <w:ind w:left="3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Stockholder Proposals Included in Proxy Statement</w:t>
        </w:r>
      </w:hyperlink>
    </w:p>
    <w:p>
      <w:pPr>
        <w:spacing w:after="0" w:line="117" w:lineRule="exact"/>
        <w:rPr>
          <w:sz w:val="20"/>
          <w:szCs w:val="20"/>
          <w:color w:val="auto"/>
        </w:rPr>
      </w:pPr>
    </w:p>
    <w:p>
      <w:pPr>
        <w:ind w:left="3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Stockholder Proposals Not Included in Proxy Statement</w:t>
        </w:r>
      </w:hyperlink>
    </w:p>
    <w:p>
      <w:pPr>
        <w:spacing w:after="0" w:line="117" w:lineRule="exact"/>
        <w:rPr>
          <w:sz w:val="20"/>
          <w:szCs w:val="20"/>
          <w:color w:val="auto"/>
        </w:rPr>
      </w:pPr>
    </w:p>
    <w:p>
      <w:pPr>
        <w:ind w:left="1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Householding of Annual Meeting Materials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9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ectPr>
          <w:pgSz w:w="11900" w:h="16838" w:orient="portrait"/>
          <w:cols w:equalWidth="0" w:num="2">
            <w:col w:w="8160" w:space="720"/>
            <w:col w:w="180"/>
          </w:cols>
          <w:pgMar w:left="1420" w:top="125" w:right="14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358140</wp:posOffset>
            </wp:positionV>
            <wp:extent cx="170688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068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ind w:left="4400" w:hanging="428"/>
        <w:spacing w:after="0"/>
        <w:tabs>
          <w:tab w:leader="none" w:pos="4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374-7580</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3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-273685</wp:posOffset>
            </wp:positionV>
            <wp:extent cx="1431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163195</wp:posOffset>
            </wp:positionV>
            <wp:extent cx="14319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151765</wp:posOffset>
            </wp:positionV>
            <wp:extent cx="1431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proxy statement and the enclosed proxy card are being furnished in connection with the solicitation of proxies by the board of directors of Blueprint Medicines Corporation for use at the annual meeting of stockholders to be held on Tuesday, June 20, 2017 at 3:00 p.m., Eastern Daylight Time, at our offices located at 38 Sidney Street, Suite 200, Cambridge, Massachusetts 02139, and at any adjournment thereof.</w:t>
      </w:r>
    </w:p>
    <w:p>
      <w:pPr>
        <w:spacing w:after="0" w:line="7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Unless otherwise stated, all references to “us,” “our,” “Blueprint,” “Blueprint Medicines,” “we,” the “Company” and similar designations refer to Blueprint Medicines Corporation and its consolidated subsidiary, Blueprint Medicines Security Corporation.</w:t>
      </w:r>
    </w:p>
    <w:p>
      <w:pPr>
        <w:spacing w:after="0" w:line="7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2016 annual report to stockholders available to stockholders for the first time on or about April 28, 2017.</w:t>
      </w:r>
    </w:p>
    <w:p>
      <w:pPr>
        <w:spacing w:after="0" w:line="42"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 xml:space="preserve">A copy of our Annual Report on Form 10-K for the fiscal year ended December 31, 2016, as filed with the Securities and Exchange Commission, or SEC, except for exhibits, will be furnished without charge to any stockholder upon written or oral request to Blueprint Medicines Corporation, 38 Sidney Street, Suite 200, Cambridge, Massachusetts 02139 or by calling 1-800-579-1639, by emailing </w:t>
      </w:r>
      <w:r>
        <w:rPr>
          <w:rFonts w:ascii="Arial" w:cs="Arial" w:eastAsia="Arial" w:hAnsi="Arial"/>
          <w:sz w:val="16"/>
          <w:szCs w:val="16"/>
          <w:b w:val="1"/>
          <w:bCs w:val="1"/>
          <w:i w:val="1"/>
          <w:iCs w:val="1"/>
          <w:color w:val="auto"/>
        </w:rPr>
        <w:t>sendmaterial@proxyvote.com</w:t>
      </w:r>
      <w:r>
        <w:rPr>
          <w:rFonts w:ascii="Arial" w:cs="Arial" w:eastAsia="Arial" w:hAnsi="Arial"/>
          <w:sz w:val="16"/>
          <w:szCs w:val="16"/>
          <w:b w:val="1"/>
          <w:bCs w:val="1"/>
          <w:color w:val="auto"/>
        </w:rPr>
        <w:t xml:space="preserve"> or by submitting a request over the Internet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This proxy statement and our Annual Report on Form 10-K for the fiscal year ended December 31, 2016 are also available on the SEC’s website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and the “Investors —SEC Filings” section of our website, which is located at </w:t>
      </w:r>
      <w:r>
        <w:rPr>
          <w:rFonts w:ascii="Arial" w:cs="Arial" w:eastAsia="Arial" w:hAnsi="Arial"/>
          <w:sz w:val="16"/>
          <w:szCs w:val="16"/>
          <w:b w:val="1"/>
          <w:bCs w:val="1"/>
          <w:i w:val="1"/>
          <w:iCs w:val="1"/>
          <w:color w:val="auto"/>
        </w:rPr>
        <w:t>www.blueprintmedicines.com</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45720</wp:posOffset>
            </wp:positionV>
            <wp:extent cx="1431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 which means the market value of our common stock that is held by non-affiliates exceeds $700 million as of the prior June 30</w:t>
      </w:r>
      <w:r>
        <w:rPr>
          <w:rFonts w:ascii="Arial" w:cs="Arial" w:eastAsia="Arial" w:hAnsi="Arial"/>
          <w:sz w:val="7"/>
          <w:szCs w:val="7"/>
          <w:color w:val="auto"/>
        </w:rPr>
        <w:t>th</w:t>
      </w:r>
      <w:r>
        <w:rPr>
          <w:rFonts w:ascii="Arial" w:cs="Arial" w:eastAsia="Arial" w:hAnsi="Arial"/>
          <w:sz w:val="16"/>
          <w:szCs w:val="16"/>
          <w:color w:val="auto"/>
        </w:rPr>
        <w: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In addition, as an emerging growth company, we are not required to conduct votes seeking approval, on an advisory basis, of the compensation of our named executive officers or the frequency with which such votes must be conducted. We have taken advantage of certain reduced reporting obligations in this proxy statement. Accordingly, the information contained herein may be different than the information you receive from other public companies in which you hold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131" w:lineRule="exact"/>
        <w:rPr>
          <w:sz w:val="20"/>
          <w:szCs w:val="20"/>
          <w:color w:val="auto"/>
        </w:rPr>
      </w:pPr>
    </w:p>
    <w:p>
      <w:pPr>
        <w:ind w:left="640" w:hanging="520"/>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these proxy materials?</w:t>
      </w:r>
    </w:p>
    <w:p>
      <w:pPr>
        <w:spacing w:after="0" w:line="121" w:lineRule="exact"/>
        <w:rPr>
          <w:rFonts w:ascii="Arial" w:cs="Arial" w:eastAsia="Arial" w:hAnsi="Arial"/>
          <w:sz w:val="18"/>
          <w:szCs w:val="18"/>
          <w:b w:val="1"/>
          <w:bCs w:val="1"/>
          <w:color w:val="auto"/>
        </w:rPr>
      </w:pPr>
    </w:p>
    <w:p>
      <w:pPr>
        <w:ind w:left="640" w:right="139" w:hanging="520"/>
        <w:spacing w:after="0" w:line="293"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board of directors has made these materials available to you on the Internet in connection with the solicitation of proxies for use at our 2017 annual meeting of stockholders to be held at our offices located at 38 Sidney Street, Suite 200, Cambridge, Massachusetts 02139, on Tuesday, June 20, 2017 at 3:00 p.m., Eastern Daylight Time. As a holder of common stock, you are invited to attend the annual meeting and are requested to vote on the items of business described in this proxy statement. This proxy statement includes information that we are required to provide to you under SEC rules and that is designed to assist you in voting your shares.</w:t>
      </w:r>
    </w:p>
    <w:p>
      <w:pPr>
        <w:spacing w:after="0" w:line="52" w:lineRule="exact"/>
        <w:rPr>
          <w:rFonts w:ascii="Arial" w:cs="Arial" w:eastAsia="Arial" w:hAnsi="Arial"/>
          <w:sz w:val="16"/>
          <w:szCs w:val="16"/>
          <w:color w:val="auto"/>
        </w:rPr>
      </w:pPr>
    </w:p>
    <w:p>
      <w:pPr>
        <w:ind w:left="640" w:right="179" w:hanging="520"/>
        <w:spacing w:after="0" w:line="282" w:lineRule="auto"/>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7" w:lineRule="exact"/>
        <w:rPr>
          <w:rFonts w:ascii="Arial" w:cs="Arial" w:eastAsia="Arial" w:hAnsi="Arial"/>
          <w:sz w:val="18"/>
          <w:szCs w:val="18"/>
          <w:b w:val="1"/>
          <w:bCs w:val="1"/>
          <w:color w:val="auto"/>
        </w:rPr>
      </w:pPr>
    </w:p>
    <w:p>
      <w:pPr>
        <w:ind w:left="640" w:right="219" w:hanging="520"/>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spacing w:after="0" w:line="74" w:lineRule="exact"/>
        <w:rPr>
          <w:rFonts w:ascii="Arial" w:cs="Arial" w:eastAsia="Arial" w:hAnsi="Arial"/>
          <w:sz w:val="18"/>
          <w:szCs w:val="18"/>
          <w:color w:val="auto"/>
        </w:rPr>
      </w:pPr>
    </w:p>
    <w:p>
      <w:pPr>
        <w:ind w:left="640" w:hanging="520"/>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121" w:lineRule="exact"/>
        <w:rPr>
          <w:rFonts w:ascii="Arial" w:cs="Arial" w:eastAsia="Arial" w:hAnsi="Arial"/>
          <w:sz w:val="18"/>
          <w:szCs w:val="18"/>
          <w:b w:val="1"/>
          <w:bCs w:val="1"/>
          <w:color w:val="auto"/>
        </w:rPr>
      </w:pPr>
    </w:p>
    <w:p>
      <w:pPr>
        <w:ind w:left="640" w:hanging="520"/>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annual meeting, stockholders will consider and vote on the following matters:</w:t>
      </w:r>
    </w:p>
    <w:p>
      <w:pPr>
        <w:spacing w:after="0" w:line="117" w:lineRule="exact"/>
        <w:rPr>
          <w:rFonts w:ascii="Arial" w:cs="Arial" w:eastAsia="Arial" w:hAnsi="Arial"/>
          <w:sz w:val="18"/>
          <w:szCs w:val="18"/>
          <w:color w:val="auto"/>
        </w:rPr>
      </w:pPr>
    </w:p>
    <w:p>
      <w:pPr>
        <w:jc w:val="both"/>
        <w:ind w:left="1300" w:right="159" w:hanging="329"/>
        <w:spacing w:after="0" w:line="264"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election of three Class II directors nominated by our board of directors, each to serve for a three-year term expiring at the 2020 annual meeting of stockholders or until his successor has been duly elected and qualified (Proposal 1);</w:t>
      </w:r>
    </w:p>
    <w:p>
      <w:pPr>
        <w:spacing w:after="0" w:line="73" w:lineRule="exact"/>
        <w:rPr>
          <w:rFonts w:ascii="Arial" w:cs="Arial" w:eastAsia="Arial" w:hAnsi="Arial"/>
          <w:sz w:val="18"/>
          <w:szCs w:val="18"/>
          <w:color w:val="auto"/>
        </w:rPr>
      </w:pPr>
    </w:p>
    <w:p>
      <w:pPr>
        <w:ind w:left="1300" w:right="899" w:hanging="329"/>
        <w:spacing w:after="0" w:line="308" w:lineRule="auto"/>
        <w:tabs>
          <w:tab w:leader="none" w:pos="1288"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ratification of the appointment of Ernst &amp; Young LLP as our independent registered public accounting firm for the fiscal year ended December 31, 2017 (Proposal 2); and</w:t>
      </w:r>
    </w:p>
    <w:p>
      <w:pPr>
        <w:spacing w:after="0" w:line="38" w:lineRule="exact"/>
        <w:rPr>
          <w:rFonts w:ascii="Arial" w:cs="Arial" w:eastAsia="Arial" w:hAnsi="Arial"/>
          <w:sz w:val="17"/>
          <w:szCs w:val="17"/>
          <w:color w:val="auto"/>
        </w:rPr>
      </w:pPr>
    </w:p>
    <w:p>
      <w:pPr>
        <w:ind w:left="1300" w:right="899" w:hanging="329"/>
        <w:spacing w:after="0" w:line="277"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transaction of any other business that may properly come before the annual meeting or any adjournment or postponement thereof.</w:t>
      </w:r>
    </w:p>
    <w:p>
      <w:pPr>
        <w:spacing w:after="0" w:line="58" w:lineRule="exact"/>
        <w:rPr>
          <w:rFonts w:ascii="Arial" w:cs="Arial" w:eastAsia="Arial" w:hAnsi="Arial"/>
          <w:sz w:val="18"/>
          <w:szCs w:val="18"/>
          <w:color w:val="auto"/>
        </w:rPr>
      </w:pPr>
    </w:p>
    <w:p>
      <w:pPr>
        <w:ind w:left="640" w:hanging="520"/>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annual meeting?</w:t>
      </w:r>
    </w:p>
    <w:p>
      <w:pPr>
        <w:spacing w:after="0" w:line="121" w:lineRule="exact"/>
        <w:rPr>
          <w:rFonts w:ascii="Arial" w:cs="Arial" w:eastAsia="Arial" w:hAnsi="Arial"/>
          <w:sz w:val="18"/>
          <w:szCs w:val="18"/>
          <w:b w:val="1"/>
          <w:bCs w:val="1"/>
          <w:color w:val="auto"/>
        </w:rPr>
      </w:pPr>
    </w:p>
    <w:p>
      <w:pPr>
        <w:ind w:left="640" w:right="299" w:hanging="520"/>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be entitled to vote, you must have been a stockholder of record at the close of business on April 24, 2017, the record date for our annual meeting. As of the record date, there were 39,016,421 shares of our common stock outstanding and entitled to vote at the annual meeting.</w:t>
      </w:r>
    </w:p>
    <w:p>
      <w:pPr>
        <w:spacing w:after="0" w:line="69" w:lineRule="exact"/>
        <w:rPr>
          <w:rFonts w:ascii="Arial" w:cs="Arial" w:eastAsia="Arial" w:hAnsi="Arial"/>
          <w:sz w:val="18"/>
          <w:szCs w:val="18"/>
          <w:color w:val="auto"/>
        </w:rPr>
      </w:pPr>
    </w:p>
    <w:p>
      <w:pPr>
        <w:ind w:left="640" w:hanging="52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21" w:lineRule="exact"/>
        <w:rPr>
          <w:rFonts w:ascii="Arial" w:cs="Arial" w:eastAsia="Arial" w:hAnsi="Arial"/>
          <w:sz w:val="18"/>
          <w:szCs w:val="18"/>
          <w:b w:val="1"/>
          <w:bCs w:val="1"/>
          <w:color w:val="auto"/>
        </w:rPr>
      </w:pPr>
    </w:p>
    <w:p>
      <w:pPr>
        <w:ind w:left="640" w:right="459" w:hanging="520"/>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share of our common stock that you own as of the record date will entitle you to one vote on each matter considered at the annual meeting.</w:t>
      </w:r>
    </w:p>
    <w:p>
      <w:pPr>
        <w:spacing w:after="0" w:line="58" w:lineRule="exact"/>
        <w:rPr>
          <w:rFonts w:ascii="Arial" w:cs="Arial" w:eastAsia="Arial" w:hAnsi="Arial"/>
          <w:sz w:val="18"/>
          <w:szCs w:val="18"/>
          <w:color w:val="auto"/>
        </w:rPr>
      </w:pPr>
    </w:p>
    <w:p>
      <w:pPr>
        <w:ind w:left="640" w:hanging="520"/>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17" w:lineRule="exact"/>
        <w:rPr>
          <w:rFonts w:ascii="Arial" w:cs="Arial" w:eastAsia="Arial" w:hAnsi="Arial"/>
          <w:sz w:val="18"/>
          <w:szCs w:val="18"/>
          <w:b w:val="1"/>
          <w:bCs w:val="1"/>
          <w:color w:val="auto"/>
        </w:rPr>
      </w:pPr>
    </w:p>
    <w:p>
      <w:pPr>
        <w:ind w:left="640" w:right="179" w:hanging="520"/>
        <w:spacing w:after="0" w:line="289"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If you are the “record holder” of your shares, </w:t>
      </w:r>
      <w:r>
        <w:rPr>
          <w:rFonts w:ascii="Arial" w:cs="Arial" w:eastAsia="Arial" w:hAnsi="Arial"/>
          <w:sz w:val="17"/>
          <w:szCs w:val="17"/>
          <w:color w:val="auto"/>
        </w:rPr>
        <w:t>meaning that your shares are registered in your name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of our transfer agent, Computershare Trust Company, N.A., and not in the name of a bank, brokerage firm or other nominee, you may vote your shares at the meeting in person or by proxy as follows:</w:t>
      </w:r>
    </w:p>
    <w:p>
      <w:pPr>
        <w:spacing w:after="0" w:line="50" w:lineRule="exact"/>
        <w:rPr>
          <w:sz w:val="20"/>
          <w:szCs w:val="20"/>
          <w:color w:val="auto"/>
        </w:rPr>
      </w:pPr>
    </w:p>
    <w:p>
      <w:pPr>
        <w:ind w:left="1280" w:right="119" w:hanging="323"/>
        <w:spacing w:after="0" w:line="295" w:lineRule="auto"/>
        <w:tabs>
          <w:tab w:leader="none" w:pos="1260" w:val="left"/>
        </w:tabs>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xml:space="preserve">Over the Internet: </w:t>
      </w:r>
      <w:r>
        <w:rPr>
          <w:rFonts w:ascii="Arial" w:cs="Arial" w:eastAsia="Arial" w:hAnsi="Arial"/>
          <w:sz w:val="16"/>
          <w:szCs w:val="16"/>
          <w:color w:val="auto"/>
        </w:rPr>
        <w:t>To vote over the Internet, please go to the following website: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and follow the instructions on that website for 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19, 2017, the day before the annual meeting, for your proxy to be valid and your vote to count.</w:t>
      </w:r>
    </w:p>
    <w:p>
      <w:pPr>
        <w:spacing w:after="0" w:line="48" w:lineRule="exact"/>
        <w:rPr>
          <w:sz w:val="20"/>
          <w:szCs w:val="20"/>
          <w:color w:val="auto"/>
        </w:rPr>
      </w:pPr>
    </w:p>
    <w:p>
      <w:pPr>
        <w:ind w:left="1300" w:right="119" w:hanging="329"/>
        <w:spacing w:after="0" w:line="274" w:lineRule="auto"/>
        <w:tabs>
          <w:tab w:leader="none" w:pos="1291"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To vote by telephone, please call 1-800-579-1639, and follow the instructions provided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proxy 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19, 2017, the day before the annual meeting, for your proxy to be valid and your vote to count.</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460" w:right="159" w:hanging="327"/>
        <w:spacing w:after="0" w:line="295" w:lineRule="auto"/>
        <w:tabs>
          <w:tab w:leader="none" w:pos="1451"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To vote by mail, you must mark, sign and date the proxy card and then mail the proxy card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instructions on the proxy card. If you vote by mail, you do not need to vote over the Internet or by telephone. Broadridge Financial Solutions, Inc. must receive the proxy card not later than June 19, 2017, the day before the annual meeting, for your proxy to be valid and your vote to count. If you return your proxy card but do not specify how you want your shares voted on any particular matter, they will be voted in accordance with the recommendations of our board of directors.</w:t>
      </w:r>
    </w:p>
    <w:p>
      <w:pPr>
        <w:spacing w:after="0" w:line="47" w:lineRule="exact"/>
        <w:rPr>
          <w:rFonts w:ascii="Arial" w:cs="Arial" w:eastAsia="Arial" w:hAnsi="Arial"/>
          <w:sz w:val="16"/>
          <w:szCs w:val="16"/>
          <w:color w:val="auto"/>
        </w:rPr>
      </w:pPr>
    </w:p>
    <w:p>
      <w:pPr>
        <w:jc w:val="both"/>
        <w:ind w:left="1460" w:right="359" w:hanging="327"/>
        <w:spacing w:after="0" w:line="347" w:lineRule="auto"/>
        <w:tabs>
          <w:tab w:leader="none" w:pos="1451"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In Person at the Meeting: </w:t>
      </w:r>
      <w:r>
        <w:rPr>
          <w:rFonts w:ascii="Arial" w:cs="Arial" w:eastAsia="Arial" w:hAnsi="Arial"/>
          <w:sz w:val="16"/>
          <w:szCs w:val="16"/>
          <w:color w:val="auto"/>
        </w:rPr>
        <w:t>If you attend the annual meeting, you may deliver your completed proxy</w:t>
      </w:r>
      <w:r>
        <w:rPr>
          <w:rFonts w:ascii="Arial" w:cs="Arial" w:eastAsia="Arial" w:hAnsi="Arial"/>
          <w:sz w:val="16"/>
          <w:szCs w:val="16"/>
          <w:b w:val="1"/>
          <w:bCs w:val="1"/>
          <w:color w:val="auto"/>
        </w:rPr>
        <w:t xml:space="preserve"> </w:t>
      </w:r>
      <w:r>
        <w:rPr>
          <w:rFonts w:ascii="Arial" w:cs="Arial" w:eastAsia="Arial" w:hAnsi="Arial"/>
          <w:sz w:val="16"/>
          <w:szCs w:val="16"/>
          <w:color w:val="auto"/>
        </w:rPr>
        <w:t>card in person or you may vote by completing a ballot, which we will provide to you at the meeting.</w:t>
      </w:r>
    </w:p>
    <w:p>
      <w:pPr>
        <w:spacing w:after="0" w:line="8" w:lineRule="exact"/>
        <w:rPr>
          <w:sz w:val="20"/>
          <w:szCs w:val="20"/>
          <w:color w:val="auto"/>
        </w:rPr>
      </w:pPr>
    </w:p>
    <w:p>
      <w:pPr>
        <w:ind w:left="800" w:right="139"/>
        <w:spacing w:after="0" w:line="272" w:lineRule="auto"/>
        <w:rPr>
          <w:sz w:val="20"/>
          <w:szCs w:val="20"/>
          <w:color w:val="auto"/>
        </w:rPr>
      </w:pPr>
      <w:r>
        <w:rPr>
          <w:rFonts w:ascii="Arial" w:cs="Arial" w:eastAsia="Arial" w:hAnsi="Arial"/>
          <w:sz w:val="17"/>
          <w:szCs w:val="17"/>
          <w:b w:val="1"/>
          <w:bCs w:val="1"/>
          <w:color w:val="auto"/>
        </w:rPr>
        <w:t xml:space="preserve">If your shares are held in “street name,” </w:t>
      </w:r>
      <w:r>
        <w:rPr>
          <w:rFonts w:ascii="Arial" w:cs="Arial" w:eastAsia="Arial" w:hAnsi="Arial"/>
          <w:sz w:val="17"/>
          <w:szCs w:val="17"/>
          <w:color w:val="auto"/>
        </w:rPr>
        <w:t>meaning they are held for your account by an intermediary, such as a</w:t>
      </w:r>
      <w:r>
        <w:rPr>
          <w:rFonts w:ascii="Arial" w:cs="Arial" w:eastAsia="Arial" w:hAnsi="Arial"/>
          <w:sz w:val="17"/>
          <w:szCs w:val="17"/>
          <w:b w:val="1"/>
          <w:bCs w:val="1"/>
          <w:color w:val="auto"/>
        </w:rPr>
        <w:t xml:space="preserve"> </w:t>
      </w:r>
      <w:r>
        <w:rPr>
          <w:rFonts w:ascii="Arial" w:cs="Arial" w:eastAsia="Arial" w:hAnsi="Arial"/>
          <w:sz w:val="17"/>
          <w:szCs w:val="17"/>
          <w:color w:val="auto"/>
        </w:rPr>
        <w:t>bank, brokerage 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spacing w:after="0" w:line="68" w:lineRule="exact"/>
        <w:rPr>
          <w:sz w:val="20"/>
          <w:szCs w:val="20"/>
          <w:color w:val="auto"/>
        </w:rPr>
      </w:pPr>
    </w:p>
    <w:p>
      <w:pPr>
        <w:ind w:left="800" w:right="139"/>
        <w:spacing w:after="0" w:line="257" w:lineRule="auto"/>
        <w:rPr>
          <w:sz w:val="20"/>
          <w:szCs w:val="20"/>
          <w:color w:val="auto"/>
        </w:rPr>
      </w:pPr>
      <w:r>
        <w:rPr>
          <w:rFonts w:ascii="Arial" w:cs="Arial" w:eastAsia="Arial" w:hAnsi="Arial"/>
          <w:sz w:val="18"/>
          <w:szCs w:val="18"/>
          <w:color w:val="auto"/>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2) is considered a discretionary item. Accordingly, your bank, brokerage firm or other nominee may vote your shares in its discretion with respect to that matter even if you do not give voting instructions on Proposal 2.</w:t>
      </w:r>
    </w:p>
    <w:p>
      <w:pPr>
        <w:spacing w:after="0" w:line="80" w:lineRule="exact"/>
        <w:rPr>
          <w:sz w:val="20"/>
          <w:szCs w:val="20"/>
          <w:color w:val="auto"/>
        </w:rPr>
      </w:pPr>
    </w:p>
    <w:p>
      <w:pPr>
        <w:ind w:left="800" w:right="179"/>
        <w:spacing w:after="0" w:line="271" w:lineRule="auto"/>
        <w:rPr>
          <w:sz w:val="20"/>
          <w:szCs w:val="20"/>
          <w:color w:val="auto"/>
        </w:rPr>
      </w:pPr>
      <w:r>
        <w:rPr>
          <w:rFonts w:ascii="Arial" w:cs="Arial" w:eastAsia="Arial" w:hAnsi="Arial"/>
          <w:sz w:val="17"/>
          <w:szCs w:val="17"/>
          <w:color w:val="auto"/>
        </w:rPr>
        <w:t>However, under applicable stock exchange rules that regulate voting by registered banks, brokerage firms or other nominees, the election of our nominees to serve as Class II directors (Proposal 1) is not considered to be a discretionary item. Accordingly, if you do not give your bank, brokerage firm or other nominee voting instructions on Proposal 1, they may not vote your shares with respect to this matter and your shares will be counted as “broker non-votes” with respect to the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spacing w:after="0" w:line="67" w:lineRule="exact"/>
        <w:rPr>
          <w:sz w:val="20"/>
          <w:szCs w:val="20"/>
          <w:color w:val="auto"/>
        </w:rPr>
      </w:pPr>
    </w:p>
    <w:p>
      <w:pPr>
        <w:ind w:left="800" w:right="99"/>
        <w:spacing w:after="0" w:line="295" w:lineRule="auto"/>
        <w:rPr>
          <w:sz w:val="20"/>
          <w:szCs w:val="20"/>
          <w:color w:val="auto"/>
        </w:rPr>
      </w:pPr>
      <w:r>
        <w:rPr>
          <w:rFonts w:ascii="Arial" w:cs="Arial" w:eastAsia="Arial" w:hAnsi="Arial"/>
          <w:sz w:val="16"/>
          <w:szCs w:val="16"/>
          <w:b w:val="1"/>
          <w:bCs w:val="1"/>
          <w:color w:val="auto"/>
        </w:rPr>
        <w:t xml:space="preserve">Regardless of whether your shares are held in street name, you are welcome to attend the meeting. You may not vote shares held in street name in person at the meeting, however, unless you obtain a legal proxy, executed in your favor, from the holder of record (i.e., your bank, brokerage firm or other nominee). A legal proxy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the form of proxy included with this proxy statement. You will not be able to vote shares you hold in street name in person at the annual meeting unless you have a legal proxy from your bank, brokerage firm or other nominee issued in your name giving you the right to vote your shares.</w:t>
      </w:r>
    </w:p>
    <w:p>
      <w:pPr>
        <w:spacing w:after="0" w:line="48" w:lineRule="exact"/>
        <w:rPr>
          <w:sz w:val="20"/>
          <w:szCs w:val="20"/>
          <w:color w:val="auto"/>
        </w:rPr>
      </w:pPr>
    </w:p>
    <w:p>
      <w:pPr>
        <w:ind w:left="800" w:hanging="680"/>
        <w:spacing w:after="0"/>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117" w:lineRule="exact"/>
        <w:rPr>
          <w:rFonts w:ascii="Arial" w:cs="Arial" w:eastAsia="Arial" w:hAnsi="Arial"/>
          <w:sz w:val="18"/>
          <w:szCs w:val="18"/>
          <w:b w:val="1"/>
          <w:bCs w:val="1"/>
          <w:color w:val="auto"/>
        </w:rPr>
      </w:pPr>
    </w:p>
    <w:p>
      <w:pPr>
        <w:ind w:left="800" w:right="199" w:hanging="680"/>
        <w:spacing w:after="0" w:line="313"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If your shares are registered directly in your name, </w:t>
      </w:r>
      <w:r>
        <w:rPr>
          <w:rFonts w:ascii="Arial" w:cs="Arial" w:eastAsia="Arial" w:hAnsi="Arial"/>
          <w:sz w:val="17"/>
          <w:szCs w:val="17"/>
          <w:color w:val="auto"/>
        </w:rPr>
        <w:t>you may revoke your proxy and change your vote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before the vote is taken at the annual meeting. To do so, you must do one of the following:</w:t>
      </w:r>
    </w:p>
    <w:p>
      <w:pPr>
        <w:spacing w:after="0" w:line="34" w:lineRule="exact"/>
        <w:rPr>
          <w:rFonts w:ascii="Arial" w:cs="Arial" w:eastAsia="Arial" w:hAnsi="Arial"/>
          <w:sz w:val="17"/>
          <w:szCs w:val="17"/>
          <w:color w:val="auto"/>
        </w:rPr>
      </w:pPr>
    </w:p>
    <w:p>
      <w:pPr>
        <w:ind w:left="1460" w:right="139" w:hanging="327"/>
        <w:spacing w:after="0" w:line="277" w:lineRule="auto"/>
        <w:tabs>
          <w:tab w:leader="none" w:pos="14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w:t>
      </w:r>
    </w:p>
    <w:p>
      <w:pPr>
        <w:spacing w:after="0" w:line="62" w:lineRule="exact"/>
        <w:rPr>
          <w:rFonts w:ascii="Arial" w:cs="Arial" w:eastAsia="Arial" w:hAnsi="Arial"/>
          <w:sz w:val="18"/>
          <w:szCs w:val="18"/>
          <w:color w:val="auto"/>
        </w:rPr>
      </w:pPr>
    </w:p>
    <w:p>
      <w:pPr>
        <w:ind w:left="1460" w:right="679" w:hanging="327"/>
        <w:spacing w:after="0" w:line="277" w:lineRule="auto"/>
        <w:tabs>
          <w:tab w:leader="none" w:pos="1451" w:val="left"/>
        </w:tabs>
        <w:numPr>
          <w:ilvl w:val="1"/>
          <w:numId w:val="20"/>
        </w:numPr>
        <w:rPr>
          <w:rFonts w:ascii="Arial" w:cs="Arial" w:eastAsia="Arial" w:hAnsi="Arial"/>
          <w:sz w:val="18"/>
          <w:szCs w:val="18"/>
          <w:color w:val="auto"/>
        </w:rPr>
      </w:pPr>
      <w:r>
        <w:rPr>
          <w:rFonts w:ascii="Arial" w:cs="Arial" w:eastAsia="Arial" w:hAnsi="Arial"/>
          <w:sz w:val="18"/>
          <w:szCs w:val="18"/>
          <w:color w:val="auto"/>
        </w:rPr>
        <w:t>Sign and return a new proxy card. Only your latest dated and timely received proxy card will be counted.</w:t>
      </w:r>
    </w:p>
    <w:p>
      <w:pPr>
        <w:spacing w:after="0" w:line="62" w:lineRule="exact"/>
        <w:rPr>
          <w:rFonts w:ascii="Arial" w:cs="Arial" w:eastAsia="Arial" w:hAnsi="Arial"/>
          <w:sz w:val="18"/>
          <w:szCs w:val="18"/>
          <w:color w:val="auto"/>
        </w:rPr>
      </w:pPr>
    </w:p>
    <w:p>
      <w:pPr>
        <w:jc w:val="both"/>
        <w:ind w:left="1460" w:right="339" w:hanging="327"/>
        <w:spacing w:after="0" w:line="264" w:lineRule="auto"/>
        <w:tabs>
          <w:tab w:leader="none" w:pos="14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Attend the annual meeting and vote in person as instructed above. Attending the annual meeting will not alone revoke your Internet vote, telephone vote or proxy card submitted by mail, as the case may be.</w:t>
      </w:r>
    </w:p>
    <w:p>
      <w:pPr>
        <w:spacing w:after="0" w:line="73" w:lineRule="exact"/>
        <w:rPr>
          <w:rFonts w:ascii="Arial" w:cs="Arial" w:eastAsia="Arial" w:hAnsi="Arial"/>
          <w:sz w:val="18"/>
          <w:szCs w:val="18"/>
          <w:color w:val="auto"/>
        </w:rPr>
      </w:pPr>
    </w:p>
    <w:p>
      <w:pPr>
        <w:ind w:left="1440" w:hanging="307"/>
        <w:spacing w:after="0"/>
        <w:tabs>
          <w:tab w:leader="none" w:pos="14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Give our corporate secretary written notice before or at the meeting that you want to revoke your proxy.</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60" w:right="299"/>
        <w:spacing w:after="0" w:line="266" w:lineRule="auto"/>
        <w:rPr>
          <w:sz w:val="20"/>
          <w:szCs w:val="20"/>
          <w:color w:val="auto"/>
        </w:rPr>
      </w:pPr>
      <w:r>
        <w:rPr>
          <w:rFonts w:ascii="Arial" w:cs="Arial" w:eastAsia="Arial" w:hAnsi="Arial"/>
          <w:sz w:val="18"/>
          <w:szCs w:val="18"/>
          <w:b w:val="1"/>
          <w:bCs w:val="1"/>
          <w:color w:val="auto"/>
        </w:rPr>
        <w:t xml:space="preserve">If your shares are held in street name, </w:t>
      </w:r>
      <w:r>
        <w:rPr>
          <w:rFonts w:ascii="Arial" w:cs="Arial" w:eastAsia="Arial" w:hAnsi="Arial"/>
          <w:sz w:val="18"/>
          <w:szCs w:val="18"/>
          <w:color w:val="auto"/>
        </w:rPr>
        <w:t>you may submit new voting instructions by contacting your bank,</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firm or other nominee. You may also vote in person at the annual meeting if you obtain a legal proxy as described in the answer above.</w:t>
      </w:r>
    </w:p>
    <w:p>
      <w:pPr>
        <w:spacing w:after="0" w:line="68" w:lineRule="exact"/>
        <w:rPr>
          <w:sz w:val="20"/>
          <w:szCs w:val="20"/>
          <w:color w:val="auto"/>
        </w:rPr>
      </w:pPr>
    </w:p>
    <w:p>
      <w:pPr>
        <w:ind w:left="1060" w:hanging="940"/>
        <w:spacing w:after="0"/>
        <w:tabs>
          <w:tab w:leader="none" w:pos="10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represented to have a quorum and hold the annual meeting?</w:t>
      </w:r>
    </w:p>
    <w:p>
      <w:pPr>
        <w:spacing w:after="0" w:line="121" w:lineRule="exact"/>
        <w:rPr>
          <w:rFonts w:ascii="Arial" w:cs="Arial" w:eastAsia="Arial" w:hAnsi="Arial"/>
          <w:sz w:val="18"/>
          <w:szCs w:val="18"/>
          <w:b w:val="1"/>
          <w:bCs w:val="1"/>
          <w:color w:val="auto"/>
        </w:rPr>
      </w:pPr>
    </w:p>
    <w:p>
      <w:pPr>
        <w:ind w:left="1060" w:right="319" w:hanging="940"/>
        <w:spacing w:after="0" w:line="270"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majority of our shares of common stock outstanding at the record date must be present in person or represented by proxy to hold the annual meeting. This is called a quorum. For purposes of determining whether a quorum exists, we count as present any shares that are voted over the Internet, by telephone, by completing and submitting a proxy by mail or that are represented in person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spacing w:after="0" w:line="73" w:lineRule="exact"/>
        <w:rPr>
          <w:rFonts w:ascii="Arial" w:cs="Arial" w:eastAsia="Arial" w:hAnsi="Arial"/>
          <w:sz w:val="17"/>
          <w:szCs w:val="17"/>
          <w:color w:val="auto"/>
        </w:rPr>
      </w:pPr>
    </w:p>
    <w:p>
      <w:pPr>
        <w:ind w:left="1060" w:right="679"/>
        <w:spacing w:after="0" w:line="312" w:lineRule="auto"/>
        <w:rPr>
          <w:rFonts w:ascii="Arial" w:cs="Arial" w:eastAsia="Arial" w:hAnsi="Arial"/>
          <w:sz w:val="17"/>
          <w:szCs w:val="17"/>
          <w:color w:val="auto"/>
        </w:rPr>
      </w:pPr>
      <w:r>
        <w:rPr>
          <w:rFonts w:ascii="Arial" w:cs="Arial" w:eastAsia="Arial" w:hAnsi="Arial"/>
          <w:sz w:val="16"/>
          <w:szCs w:val="16"/>
          <w:color w:val="auto"/>
        </w:rPr>
        <w:t>The presence at the annual meeting, in person or by proxy, of holders representing a majority of our outstanding common stock as of the record date, April 24, 2017, or approximately 19,508,212 shares, constitutes a quorum at the meeting and permits us to conduct the business of the meeting.</w:t>
      </w:r>
    </w:p>
    <w:p>
      <w:pPr>
        <w:spacing w:after="0" w:line="34" w:lineRule="exact"/>
        <w:rPr>
          <w:rFonts w:ascii="Arial" w:cs="Arial" w:eastAsia="Arial" w:hAnsi="Arial"/>
          <w:sz w:val="17"/>
          <w:szCs w:val="17"/>
          <w:color w:val="auto"/>
        </w:rPr>
      </w:pPr>
    </w:p>
    <w:p>
      <w:pPr>
        <w:ind w:left="1060" w:hanging="940"/>
        <w:spacing w:after="0"/>
        <w:tabs>
          <w:tab w:leader="none" w:pos="10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matter and how are votes counted?</w:t>
      </w:r>
    </w:p>
    <w:p>
      <w:pPr>
        <w:spacing w:after="0" w:line="117" w:lineRule="exact"/>
        <w:rPr>
          <w:rFonts w:ascii="Arial" w:cs="Arial" w:eastAsia="Arial" w:hAnsi="Arial"/>
          <w:sz w:val="18"/>
          <w:szCs w:val="18"/>
          <w:b w:val="1"/>
          <w:bCs w:val="1"/>
          <w:color w:val="auto"/>
        </w:rPr>
      </w:pPr>
    </w:p>
    <w:p>
      <w:pPr>
        <w:ind w:left="1060" w:hanging="94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Proposal 1—Election of Class II Directors</w:t>
      </w:r>
    </w:p>
    <w:p>
      <w:pPr>
        <w:spacing w:after="0" w:line="121" w:lineRule="exact"/>
        <w:rPr>
          <w:rFonts w:ascii="Arial" w:cs="Arial" w:eastAsia="Arial" w:hAnsi="Arial"/>
          <w:sz w:val="18"/>
          <w:szCs w:val="18"/>
          <w:color w:val="auto"/>
        </w:rPr>
      </w:pPr>
    </w:p>
    <w:p>
      <w:pPr>
        <w:ind w:left="1060" w:right="119"/>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The three nominees for director to receive the highest number of votes FOR election will be elected as directors. This is called a plurality. </w:t>
      </w:r>
      <w:r>
        <w:rPr>
          <w:rFonts w:ascii="Arial" w:cs="Arial" w:eastAsia="Arial" w:hAnsi="Arial"/>
          <w:sz w:val="16"/>
          <w:szCs w:val="16"/>
          <w:b w:val="1"/>
          <w:bCs w:val="1"/>
          <w:color w:val="auto"/>
        </w:rPr>
        <w:t>Proposal 1 is a non-discretionary matter.</w:t>
      </w:r>
      <w:r>
        <w:rPr>
          <w:rFonts w:ascii="Arial" w:cs="Arial" w:eastAsia="Arial" w:hAnsi="Arial"/>
          <w:sz w:val="16"/>
          <w:szCs w:val="16"/>
          <w:color w:val="auto"/>
        </w:rPr>
        <w:t xml:space="preserve"> Therefore, if your shares are held by your brokerage firm in street name and you do not timely provide voting instructions with respect to your shares, your brokerage firm cannot vote your shares on Proposal 1. Shares held in street name by banks, brokerage firms or other nominees who indicate on their proxies that they do not have authority to vote the shares on Proposal 1 will not be counted as votes FOR or WITHHELD from any nominee. As a result, such “broker non-votes” will have no effect on the voting on Proposal 1. You may:</w:t>
      </w:r>
    </w:p>
    <w:p>
      <w:pPr>
        <w:spacing w:after="0" w:line="5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vote FOR all nominees;</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vote FOR one or more nominees and WITHHOLD your vote from the other nominees; or</w:t>
      </w:r>
    </w:p>
    <w:p>
      <w:pPr>
        <w:spacing w:after="0" w:line="14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WITHHOLD your vote from all nominees.</w:t>
      </w:r>
    </w:p>
    <w:p>
      <w:pPr>
        <w:spacing w:after="0" w:line="117" w:lineRule="exact"/>
        <w:rPr>
          <w:sz w:val="20"/>
          <w:szCs w:val="20"/>
          <w:color w:val="auto"/>
        </w:rPr>
      </w:pPr>
    </w:p>
    <w:p>
      <w:pPr>
        <w:ind w:left="1060" w:right="319"/>
        <w:spacing w:after="0" w:line="277" w:lineRule="auto"/>
        <w:rPr>
          <w:sz w:val="20"/>
          <w:szCs w:val="20"/>
          <w:color w:val="auto"/>
        </w:rPr>
      </w:pPr>
      <w:r>
        <w:rPr>
          <w:rFonts w:ascii="Arial" w:cs="Arial" w:eastAsia="Arial" w:hAnsi="Arial"/>
          <w:sz w:val="18"/>
          <w:szCs w:val="18"/>
          <w:color w:val="auto"/>
        </w:rPr>
        <w:t>Votes that are withheld will not be included in the vote tally for the election of directors and will not affect the results of the vote.</w:t>
      </w:r>
    </w:p>
    <w:p>
      <w:pPr>
        <w:spacing w:after="0" w:line="5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 2—Ratification of the Appointment of Independent Registered Public Accounting Firm</w:t>
      </w:r>
    </w:p>
    <w:p>
      <w:pPr>
        <w:spacing w:after="0" w:line="133" w:lineRule="exact"/>
        <w:rPr>
          <w:sz w:val="20"/>
          <w:szCs w:val="20"/>
          <w:color w:val="auto"/>
        </w:rPr>
      </w:pPr>
    </w:p>
    <w:p>
      <w:pPr>
        <w:ind w:left="1060" w:right="259"/>
        <w:spacing w:after="0" w:line="293" w:lineRule="auto"/>
        <w:rPr>
          <w:sz w:val="20"/>
          <w:szCs w:val="20"/>
          <w:color w:val="auto"/>
        </w:rPr>
      </w:pPr>
      <w:r>
        <w:rPr>
          <w:rFonts w:ascii="Arial" w:cs="Arial" w:eastAsia="Arial" w:hAnsi="Arial"/>
          <w:sz w:val="16"/>
          <w:szCs w:val="16"/>
          <w:color w:val="auto"/>
        </w:rPr>
        <w:t xml:space="preserve">To approve Proposal 2, holders of a majority of the votes cast on the matter must vote FOR the proposal. </w:t>
      </w:r>
      <w:r>
        <w:rPr>
          <w:rFonts w:ascii="Arial" w:cs="Arial" w:eastAsia="Arial" w:hAnsi="Arial"/>
          <w:sz w:val="16"/>
          <w:szCs w:val="16"/>
          <w:b w:val="1"/>
          <w:bCs w:val="1"/>
          <w:color w:val="auto"/>
        </w:rPr>
        <w:t xml:space="preserve">Proposal 2 is considered a routine matter. </w:t>
      </w:r>
      <w:r>
        <w:rPr>
          <w:rFonts w:ascii="Arial" w:cs="Arial" w:eastAsia="Arial" w:hAnsi="Arial"/>
          <w:sz w:val="16"/>
          <w:szCs w:val="16"/>
          <w:color w:val="auto"/>
        </w:rPr>
        <w:t>If your shares are held by your brokerage firm in street name</w:t>
      </w:r>
      <w:r>
        <w:rPr>
          <w:rFonts w:ascii="Arial" w:cs="Arial" w:eastAsia="Arial" w:hAnsi="Arial"/>
          <w:sz w:val="16"/>
          <w:szCs w:val="16"/>
          <w:b w:val="1"/>
          <w:bCs w:val="1"/>
          <w:color w:val="auto"/>
        </w:rPr>
        <w:t xml:space="preserve"> </w:t>
      </w:r>
      <w:r>
        <w:rPr>
          <w:rFonts w:ascii="Arial" w:cs="Arial" w:eastAsia="Arial" w:hAnsi="Arial"/>
          <w:sz w:val="16"/>
          <w:szCs w:val="16"/>
          <w:color w:val="auto"/>
        </w:rPr>
        <w:t>and you do not provide voting instructions with respect to your shares, your brokerage firm may vote your unvoted shares on Proposal 2. If you ABSTAIN from voting on Proposal 2, your shares will not be voted FOR or AGAINST the proposal and will also not be counted as votes cast or shares voting on the proposal. As a result, voting to ABSTAIN will have no effect on the outcome of Proposal 2.</w:t>
      </w:r>
    </w:p>
    <w:p>
      <w:pPr>
        <w:spacing w:after="0" w:line="57" w:lineRule="exact"/>
        <w:rPr>
          <w:sz w:val="20"/>
          <w:szCs w:val="20"/>
          <w:color w:val="auto"/>
        </w:rPr>
      </w:pPr>
    </w:p>
    <w:p>
      <w:pPr>
        <w:ind w:left="1060" w:right="139"/>
        <w:spacing w:after="0" w:line="297" w:lineRule="auto"/>
        <w:rPr>
          <w:sz w:val="20"/>
          <w:szCs w:val="20"/>
          <w:color w:val="auto"/>
        </w:rPr>
      </w:pPr>
      <w:r>
        <w:rPr>
          <w:rFonts w:ascii="Arial" w:cs="Arial" w:eastAsia="Arial" w:hAnsi="Arial"/>
          <w:sz w:val="16"/>
          <w:szCs w:val="16"/>
          <w:color w:val="auto"/>
        </w:rPr>
        <w:t>Although stockholder approval of our audit committee’s appointment of Ernst &amp; Young LLP as our independent registered public accounting firm for the fiscal year ended December 31, 2017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ended December 31, 2017.</w:t>
      </w:r>
    </w:p>
    <w:p>
      <w:pPr>
        <w:spacing w:after="0" w:line="46" w:lineRule="exact"/>
        <w:rPr>
          <w:sz w:val="20"/>
          <w:szCs w:val="20"/>
          <w:color w:val="auto"/>
        </w:rPr>
      </w:pPr>
    </w:p>
    <w:p>
      <w:pPr>
        <w:ind w:left="1060" w:hanging="940"/>
        <w:spacing w:after="0"/>
        <w:tabs>
          <w:tab w:leader="none" w:pos="10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w:t>
      </w:r>
    </w:p>
    <w:p>
      <w:pPr>
        <w:spacing w:after="0" w:line="121" w:lineRule="exact"/>
        <w:rPr>
          <w:rFonts w:ascii="Arial" w:cs="Arial" w:eastAsia="Arial" w:hAnsi="Arial"/>
          <w:sz w:val="18"/>
          <w:szCs w:val="18"/>
          <w:b w:val="1"/>
          <w:bCs w:val="1"/>
          <w:color w:val="auto"/>
        </w:rPr>
      </w:pPr>
    </w:p>
    <w:p>
      <w:pPr>
        <w:ind w:left="1060" w:hanging="94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votes will be counted, tabulated and certified by Broadridge Financial Solutions, Inc.</w:t>
      </w:r>
    </w:p>
    <w:p>
      <w:pPr>
        <w:spacing w:after="0" w:line="113" w:lineRule="exact"/>
        <w:rPr>
          <w:rFonts w:ascii="Arial" w:cs="Arial" w:eastAsia="Arial" w:hAnsi="Arial"/>
          <w:sz w:val="18"/>
          <w:szCs w:val="18"/>
          <w:color w:val="auto"/>
        </w:rPr>
      </w:pPr>
    </w:p>
    <w:p>
      <w:pPr>
        <w:ind w:left="1060" w:hanging="940"/>
        <w:spacing w:after="0"/>
        <w:tabs>
          <w:tab w:leader="none" w:pos="10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rFonts w:ascii="Arial" w:cs="Arial" w:eastAsia="Arial" w:hAnsi="Arial"/>
          <w:sz w:val="18"/>
          <w:szCs w:val="18"/>
          <w:b w:val="1"/>
          <w:bCs w:val="1"/>
          <w:color w:val="auto"/>
        </w:rPr>
      </w:pPr>
    </w:p>
    <w:p>
      <w:pPr>
        <w:ind w:left="1060" w:hanging="94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recommends that you vote:</w:t>
      </w:r>
    </w:p>
    <w:p>
      <w:pPr>
        <w:spacing w:after="0" w:line="11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three nominees to serve as Class II directors, each for a three year term; and</w:t>
      </w: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40" w:right="339"/>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ended December 31, 2017.</w:t>
      </w:r>
    </w:p>
    <w:p>
      <w:pPr>
        <w:spacing w:after="0" w:line="54" w:lineRule="exact"/>
        <w:rPr>
          <w:sz w:val="20"/>
          <w:szCs w:val="20"/>
          <w:color w:val="auto"/>
        </w:rPr>
      </w:pPr>
    </w:p>
    <w:p>
      <w:pPr>
        <w:ind w:left="640" w:hanging="520"/>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other matters to be voted on at the annual meeting?</w:t>
      </w:r>
    </w:p>
    <w:p>
      <w:pPr>
        <w:spacing w:after="0" w:line="121" w:lineRule="exact"/>
        <w:rPr>
          <w:rFonts w:ascii="Arial" w:cs="Arial" w:eastAsia="Arial" w:hAnsi="Arial"/>
          <w:sz w:val="18"/>
          <w:szCs w:val="18"/>
          <w:b w:val="1"/>
          <w:bCs w:val="1"/>
          <w:color w:val="auto"/>
        </w:rPr>
      </w:pPr>
    </w:p>
    <w:p>
      <w:pPr>
        <w:ind w:left="640" w:right="99" w:hanging="520"/>
        <w:spacing w:after="0" w:line="259"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know of any matters that may come before the annual meeting other than the election of our Class II directors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74" w:lineRule="exact"/>
        <w:rPr>
          <w:rFonts w:ascii="Arial" w:cs="Arial" w:eastAsia="Arial" w:hAnsi="Arial"/>
          <w:sz w:val="18"/>
          <w:szCs w:val="18"/>
          <w:color w:val="auto"/>
        </w:rPr>
      </w:pPr>
    </w:p>
    <w:p>
      <w:pPr>
        <w:ind w:left="640" w:hanging="520"/>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w:t>
      </w:r>
    </w:p>
    <w:p>
      <w:pPr>
        <w:spacing w:after="0" w:line="121" w:lineRule="exact"/>
        <w:rPr>
          <w:rFonts w:ascii="Arial" w:cs="Arial" w:eastAsia="Arial" w:hAnsi="Arial"/>
          <w:sz w:val="18"/>
          <w:szCs w:val="18"/>
          <w:b w:val="1"/>
          <w:bCs w:val="1"/>
          <w:color w:val="auto"/>
        </w:rPr>
      </w:pPr>
    </w:p>
    <w:p>
      <w:pPr>
        <w:ind w:left="640" w:right="579" w:hanging="520"/>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plan to announce preliminary voting results at the annual meeting and will report final voting results in a Current Report on Form 8-K filed with the SEC within four business days following the end of our annual meeting.</w:t>
      </w:r>
    </w:p>
    <w:p>
      <w:pPr>
        <w:spacing w:after="0" w:line="69" w:lineRule="exact"/>
        <w:rPr>
          <w:rFonts w:ascii="Arial" w:cs="Arial" w:eastAsia="Arial" w:hAnsi="Arial"/>
          <w:sz w:val="18"/>
          <w:szCs w:val="18"/>
          <w:color w:val="auto"/>
        </w:rPr>
      </w:pPr>
    </w:p>
    <w:p>
      <w:pPr>
        <w:ind w:left="640" w:hanging="520"/>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costs of soliciting these proxies?</w:t>
      </w:r>
    </w:p>
    <w:p>
      <w:pPr>
        <w:spacing w:after="0" w:line="121" w:lineRule="exact"/>
        <w:rPr>
          <w:rFonts w:ascii="Arial" w:cs="Arial" w:eastAsia="Arial" w:hAnsi="Arial"/>
          <w:sz w:val="18"/>
          <w:szCs w:val="18"/>
          <w:b w:val="1"/>
          <w:bCs w:val="1"/>
          <w:color w:val="auto"/>
        </w:rPr>
      </w:pPr>
    </w:p>
    <w:p>
      <w:pPr>
        <w:ind w:left="640" w:right="139" w:hanging="520"/>
        <w:spacing w:after="0" w:line="279"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spacing w:after="0" w:line="59" w:lineRule="exact"/>
        <w:rPr>
          <w:rFonts w:ascii="Arial" w:cs="Arial" w:eastAsia="Arial" w:hAnsi="Arial"/>
          <w:sz w:val="17"/>
          <w:szCs w:val="17"/>
          <w:color w:val="auto"/>
        </w:rPr>
      </w:pPr>
    </w:p>
    <w:p>
      <w:pPr>
        <w:ind w:left="640" w:hanging="520"/>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any additional questions?</w:t>
      </w:r>
    </w:p>
    <w:p>
      <w:pPr>
        <w:spacing w:after="0" w:line="121" w:lineRule="exact"/>
        <w:rPr>
          <w:rFonts w:ascii="Arial" w:cs="Arial" w:eastAsia="Arial" w:hAnsi="Arial"/>
          <w:sz w:val="18"/>
          <w:szCs w:val="18"/>
          <w:b w:val="1"/>
          <w:bCs w:val="1"/>
          <w:color w:val="auto"/>
        </w:rPr>
      </w:pPr>
    </w:p>
    <w:p>
      <w:pPr>
        <w:ind w:left="640" w:right="339" w:hanging="520"/>
        <w:spacing w:after="0" w:line="286"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you hold your shares directly or have additional questions about the annual meeting, please contact us at Blueprint Medicines Corporation, 38 Sidney Street, Suite 200, Cambridge, Massachusetts 02139, Attn: Investor Relations, telephone: (617) 714-6674, e-mail: ir@blueprintmedicines.com.</w:t>
      </w:r>
    </w:p>
    <w:p>
      <w:pPr>
        <w:spacing w:after="0" w:line="57" w:lineRule="exact"/>
        <w:rPr>
          <w:rFonts w:ascii="Arial" w:cs="Arial" w:eastAsia="Arial" w:hAnsi="Arial"/>
          <w:sz w:val="17"/>
          <w:szCs w:val="17"/>
          <w:color w:val="auto"/>
        </w:rPr>
      </w:pPr>
    </w:p>
    <w:p>
      <w:pPr>
        <w:ind w:left="640" w:right="279"/>
        <w:spacing w:after="0" w:line="277" w:lineRule="auto"/>
        <w:rPr>
          <w:rFonts w:ascii="Arial" w:cs="Arial" w:eastAsia="Arial" w:hAnsi="Arial"/>
          <w:sz w:val="17"/>
          <w:szCs w:val="17"/>
          <w:color w:val="auto"/>
        </w:rPr>
      </w:pPr>
      <w:r>
        <w:rPr>
          <w:rFonts w:ascii="Arial" w:cs="Arial" w:eastAsia="Arial" w:hAnsi="Arial"/>
          <w:sz w:val="18"/>
          <w:szCs w:val="18"/>
          <w:color w:val="auto"/>
        </w:rPr>
        <w:t>If your shares are held in street name, please call the telephone number provided on your voting instruction form or contact your bank, brokerage firm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spacing w:after="0" w:line="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term of office of our Class II directors, Alexis Borisy, Charles A. Rowland, Jr. and Lonnel Coats, will expire at the 2017 annual meeting of stockholders. The nominees for Class II directors for election at the 2017 annual meeting of stockholders are Messrs. Borisy, Rowland and Coats. If any of Messrs. Borisy, Rowland and Coats are elected at the 2017 annual meeting of stockholders, such individual will be elected to serve for a three-year term that will expire at our 2020 annual meeting of stockholders and until such individual’s successor is elected and qualified.</w:t>
      </w:r>
    </w:p>
    <w:p>
      <w:pPr>
        <w:spacing w:after="0" w:line="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no contrary indication is made, proxies in the accompanying form will be voted for Messrs. Borisy, Rowland and Coats or, in the event that any of Messrs. Borisy, Rowland and Coats is not a candidate or is unable to serve as a director at the time of the election (which is not currently expected), for any nominee who is designated by our board of directors to fill the vacancy.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Set forth below are the names and certain information for each member of our board of directors, including the nominees for election as Class II directors, as of April 15, 2017.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board of directors to conclude that he or she should serve as a director. In addition, we believe that all of our directors and nominees possess the attributes or characteristics described in “—Director Nomination Process” the nominating and corporate governance committee expects of each director.</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than Mr. Coats and Drs. Goldberg and Seely, each of our directors was initially elected pursuant to a stockholders agreement that we entered into with the holders of our preferred stock, which terminated upon the closing of our initial public offering.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464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Position(s)</w:t>
            </w:r>
          </w:p>
        </w:tc>
      </w:tr>
      <w:tr>
        <w:trPr>
          <w:trHeight w:val="411"/>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Class I Directors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Jeffrey W. Albers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Mark Goldberg, M.D. (1)(2)(4)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Nicholas Lydon, Ph.D. (3)(4)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418"/>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Class II Director Nominees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Alexis Borisy (4)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Charles A. Rowland, Jr. (1)(2)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Lonnel Coats (1)(3)</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418"/>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Class III Directors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Daniel S. Lynch</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Chairman of the Board, Director</w:t>
            </w: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George D. Demetri, M.D. (3)(4)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Lynn Seely, M.D. (2)(4)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1060" w:hanging="733"/>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17" w:lineRule="exact"/>
        <w:rPr>
          <w:rFonts w:ascii="Arial" w:cs="Arial" w:eastAsia="Arial" w:hAnsi="Arial"/>
          <w:sz w:val="18"/>
          <w:szCs w:val="18"/>
          <w:color w:val="auto"/>
        </w:rPr>
      </w:pPr>
    </w:p>
    <w:p>
      <w:pPr>
        <w:ind w:left="900" w:hanging="57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17" w:lineRule="exact"/>
        <w:rPr>
          <w:rFonts w:ascii="Arial" w:cs="Arial" w:eastAsia="Arial" w:hAnsi="Arial"/>
          <w:sz w:val="18"/>
          <w:szCs w:val="18"/>
          <w:color w:val="auto"/>
        </w:rPr>
      </w:pPr>
    </w:p>
    <w:p>
      <w:pPr>
        <w:ind w:left="700" w:hanging="373"/>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17" w:lineRule="exact"/>
        <w:rPr>
          <w:rFonts w:ascii="Arial" w:cs="Arial" w:eastAsia="Arial" w:hAnsi="Arial"/>
          <w:sz w:val="18"/>
          <w:szCs w:val="18"/>
          <w:color w:val="auto"/>
        </w:rPr>
      </w:pPr>
    </w:p>
    <w:p>
      <w:pPr>
        <w:ind w:left="780" w:hanging="453"/>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research and development committee.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 Nominees—For a Three-Year Term Expiring at the 2020 Annual Meeting of Stockholders</w:t>
      </w:r>
    </w:p>
    <w:p>
      <w:pPr>
        <w:spacing w:after="0" w:line="11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Alexis Borisy </w:t>
      </w:r>
      <w:r>
        <w:rPr>
          <w:rFonts w:ascii="Arial" w:cs="Arial" w:eastAsia="Arial" w:hAnsi="Arial"/>
          <w:sz w:val="16"/>
          <w:szCs w:val="16"/>
          <w:color w:val="auto"/>
        </w:rPr>
        <w:t>has served as a member of our board of directors since April 2011. Mr. Borisy co-founded Blueprint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Medicines and served as our interim chief executive officer from May 2013 through July 2014. Since 2010, Mr. Borisy has been a partner at Third Rock Ventures, or Third Rock, a life sciences venture capital firm focused on the formation, development and strategy of new companies. Since November 2013, Mr. Borisy has served as a member of the board of directors of Editas Medicine, Inc. Since 2011, Mr. Borisy has served as executive chairman of Warp Drive Bio, LLC, a life sciences company focusing on genomics where he served as chief executive officer from 2011 to July 2013. In addition, Mr. Borisy currently serves on the board of directors of the following privately held biopharmaceutical companies: Revolution Medicines, Inc., Magenta Therapeutics, Inc., Relay Therapeutics, Inc. and Tango Therapeutics, Inc. From 2007 to 2012, Mr. Borisy served as chairman of FORMA Therapeutics, Inc., a biopharmaceutical company focused on discovering and developing medicines in cancer and other genetically-driven diseases. Mr. Borisy co-founded Foundation Medicine, Inc., or Foundation Medicine, where he served as its interim chief executive officer from 2009 to 2011 and has served as a member of its board of directors since 2009, including as chairman of Foundation Medicine’s board of directors from 2011 to February 2017. In 2000, Mr. Borisy founded CombinatoRx, Inc. and served as its chief executive officer and on its board of directors from 2000 to 2009. Mr. Borisy received an A.B. in chemistry from the University of Chicago and an A.M.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venture capital industry qualifies him to serve on our board of directors.</w:t>
      </w:r>
    </w:p>
    <w:p>
      <w:pPr>
        <w:spacing w:after="0" w:line="6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b w:val="1"/>
          <w:bCs w:val="1"/>
          <w:i w:val="1"/>
          <w:iCs w:val="1"/>
          <w:color w:val="auto"/>
        </w:rPr>
        <w:t xml:space="preserve">Charles A. Rowland, Jr., MBA </w:t>
      </w:r>
      <w:r>
        <w:rPr>
          <w:rFonts w:ascii="Arial" w:cs="Arial" w:eastAsia="Arial" w:hAnsi="Arial"/>
          <w:sz w:val="17"/>
          <w:szCs w:val="17"/>
          <w:color w:val="auto"/>
        </w:rPr>
        <w:t>has served as a member of our board of directors since March 2015. From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to February 2017, Mr. Rowland served as president and chief executive officer of Aurinia Pharmaceuticals Inc., or Aurinia, and as a member of the board of directors of Aurinia from July 2014 to February 2017. Mr. Rowland previously served as vice president and chief financial officer of ViroPharma Incorporated, or ViroPharma, an international biopharmaceutical company, from October 2008 until it was acquired by Shire plc in January 2014. Prior to joining ViroPharma, from 2006 to 2008, Mr. Rowland served as executive vice president and chief financial officer, as well as the interim co-chief executive officer, for Endo Pharmaceuticals Inc., a specialty pharmaceutical company with a primary focus in pain management. Mr. Rowland previously held positions of increasing responsibility at Biovail Pharmaceuticals, Inc., Breakaway Technologies, Inc., Pharmacia Corporation, Novartis AG and Bristol-Myers Squibb Co., each a biopharmaceutical company. Mr. Rowland joined the board of directors of Idenix Pharmaceuticals, Inc., a biopharmaceutical company, in June 2013 and served as a member of its audit committee until Idenix was acquired by Merck &amp; Co., Inc. in August 2014. Mr. Rowland served as a member of the board of directors and chairman of the audit committee of Vitae Pharmaceuticals, Inc. from September 2014 until it was acquired by Allergan in September 2016. Since January 2015, he has served as a member of the supervisory board and chairman of the audit committee of Nabriva Therapeutics, AG, a biotechnology company based in Vienna, Austria. Mr. Rowland served as a member of the board of directors and chairman of the audit committee of BIND Therapeutics, Inc., or BIND, from May 2014 to July 2016. Mr. Rowland received a B.S. in Accounting from Saint Joseph’s University and an M.B.A. with a finance concentration from Rutgers University. We believe that 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 xml:space="preserve">Lonnel Coats </w:t>
      </w:r>
      <w:r>
        <w:rPr>
          <w:rFonts w:ascii="Arial" w:cs="Arial" w:eastAsia="Arial" w:hAnsi="Arial"/>
          <w:sz w:val="17"/>
          <w:szCs w:val="17"/>
          <w:color w:val="auto"/>
        </w:rPr>
        <w:t>has served as a member of our board of directors since February 2016. Since July 2014, Mr. Coats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president and chief executive officer and a member of the board of directors of Lexicon Pharmaceuticals, Inc., or Lexicon, a biopharmaceutical company focused on the development of breakthrough therapies for the treatment of type 1 and type 2 diabetes and carcinoid syndrome. Prior to joining Lexicon, from 1996 through June 2014, Mr. Coats served in a series of leadership positions at Eisai Inc. and Eisai Corporation of North America, U.S. subsidiaries of Tokyo-based Eisai Co., Ltd., including as chief executive officer of Eisai Inc. from 2010 to June 2014 and as president and chief operating officer of Eisai Inc. from 2004 to 2010. Mr. Coats also previously held a variety of sales and management positions at Janssen Pharmaceuticals, Inc., a division of Johnson &amp; Johnson, from 1988 to 1996. Mr. Coats received a B.S. from Oakland University. We believe that Mr. Coats’ extensive professional experience in the biotechnology industry, including developing and commercializing pharmaceutical products and managing pharmaceutical marketing and sales efforts, qualifies him to serve as a member of our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Directors—Term Expiring at the 2019 Annual Meeting of Stockholders</w:t>
      </w:r>
    </w:p>
    <w:p>
      <w:pPr>
        <w:spacing w:after="0" w:line="11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has served as our president and chief executive officer and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2014. Mr. Albers has nearly a decade of experience in leadership roles in the biopharmaceutical industry. Prior to joining us, from January 2012 to April 2014, he was president of Algeta ASA, or Algeta, a Norwegian biopharmaceutical company, where he oversaw the commercial and business functions. At Algeta, Mr. Albers was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responsible for the U.S. launch of Radium-223 in metastatic castrate resistant prostate cancer. Prior to Algeta, from July 2005 to November 2011, Mr. Albers was at Genzyme Corporation, or Genzyme, a biotechnology company that is now a wholly-owned subsidiary of Sanofi S.A., most recently as vice president of the U.S. hematology and oncology business unit. Mr. Albers received a B.S. from Indiana University and an M.B.A. and a J.D. from Georgetown University. We believe that Mr. Albers’ leadership in the life sciences industry qualifies him to serve on our board of directors.</w:t>
      </w:r>
    </w:p>
    <w:p>
      <w:pPr>
        <w:spacing w:after="0" w:line="6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Mark Goldberg, M.D. </w:t>
      </w:r>
      <w:r>
        <w:rPr>
          <w:rFonts w:ascii="Arial" w:cs="Arial" w:eastAsia="Arial" w:hAnsi="Arial"/>
          <w:sz w:val="16"/>
          <w:szCs w:val="16"/>
          <w:color w:val="auto"/>
        </w:rPr>
        <w:t>has served as a member of our board of directors since June 2015. Dr. Goldberg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director of ImmunoGen, Inc. since November 2011, a director of GlycoMimetics, Inc. since July 2014, a director of Idera Pharmaceuticals, Inc. since March 2014 and a director of aTyr Pharma, Inc. since April 2015. Dr. Goldberg served as a director of Synageva Biopharma Corp., or Synageva, from October 2008 until November 2011, when he stepped down to become a member of the executive management team at Synageva. Dr. Goldberg served as a member of the executive management team at Synageva until late 2014, rising to executive vice president, medical and regulatory strategy. In late 2014, Dr. Goldberg stepped down from the executive management team at Synageva and continued to be employed part-time, contributing to medical and regulatory strategy until leaving Synageva in June 2015 upon its acquisition by Alexion Pharmaceuticals, Inc. Prior to joining Synageva, Dr. Goldberg served in various management capacities of increasing responsibility at Genzyme from November 1996 to July 2011, including most recently as senior vice president, clinical development and global therapeutic head, oncology, genetic health, and as chairman of Genzyme’s early product development board. Prior to joining Genzyme, Dr. Goldberg was a full-time staff physician at Brigham and Women’s Hospital and the Dana-Farber Cancer Institute, where he still holds appointments. Dr. Goldberg is a part-time Associate Professor of Medicine at Harvard Medical School and currently serves as acting chief medical officer of CANbridge Life Sciences Ltd., a privately held biopharmaceutical company. Since 2010, Dr. Goldberg has also served as a volunteer on the Board of Directors of the New England Division of the American Cancer Society. Dr. Goldberg received an A.B. in biochemistry and molecular biology from Harvard University and an M.D. from Harvard Medical School. We believe Dr. Goldberg is qualified to serve on our board of directors due to his extensive healthcare and regulatory experience.</w:t>
      </w:r>
    </w:p>
    <w:p>
      <w:pPr>
        <w:spacing w:after="0" w:line="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i w:val="1"/>
          <w:iCs w:val="1"/>
          <w:color w:val="auto"/>
        </w:rPr>
        <w:t xml:space="preserve">Nicholas Lydon, Ph.D. </w:t>
      </w:r>
      <w:r>
        <w:rPr>
          <w:rFonts w:ascii="Arial" w:cs="Arial" w:eastAsia="Arial" w:hAnsi="Arial"/>
          <w:sz w:val="16"/>
          <w:szCs w:val="16"/>
          <w:color w:val="auto"/>
        </w:rPr>
        <w:t>is a scientific founder of Blueprint Medicines and has served as a member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April 2011. Since 2006, Dr. Lydon has served as a scientific advisor and member of the board of directors of AnaptysBio Inc., a company he co-founded. In addition, Dr. Lydon currently serves on the board of directors of Staurus Pharma, LLC, a privately held biopharmaceutical company that he co-founded. From 2003 to 2009, Dr. Lydon served as a scientific advisor and member of the board of directors of Ambit Biosciences Corp., a biopharmaceutical company. From 2000 to 2002, Dr. Lydon served as vice president, small molecule drug discovery at Amgen, Inc., or Amgen. Prior to joining Amgen, in 1997 Dr. Lydon founded Kinetix Pharmaceuticals, Inc., or Kinetix, a biotechnology company focused on the discovery and development of selective protein kinase inhibitors, which was acquired by Amgen in 2000, and served as Kinetix’s chief executive officer and member of its board of directors. Prior to founding Kinetix, Dr. Lydon worked for Ciba-Giegy AG (now Novartis AG) where he was responsible for the tyrosine protein kinase program, including the discovery and preclinical development of imatinib. Dr. Lydon received a B.S. in biochemistry and zoology from the University of Leeds, England, and received a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Directors—Term Expiring at the 2018 Annual Meeting of Stockholders</w:t>
      </w:r>
    </w:p>
    <w:p>
      <w:pPr>
        <w:spacing w:after="0" w:line="11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b w:val="1"/>
          <w:bCs w:val="1"/>
          <w:i w:val="1"/>
          <w:iCs w:val="1"/>
          <w:color w:val="auto"/>
        </w:rPr>
        <w:t xml:space="preserve">Daniel S. Lynch </w:t>
      </w:r>
      <w:r>
        <w:rPr>
          <w:rFonts w:ascii="Arial" w:cs="Arial" w:eastAsia="Arial" w:hAnsi="Arial"/>
          <w:sz w:val="16"/>
          <w:szCs w:val="16"/>
          <w:color w:val="auto"/>
        </w:rPr>
        <w:t>has served as chairman of our board of directors since September 2012. Mr. Lynch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 at Third Rock from May 2013 to December 2016 and served as an entrepreneur-in-residence at Third Rock from May 2011 to May 2013. Mr. Lynch has served as chairman of the board of directors of Eleven Biotherapeutics, Inc. since December 2013 and a member of the board of directors of bluebird bio, Inc. since May 2011. Mr. Lynch served as a member of the board of directors of BIND from October 2012 to July 2016. In addition, Mr. Lynch currently serves on the board of directors of the following privately held biopharmaceutical companies: eGenesis, Inc., Proclara Biosciences, Inc., RaNA Therapeutics, Inc. and Surface Oncology, Inc. From April 2001 to November 2005,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6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b w:val="1"/>
          <w:bCs w:val="1"/>
          <w:i w:val="1"/>
          <w:iCs w:val="1"/>
          <w:color w:val="auto"/>
        </w:rPr>
        <w:t xml:space="preserve">George D. Demetri, M.D. </w:t>
      </w:r>
      <w:r>
        <w:rPr>
          <w:rFonts w:ascii="Arial" w:cs="Arial" w:eastAsia="Arial" w:hAnsi="Arial"/>
          <w:sz w:val="16"/>
          <w:szCs w:val="16"/>
          <w:color w:val="auto"/>
        </w:rPr>
        <w:t>has served as a member of our board of directors since December 2014. Since 1986,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Demetri has served as a Professor of Medicine at Harvard Medical School and as an academic medical oncologist at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Dana-Farber Cancer Institute, or Dana-Farber, and Harvard Medical School. Dr. Demetri’s research and clinical interests have centered on mechanism-based drug development for solid tumors, with a particular emphasis on molecularly-defined subsets of sarcomas such as gastrointestinal stromal tumors. Dr. Demetri has contributed to the development of several new drugs for sarcomas and other malignancies, including imatinib, sunitinib, dasatinib, trabectedin, vemurafenib, everolimus, pazopanib and regorafenib. Dr. Demetri serves as chair of the medical advisory board for the Sarcoma Foundation of America as well as several scientific and editorial advisory boards. With an interest in internet-based patient support, Dr. Demetri also serves on the Medical Advisory Board of ASCO’s CancerNet as well as CancerCommons.org. Dr. Demetri received an A.B. in biochemistry from Harvard College and an M.D. from Stanford University School of Medicine. We believe that Dr. Demetri’s more than 25 years of experience as an oncologist and his significant leadership experience on various scientific and editorial advisory boards qualifies him to serve as a member of our board of directors.</w:t>
      </w:r>
    </w:p>
    <w:p>
      <w:pPr>
        <w:spacing w:after="0" w:line="6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Lynn Seely, M.D. </w:t>
      </w:r>
      <w:r>
        <w:rPr>
          <w:rFonts w:ascii="Arial" w:cs="Arial" w:eastAsia="Arial" w:hAnsi="Arial"/>
          <w:sz w:val="16"/>
          <w:szCs w:val="16"/>
          <w:color w:val="auto"/>
        </w:rPr>
        <w:t>has served as a member of our board of directors since April 2016. Since June 2016, Dr. Seely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and chief executive officer and a member of the board of directors of Myovant Sciences, Inc., or Myovant, a biopharmaceutical company focused on developing and commercializing innovative therapies for women’s health diseases and other endocrine-related disorders. Prior to joining Myovant, Dr. Seely served as the chief medical officer of Medivation, Inc., or Medivation, from March 2005 until her retirement in October 2015, including as senior vice president and chief medical officer from January 2009 to October 2015. In this role, Dr. Seely led the development of XTANDI (enzalutamide) from the first-in-human clinical trial through global approvals, and actively participated in multiple drug development collaborations, including collaborations with Pfizer Inc. and Astellas Pharma US, Inc. for Phase 3 drug candidates, as well as the acquisition of talazoparib from BioMarin Pharmaceutical Inc. Prior to joining Medivation, from September 2002 to March 2005, Dr. Seely served as vice president of clinical development at Anesiva, Inc., formerly Corgentech Inc., where she participated in a collaboration with Bristol-Myers Squibb for a Phase 3 drug candidate. Dr. Seely previously served as vice president of clinical development for Cytyc Health Corporation, a subsidiary of Cytyc Corporation, from 2001 to 2002, and from 2000 to 2001, Dr. Seely served as vice president of clinical development at ProDuct Health, Inc., a privately held medical device company prior to its acquisition by Cytyc Corporation. Dr. Seely began her career as an associate director of clinical development at Chiron Corporation. Dr. Seely received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 We believe Dr. Seely is qualified to serve on our board of directors due to her extensive healthcare and life sciences experience.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OUR BOARD OF DIRECTORS RECOMMENDS THAT STOCKHOLDERS VOTE “</w:t>
      </w:r>
      <w:r>
        <w:rPr>
          <w:rFonts w:ascii="Arial" w:cs="Arial" w:eastAsia="Arial" w:hAnsi="Arial"/>
          <w:sz w:val="17"/>
          <w:szCs w:val="17"/>
          <w:i w:val="1"/>
          <w:iCs w:val="1"/>
          <w:u w:val="single" w:color="auto"/>
          <w:color w:val="auto"/>
        </w:rPr>
        <w:t>FOR</w:t>
      </w:r>
      <w:r>
        <w:rPr>
          <w:rFonts w:ascii="Arial" w:cs="Arial" w:eastAsia="Arial" w:hAnsi="Arial"/>
          <w:sz w:val="17"/>
          <w:szCs w:val="17"/>
          <w:color w:val="auto"/>
        </w:rPr>
        <w:t>” THE ELECTION OF ALEXIS BORISY, CHARLES A. ROWLAND, JR. AND LONNEL COATS TO SERVE AS CLASS II DIRECTORS.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Complete copies of our corporate governance guidelines, committee charters and code of conduct are available on the “Investors —Corporate Governance” section of our website, which is located at </w:t>
      </w:r>
      <w:r>
        <w:rPr>
          <w:rFonts w:ascii="Arial" w:cs="Arial" w:eastAsia="Arial" w:hAnsi="Arial"/>
          <w:sz w:val="17"/>
          <w:szCs w:val="17"/>
          <w:i w:val="1"/>
          <w:iCs w:val="1"/>
          <w:color w:val="auto"/>
        </w:rPr>
        <w:t>www.blueprintmedicines.com</w:t>
      </w:r>
      <w:r>
        <w:rPr>
          <w:rFonts w:ascii="Arial" w:cs="Arial" w:eastAsia="Arial" w:hAnsi="Arial"/>
          <w:sz w:val="17"/>
          <w:szCs w:val="17"/>
          <w:color w:val="auto"/>
        </w:rPr>
        <w:t>. Alternatively, you can request a copy of any of these documents by contacting us at Blueprint</w:t>
      </w:r>
      <w:r>
        <w:rPr>
          <w:rFonts w:ascii="Arial" w:cs="Arial" w:eastAsia="Arial" w:hAnsi="Arial"/>
          <w:sz w:val="17"/>
          <w:szCs w:val="17"/>
          <w:i w:val="1"/>
          <w:iCs w:val="1"/>
          <w:color w:val="auto"/>
        </w:rPr>
        <w:t xml:space="preserve"> </w:t>
      </w:r>
      <w:r>
        <w:rPr>
          <w:rFonts w:ascii="Arial" w:cs="Arial" w:eastAsia="Arial" w:hAnsi="Arial"/>
          <w:sz w:val="17"/>
          <w:szCs w:val="17"/>
          <w:color w:val="auto"/>
        </w:rPr>
        <w:t>Medicines Corporation, 38 Sidney Street, Suite 200, Cambridge, Massachusetts 02139, Attn: Investor Relations, telephone: (617) 714-6674, e-mail: ir@blueprintmedicines.com.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Corporate Governance Guidelines</w:t>
      </w:r>
    </w:p>
    <w:p>
      <w:pPr>
        <w:spacing w:after="0" w:line="12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is available on the “Investors—Corporate Governance” section of our website, which is located at www.blueprintmedicines.com. We intend to disclose on our website any amendments to, or waivers from, the code of business conduct and ethics that are required to be disclosed pursuant to the disclosure requirements of Item 5.05 of Form 8-K.</w:t>
      </w:r>
    </w:p>
    <w:p>
      <w:pPr>
        <w:spacing w:after="0" w:line="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board of directors has also adopted corporate governance guidelines to assist in the exercise of its duties and responsibilities and to serve the best interests of our company and our stockholders. A copy of the corporate governance guidelines is available on the “Investors—Corporate Governance” section of our website, which is located at www.blueprintmedicines.com.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Accordingly, we currently separate the roles of chief executive officer and chairman of the board of directors, with Mr. Albers serving as our president and chief executive officer and Mr. Lynch serving as chairman of the board of directors. As president and chief executive officer, Mr. Albers is responsible for setting the strategic direction for our company and the day-to-day leadership and performance of our company, while Mr. Lynch, as chairman of the board of directors, presides over meetings of the board of directors, including executive sessions of the board of directors, and performs oversight responsibilities. The board of directors has not appointed a lead independent director. Our board of directors has four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proceedings.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17"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Each committee of our board of directors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121"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82"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Jeffrey W. Albers, Alexis Borisy and Daniel S. Lynch, is an “independent director” as defined under Rule 5605(a)(2) of the NASDAQ Listing Rules. Mr. Albers is not an independent director under Rule 5605(a)</w:t>
      </w:r>
    </w:p>
    <w:p>
      <w:pPr>
        <w:spacing w:after="0" w:line="2" w:lineRule="exact"/>
        <w:rPr>
          <w:sz w:val="20"/>
          <w:szCs w:val="20"/>
          <w:color w:val="auto"/>
        </w:rPr>
      </w:pPr>
    </w:p>
    <w:p>
      <w:pPr>
        <w:ind w:firstLine="3"/>
        <w:spacing w:after="0" w:line="286"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because he is our president and chief executive officer. Our board of directors also determined that Charles A. Rowland, Jr., Lonnel Coats and Mark Goldberg, who comprise our audit committee, Charles A. Rowland, Jr., Mark Goldberg and Lynn Seely, who comprise our compensation committee, and Lonnel Coats, George D. Demetri and Nicholas Lydon, who comprise our nominating and corporate governance committee, satisfy the independence standards for such committees established by the SEC and the NASDAQ Listing Rules, as applicable, including in the case of all members of the audit committee, the independence requirements contemplated by Rule 10A-3 under the Exchange Act and in the case of all members of the compensation committee, the independence requirements contemplated by Rule 10C-1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 Meetings and Attendance</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board of directors held eight meetings during fiscal 2016. During fiscal 2016, each of the directors then in office attended at least 75% of the aggregate of the number of board of director meetings and the number of meetings held by all committees of the board of directors on which such director then served.</w:t>
      </w:r>
    </w:p>
    <w:p>
      <w:pPr>
        <w:spacing w:after="0" w:line="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our annual meeting, we encourage all of our directors to attend. All members of our board of directors who were then directors attended our 2016 annual meeting of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 of Directors</w:t>
      </w:r>
    </w:p>
    <w:p>
      <w:pPr>
        <w:spacing w:after="0" w:line="12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board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3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Stockholders who wish to send communications on any topic to our board of directors should address such communications to Blueprint Medicines Corporation, Attention: Board of Directors, 38 Sidney Street, Suite 200, Cambridge, Massachusetts 02139.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 xml:space="preserve">We have established an audit committee, a compensation committee, a nominating and corporate governance committee and a research and development committee. Each of these committees operates under a charter that has been approved by our board of directors. A copy of each committee’s charter can be found under the “Investors—Corporate Governance” section of our website, which is located at </w:t>
      </w:r>
      <w:r>
        <w:rPr>
          <w:rFonts w:ascii="Arial" w:cs="Arial" w:eastAsia="Arial" w:hAnsi="Arial"/>
          <w:sz w:val="17"/>
          <w:szCs w:val="17"/>
          <w:i w:val="1"/>
          <w:iCs w:val="1"/>
          <w:color w:val="auto"/>
        </w:rPr>
        <w:t>www.blueprintmedicines.com</w:t>
      </w:r>
      <w:r>
        <w:rPr>
          <w:rFonts w:ascii="Arial" w:cs="Arial" w:eastAsia="Arial" w:hAnsi="Arial"/>
          <w:sz w:val="17"/>
          <w:szCs w:val="17"/>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committee’s responsibilities include:</w:t>
      </w:r>
    </w:p>
    <w:p>
      <w:pPr>
        <w:spacing w:after="0" w:line="117" w:lineRule="exact"/>
        <w:rPr>
          <w:sz w:val="20"/>
          <w:szCs w:val="20"/>
          <w:color w:val="auto"/>
        </w:rPr>
      </w:pPr>
    </w:p>
    <w:p>
      <w:pPr>
        <w:ind w:left="1060" w:right="360" w:hanging="85"/>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62" w:lineRule="exact"/>
        <w:rPr>
          <w:rFonts w:ascii="Arial" w:cs="Arial" w:eastAsia="Arial" w:hAnsi="Arial"/>
          <w:sz w:val="18"/>
          <w:szCs w:val="18"/>
          <w:color w:val="auto"/>
        </w:rPr>
      </w:pPr>
    </w:p>
    <w:p>
      <w:pPr>
        <w:ind w:left="1060" w:right="180" w:hanging="85"/>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62" w:lineRule="exact"/>
        <w:rPr>
          <w:rFonts w:ascii="Arial" w:cs="Arial" w:eastAsia="Arial" w:hAnsi="Arial"/>
          <w:sz w:val="18"/>
          <w:szCs w:val="18"/>
          <w:color w:val="auto"/>
        </w:rPr>
      </w:pPr>
    </w:p>
    <w:p>
      <w:pPr>
        <w:ind w:left="1060" w:right="480" w:hanging="85"/>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62" w:lineRule="exact"/>
        <w:rPr>
          <w:rFonts w:ascii="Arial" w:cs="Arial" w:eastAsia="Arial" w:hAnsi="Arial"/>
          <w:sz w:val="18"/>
          <w:szCs w:val="18"/>
          <w:color w:val="auto"/>
        </w:rPr>
      </w:pPr>
    </w:p>
    <w:p>
      <w:pPr>
        <w:jc w:val="both"/>
        <w:ind w:left="1060" w:right="100" w:hanging="85"/>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73" w:lineRule="exact"/>
        <w:rPr>
          <w:rFonts w:ascii="Arial" w:cs="Arial" w:eastAsia="Arial" w:hAnsi="Arial"/>
          <w:sz w:val="18"/>
          <w:szCs w:val="18"/>
          <w:color w:val="auto"/>
        </w:rPr>
      </w:pPr>
    </w:p>
    <w:p>
      <w:pPr>
        <w:ind w:left="1060" w:hanging="85"/>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128" w:lineRule="exact"/>
        <w:rPr>
          <w:rFonts w:ascii="Arial" w:cs="Arial" w:eastAsia="Arial" w:hAnsi="Arial"/>
          <w:sz w:val="17"/>
          <w:szCs w:val="17"/>
          <w:color w:val="auto"/>
        </w:rPr>
      </w:pPr>
    </w:p>
    <w:p>
      <w:pPr>
        <w:ind w:left="1060" w:right="620" w:hanging="85"/>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62" w:lineRule="exact"/>
        <w:rPr>
          <w:rFonts w:ascii="Arial" w:cs="Arial" w:eastAsia="Arial" w:hAnsi="Arial"/>
          <w:sz w:val="18"/>
          <w:szCs w:val="18"/>
          <w:color w:val="auto"/>
        </w:rPr>
      </w:pPr>
    </w:p>
    <w:p>
      <w:pPr>
        <w:ind w:left="1060" w:right="200" w:hanging="85"/>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73" w:lineRule="exact"/>
        <w:rPr>
          <w:rFonts w:ascii="Arial" w:cs="Arial" w:eastAsia="Arial" w:hAnsi="Arial"/>
          <w:sz w:val="18"/>
          <w:szCs w:val="18"/>
          <w:color w:val="auto"/>
        </w:rPr>
      </w:pPr>
    </w:p>
    <w:p>
      <w:pPr>
        <w:ind w:left="1120" w:hanging="14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all Quarterly Reports on Form 10-Q;</w:t>
      </w:r>
    </w:p>
    <w:p>
      <w:pPr>
        <w:spacing w:after="0" w:line="117" w:lineRule="exact"/>
        <w:rPr>
          <w:rFonts w:ascii="Arial" w:cs="Arial" w:eastAsia="Arial" w:hAnsi="Arial"/>
          <w:sz w:val="18"/>
          <w:szCs w:val="18"/>
          <w:color w:val="auto"/>
        </w:rPr>
      </w:pPr>
    </w:p>
    <w:p>
      <w:pPr>
        <w:ind w:left="1060" w:hanging="85"/>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62" w:lineRule="exact"/>
        <w:rPr>
          <w:rFonts w:ascii="Arial" w:cs="Arial" w:eastAsia="Arial" w:hAnsi="Arial"/>
          <w:sz w:val="18"/>
          <w:szCs w:val="18"/>
          <w:color w:val="auto"/>
        </w:rPr>
      </w:pPr>
    </w:p>
    <w:p>
      <w:pPr>
        <w:ind w:left="1060" w:hanging="85"/>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128" w:lineRule="exact"/>
        <w:rPr>
          <w:rFonts w:ascii="Arial" w:cs="Arial" w:eastAsia="Arial" w:hAnsi="Arial"/>
          <w:sz w:val="17"/>
          <w:szCs w:val="17"/>
          <w:color w:val="auto"/>
        </w:rPr>
      </w:pPr>
    </w:p>
    <w:p>
      <w:pPr>
        <w:ind w:left="1060" w:right="480" w:hanging="85"/>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 and</w:t>
      </w:r>
    </w:p>
    <w:p>
      <w:pPr>
        <w:spacing w:after="0" w:line="62" w:lineRule="exact"/>
        <w:rPr>
          <w:rFonts w:ascii="Arial" w:cs="Arial" w:eastAsia="Arial" w:hAnsi="Arial"/>
          <w:sz w:val="18"/>
          <w:szCs w:val="18"/>
          <w:color w:val="auto"/>
        </w:rPr>
      </w:pPr>
    </w:p>
    <w:p>
      <w:pPr>
        <w:ind w:left="1060" w:hanging="85"/>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reviewing quarterly earnings releases as well as any other press releases containing financial information.</w:t>
      </w:r>
    </w:p>
    <w:p>
      <w:pPr>
        <w:spacing w:after="0" w:line="1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members of our audit committee are Charles A. Rowland, Jr., Lonnel Coats and Mark Goldberg. Mr. Rowland serves as chair of the audit committee. Our board of directors has determined that Mr. Rowland qualifies as an “audit committee financial expert” within the meaning of applicable SEC rules. The audit committee held five meetings during fiscal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committee’s responsibilities include:</w:t>
      </w:r>
    </w:p>
    <w:p>
      <w:pPr>
        <w:spacing w:after="0" w:line="117" w:lineRule="exact"/>
        <w:rPr>
          <w:sz w:val="20"/>
          <w:szCs w:val="20"/>
          <w:color w:val="auto"/>
        </w:rPr>
      </w:pPr>
    </w:p>
    <w:p>
      <w:pPr>
        <w:ind w:left="1060" w:right="280" w:hanging="85"/>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62" w:lineRule="exact"/>
        <w:rPr>
          <w:rFonts w:ascii="Arial" w:cs="Arial" w:eastAsia="Arial" w:hAnsi="Arial"/>
          <w:sz w:val="18"/>
          <w:szCs w:val="18"/>
          <w:color w:val="auto"/>
        </w:rPr>
      </w:pPr>
    </w:p>
    <w:p>
      <w:pPr>
        <w:ind w:left="1060" w:right="220" w:hanging="85"/>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determining the compensation of our chief executive officer;</w:t>
      </w:r>
    </w:p>
    <w:p>
      <w:pPr>
        <w:spacing w:after="0" w:line="62" w:lineRule="exact"/>
        <w:rPr>
          <w:rFonts w:ascii="Arial" w:cs="Arial" w:eastAsia="Arial" w:hAnsi="Arial"/>
          <w:sz w:val="18"/>
          <w:szCs w:val="18"/>
          <w:color w:val="auto"/>
        </w:rPr>
      </w:pPr>
    </w:p>
    <w:p>
      <w:pPr>
        <w:ind w:left="1060" w:hanging="85"/>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17" w:lineRule="exact"/>
        <w:rPr>
          <w:rFonts w:ascii="Arial" w:cs="Arial" w:eastAsia="Arial" w:hAnsi="Arial"/>
          <w:sz w:val="18"/>
          <w:szCs w:val="18"/>
          <w:color w:val="auto"/>
        </w:rPr>
      </w:pPr>
    </w:p>
    <w:p>
      <w:pPr>
        <w:ind w:left="1060" w:hanging="85"/>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1080" w:hanging="105"/>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60" w:hanging="85"/>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17" w:lineRule="exact"/>
        <w:rPr>
          <w:rFonts w:ascii="Arial" w:cs="Arial" w:eastAsia="Arial" w:hAnsi="Arial"/>
          <w:sz w:val="18"/>
          <w:szCs w:val="18"/>
          <w:color w:val="auto"/>
        </w:rPr>
      </w:pPr>
    </w:p>
    <w:p>
      <w:pPr>
        <w:ind w:left="1060" w:hanging="85"/>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 and</w:t>
      </w:r>
    </w:p>
    <w:p>
      <w:pPr>
        <w:spacing w:after="0" w:line="140" w:lineRule="exact"/>
        <w:rPr>
          <w:rFonts w:ascii="Arial" w:cs="Arial" w:eastAsia="Arial" w:hAnsi="Arial"/>
          <w:sz w:val="16"/>
          <w:szCs w:val="16"/>
          <w:color w:val="auto"/>
        </w:rPr>
      </w:pPr>
    </w:p>
    <w:p>
      <w:pPr>
        <w:ind w:left="1060" w:right="260" w:hanging="85"/>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members of our compensation committee are Charles A. Rowland, Jr., Mark Goldberg and Lynn Seely.</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Rowland serves as chair of the compensation committee. The compensation committee held 12 meetings during fiscal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060" w:hanging="85"/>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128" w:lineRule="exact"/>
        <w:rPr>
          <w:rFonts w:ascii="Arial" w:cs="Arial" w:eastAsia="Arial" w:hAnsi="Arial"/>
          <w:sz w:val="17"/>
          <w:szCs w:val="17"/>
          <w:color w:val="auto"/>
        </w:rPr>
      </w:pPr>
    </w:p>
    <w:p>
      <w:pPr>
        <w:ind w:left="1060" w:right="540" w:hanging="85"/>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shareholders;</w:t>
      </w:r>
    </w:p>
    <w:p>
      <w:pPr>
        <w:spacing w:after="0" w:line="62" w:lineRule="exact"/>
        <w:rPr>
          <w:rFonts w:ascii="Arial" w:cs="Arial" w:eastAsia="Arial" w:hAnsi="Arial"/>
          <w:sz w:val="18"/>
          <w:szCs w:val="18"/>
          <w:color w:val="auto"/>
        </w:rPr>
      </w:pPr>
    </w:p>
    <w:p>
      <w:pPr>
        <w:ind w:left="1060" w:hanging="85"/>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1060" w:hanging="85"/>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62" w:lineRule="exact"/>
        <w:rPr>
          <w:rFonts w:ascii="Arial" w:cs="Arial" w:eastAsia="Arial" w:hAnsi="Arial"/>
          <w:sz w:val="18"/>
          <w:szCs w:val="18"/>
          <w:color w:val="auto"/>
        </w:rPr>
      </w:pPr>
    </w:p>
    <w:p>
      <w:pPr>
        <w:ind w:left="1060" w:hanging="85"/>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set of corporate governance guidelines; and</w:t>
      </w:r>
    </w:p>
    <w:p>
      <w:pPr>
        <w:spacing w:after="0" w:line="128" w:lineRule="exact"/>
        <w:rPr>
          <w:rFonts w:ascii="Arial" w:cs="Arial" w:eastAsia="Arial" w:hAnsi="Arial"/>
          <w:sz w:val="17"/>
          <w:szCs w:val="17"/>
          <w:color w:val="auto"/>
        </w:rPr>
      </w:pPr>
    </w:p>
    <w:p>
      <w:pPr>
        <w:ind w:left="1080" w:hanging="105"/>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11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members of our nominating and corporate governance committee are George D. Demetri, Lonnel Coats and Nicholas Lydon. Dr. Demetri serves as chair of the nominating and corporate governance committee. The nominating and corporate governance committee held three meetings during fiscal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research and development committee’s responsibilities include providing:</w:t>
      </w:r>
    </w:p>
    <w:p>
      <w:pPr>
        <w:spacing w:after="0" w:line="117" w:lineRule="exact"/>
        <w:rPr>
          <w:sz w:val="20"/>
          <w:szCs w:val="20"/>
          <w:color w:val="auto"/>
        </w:rPr>
      </w:pPr>
    </w:p>
    <w:p>
      <w:pPr>
        <w:ind w:left="1060" w:right="420" w:hanging="85"/>
        <w:spacing w:after="0" w:line="308"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general oversight function regarding pre-clinical and clinical decision-making through a series of semi-annual pipeline reviews and in-depth assessments of select project strategies and plans;</w:t>
      </w:r>
    </w:p>
    <w:p>
      <w:pPr>
        <w:spacing w:after="0" w:line="38" w:lineRule="exact"/>
        <w:rPr>
          <w:rFonts w:ascii="Arial" w:cs="Arial" w:eastAsia="Arial" w:hAnsi="Arial"/>
          <w:sz w:val="17"/>
          <w:szCs w:val="17"/>
          <w:color w:val="auto"/>
        </w:rPr>
      </w:pPr>
    </w:p>
    <w:p>
      <w:pPr>
        <w:ind w:left="1060" w:right="240" w:hanging="85"/>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recommendations regarding key molecules in our discovery and development pipelines through reports and select in-depth project reviews;</w:t>
      </w:r>
    </w:p>
    <w:p>
      <w:pPr>
        <w:spacing w:after="0" w:line="62" w:lineRule="exact"/>
        <w:rPr>
          <w:rFonts w:ascii="Arial" w:cs="Arial" w:eastAsia="Arial" w:hAnsi="Arial"/>
          <w:sz w:val="18"/>
          <w:szCs w:val="18"/>
          <w:color w:val="auto"/>
        </w:rPr>
      </w:pPr>
    </w:p>
    <w:p>
      <w:pPr>
        <w:ind w:left="1060" w:right="40" w:hanging="85"/>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recommendations regarding our pipeline/portfolio balance from a scientific and clinical perspective, including new molecular entity versus new indication balance, mechanism balance, target balance and general risk balance;</w:t>
      </w:r>
    </w:p>
    <w:p>
      <w:pPr>
        <w:spacing w:after="0" w:line="73" w:lineRule="exact"/>
        <w:rPr>
          <w:rFonts w:ascii="Arial" w:cs="Arial" w:eastAsia="Arial" w:hAnsi="Arial"/>
          <w:sz w:val="18"/>
          <w:szCs w:val="18"/>
          <w:color w:val="auto"/>
        </w:rPr>
      </w:pPr>
    </w:p>
    <w:p>
      <w:pPr>
        <w:ind w:left="1060" w:hanging="85"/>
        <w:spacing w:after="0"/>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recommendations regarding key discovery and development strategies to align with our business needs; and</w:t>
      </w:r>
    </w:p>
    <w:p>
      <w:pPr>
        <w:spacing w:after="0" w:line="140" w:lineRule="exact"/>
        <w:rPr>
          <w:rFonts w:ascii="Arial" w:cs="Arial" w:eastAsia="Arial" w:hAnsi="Arial"/>
          <w:sz w:val="16"/>
          <w:szCs w:val="16"/>
          <w:color w:val="auto"/>
        </w:rPr>
      </w:pPr>
    </w:p>
    <w:p>
      <w:pPr>
        <w:ind w:left="1060" w:hanging="85"/>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feedback to the board of directors and to our research and development group.</w:t>
      </w:r>
    </w:p>
    <w:p>
      <w:pPr>
        <w:spacing w:after="0" w:line="11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members of our research and development committee are Nicholas Lydon, Alexis Borisy, George D. Demetri, Mark Goldberg and Lynn Seely. Dr. Lydon serves as chair of the research and development committee. The research and development committee held four meetings during fiscal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11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considering whether to recommend to our board of directors any particular candidate for inclusion in our board of directors’ slate of recommended director nominees, including candidates recommended by stockholders,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nominating and corporate governance committee of our board of directors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spacing w:after="0" w:line="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director biographies on pages 7 to 9 of this proxy statement indicate each nominee’s experience, qualifications, attributes and skills that led our nominating and corporate governance committee and our board of directors to conclude he should continue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5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do not have a policy (formal or informal) with respect to diversity, but we believe that our board of directors, taken as a whole, should embody a diverse set of skills, experiences and backgrounds. In this regard, our nominating and corporate governance committee and our board of directors also take into consideration the diversity (with respect to gender, race and national origin) of our board members but do not make any particular weighting of diversity or any other characteristic in evaluating nominees and directors. Our nominating and corporate governance committee’s and our board of directors’ priority in selecting board members is identification of persons who will further the interests of our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Nominations</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Blueprint Medicines Corporation, Attention: Nominating and Corporate Governance Committee, 38 Sidney Street, Suite 200,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spacing w:after="0" w:line="6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Stockholders also have the right under our bylaws to directly nominate director candidates, without any action or recommendation on the part of the nominating and corporate governance committee or our board of directors, by following the procedures set forth under “Stockholder Proposals for our 2018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an officer or employee of our company, and none of the members of our compensation committee has ever been an officer or employee of our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Certain information regarding our executive officers who are not also directors, as of April 15, 2017, is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Position(s)</w:t>
            </w:r>
          </w:p>
        </w:tc>
      </w:tr>
      <w:tr>
        <w:trPr>
          <w:trHeight w:val="195"/>
        </w:trPr>
        <w:tc>
          <w:tcPr>
            <w:tcW w:w="20" w:type="dxa"/>
            <w:vAlign w:val="bottom"/>
          </w:tcPr>
          <w:p>
            <w:pPr>
              <w:spacing w:after="0"/>
              <w:rPr>
                <w:sz w:val="16"/>
                <w:szCs w:val="16"/>
                <w:color w:val="auto"/>
              </w:rPr>
            </w:pPr>
          </w:p>
        </w:tc>
        <w:tc>
          <w:tcPr>
            <w:tcW w:w="3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L. Boral, M.D., Ph.D.</w:t>
            </w:r>
          </w:p>
        </w:tc>
        <w:tc>
          <w:tcPr>
            <w:tcW w:w="22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Medical Officer</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Marion Dorsch, Ph.D.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Kathryn Haviland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Michael Landsittel</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Tracey L. McCain, Esq.</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31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i w:val="1"/>
          <w:iCs w:val="1"/>
          <w:color w:val="auto"/>
        </w:rPr>
        <w:t xml:space="preserve">Anthony L. Boral, M.D., Ph.D. </w:t>
      </w:r>
      <w:r>
        <w:rPr>
          <w:rFonts w:ascii="Arial" w:cs="Arial" w:eastAsia="Arial" w:hAnsi="Arial"/>
          <w:sz w:val="16"/>
          <w:szCs w:val="16"/>
          <w:color w:val="auto"/>
        </w:rPr>
        <w:t>has served as our chief medical officer since January 2016 and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vice president, clinical development from February 2015 to December 2015. Prior to joining us, from November 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 Pharmaceuticals, Inc., or Millennium, a biotechnology company in Cambridge, Massachusetts, which is now a wholly-owned subsidiary of Takeda Pharmaceutical Company Limited, or Takeda, including as vice president of oncology clinical research from October 2007 to October 2010. At Millennium, Dr. Boral was responsible for various aspects of the development of VELCADE®, a first-in-class cancer therapy now approved to treat multiple myeloma and non-Hodgkin’s lymphoma. Dr. Boral received a B.A. from Wesleyan University, and an M.D. and a Ph.D. from the Albert Einstein College of Medicine, in New York.</w:t>
      </w:r>
    </w:p>
    <w:p>
      <w:pPr>
        <w:spacing w:after="0" w:line="6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Marion Dorsch, Ph.D. </w:t>
      </w:r>
      <w:r>
        <w:rPr>
          <w:rFonts w:ascii="Arial" w:cs="Arial" w:eastAsia="Arial" w:hAnsi="Arial"/>
          <w:sz w:val="18"/>
          <w:szCs w:val="18"/>
          <w:color w:val="auto"/>
        </w:rPr>
        <w:t>has served as our chief scientific officer since November 2016. Prior to joining us,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2012 to November 2016, Dr. Dorsch served as Vice President of Biology at Agios Pharmaceuticals, Inc., or Agios. In this role, she was responsible for novel target validation, drug discovery, and biomarker strategy across Agios’ cancer, rare genetic diseases and immuno-oncology portfolios. During her tenure at Agios, Dr. Dorsch contributed to the successful advancement of several molecules targeting defined genetic lesions into clinical trials. Prior to joining Agios, Dr. Dorsch was the Director of Cancer Biology at Sanofi Oncology, where she oversaw drug discovery efforts. Earlier in her career, Dr. Dorsch served as research project leader for sonidegib (Odomzo®), now approved in the United States and European Union for the treatment of locally advanced basal cell carcinoma, at the Novartis Institutes for Biomedical Research and also worked in Inflammation Discovery at Millennium Pharmaceuticals, Inc. Dr. Dorsch received her Ph.D. in Tumor Immunology from the Free University of Berlin, Germany and was a postdoctoral fellow at Columbia University in New York.</w:t>
      </w:r>
    </w:p>
    <w:p>
      <w:pPr>
        <w:spacing w:after="0" w:line="8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b w:val="1"/>
          <w:bCs w:val="1"/>
          <w:i w:val="1"/>
          <w:iCs w:val="1"/>
          <w:color w:val="auto"/>
        </w:rPr>
        <w:t xml:space="preserve">Kathryn Haviland </w:t>
      </w:r>
      <w:r>
        <w:rPr>
          <w:rFonts w:ascii="Arial" w:cs="Arial" w:eastAsia="Arial" w:hAnsi="Arial"/>
          <w:sz w:val="17"/>
          <w:szCs w:val="17"/>
          <w:color w:val="auto"/>
        </w:rPr>
        <w:t>has served as our chief business officer since January 2016. Prior to joining us, from April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December 2015, Ms. Haviland served as vice president, rare diseases and oncology program leadership at Idera Pharmaceuticals, Inc., or Idera,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where she was responsible for product development and commercial planning and for cultivating relationships with key opinion leaders and patient advocacy groups. In addition, Ms. Haviland previously served as executive director of commercial development at PTC Therapeutics, Inc. from April 2007 to June 2012 and held corporate development and project management roles at Genzyme from July 2005 to April 2007. Ms. Haviland received a B.A. from Wesleyan University with a double major in biochemistry/molecular biology and economics and an M.B.A. from Harvard Business School.</w:t>
      </w:r>
    </w:p>
    <w:p>
      <w:pPr>
        <w:spacing w:after="0" w:line="75" w:lineRule="exact"/>
        <w:rPr>
          <w:sz w:val="20"/>
          <w:szCs w:val="20"/>
          <w:color w:val="auto"/>
        </w:rPr>
      </w:pPr>
    </w:p>
    <w:p>
      <w:pPr>
        <w:jc w:val="both"/>
        <w:ind w:right="360" w:firstLine="648"/>
        <w:spacing w:after="0" w:line="288" w:lineRule="auto"/>
        <w:rPr>
          <w:sz w:val="20"/>
          <w:szCs w:val="20"/>
          <w:color w:val="auto"/>
        </w:rPr>
      </w:pPr>
      <w:r>
        <w:rPr>
          <w:rFonts w:ascii="Arial" w:cs="Arial" w:eastAsia="Arial" w:hAnsi="Arial"/>
          <w:sz w:val="16"/>
          <w:szCs w:val="16"/>
          <w:b w:val="1"/>
          <w:bCs w:val="1"/>
          <w:i w:val="1"/>
          <w:iCs w:val="1"/>
          <w:color w:val="auto"/>
        </w:rPr>
        <w:t xml:space="preserve">Michael Landsittel </w:t>
      </w:r>
      <w:r>
        <w:rPr>
          <w:rFonts w:ascii="Arial" w:cs="Arial" w:eastAsia="Arial" w:hAnsi="Arial"/>
          <w:sz w:val="16"/>
          <w:szCs w:val="16"/>
          <w:color w:val="auto"/>
        </w:rPr>
        <w:t>has served as our vice president, finance since February 2016 and previously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director, finance from September 2014 to February 2016. Prior to joining us, from October 2012 to July 2014, Mr. Landsittel served as senior director, finance at Algeta Prior to his time at Algeta, from March 2012 to October 2012, Mr.</w:t>
      </w:r>
    </w:p>
    <w:p>
      <w:pPr>
        <w:ind w:right="140"/>
        <w:spacing w:after="0" w:line="253" w:lineRule="auto"/>
        <w:rPr>
          <w:sz w:val="20"/>
          <w:szCs w:val="20"/>
          <w:color w:val="auto"/>
        </w:rPr>
      </w:pPr>
      <w:r>
        <w:rPr>
          <w:rFonts w:ascii="Arial" w:cs="Arial" w:eastAsia="Arial" w:hAnsi="Arial"/>
          <w:sz w:val="18"/>
          <w:szCs w:val="18"/>
          <w:color w:val="auto"/>
        </w:rPr>
        <w:t>Landsittel served as director, finance at Infinity Pharmaceuticals, Inc., and from August 2002 to March 2012, Mr. Landsittel held various business development and strategic planning roles of increasing responsibility at Genzyme, including most recently as director, business planning. Mr. Landsittel began his career at Arthur Andersen LLP, and he earned his certified public accountant license in Illinois. Mr. Landsittel received a B.B.A from the University of Michigan and an M.B.A. from the Tuck School of Business at Dartmouth College.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Tracey L. McCain, Esq. </w:t>
      </w:r>
      <w:r>
        <w:rPr>
          <w:rFonts w:ascii="Arial" w:cs="Arial" w:eastAsia="Arial" w:hAnsi="Arial"/>
          <w:sz w:val="17"/>
          <w:szCs w:val="17"/>
          <w:color w:val="auto"/>
        </w:rPr>
        <w:t>has served as our executive vice president and chief legal officer since September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us, from January 2016 to September 2016, Ms. McCain served as Senior Vice President and Head of Legal of Sanofi Genzyme, a global business unit of Sanofi. Ms. McCain held roles of increasing responsibility after joining Genzyme Corporation, or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Prior to joining Genzyme, Ms. McCain was an associate at the law firm Palmer &amp; Dodge LLP. Ms. McCain holds a B.A. from the University of Pennsylvania with a major in political science and a J.D. from Columbia University School of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This section discusses the material elements of our executive compensation policies for our “named executive officers” and the most important factors relevant to an analysis of these policies. For 2016, our named executive officers are Jeffrey W. Albers, our president and chief executive officer, and our two other most highly compensated executive officers, Marion Dorsch, Ph.D., our chief scientific officer, and Tracey L. McCain, our chief legal officer. In addition, this section provides qualitative information regarding the manner and context in which compensation is awarded to and earned by our named executive officers and is intended to place in perspective the data presented in the following tables and the corresponding narrative.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sets forth information regarding compensation earned by each of our named executive officers during the years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Non-equity</w:t>
            </w: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Year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0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Jeffrey W. Albers (4)</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20"/>
              <w:spacing w:after="0" w:line="123" w:lineRule="exact"/>
              <w:rPr>
                <w:sz w:val="20"/>
                <w:szCs w:val="20"/>
                <w:color w:val="auto"/>
              </w:rPr>
            </w:pPr>
            <w:r>
              <w:rPr>
                <w:rFonts w:ascii="Arial" w:cs="Arial" w:eastAsia="Arial" w:hAnsi="Arial"/>
                <w:sz w:val="14"/>
                <w:szCs w:val="14"/>
                <w:color w:val="auto"/>
                <w:w w:val="96"/>
              </w:rPr>
              <w:t>2016</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476,827</w:t>
            </w:r>
          </w:p>
        </w:tc>
        <w:tc>
          <w:tcPr>
            <w:tcW w:w="180" w:type="dxa"/>
            <w:vAlign w:val="bottom"/>
            <w:tcBorders>
              <w:top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3"/>
              </w:rPr>
              <w:t>(5)</w:t>
            </w: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1,407,644</w:t>
            </w:r>
          </w:p>
        </w:tc>
        <w:tc>
          <w:tcPr>
            <w:tcW w:w="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273,125</w:t>
            </w:r>
          </w:p>
        </w:tc>
        <w:tc>
          <w:tcPr>
            <w:tcW w:w="1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9,000</w:t>
            </w:r>
          </w:p>
        </w:tc>
        <w:tc>
          <w:tcPr>
            <w:tcW w:w="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2,166,596</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2015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416,667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698,776</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210,375</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1,325,818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Marion Dorsch, Ph.D. (6)</w:t>
            </w:r>
          </w:p>
        </w:tc>
        <w:tc>
          <w:tcPr>
            <w:tcW w:w="520" w:type="dxa"/>
            <w:vAlign w:val="bottom"/>
            <w:gridSpan w:val="2"/>
          </w:tcPr>
          <w:p>
            <w:pPr>
              <w:ind w:left="200"/>
              <w:spacing w:after="0" w:line="130" w:lineRule="exact"/>
              <w:rPr>
                <w:sz w:val="20"/>
                <w:szCs w:val="20"/>
                <w:color w:val="auto"/>
              </w:rPr>
            </w:pPr>
            <w:r>
              <w:rPr>
                <w:rFonts w:ascii="Arial" w:cs="Arial" w:eastAsia="Arial" w:hAnsi="Arial"/>
                <w:sz w:val="14"/>
                <w:szCs w:val="14"/>
                <w:color w:val="auto"/>
                <w:w w:val="96"/>
              </w:rPr>
              <w:t>2016</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40,962</w:t>
            </w:r>
          </w:p>
        </w:tc>
        <w:tc>
          <w:tcPr>
            <w:tcW w:w="18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150,000</w:t>
            </w:r>
          </w:p>
        </w:tc>
        <w:tc>
          <w:tcPr>
            <w:tcW w:w="3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w w:val="93"/>
              </w:rPr>
              <w:t>(7)</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2,691,326</w:t>
            </w:r>
          </w:p>
        </w:tc>
        <w:tc>
          <w:tcPr>
            <w:tcW w:w="140" w:type="dxa"/>
            <w:vAlign w:val="bottom"/>
          </w:tcPr>
          <w:p>
            <w:pPr>
              <w:spacing w:after="0"/>
              <w:rPr>
                <w:sz w:val="11"/>
                <w:szCs w:val="11"/>
                <w:color w:val="auto"/>
              </w:rPr>
            </w:pPr>
          </w:p>
        </w:tc>
        <w:tc>
          <w:tcPr>
            <w:tcW w:w="11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2,882,288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Scientific Officer</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Tracey L. McCain (8)</w:t>
            </w:r>
          </w:p>
        </w:tc>
        <w:tc>
          <w:tcPr>
            <w:tcW w:w="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96"/>
              </w:rPr>
              <w:t>2016</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130,846</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100,000</w:t>
            </w:r>
          </w:p>
        </w:tc>
        <w:tc>
          <w:tcPr>
            <w:tcW w:w="3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w w:val="93"/>
              </w:rPr>
              <w:t>(9)</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1,843,220</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50,117</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2,124,184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Legal Officer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right="140" w:hanging="217"/>
        <w:spacing w:after="0" w:line="234"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awards granted to our named executive officers in 2016 and 2015, respectively, computed in accordance with the Financial Accounting Standards Board Accounting Standards Codification Topic 718, or FASB ASC Topic 718. See Note 11 to the audited consolidated financial statements in our Annual Report on Form 10-K for the year ended December 31, 2016 regarding assumptions underlying the valuation of equity awards.</w:t>
      </w:r>
    </w:p>
    <w:p>
      <w:pPr>
        <w:spacing w:after="0" w:line="74" w:lineRule="exact"/>
        <w:rPr>
          <w:rFonts w:ascii="Arial" w:cs="Arial" w:eastAsia="Arial" w:hAnsi="Arial"/>
          <w:sz w:val="14"/>
          <w:szCs w:val="14"/>
          <w:color w:val="auto"/>
        </w:rPr>
      </w:pPr>
    </w:p>
    <w:p>
      <w:pPr>
        <w:ind w:left="220" w:right="100" w:hanging="217"/>
        <w:spacing w:after="0" w:line="238"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represent awards to our named executive officers under our annual performance-based cash incentive program. See “Annual Performance-based Cash Incentives” for a description of that program. Annual cash incentive compensation for 2016 was earned in 2016 and paid in 2017, and annual cash incentive compensation for 2015 was earned in 2015 and paid in 2016.</w:t>
      </w:r>
    </w:p>
    <w:p>
      <w:pPr>
        <w:spacing w:after="0" w:line="74" w:lineRule="exact"/>
        <w:rPr>
          <w:rFonts w:ascii="Arial" w:cs="Arial" w:eastAsia="Arial" w:hAnsi="Arial"/>
          <w:sz w:val="14"/>
          <w:szCs w:val="14"/>
          <w:color w:val="auto"/>
        </w:rPr>
      </w:pPr>
    </w:p>
    <w:p>
      <w:pPr>
        <w:ind w:left="320" w:hanging="317"/>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represent the dollar value of matching contributions to the qualified 401(k) plan.</w:t>
      </w:r>
    </w:p>
    <w:p>
      <w:pPr>
        <w:spacing w:after="0" w:line="95" w:lineRule="exact"/>
        <w:rPr>
          <w:rFonts w:ascii="Arial" w:cs="Arial" w:eastAsia="Arial" w:hAnsi="Arial"/>
          <w:sz w:val="14"/>
          <w:szCs w:val="14"/>
          <w:color w:val="auto"/>
        </w:rPr>
      </w:pPr>
    </w:p>
    <w:p>
      <w:pPr>
        <w:ind w:left="240" w:hanging="237"/>
        <w:spacing w:after="0"/>
        <w:tabs>
          <w:tab w:leader="none" w:pos="2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Albers also serves as a member of our board of directors but does not receive any additional compensation for his service as a director.</w:t>
      </w:r>
    </w:p>
    <w:p>
      <w:pPr>
        <w:spacing w:after="0" w:line="95" w:lineRule="exact"/>
        <w:rPr>
          <w:rFonts w:ascii="Arial" w:cs="Arial" w:eastAsia="Arial" w:hAnsi="Arial"/>
          <w:sz w:val="14"/>
          <w:szCs w:val="14"/>
          <w:color w:val="auto"/>
        </w:rPr>
      </w:pPr>
    </w:p>
    <w:p>
      <w:pPr>
        <w:ind w:left="220" w:right="80" w:hanging="217"/>
        <w:spacing w:after="0" w:line="253"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2016, all of our employees, including our chief executive officer, received an extra payroll payment in the first quarter of 2016 equal to the employee’s 2016 daily pay rate times one day, less applicable taxes and withholding, due to 2016 being a leap year.</w:t>
      </w:r>
    </w:p>
    <w:p>
      <w:pPr>
        <w:spacing w:after="0" w:line="65" w:lineRule="exact"/>
        <w:rPr>
          <w:rFonts w:ascii="Arial" w:cs="Arial" w:eastAsia="Arial" w:hAnsi="Arial"/>
          <w:sz w:val="14"/>
          <w:szCs w:val="14"/>
          <w:color w:val="auto"/>
        </w:rPr>
      </w:pPr>
    </w:p>
    <w:p>
      <w:pPr>
        <w:ind w:left="380" w:hanging="377"/>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Dr. Dorsch joined our company as chief scientific officer in November 2016.</w:t>
      </w:r>
    </w:p>
    <w:p>
      <w:pPr>
        <w:spacing w:after="0" w:line="95" w:lineRule="exact"/>
        <w:rPr>
          <w:rFonts w:ascii="Arial" w:cs="Arial" w:eastAsia="Arial" w:hAnsi="Arial"/>
          <w:sz w:val="14"/>
          <w:szCs w:val="14"/>
          <w:color w:val="auto"/>
        </w:rPr>
      </w:pPr>
    </w:p>
    <w:p>
      <w:pPr>
        <w:ind w:left="220" w:hanging="217"/>
        <w:spacing w:after="0"/>
        <w:tabs>
          <w:tab w:leader="none" w:pos="2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 represents a cash signing bonus of $150,000 paid to Dr. Dorsch in connection with the commencement of her employment in November 2016.</w:t>
      </w:r>
    </w:p>
    <w:p>
      <w:pPr>
        <w:spacing w:after="0" w:line="107" w:lineRule="exact"/>
        <w:rPr>
          <w:rFonts w:ascii="Arial" w:cs="Arial" w:eastAsia="Arial" w:hAnsi="Arial"/>
          <w:sz w:val="13"/>
          <w:szCs w:val="13"/>
          <w:color w:val="auto"/>
        </w:rPr>
      </w:pPr>
    </w:p>
    <w:p>
      <w:pPr>
        <w:ind w:left="400" w:hanging="397"/>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McCain joined our company as chief legal officer in September 2016.</w:t>
      </w:r>
    </w:p>
    <w:p>
      <w:pPr>
        <w:spacing w:after="0" w:line="95" w:lineRule="exact"/>
        <w:rPr>
          <w:rFonts w:ascii="Arial" w:cs="Arial" w:eastAsia="Arial" w:hAnsi="Arial"/>
          <w:sz w:val="14"/>
          <w:szCs w:val="14"/>
          <w:color w:val="auto"/>
        </w:rPr>
      </w:pPr>
    </w:p>
    <w:p>
      <w:pPr>
        <w:ind w:left="220" w:hanging="217"/>
        <w:spacing w:after="0"/>
        <w:tabs>
          <w:tab w:leader="none" w:pos="2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 represents a cash signing bonus of $100,000 paid to Ms. McCain in connection with the commencement of her employment in September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describes the material terms of the elements of our executive compensation program for our named executive officers during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as of January 1, 2015, our board of directors increased Mr. Albers’ annual base salary to $400,000,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the closing of our initial public offering in May 2015, our board of directors increased Mr. Albers’ annual base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salary to $425,000. Effective as of January 1, 2016, our board of directors increased Mr. Albers’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$475,000, and effective as of January 1, 2017, the compensation committee of our board of directors increased Mr. Albers’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base salary to $515,375. Dr. Dorsch’s annual base salary was set at $355,000 when she joined our company as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scientific officer in November 2016. Ms. McCain’s annual base salary was set at $405,000 when she joined our company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in September 2016. Effective as of January 1, 2017, the compensation committee of our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Ms. McCain’s annual base salary to $408,861.</w:t>
      </w:r>
    </w:p>
    <w:p>
      <w:pPr>
        <w:spacing w:after="0" w:line="103" w:lineRule="exact"/>
        <w:rPr>
          <w:sz w:val="20"/>
          <w:szCs w:val="20"/>
          <w:color w:val="auto"/>
        </w:rPr>
      </w:pPr>
    </w:p>
    <w:p>
      <w:pPr>
        <w:ind w:right="700" w:firstLine="648"/>
        <w:spacing w:after="0" w:line="312"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w:t>
      </w: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salary. However, on an annual basis, the compensation committee of our board of directors reviews and evaluates, with input from our chief executive officer, the need for adjustment of the base salaries of our executive officers (other than our chief executive officer), and our board of directors reviews and evaluates the need for adjustment of the base salary of our chief executive officers, in each case,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117"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Our board of directors has adopted a senior executive cash incentive bonus plan, or the executive bonus plan, which provides for cash bonus payments to eligible executives based upon the attainment of performance targets established by the compensation committee of our board of directors for each executive. The payment targets are related to individual performance measures or objectives, which we refer to as individual performance goals, and corporate financial and operational measures or objectives, which we refer to as corporate performance goals. Under the executive bonus plan, the corporate performance goals selected by the compensation committee of our board of directors may include, but are not limited to, one or more of the following: cash flow, including, but not limited to, operating cash flow and free cash flow; sales or revenue; corporate revenue; earnings before interest, taxes, depreciation and amortization; net income, either before or after interest, taxes, depreciation and/or amortization; changes in the market price of our common stock; economic value-added; development, clinical or regulatory milestones; acquisitions or strategic transactions; operating income; return on capital, assets, equity, or investment; stockholder returns; return on sales; gross or net profit levels; productivity; expense efficiency; margins; operating efficiency; customer satisfaction; working capital; earnings per share of our common stock; bookings, new bookings or renewals; sales or market shares; number of customers; number of new customers or customer references; operating income and/or net annual recurring revenue, any of which may be measured in absolute terms or compared to any incremental increase, in terms of growth, as compared to another company or companies or to results of a peer group, against the market as a whole, compared to applicable market indices and/or measured on a pre-tax or post-tax basis.</w:t>
      </w:r>
    </w:p>
    <w:p>
      <w:pPr>
        <w:spacing w:after="0" w:line="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Each executive officer who is selected to participate in the executive bonus plan has a target bonus opportunity set for each performance period. The bonus formulas adopted for each performance period by the compensation committee of our board of directors and communicated to each executive. The corporate performance goals will be measured at the end of each performance period after our financial reports have been published. If the corporate performance goals and individual performance goals are met, payments will be made as soon as practicable following the end of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w:t>
      </w:r>
    </w:p>
    <w:p>
      <w:pPr>
        <w:spacing w:after="0" w:line="58"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Each of our named executive officers is eligible to participate in the executive bonus plan. Mr. Albers’ target bonus opportunity is based solely on corporate performance goals, and the target bonus opportunity for each of Dr. Dorsch and Ms. McCain is based on individual performance goals and corporate performance goals. For 2015, Mr. Albers was eligible for a performance bonus of up to 45% of his base salary. In February 2016, our board of directors awarded a bonus to Mr. Albers in the amount of $210,375 based on our performance as a company for 2015.</w:t>
      </w:r>
    </w:p>
    <w:p>
      <w:pPr>
        <w:spacing w:after="0" w:line="6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2016, Mr. Albers was eligible for a performance bonus of up to 50% of his base salary. In February 2017, the compensation committee of our board of directors awarded a bonus to Mr. Albers in the amount of $273,125 based on our performance as a company for 2016. For 2016, Ms. McCain was eligible for a performance bonus of up to 35% of her base salary. In February 2017, the compensation committee of our board of directors awarded a bonus to Ms. McCain in the amount of $50,117, which was pro-rated based on the commencement of her employment with us in September 2016, based on her individual performance and our performance as a company for 2016. In addition, Ms. McCain received a signing bonus of $100,000 following the commencement of her employment with us in September 2016. For 2016, Dr. Dorsch was not eligible for a performance bonus based on the commencement of her employment with us in November 2016. Dr. Dorsch received a signing bonus of $150,000 following the commencement of her employment with us in November 2016.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Awards</w:t>
      </w:r>
    </w:p>
    <w:p>
      <w:pPr>
        <w:spacing w:after="0" w:line="11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or restricted stock unit awards.</w:t>
      </w:r>
    </w:p>
    <w:p>
      <w:pPr>
        <w:spacing w:after="0" w:line="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part of its annual compensation review, in February 2015, our board of directors awarded Mr. Albers an option to purchase 109,090 shares of common stock, and in February 2016, our board of directors awarded Mr. Albers an option to purchase 140,000 shares of common stock. In November 2016, in connection with Dr. Dorsch’s commencement of employment with us, our board of directors awarded Dr. Dorsch an option to purchase 110,000 shares of common stock. In September 2016, in connection with Ms. McCain’s commencement of employment with us, our board of directors awarded Ms. McCain an option to purchase 100,000 shares of common stock. All of these awards are subject to time-based vesting. See “—Outstanding Equity Awards at December 31, 2016”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named executive officers are eligible to participate in all of our employee benefit plans, including our medical, dental, vision, life and disability insurance plans and commuting benefits plan, in each case, on the same basis as other employees.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maintain a 401(k) plan that is intended to qualify under Section 401(k) of the Internal Revenue Service Code of 1986, as amended. In general, all of our employees, including our named executive officers, are eligible to participate in the 401(k) plan. Under the 401(k) plan, employees may elect to reduce their current compensation by up to the statutorily prescribed annual limit, equal to $18,000 in 2016, and to have the amount of such reduction contributed to the 401(k) plan. We currently match 50% of an employee’s 401(k) contributions up to a maximum of 3% of the participant’s compensation. Matching contributions are 100% vested immediately. Matching contributions made to each of our named executive officers are included in the “Summary Compensation Table”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2016</w:t>
      </w:r>
    </w:p>
    <w:p>
      <w:pPr>
        <w:spacing w:after="0" w:line="12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for each of our named executive officers at December 31,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Unexercisable(1)</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53,475</w:t>
            </w: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7/30/2024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42,845</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7/30/2024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106,950</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7/30/2024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49,999</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59,091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2/10/2025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29,166</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110,834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gridSpan w:val="2"/>
          </w:tcPr>
          <w:p>
            <w:pPr>
              <w:spacing w:after="0"/>
              <w:rPr>
                <w:sz w:val="20"/>
                <w:szCs w:val="20"/>
                <w:color w:val="auto"/>
              </w:rPr>
            </w:pPr>
            <w:r>
              <w:rPr>
                <w:rFonts w:ascii="Arial" w:cs="Arial" w:eastAsia="Arial" w:hAnsi="Arial"/>
                <w:sz w:val="16"/>
                <w:szCs w:val="16"/>
                <w:color w:val="auto"/>
              </w:rPr>
              <w:t>Marion Dorsch, Ph.D.</w:t>
            </w:r>
          </w:p>
        </w:tc>
        <w:tc>
          <w:tcPr>
            <w:tcW w:w="1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w w:val="91"/>
              </w:rPr>
              <w:t>(6)</w:t>
            </w:r>
          </w:p>
        </w:tc>
        <w:tc>
          <w:tcPr>
            <w:tcW w:w="1120" w:type="dxa"/>
            <w:vAlign w:val="bottom"/>
          </w:tcPr>
          <w:p>
            <w:pPr>
              <w:jc w:val="right"/>
              <w:spacing w:after="0"/>
              <w:rPr>
                <w:sz w:val="20"/>
                <w:szCs w:val="20"/>
                <w:color w:val="auto"/>
              </w:rPr>
            </w:pPr>
            <w:r>
              <w:rPr>
                <w:rFonts w:ascii="Arial" w:cs="Arial" w:eastAsia="Arial" w:hAnsi="Arial"/>
                <w:sz w:val="16"/>
                <w:szCs w:val="16"/>
                <w:color w:val="auto"/>
              </w:rPr>
              <w:t>110,000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580" w:type="dxa"/>
            <w:vAlign w:val="bottom"/>
          </w:tcPr>
          <w:p>
            <w:pPr>
              <w:jc w:val="right"/>
              <w:spacing w:after="0"/>
              <w:rPr>
                <w:sz w:val="20"/>
                <w:szCs w:val="20"/>
                <w:color w:val="auto"/>
              </w:rPr>
            </w:pPr>
            <w:r>
              <w:rPr>
                <w:rFonts w:ascii="Arial" w:cs="Arial" w:eastAsia="Arial" w:hAnsi="Arial"/>
                <w:sz w:val="16"/>
                <w:szCs w:val="16"/>
                <w:color w:val="auto"/>
              </w:rPr>
              <w:t>37.11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11/21/2026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Tracey L. McCain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10/3/2026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right="320" w:hanging="217"/>
        <w:spacing w:after="0" w:line="249" w:lineRule="auto"/>
        <w:tabs>
          <w:tab w:leader="none" w:pos="2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Pursuant to the terms of each named executive officer’s employment agreement, if such named executive officer’s employment is terminated by us without cause, or the named executive officer terminates his employment with us for good reason, in either case within 12 months following the occurrence of a sale event (as defined in the employment agreement), all unvested shares underlying time-based stock options and other time-based stock-based awards will accelerate and become vested and exercisable; provided that, if any stock options or other stock-based awards held by such named executive officer prior to the effective date of such named executive officer’s employment agreement has accelerated vesting terms more favorable to the executive, then the vesting terms of such stock options or other stock-based awards shall apply.</w:t>
      </w:r>
    </w:p>
    <w:p>
      <w:pPr>
        <w:spacing w:after="0" w:line="55" w:lineRule="exact"/>
        <w:rPr>
          <w:rFonts w:ascii="Arial" w:cs="Arial" w:eastAsia="Arial" w:hAnsi="Arial"/>
          <w:sz w:val="13"/>
          <w:szCs w:val="13"/>
          <w:color w:val="auto"/>
        </w:rPr>
      </w:pPr>
    </w:p>
    <w:p>
      <w:pPr>
        <w:ind w:left="220" w:right="80" w:hanging="217"/>
        <w:spacing w:after="0" w:line="231"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option vests as follows: (i) 42,845 shares vested in four installments at a rate of 6,974 shares on September 21, 2016, and 11,957 shares on each of October 21, 2016 and November 21, 2016, and 11,957 on December 21, 2016; (ii) 90,010 shares vest in eight installments at a rate of 6,311 shares on May 21, 2017 and 11,957 shares on each of June 21, 2017, July 21, 2017, August 21, 2017, September 21, 2017, October 21, 2017, November 21, 2017 and December 21, 2017; and (iii) 30,225 shares vest in three installments at a rate of 6,311 shares on May 21, 2018, 11,957 shares on June 21, 2018 and 11,957 shares on July 21, 2018.</w:t>
      </w:r>
    </w:p>
    <w:p>
      <w:pPr>
        <w:spacing w:after="0" w:line="76" w:lineRule="exact"/>
        <w:rPr>
          <w:rFonts w:ascii="Arial" w:cs="Arial" w:eastAsia="Arial" w:hAnsi="Arial"/>
          <w:sz w:val="14"/>
          <w:szCs w:val="14"/>
          <w:color w:val="auto"/>
        </w:rPr>
      </w:pPr>
    </w:p>
    <w:p>
      <w:pPr>
        <w:ind w:left="220" w:hanging="217"/>
        <w:spacing w:after="0" w:line="229"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option vested as to (i) 53,475 shares in five installments at a rate of 11,957 shares on each of August 21, 2015, September 21, 2015, October 21, 2015 and November 21, 2015 and 5,647 shares on December 21, 2015, (ii) 47,828 shares in four installments at a rate of 11,957 shares on each of January 21, 2016, February 21, 2016, March 21, 2016 and April 21, 2016 and (iii) 5,648 shares on May 21, 2016, and vests as to (i) 53,476 shares in five installments at a rate of 11,957 shares on each of January 21, 2017, February 21, 2017, March 21, 2017 and April 21, 2017 and 5,648 shares on May 21, 2017 and (ii) 53,476 shares in five installments at a rate of 11,957 shares on each of January 21, 2018, February 21, 2018, March 21, 2018 and April 21, 2018 and 5,648 shares on May 21, 2018.</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20" w:right="620" w:hanging="217"/>
        <w:spacing w:after="0" w:line="253"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option vested with respect to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on March 10, 2015 and vests as to an additional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each month thereafter through February 10, 2019.</w:t>
      </w:r>
    </w:p>
    <w:p>
      <w:pPr>
        <w:spacing w:after="0" w:line="52" w:lineRule="exact"/>
        <w:rPr>
          <w:rFonts w:ascii="Arial" w:cs="Arial" w:eastAsia="Arial" w:hAnsi="Arial"/>
          <w:sz w:val="14"/>
          <w:szCs w:val="14"/>
          <w:color w:val="auto"/>
        </w:rPr>
      </w:pPr>
    </w:p>
    <w:p>
      <w:pPr>
        <w:ind w:left="220" w:right="20" w:hanging="217"/>
        <w:spacing w:after="0" w:line="253"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option vested with respect to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on March 3, 2016 and vests as to an additional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each month thereafter through February 3, 2020.</w:t>
      </w:r>
    </w:p>
    <w:p>
      <w:pPr>
        <w:spacing w:after="0" w:line="65" w:lineRule="exact"/>
        <w:rPr>
          <w:rFonts w:ascii="Arial" w:cs="Arial" w:eastAsia="Arial" w:hAnsi="Arial"/>
          <w:sz w:val="14"/>
          <w:szCs w:val="14"/>
          <w:color w:val="auto"/>
        </w:rPr>
      </w:pPr>
    </w:p>
    <w:p>
      <w:pPr>
        <w:ind w:left="220" w:right="500" w:hanging="217"/>
        <w:spacing w:after="0" w:line="253"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option vests with respect to 25% of the shares underlying the option on November 21, 2017 and vests as to an additional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each month thereafter through November 21, 2020.</w:t>
      </w:r>
    </w:p>
    <w:p>
      <w:pPr>
        <w:spacing w:after="0" w:line="65" w:lineRule="exact"/>
        <w:rPr>
          <w:rFonts w:ascii="Arial" w:cs="Arial" w:eastAsia="Arial" w:hAnsi="Arial"/>
          <w:sz w:val="14"/>
          <w:szCs w:val="14"/>
          <w:color w:val="auto"/>
        </w:rPr>
      </w:pPr>
    </w:p>
    <w:p>
      <w:pPr>
        <w:ind w:left="220" w:right="580" w:hanging="217"/>
        <w:spacing w:after="0" w:line="253"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option vests with respect to 25% of the shares underlying the option on September 6, 2017 and vests as to an additional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each month thereafter through September 6,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Arrangements</w:t>
      </w:r>
    </w:p>
    <w:p>
      <w:pPr>
        <w:spacing w:after="0" w:line="12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entered into employment agreements with each of our named executive officers in connection with their employment with us. These employment agreements provide for “at will” employment. Such employment agreements established the named executive officer’s title, initial compensation arrangements and eligibility to participate in the employee benefit plans generally available to full-time employees, subject to the terms of those plans. We have also agreed to provide the following benefits under the employment agreements with each of our named executive officers.</w:t>
      </w:r>
    </w:p>
    <w:p>
      <w:pPr>
        <w:spacing w:after="0" w:line="5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Jeffrey W. Albers. </w:t>
      </w:r>
      <w:r>
        <w:rPr>
          <w:rFonts w:ascii="Arial" w:cs="Arial" w:eastAsia="Arial" w:hAnsi="Arial"/>
          <w:sz w:val="16"/>
          <w:szCs w:val="16"/>
          <w:color w:val="auto"/>
        </w:rPr>
        <w:t>If Mr. Albers’ employment is terminated by us without cause (as defined in his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or by Mr. Albers for good reason (as defined in his employment agreement), and subject to Mr. Albers’ execution of a release of potential claims against us, Mr. Albers will be entitled to receive: (i) a lump sum in cash in an amount equal to 12 months of base salary then in effect and (ii) a monthly cash payment for 12 months for medical and dental benefits or Mr. Albers’ COBRA health continuation period, whichever ends earlier. However,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sum of 18 months of Mr. Albers’ base salary then in effect plus one-and-one half times Mr. Albers’ target annual incentive compensation for the year in which the termination occurs, (ii) a monthly cash payment for 18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Marion Dorsch, Ph.D. </w:t>
      </w:r>
      <w:r>
        <w:rPr>
          <w:rFonts w:ascii="Arial" w:cs="Arial" w:eastAsia="Arial" w:hAnsi="Arial"/>
          <w:sz w:val="16"/>
          <w:szCs w:val="16"/>
          <w:color w:val="auto"/>
        </w:rPr>
        <w:t>If Dr. Dorsch’s employment is terminated by us without cause (as defined in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agreement) or by Dr. Dorsch for good reason (as defined in her employment agreement), and subject to Dr. Dorsch’s execution of a release of potential claims against us, Dr. Dorsch will be entitled to receive: (i) a lump sum in cash in an amount equal to 12 months of base salary then in effect and (ii) a monthly cash payment for 12 months for medical and dental benefits or Dr. Dorsch’s COBRA health continuation period, whichever ends earlier. However, in the event that Dr. Dorsch’s employment is terminated by us without cause, or Dr. Dorsch terminates her employment with us for good reason, in either case within 12 months following the occurrence of a sale event (as defined in her employment agreement), in lieu of the severance payments and benefits described in the preceding sentence and subject to Dr. Dorsch’s execution of a release of potential claims against us, Dr. Dorsch will be entitled to receive: (i) a lump sum in cash in an amount equal to the sum of 12 months of Dr. Dorsch’s base salary then in effect plus Dr. Dorsch’s target annual incentive compensation for the year in which the termination occurs, (ii) a monthly cash payment for 12 months for medical and dental benefits or Dr. Dorsch’s COBRA health continuation period, whichever ends earlier, and (iii) full and immediate vesting and exercisability of all time-based stock options and other time-based stock-based awards held by Dr. Dorsch.</w:t>
      </w:r>
    </w:p>
    <w:p>
      <w:pPr>
        <w:spacing w:after="0" w:line="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Tracey L. McCain. </w:t>
      </w:r>
      <w:r>
        <w:rPr>
          <w:rFonts w:ascii="Arial" w:cs="Arial" w:eastAsia="Arial" w:hAnsi="Arial"/>
          <w:sz w:val="17"/>
          <w:szCs w:val="17"/>
          <w:color w:val="auto"/>
        </w:rPr>
        <w:t>If Ms. McCain’s employment is terminated by us without cause (as defined in her employment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or by Ms. McCain for good reason (as defined in her employment agreement), and subject to Ms. McCain’s execution of a release of potential claims against us, Ms. McCain will be entitled to receive: (i) a lump sum in cash in an amount equal to 12 months of base salary then in effect and (ii) a monthly cash payment for 12 months for medical and dental benefits or Ms. McCain’s COBRA health continuation period, whichever ends earlier. However, in the event that Ms. McCain’s employment is terminated by us without cause, or Ms. McCain terminates her employment with us for good reason, in either case within 12 months following the occurrence of a sale event (as defined in her employment agreement), in lieu of the severance payments and benefits described in the preceding sentence and subject to Ms. McCain’s execution of a release of potential claims against us, Ms. McCain will be entitled to receive: (i) a lump sum in cash in an amount equal to the sum of 12 months of Ms. McCain’s base salary then in effect plus Ms. McCain’s target annual incentive compensation for the year in which the termination occurs, (ii) a monthly cash payment for 12 months for medical and dental benefits or Ms. McCain’s COBRA health continuation period,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whichever ends earlier, and (iii) full and immediate vesting and exercisability of all time-based stock options and other time-based stock-based awards held by Ms. McCain.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6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spacing w:after="0" w:line="6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spacing w:after="0" w:line="7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38"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and/or indemnified against certain liabilities incurred in their capacity as members of our board of directors.</w:t>
      </w:r>
    </w:p>
    <w:p>
      <w:pPr>
        <w:spacing w:after="0" w:line="3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believe that these provisions and agreements are necessary to attract and retain qualified persons as directors and executive officers. Insofar as indemnification for liabilities arising under the Securities Act may be permitted to directors, officers or persons controlling our company pursuant, we understand that in the opinion of the SEC such indemnification is against public policy as expressed in the Securities Act and is therefore unenforceable.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Our board of directors has adopted a non-employee director compensation policy, which is designed to provide a total compensation package that enables us to attract and retain, on a long-term basis, high caliber non-employee directors. Under the non-employee director compensation policy, our non-employee directors are compensated as follows:</w:t>
      </w:r>
    </w:p>
    <w:p>
      <w:pPr>
        <w:spacing w:after="0" w:line="39" w:lineRule="exact"/>
        <w:rPr>
          <w:sz w:val="20"/>
          <w:szCs w:val="20"/>
          <w:color w:val="auto"/>
        </w:rPr>
      </w:pPr>
    </w:p>
    <w:p>
      <w:pPr>
        <w:ind w:left="1120" w:right="20" w:hanging="91"/>
        <w:spacing w:after="0" w:line="277"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fee of $35,000 ($65,000 for the chairman of the board of directors);</w:t>
      </w:r>
    </w:p>
    <w:p>
      <w:pPr>
        <w:spacing w:after="0" w:line="62" w:lineRule="exact"/>
        <w:rPr>
          <w:rFonts w:ascii="Arial" w:cs="Arial" w:eastAsia="Arial" w:hAnsi="Arial"/>
          <w:sz w:val="18"/>
          <w:szCs w:val="18"/>
          <w:color w:val="auto"/>
        </w:rPr>
      </w:pPr>
    </w:p>
    <w:p>
      <w:pPr>
        <w:ind w:left="1120" w:right="240" w:hanging="91"/>
        <w:spacing w:after="0" w:line="277"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non-employee director who is a member of the audit committee will receive an additional annual cash fee of $7,500 ($15,000 for the audit committee chairman);</w:t>
      </w:r>
    </w:p>
    <w:p>
      <w:pPr>
        <w:spacing w:after="0" w:line="62" w:lineRule="exact"/>
        <w:rPr>
          <w:rFonts w:ascii="Arial" w:cs="Arial" w:eastAsia="Arial" w:hAnsi="Arial"/>
          <w:sz w:val="18"/>
          <w:szCs w:val="18"/>
          <w:color w:val="auto"/>
        </w:rPr>
      </w:pPr>
    </w:p>
    <w:p>
      <w:pPr>
        <w:ind w:left="1120" w:right="480" w:hanging="91"/>
        <w:spacing w:after="0" w:line="277"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non-employee director who is a member of the compensation committee will receive an additional annual cash fee of $5,000 ($10,000 for the compensation committee chairman);</w:t>
      </w:r>
    </w:p>
    <w:p>
      <w:pPr>
        <w:spacing w:after="0" w:line="62" w:lineRule="exact"/>
        <w:rPr>
          <w:rFonts w:ascii="Arial" w:cs="Arial" w:eastAsia="Arial" w:hAnsi="Arial"/>
          <w:sz w:val="18"/>
          <w:szCs w:val="18"/>
          <w:color w:val="auto"/>
        </w:rPr>
      </w:pPr>
    </w:p>
    <w:p>
      <w:pPr>
        <w:ind w:left="1120" w:right="300" w:hanging="91"/>
        <w:spacing w:after="0" w:line="264"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non-employee director who is a member of the nominating and corporate governance committee will receive an additional annual cash fee of $3,500 ($7,500 for the nominating and corporate governance committee chairman);</w:t>
      </w:r>
    </w:p>
    <w:p>
      <w:pPr>
        <w:spacing w:after="0" w:line="73" w:lineRule="exact"/>
        <w:rPr>
          <w:rFonts w:ascii="Arial" w:cs="Arial" w:eastAsia="Arial" w:hAnsi="Arial"/>
          <w:sz w:val="18"/>
          <w:szCs w:val="18"/>
          <w:color w:val="auto"/>
        </w:rPr>
      </w:pPr>
    </w:p>
    <w:p>
      <w:pPr>
        <w:ind w:left="1120" w:right="360" w:hanging="91"/>
        <w:spacing w:after="0" w:line="342" w:lineRule="auto"/>
        <w:tabs>
          <w:tab w:leader="none" w:pos="11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non-employee director who is a member of the research and development committee will receive an additional annual cash fee of $5,000 ($10,000 for the research and development committee chairman);</w:t>
      </w:r>
    </w:p>
    <w:p>
      <w:pPr>
        <w:spacing w:after="0" w:line="15" w:lineRule="exact"/>
        <w:rPr>
          <w:rFonts w:ascii="Arial" w:cs="Arial" w:eastAsia="Arial" w:hAnsi="Arial"/>
          <w:sz w:val="16"/>
          <w:szCs w:val="16"/>
          <w:color w:val="auto"/>
        </w:rPr>
      </w:pPr>
    </w:p>
    <w:p>
      <w:pPr>
        <w:ind w:left="1120" w:hanging="91"/>
        <w:spacing w:after="0" w:line="264"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new non-employee director will receive an initial grant of an option under our 2015 Stock Option and Incentive Plan, or the 2015 Plan, to purchase 21,818 shares of common stock upon his or her initial election to our board of directors; and</w:t>
      </w:r>
    </w:p>
    <w:p>
      <w:pPr>
        <w:spacing w:after="0" w:line="73" w:lineRule="exact"/>
        <w:rPr>
          <w:rFonts w:ascii="Arial" w:cs="Arial" w:eastAsia="Arial" w:hAnsi="Arial"/>
          <w:sz w:val="18"/>
          <w:szCs w:val="18"/>
          <w:color w:val="auto"/>
        </w:rPr>
      </w:pPr>
    </w:p>
    <w:p>
      <w:pPr>
        <w:ind w:left="1120" w:right="60" w:hanging="91"/>
        <w:spacing w:after="0" w:line="264"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non-employee director will receive an annual grant of an option under our 2015 Plan to purchase 10,909 shares of common stock on the date of the first meeting of our board of directors held after each annual meeting of our stockholders.</w:t>
      </w:r>
    </w:p>
    <w:p>
      <w:pPr>
        <w:spacing w:after="0" w:line="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stock options granted to our non-employee directors will have an exercise price equal to the fair market value of our common stock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annual stock options granted to our non-employee directors will vest in full upon the earlier of the first anniversary of the date of grant or the date of the following annual meeting of stockholders, subject to such director’s continued service on the board of directors. Any initial stock options and annual stock options granted to each of our non-employee directors will automatically accelerate and become fully vested and exercisable upon the non-employee director’s death or disability or upon a sale event (as defined in the 2015 Plan). In addition, each non-employee director has the right to elect to receive all or a portion of his or her annual cash compensation under the non-employee director compensation policy in the form of stock options to purchase our common stock. Any such election must be made before the start of our fiscal year. Any such stock options will vest quarterly over a one-year period, subject to the director’s continued service on the board of directors.</w:t>
      </w:r>
    </w:p>
    <w:p>
      <w:pPr>
        <w:spacing w:after="0" w:line="7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spacing w:after="0" w:line="5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Each non-employee director is also entitled to reimbursement for reasonable travel and other expenses incurred in connection with attending meetings of the board of directors and any committee on which he or she serves.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a summary of the compensation for our non-employee directors during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Fees Earned</w:t>
            </w:r>
          </w:p>
        </w:tc>
        <w:tc>
          <w:tcPr>
            <w:tcW w:w="10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or Paid</w:t>
            </w:r>
          </w:p>
        </w:tc>
        <w:tc>
          <w:tcPr>
            <w:tcW w:w="10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Name(1)</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 Cash ($)(2)</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38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w:t>
            </w:r>
          </w:p>
        </w:tc>
      </w:tr>
      <w:tr>
        <w:trPr>
          <w:trHeight w:val="210"/>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Alexis Borisy</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135,036</w:t>
            </w:r>
          </w:p>
        </w:tc>
        <w:tc>
          <w:tcPr>
            <w:tcW w:w="38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1"/>
              </w:rPr>
              <w:t>(4)</w:t>
            </w:r>
          </w:p>
        </w:tc>
        <w:tc>
          <w:tcPr>
            <w:tcW w:w="11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5"/>
              </w:rPr>
              <w:t>176,037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George D. Demetri, M.D.</w:t>
            </w:r>
          </w:p>
        </w:tc>
        <w:tc>
          <w:tcPr>
            <w:tcW w:w="880" w:type="dxa"/>
            <w:vAlign w:val="bottom"/>
          </w:tcPr>
          <w:p>
            <w:pPr>
              <w:jc w:val="right"/>
              <w:spacing w:after="0"/>
              <w:rPr>
                <w:sz w:val="20"/>
                <w:szCs w:val="20"/>
                <w:color w:val="auto"/>
              </w:rPr>
            </w:pPr>
            <w:r>
              <w:rPr>
                <w:rFonts w:ascii="Arial" w:cs="Arial" w:eastAsia="Arial" w:hAnsi="Arial"/>
                <w:sz w:val="18"/>
                <w:szCs w:val="18"/>
                <w:color w:val="auto"/>
              </w:rPr>
              <w:t>48,190</w:t>
            </w:r>
          </w:p>
        </w:tc>
        <w:tc>
          <w:tcPr>
            <w:tcW w:w="16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135,036 (5)</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183,226</w:t>
            </w:r>
          </w:p>
        </w:tc>
        <w:tc>
          <w:tcPr>
            <w:tcW w:w="6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Goldberg, M.D.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135,036 (6)</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185,390</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Nick Lydon, Ph.D.</w:t>
            </w:r>
          </w:p>
        </w:tc>
        <w:tc>
          <w:tcPr>
            <w:tcW w:w="880" w:type="dxa"/>
            <w:vAlign w:val="bottom"/>
          </w:tcPr>
          <w:p>
            <w:pPr>
              <w:jc w:val="right"/>
              <w:spacing w:after="0"/>
              <w:rPr>
                <w:sz w:val="20"/>
                <w:szCs w:val="20"/>
                <w:color w:val="auto"/>
              </w:rPr>
            </w:pPr>
            <w:r>
              <w:rPr>
                <w:rFonts w:ascii="Arial" w:cs="Arial" w:eastAsia="Arial" w:hAnsi="Arial"/>
                <w:sz w:val="18"/>
                <w:szCs w:val="18"/>
                <w:color w:val="auto"/>
              </w:rPr>
              <w:t>67,499</w:t>
            </w:r>
          </w:p>
        </w:tc>
        <w:tc>
          <w:tcPr>
            <w:tcW w:w="16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135,036 (4)</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202,535</w:t>
            </w:r>
          </w:p>
        </w:tc>
        <w:tc>
          <w:tcPr>
            <w:tcW w:w="6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Lynch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135,036 (4)</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203,612</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Charles A. Rowland, Jr.</w:t>
            </w:r>
          </w:p>
        </w:tc>
        <w:tc>
          <w:tcPr>
            <w:tcW w:w="880" w:type="dxa"/>
            <w:vAlign w:val="bottom"/>
          </w:tcPr>
          <w:p>
            <w:pPr>
              <w:jc w:val="right"/>
              <w:spacing w:after="0"/>
              <w:rPr>
                <w:sz w:val="20"/>
                <w:szCs w:val="20"/>
                <w:color w:val="auto"/>
              </w:rPr>
            </w:pPr>
            <w:r>
              <w:rPr>
                <w:rFonts w:ascii="Arial" w:cs="Arial" w:eastAsia="Arial" w:hAnsi="Arial"/>
                <w:sz w:val="18"/>
                <w:szCs w:val="18"/>
                <w:color w:val="auto"/>
              </w:rPr>
              <w:t>61,001</w:t>
            </w:r>
          </w:p>
        </w:tc>
        <w:tc>
          <w:tcPr>
            <w:tcW w:w="16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135,036 (6)</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80" w:type="dxa"/>
            <w:vAlign w:val="bottom"/>
          </w:tcPr>
          <w:p>
            <w:pPr>
              <w:ind w:left="200"/>
              <w:spacing w:after="0"/>
              <w:rPr>
                <w:sz w:val="20"/>
                <w:szCs w:val="20"/>
                <w:color w:val="auto"/>
              </w:rPr>
            </w:pPr>
            <w:r>
              <w:rPr>
                <w:rFonts w:ascii="Arial" w:cs="Arial" w:eastAsia="Arial" w:hAnsi="Arial"/>
                <w:sz w:val="18"/>
                <w:szCs w:val="18"/>
                <w:color w:val="auto"/>
                <w:w w:val="86"/>
              </w:rPr>
              <w:t>196,037</w:t>
            </w:r>
          </w:p>
        </w:tc>
        <w:tc>
          <w:tcPr>
            <w:tcW w:w="6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Lonnel Coats (7)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350,997 (6)</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392,088</w:t>
            </w:r>
          </w:p>
        </w:tc>
        <w:tc>
          <w:tcPr>
            <w:tcW w:w="60" w:type="dxa"/>
            <w:vAlign w:val="bottom"/>
            <w:shd w:val="clear" w:color="auto" w:fill="CCEEFF"/>
          </w:tcPr>
          <w:p>
            <w:pPr>
              <w:spacing w:after="0"/>
              <w:rPr>
                <w:sz w:val="18"/>
                <w:szCs w:val="18"/>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Lynn Seely, M.D. (8)</w:t>
            </w:r>
          </w:p>
        </w:tc>
        <w:tc>
          <w:tcPr>
            <w:tcW w:w="880" w:type="dxa"/>
            <w:vAlign w:val="bottom"/>
          </w:tcPr>
          <w:p>
            <w:pPr>
              <w:jc w:val="right"/>
              <w:spacing w:after="0"/>
              <w:rPr>
                <w:sz w:val="20"/>
                <w:szCs w:val="20"/>
                <w:color w:val="auto"/>
              </w:rPr>
            </w:pPr>
            <w:r>
              <w:rPr>
                <w:rFonts w:ascii="Arial" w:cs="Arial" w:eastAsia="Arial" w:hAnsi="Arial"/>
                <w:sz w:val="18"/>
                <w:szCs w:val="18"/>
                <w:color w:val="auto"/>
              </w:rPr>
              <w:t>32,125</w:t>
            </w:r>
          </w:p>
        </w:tc>
        <w:tc>
          <w:tcPr>
            <w:tcW w:w="160" w:type="dxa"/>
            <w:vAlign w:val="bottom"/>
          </w:tcPr>
          <w:p>
            <w:pPr>
              <w:spacing w:after="0"/>
              <w:rPr>
                <w:sz w:val="20"/>
                <w:szCs w:val="20"/>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407,556 (6)</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80" w:type="dxa"/>
            <w:vAlign w:val="bottom"/>
          </w:tcPr>
          <w:p>
            <w:pPr>
              <w:ind w:left="200"/>
              <w:spacing w:after="0"/>
              <w:rPr>
                <w:sz w:val="20"/>
                <w:szCs w:val="20"/>
                <w:color w:val="auto"/>
              </w:rPr>
            </w:pPr>
            <w:r>
              <w:rPr>
                <w:rFonts w:ascii="Arial" w:cs="Arial" w:eastAsia="Arial" w:hAnsi="Arial"/>
                <w:sz w:val="18"/>
                <w:szCs w:val="18"/>
                <w:color w:val="auto"/>
                <w:w w:val="86"/>
              </w:rPr>
              <w:t>439,681</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260" w:hanging="257"/>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Albers, our president and chief executive officer, does not receive any compensation for his service as a director.</w:t>
      </w:r>
    </w:p>
    <w:p>
      <w:pPr>
        <w:spacing w:after="0" w:line="95" w:lineRule="exact"/>
        <w:rPr>
          <w:rFonts w:ascii="Arial" w:cs="Arial" w:eastAsia="Arial" w:hAnsi="Arial"/>
          <w:sz w:val="14"/>
          <w:szCs w:val="14"/>
          <w:color w:val="auto"/>
        </w:rPr>
      </w:pPr>
    </w:p>
    <w:p>
      <w:pPr>
        <w:ind w:left="220" w:right="199" w:hanging="217"/>
        <w:spacing w:after="0" w:line="253" w:lineRule="auto"/>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represent cash compensation for services rendered by each member of our board of directors for their services on our board of directors or a committee thereof.</w:t>
      </w:r>
    </w:p>
    <w:p>
      <w:pPr>
        <w:spacing w:after="0" w:line="65" w:lineRule="exact"/>
        <w:rPr>
          <w:rFonts w:ascii="Arial" w:cs="Arial" w:eastAsia="Arial" w:hAnsi="Arial"/>
          <w:sz w:val="14"/>
          <w:szCs w:val="14"/>
          <w:color w:val="auto"/>
        </w:rPr>
      </w:pPr>
    </w:p>
    <w:p>
      <w:pPr>
        <w:ind w:left="220" w:hanging="217"/>
        <w:spacing w:after="0"/>
        <w:tabs>
          <w:tab w:leader="none" w:pos="2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These amounts represent the aggregate grant date fair value of awards granted to our directors in 2016, computed in accordance with FASB ASC Topic</w:t>
      </w:r>
    </w:p>
    <w:p>
      <w:pPr>
        <w:spacing w:after="0" w:line="22" w:lineRule="exact"/>
        <w:rPr>
          <w:rFonts w:ascii="Arial" w:cs="Arial" w:eastAsia="Arial" w:hAnsi="Arial"/>
          <w:sz w:val="12"/>
          <w:szCs w:val="12"/>
          <w:color w:val="auto"/>
        </w:rPr>
      </w:pPr>
    </w:p>
    <w:p>
      <w:pPr>
        <w:ind w:left="220" w:right="119" w:hanging="1"/>
        <w:spacing w:after="0" w:line="237" w:lineRule="auto"/>
        <w:tabs>
          <w:tab w:leader="none" w:pos="508" w:val="left"/>
        </w:tabs>
        <w:numPr>
          <w:ilvl w:val="1"/>
          <w:numId w:val="48"/>
        </w:numPr>
        <w:rPr>
          <w:rFonts w:ascii="Arial" w:cs="Arial" w:eastAsia="Arial" w:hAnsi="Arial"/>
          <w:sz w:val="14"/>
          <w:szCs w:val="14"/>
          <w:color w:val="auto"/>
        </w:rPr>
      </w:pPr>
      <w:r>
        <w:rPr>
          <w:rFonts w:ascii="Arial" w:cs="Arial" w:eastAsia="Arial" w:hAnsi="Arial"/>
          <w:sz w:val="14"/>
          <w:szCs w:val="14"/>
          <w:color w:val="auto"/>
        </w:rPr>
        <w:t>See Note 11 to the audited consolidated financial statements in our Annual Report on Form 10-K for the year ended December 31, 2016 regarding assumptions underlying the valuation of equity awards.</w:t>
      </w:r>
    </w:p>
    <w:p>
      <w:pPr>
        <w:spacing w:after="0" w:line="75" w:lineRule="exact"/>
        <w:rPr>
          <w:rFonts w:ascii="Arial" w:cs="Arial" w:eastAsia="Arial" w:hAnsi="Arial"/>
          <w:sz w:val="14"/>
          <w:szCs w:val="14"/>
          <w:color w:val="auto"/>
        </w:rPr>
      </w:pPr>
    </w:p>
    <w:p>
      <w:pPr>
        <w:ind w:left="240" w:hanging="237"/>
        <w:spacing w:after="0"/>
        <w:tabs>
          <w:tab w:leader="none" w:pos="2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2016, Messrs. Borisy and Lynch and Dr. Lydon held options to purchase 10,909 shares of our common stock.</w:t>
      </w:r>
    </w:p>
    <w:p>
      <w:pPr>
        <w:spacing w:after="0" w:line="95" w:lineRule="exact"/>
        <w:rPr>
          <w:rFonts w:ascii="Arial" w:cs="Arial" w:eastAsia="Arial" w:hAnsi="Arial"/>
          <w:sz w:val="14"/>
          <w:szCs w:val="14"/>
          <w:color w:val="auto"/>
        </w:rPr>
      </w:pPr>
    </w:p>
    <w:p>
      <w:pPr>
        <w:ind w:left="300" w:hanging="297"/>
        <w:spacing w:after="0"/>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2016, Dr. Demetri held options to purchase 46,362 shares of our common stock.</w:t>
      </w:r>
    </w:p>
    <w:p>
      <w:pPr>
        <w:spacing w:after="0" w:line="95" w:lineRule="exact"/>
        <w:rPr>
          <w:rFonts w:ascii="Arial" w:cs="Arial" w:eastAsia="Arial" w:hAnsi="Arial"/>
          <w:sz w:val="14"/>
          <w:szCs w:val="14"/>
          <w:color w:val="auto"/>
        </w:rPr>
      </w:pPr>
    </w:p>
    <w:p>
      <w:pPr>
        <w:ind w:left="220" w:hanging="217"/>
        <w:spacing w:after="0"/>
        <w:tabs>
          <w:tab w:leader="none" w:pos="2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As of December 31, 2016, Drs. Goldberg and Seely and Messrs. Rowland and Coats each held options to purchase 32,727 shares of our common stock.</w:t>
      </w:r>
    </w:p>
    <w:p>
      <w:pPr>
        <w:spacing w:after="0" w:line="118" w:lineRule="exact"/>
        <w:rPr>
          <w:rFonts w:ascii="Arial" w:cs="Arial" w:eastAsia="Arial" w:hAnsi="Arial"/>
          <w:sz w:val="12"/>
          <w:szCs w:val="12"/>
          <w:color w:val="auto"/>
        </w:rPr>
      </w:pPr>
    </w:p>
    <w:p>
      <w:pPr>
        <w:ind w:left="440" w:hanging="437"/>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Coats was elected to our board of directors in February 2016.</w:t>
      </w:r>
    </w:p>
    <w:p>
      <w:pPr>
        <w:spacing w:after="0" w:line="95" w:lineRule="exact"/>
        <w:rPr>
          <w:rFonts w:ascii="Arial" w:cs="Arial" w:eastAsia="Arial" w:hAnsi="Arial"/>
          <w:sz w:val="14"/>
          <w:szCs w:val="14"/>
          <w:color w:val="auto"/>
        </w:rPr>
      </w:pPr>
    </w:p>
    <w:p>
      <w:pPr>
        <w:ind w:left="460" w:hanging="457"/>
        <w:spacing w:after="0"/>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Dr. Seely was elected to our board of directors in April 2016.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 provides information about the securities authorized for issuance under our equity compensation plans as of December 31, 2016. As of December 31, 2016, we had three equity compensation plans, each of which was approved by our stockholders: the 2011 Stock Option and Grant Plan, as amended, or 2011 Plan, the 2015 Plan and the 2015 Employee Stock Purchase Plan, or 2015 ESPP.</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1"/>
              </w:rPr>
              <w:t>Number of securities</w:t>
            </w:r>
          </w:p>
        </w:tc>
      </w:tr>
      <w:tr>
        <w:trPr>
          <w:trHeight w:val="16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securities to be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issued upon</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1"/>
              </w:rPr>
              <w:t>future issuance under</w:t>
            </w:r>
          </w:p>
        </w:tc>
      </w:tr>
      <w:tr>
        <w:trPr>
          <w:trHeight w:val="16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exercise of</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equity compensation</w:t>
            </w:r>
          </w:p>
        </w:tc>
      </w:tr>
      <w:tr>
        <w:trPr>
          <w:trHeight w:val="16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exercise price of</w:t>
            </w:r>
          </w:p>
        </w:tc>
        <w:tc>
          <w:tcPr>
            <w:tcW w:w="17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0"/>
              </w:rPr>
              <w:t>plans (excluding</w:t>
            </w:r>
          </w:p>
        </w:tc>
      </w:tr>
      <w:tr>
        <w:trPr>
          <w:trHeight w:val="16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options, warrants</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outstanding options,</w:t>
            </w:r>
          </w:p>
        </w:tc>
        <w:tc>
          <w:tcPr>
            <w:tcW w:w="17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securities reflected in</w:t>
            </w:r>
          </w:p>
        </w:tc>
      </w:tr>
      <w:tr>
        <w:trPr>
          <w:trHeight w:val="185"/>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and rights</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warrants and rights</w:t>
            </w:r>
          </w:p>
        </w:tc>
        <w:tc>
          <w:tcPr>
            <w:tcW w:w="17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column (a)) (1)</w:t>
            </w:r>
          </w:p>
        </w:tc>
      </w:tr>
      <w:tr>
        <w:trPr>
          <w:trHeight w:val="142"/>
        </w:trPr>
        <w:tc>
          <w:tcPr>
            <w:tcW w:w="22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(c)</w:t>
            </w:r>
          </w:p>
        </w:tc>
        <w:tc>
          <w:tcPr>
            <w:tcW w:w="220" w:type="dxa"/>
            <w:vAlign w:val="bottom"/>
          </w:tcPr>
          <w:p>
            <w:pPr>
              <w:spacing w:after="0"/>
              <w:rPr>
                <w:sz w:val="12"/>
                <w:szCs w:val="12"/>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2,622,741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2,043,501</w:t>
            </w:r>
          </w:p>
        </w:tc>
        <w:tc>
          <w:tcPr>
            <w:tcW w:w="220" w:type="dxa"/>
            <w:vAlign w:val="bottom"/>
            <w:shd w:val="clear" w:color="auto" w:fill="CCEEFF"/>
          </w:tcPr>
          <w:p>
            <w:pPr>
              <w:spacing w:after="0"/>
              <w:rPr>
                <w:sz w:val="18"/>
                <w:szCs w:val="18"/>
                <w:color w:val="auto"/>
              </w:rPr>
            </w:pPr>
          </w:p>
        </w:tc>
      </w:tr>
      <w:tr>
        <w:trPr>
          <w:trHeight w:val="216"/>
        </w:trPr>
        <w:tc>
          <w:tcPr>
            <w:tcW w:w="4640" w:type="dxa"/>
            <w:vAlign w:val="bottom"/>
            <w:gridSpan w:val="3"/>
          </w:tcPr>
          <w:p>
            <w:pPr>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r>
      <w:tr>
        <w:trPr>
          <w:trHeight w:val="210"/>
        </w:trPr>
        <w:tc>
          <w:tcPr>
            <w:tcW w:w="448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2,622,741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2,043,501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(2)</w:t>
            </w:r>
          </w:p>
        </w:tc>
      </w:tr>
      <w:tr>
        <w:trPr>
          <w:trHeight w:val="108"/>
        </w:trPr>
        <w:tc>
          <w:tcPr>
            <w:tcW w:w="228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89" w:lineRule="exact"/>
        <w:rPr>
          <w:sz w:val="20"/>
          <w:szCs w:val="20"/>
          <w:color w:val="auto"/>
        </w:rPr>
      </w:pPr>
    </w:p>
    <w:p>
      <w:pPr>
        <w:ind w:left="220" w:right="20" w:hanging="217"/>
        <w:spacing w:after="0" w:line="291" w:lineRule="auto"/>
        <w:tabs>
          <w:tab w:leader="none" w:pos="2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 of December 31, 2016, (i) 1,551,519 shares remained available for future issuance under our 2015 Plan and (ii) 491,982 shares remained available for future issuance under our 2015 ESPP. No shares remained available for future issuance under the 2011 Plan as of December 31, 2016.</w:t>
      </w:r>
    </w:p>
    <w:p>
      <w:pPr>
        <w:spacing w:after="0" w:line="42" w:lineRule="exact"/>
        <w:rPr>
          <w:rFonts w:ascii="Arial" w:cs="Arial" w:eastAsia="Arial" w:hAnsi="Arial"/>
          <w:sz w:val="13"/>
          <w:szCs w:val="13"/>
          <w:color w:val="auto"/>
        </w:rPr>
      </w:pPr>
    </w:p>
    <w:p>
      <w:pPr>
        <w:ind w:left="220" w:right="120" w:hanging="217"/>
        <w:spacing w:after="0" w:line="249" w:lineRule="auto"/>
        <w:tabs>
          <w:tab w:leader="none" w:pos="2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of our board of directors.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audit committee has reviewed our audited consolidated financial statements for the fiscal year ended December 31, 2016 and discussed them with our management and our independent registered public accounting firm, Ernst &amp; Young LLP.</w:t>
      </w:r>
    </w:p>
    <w:p>
      <w:pPr>
        <w:spacing w:after="0" w:line="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audit committee has also received from, and discussed with, Ernst &amp; Young LLP various communications that Ernst &amp; Young LLP is required to provide to our audit committee, including the matters required to be discussed by the statement on Auditing Standards No. 16, “Communication with Audit Committees,” as adopted by the Public Company Accounting Oversight Board.</w:t>
      </w:r>
    </w:p>
    <w:p>
      <w:pPr>
        <w:spacing w:after="0" w:line="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6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Based on the review and discussions referred to above, our audit committee recommended to our board of directors that the audited consolidated financial statements be included in our Annual Report on Form 10-K for the year ended December 31, 2016.</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audit committee of the board of directors of Blueprint Medicines Corporation.</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Charles A. Rowland, Jr., Chair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Lonnel Coats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Mark Goldberg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300"/>
        <w:spacing w:after="0" w:line="282" w:lineRule="auto"/>
        <w:rPr>
          <w:sz w:val="20"/>
          <w:szCs w:val="20"/>
          <w:color w:val="auto"/>
        </w:rPr>
      </w:pPr>
      <w:r>
        <w:rPr>
          <w:rFonts w:ascii="Arial" w:cs="Arial" w:eastAsia="Arial" w:hAnsi="Arial"/>
          <w:sz w:val="18"/>
          <w:szCs w:val="18"/>
          <w:b w:val="1"/>
          <w:bCs w:val="1"/>
          <w:color w:val="auto"/>
        </w:rPr>
        <w:t>PROPOSAL 2: RATIFICATION OF THE APPOINTMENT OF INDEPENDENT REGISTERED PUBLIC ACOUNTING FIRM</w:t>
      </w:r>
    </w:p>
    <w:p>
      <w:pPr>
        <w:spacing w:after="0" w:line="5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audit committee has appointed the firm of Ernst &amp; Young LLP, an independent registered public accounting firm, as independent auditors for the fiscal year ended December 31, 2017.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spacing w:after="0" w:line="64"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Ernst &amp; Young LLP has no direct or indirect material financial interest in our company or our subsidiaries.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Ernst &amp; Young LLP was our independent registered public accounting firm for the years ended December 31, 2016 and December 31, 2015. The following table summarizes the fees of Ernst &amp; Young LLP billed to us for each of the last two fiscal years. All such accountant services and fees were pre-approved by our audit committee in accordance with the “Pre-Approval Policies and Procedures” described below.</w:t>
      </w:r>
    </w:p>
    <w:p>
      <w:pPr>
        <w:sectPr>
          <w:pgSz w:w="11900" w:h="16838" w:orient="portrait"/>
          <w:cols w:equalWidth="0" w:num="1">
            <w:col w:w="9060"/>
          </w:cols>
          <w:pgMar w:left="1420" w:top="125" w:right="141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44164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Audit Fees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Audit-Related Fees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Fees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4408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15240</wp:posOffset>
            </wp:positionV>
            <wp:extent cx="575437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-95885</wp:posOffset>
            </wp:positionV>
            <wp:extent cx="523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5" w:lineRule="exact"/>
        <w:rPr>
          <w:sz w:val="20"/>
          <w:szCs w:val="20"/>
          <w:color w:val="auto"/>
        </w:rPr>
      </w:pPr>
    </w:p>
    <w:p>
      <w:pPr>
        <w:ind w:left="160" w:hanging="159"/>
        <w:spacing w:after="0"/>
        <w:tabs>
          <w:tab w:leader="none" w:pos="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514,533</w:t>
      </w:r>
    </w:p>
    <w:p>
      <w:pPr>
        <w:spacing w:after="0" w:line="44"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24,000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-108585</wp:posOffset>
            </wp:positionV>
            <wp:extent cx="575437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$ 540,098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-116205</wp:posOffset>
            </wp:positionV>
            <wp:extent cx="575437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67"/>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14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 w:lineRule="exact"/>
        <w:rPr>
          <w:sz w:val="20"/>
          <w:szCs w:val="20"/>
          <w:color w:val="auto"/>
        </w:rPr>
      </w:pPr>
    </w:p>
    <w:p>
      <w:pPr>
        <w:ind w:left="147" w:hanging="147"/>
        <w:spacing w:after="0"/>
        <w:tabs>
          <w:tab w:leader="none" w:pos="1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435,301</w:t>
      </w:r>
    </w:p>
    <w:p>
      <w:pPr>
        <w:spacing w:after="0" w:line="44" w:lineRule="exact"/>
        <w:rPr>
          <w:rFonts w:ascii="Arial" w:cs="Arial" w:eastAsia="Arial" w:hAnsi="Arial"/>
          <w:sz w:val="16"/>
          <w:szCs w:val="16"/>
          <w:color w:val="auto"/>
        </w:rPr>
      </w:pPr>
    </w:p>
    <w:p>
      <w:pPr>
        <w:ind w:left="507"/>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ind w:left="247"/>
        <w:spacing w:after="0"/>
        <w:rPr>
          <w:sz w:val="20"/>
          <w:szCs w:val="20"/>
          <w:color w:val="auto"/>
        </w:rPr>
      </w:pPr>
      <w:r>
        <w:rPr>
          <w:rFonts w:ascii="Arial" w:cs="Arial" w:eastAsia="Arial" w:hAnsi="Arial"/>
          <w:sz w:val="16"/>
          <w:szCs w:val="16"/>
          <w:color w:val="auto"/>
        </w:rPr>
        <w:t>26,500</w:t>
      </w:r>
    </w:p>
    <w:p>
      <w:pPr>
        <w:spacing w:after="0" w:line="32" w:lineRule="exact"/>
        <w:rPr>
          <w:sz w:val="20"/>
          <w:szCs w:val="20"/>
          <w:color w:val="auto"/>
        </w:rPr>
      </w:pPr>
    </w:p>
    <w:p>
      <w:pPr>
        <w:jc w:val="right"/>
        <w:ind w:left="7" w:right="140"/>
        <w:spacing w:after="0" w:line="276" w:lineRule="auto"/>
        <w:rPr>
          <w:sz w:val="20"/>
          <w:szCs w:val="20"/>
          <w:color w:val="auto"/>
        </w:rPr>
      </w:pPr>
      <w:r>
        <w:rPr>
          <w:rFonts w:ascii="Arial" w:cs="Arial" w:eastAsia="Arial" w:hAnsi="Arial"/>
          <w:sz w:val="18"/>
          <w:szCs w:val="18"/>
          <w:color w:val="auto"/>
        </w:rPr>
        <w:t>1,995 $ 463,796</w:t>
      </w:r>
    </w:p>
    <w:p>
      <w:pPr>
        <w:spacing w:after="0" w:line="200" w:lineRule="exact"/>
        <w:rPr>
          <w:sz w:val="20"/>
          <w:szCs w:val="20"/>
          <w:color w:val="auto"/>
        </w:rPr>
      </w:pPr>
    </w:p>
    <w:p>
      <w:pPr>
        <w:sectPr>
          <w:pgSz w:w="11900" w:h="16838" w:orient="portrait"/>
          <w:cols w:equalWidth="0" w:num="3">
            <w:col w:w="6440" w:space="720"/>
            <w:col w:w="740" w:space="273"/>
            <w:col w:w="887"/>
          </w:cols>
          <w:pgMar w:left="1420" w:top="125" w:right="1419" w:bottom="1440" w:gutter="0" w:footer="0" w:header="0"/>
          <w:type w:val="continuous"/>
        </w:sectPr>
      </w:pPr>
    </w:p>
    <w:p>
      <w:pPr>
        <w:spacing w:after="0" w:line="8" w:lineRule="exact"/>
        <w:rPr>
          <w:sz w:val="20"/>
          <w:szCs w:val="20"/>
          <w:color w:val="auto"/>
        </w:rPr>
      </w:pPr>
    </w:p>
    <w:p>
      <w:pPr>
        <w:jc w:val="both"/>
        <w:ind w:left="220" w:right="360" w:hanging="217"/>
        <w:spacing w:after="0" w:line="238" w:lineRule="auto"/>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 Fees” consist of fees for the audit of our annual financial statements, the review of the interim financial statements included in our quarterly reports on Form 10-Q, our follow-on public offering, which closed in December 2016, and other professional services provided in connection with regulatory filings or engagements.</w:t>
      </w:r>
    </w:p>
    <w:p>
      <w:pPr>
        <w:spacing w:after="0" w:line="74" w:lineRule="exact"/>
        <w:rPr>
          <w:rFonts w:ascii="Arial" w:cs="Arial" w:eastAsia="Arial" w:hAnsi="Arial"/>
          <w:sz w:val="14"/>
          <w:szCs w:val="14"/>
          <w:color w:val="auto"/>
        </w:rPr>
      </w:pPr>
    </w:p>
    <w:p>
      <w:pPr>
        <w:ind w:left="220" w:right="200" w:hanging="217"/>
        <w:spacing w:after="0" w:line="253" w:lineRule="auto"/>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“Audit-Related Fees” consist of fees billed by Ernst &amp; Young LLP for assurance and related services that are reasonably related to the performance of the audit or review of our consolidated financial statements. There were no such fees incurred in 2016 or 2015.</w:t>
      </w:r>
    </w:p>
    <w:p>
      <w:pPr>
        <w:spacing w:after="0" w:line="65" w:lineRule="exact"/>
        <w:rPr>
          <w:rFonts w:ascii="Arial" w:cs="Arial" w:eastAsia="Arial" w:hAnsi="Arial"/>
          <w:sz w:val="14"/>
          <w:szCs w:val="14"/>
          <w:color w:val="auto"/>
        </w:rPr>
      </w:pPr>
    </w:p>
    <w:p>
      <w:pPr>
        <w:ind w:left="240" w:hanging="237"/>
        <w:spacing w:after="0"/>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“Tax Fees” consist of fees for professional services, including tax consulting and compliance performed by Ernst &amp; Young LLP.</w:t>
      </w:r>
    </w:p>
    <w:p>
      <w:pPr>
        <w:spacing w:after="0" w:line="95" w:lineRule="exact"/>
        <w:rPr>
          <w:rFonts w:ascii="Arial" w:cs="Arial" w:eastAsia="Arial" w:hAnsi="Arial"/>
          <w:sz w:val="14"/>
          <w:szCs w:val="14"/>
          <w:color w:val="auto"/>
        </w:rPr>
      </w:pPr>
    </w:p>
    <w:p>
      <w:pPr>
        <w:ind w:left="360" w:hanging="357"/>
        <w:spacing w:after="0"/>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Other Fees” consist of database subscription fees paid to Ernst &amp; Young LLP.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w:t>
      </w:r>
    </w:p>
    <w:p>
      <w:pPr>
        <w:spacing w:after="0" w:line="5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BOARD OF DIRECTORS RECOMMENDS THAT STOCKHOLDERS VOTE “</w:t>
      </w:r>
      <w:r>
        <w:rPr>
          <w:rFonts w:ascii="Arial" w:cs="Arial" w:eastAsia="Arial" w:hAnsi="Arial"/>
          <w:sz w:val="18"/>
          <w:szCs w:val="18"/>
          <w:i w:val="1"/>
          <w:iCs w:val="1"/>
          <w:u w:val="single" w:color="auto"/>
          <w:color w:val="auto"/>
        </w:rPr>
        <w:t>FOR</w:t>
      </w:r>
      <w:r>
        <w:rPr>
          <w:rFonts w:ascii="Arial" w:cs="Arial" w:eastAsia="Arial" w:hAnsi="Arial"/>
          <w:sz w:val="18"/>
          <w:szCs w:val="18"/>
          <w:color w:val="auto"/>
        </w:rPr>
        <w:t>” THE RATIFICATION OF THE APPOINTMENT OF ERNST &amp; YOUNG LLP AS OUR INDEPENDENT REGISTERED PUBLIC ACCOUNTING FIRM FOR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560" w:firstLine="1576"/>
        <w:spacing w:after="0" w:line="378" w:lineRule="auto"/>
        <w:rPr>
          <w:sz w:val="20"/>
          <w:szCs w:val="20"/>
          <w:color w:val="auto"/>
        </w:rPr>
      </w:pPr>
      <w:r>
        <w:rPr>
          <w:rFonts w:ascii="Arial" w:cs="Arial" w:eastAsia="Arial" w:hAnsi="Arial"/>
          <w:sz w:val="18"/>
          <w:szCs w:val="18"/>
          <w:b w:val="1"/>
          <w:bCs w:val="1"/>
          <w:color w:val="auto"/>
        </w:rPr>
        <w:t>CERTAIN RELATIONSHIPS AND RELATED PERSON TRANSACTIONS Policies and Procedures for Related Person Transactions</w:t>
      </w:r>
    </w:p>
    <w:p>
      <w:pPr>
        <w:ind w:firstLine="648"/>
        <w:spacing w:after="0" w:line="269" w:lineRule="auto"/>
        <w:rPr>
          <w:sz w:val="20"/>
          <w:szCs w:val="20"/>
          <w:color w:val="auto"/>
        </w:rPr>
      </w:pPr>
      <w:r>
        <w:rPr>
          <w:rFonts w:ascii="Arial" w:cs="Arial" w:eastAsia="Arial" w:hAnsi="Arial"/>
          <w:sz w:val="17"/>
          <w:szCs w:val="17"/>
          <w:color w:val="auto"/>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Other than the compensation arrangements for our named executive officers and directors, which are described elsewhere in the “Executive Compensation” and “Director Compensation” sections of this proxy statement, set forth below is a description of transactions since January 1, 2016 to which we were or will be a party, and in which:</w:t>
      </w:r>
    </w:p>
    <w:p>
      <w:pPr>
        <w:spacing w:after="0" w:line="57" w:lineRule="exact"/>
        <w:rPr>
          <w:sz w:val="20"/>
          <w:szCs w:val="20"/>
          <w:color w:val="auto"/>
        </w:rPr>
      </w:pPr>
    </w:p>
    <w:p>
      <w:pPr>
        <w:ind w:left="1100" w:hanging="125"/>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060" w:right="60" w:hanging="85"/>
        <w:spacing w:after="0" w:line="264"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directors, executive officers, nominees for director or holders of more than 5% of our capital stock, or any member of the immediate family of, or person sharing the household with, the foregoing persons, had or will have a direct or indirect material interest.</w:t>
      </w:r>
    </w:p>
    <w:p>
      <w:pPr>
        <w:spacing w:after="0" w:line="73"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from unrelated third parties.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Follow-On Public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2016</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December 2016, we entered into an underwriting agreement with Goldman, Sachs &amp; Co. and Morgan Stanley &amp; Co. LLC, as representatives of the several underwriters, relating to a follow-on underwritten public offering of shares of our common stock. Pursuant to the underwriting agreement, we sold an aggregate of 5,750,000 shares of our common stock to the underwriters, including 750,000 shares of common stock sold by us pursuant to the exercise in full by the underwriters of their option to purchase additional shares in connection with the offering, at a price to the public of $25.00 per share. The offering closed on December 13, 2016. Certain holders of more than 5% of our capital stock (including shares of common stock acquired in the offering) purchased shares of our common stock from the underwriters in the offering at the offering price of the shares to the public.</w:t>
      </w:r>
    </w:p>
    <w:p>
      <w:pPr>
        <w:spacing w:after="0" w:line="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shares of our common stock purchased and the aggregate cash purchase price paid by each of these stockholders.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rPr>
              <w:t>Shares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Purchaser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Purchase Price</w:t>
            </w: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Biotechnology Value Fund, L.P.</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Entities affiliated with Deerfield Mgmt, L.P.</w:t>
            </w:r>
          </w:p>
        </w:tc>
        <w:tc>
          <w:tcPr>
            <w:tcW w:w="960" w:type="dxa"/>
            <w:vAlign w:val="bottom"/>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12,500,000</w:t>
            </w:r>
          </w:p>
        </w:tc>
        <w:tc>
          <w:tcPr>
            <w:tcW w:w="60" w:type="dxa"/>
            <w:vAlign w:val="bottom"/>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2017</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March 2017, we entered into an underwriting agreement with Goldman, Sachs &amp; Co. and Morgan Stanley &amp; Co. LLC, as representatives of the several underwriters, relating to a follow-on underwritten public offering of shares of our common stock. Pursuant to the underwriting agreement, we sold an aggregate of 5,750,000 shares of our common stock to the underwriters, including 750,000 shares of common stock sold by us pursuant to the exercise in full by the underwriters of their option to purchase additional shares in connection with the offering, at a price to the public of $40.00 per share. The offering closed on April 4, 2017. Certain holders of more than 5% of our capital stock (including shares of common stock acquired in the offering) purchased shares of our common stock from the underwriters in the offering at the offering price of the shares to the public.</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number of shares of our common stock purchased and the aggregate cash purchase price paid by each of these stockholders.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5"/>
        </w:trPr>
        <w:tc>
          <w:tcPr>
            <w:tcW w:w="4240" w:type="dxa"/>
            <w:vAlign w:val="bottom"/>
          </w:tcPr>
          <w:p>
            <w:pPr>
              <w:spacing w:after="0"/>
              <w:rPr>
                <w:sz w:val="20"/>
                <w:szCs w:val="20"/>
                <w:color w:val="auto"/>
              </w:rPr>
            </w:pPr>
            <w:r>
              <w:rPr>
                <w:rFonts w:ascii="Arial" w:cs="Arial" w:eastAsia="Arial" w:hAnsi="Arial"/>
                <w:sz w:val="14"/>
                <w:szCs w:val="14"/>
                <w:b w:val="1"/>
                <w:bCs w:val="1"/>
                <w:color w:val="auto"/>
              </w:rPr>
              <w:t>Purchaser</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Purchase Price</w:t>
            </w:r>
          </w:p>
        </w:tc>
        <w:tc>
          <w:tcPr>
            <w:tcW w:w="1820" w:type="dxa"/>
            <w:vAlign w:val="bottom"/>
          </w:tcPr>
          <w:p>
            <w:pPr>
              <w:spacing w:after="0"/>
              <w:rPr>
                <w:sz w:val="16"/>
                <w:szCs w:val="16"/>
                <w:color w:val="auto"/>
              </w:rPr>
            </w:pP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Deerfield Mgmt, L.P.</w:t>
            </w: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21,000,000</w:t>
            </w:r>
          </w:p>
        </w:tc>
        <w:tc>
          <w:tcPr>
            <w:tcW w:w="18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6"/>
              </w:rPr>
              <w:t>Entities affiliated with Fidelity Management &amp; Research</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14,000,000</w:t>
            </w:r>
          </w:p>
        </w:tc>
        <w:tc>
          <w:tcPr>
            <w:tcW w:w="18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Entities affiliated with Biotechnology Value Fund, L.P.</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18"/>
                <w:szCs w:val="18"/>
                <w:color w:val="auto"/>
              </w:rPr>
            </w:pPr>
          </w:p>
        </w:tc>
      </w:tr>
      <w:tr>
        <w:trPr>
          <w:trHeight w:val="864"/>
        </w:trPr>
        <w:tc>
          <w:tcPr>
            <w:tcW w:w="424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40" w:firstLine="2853"/>
        <w:spacing w:after="0" w:line="378" w:lineRule="auto"/>
        <w:rPr>
          <w:sz w:val="20"/>
          <w:szCs w:val="20"/>
          <w:color w:val="auto"/>
        </w:rPr>
      </w:pPr>
      <w:r>
        <w:rPr>
          <w:rFonts w:ascii="Arial" w:cs="Arial" w:eastAsia="Arial" w:hAnsi="Arial"/>
          <w:sz w:val="18"/>
          <w:szCs w:val="18"/>
          <w:b w:val="1"/>
          <w:bCs w:val="1"/>
          <w:color w:val="auto"/>
        </w:rPr>
        <w:t>STOCK OWNERSHIP AND REPORTING Security Ownership of Certain Beneficial Owners and Management</w:t>
      </w:r>
    </w:p>
    <w:p>
      <w:pPr>
        <w:ind w:right="200" w:firstLine="648"/>
        <w:spacing w:after="0" w:line="277" w:lineRule="auto"/>
        <w:rPr>
          <w:sz w:val="20"/>
          <w:szCs w:val="20"/>
          <w:color w:val="auto"/>
        </w:rPr>
      </w:pPr>
      <w:r>
        <w:rPr>
          <w:rFonts w:ascii="Arial" w:cs="Arial" w:eastAsia="Arial" w:hAnsi="Arial"/>
          <w:sz w:val="18"/>
          <w:szCs w:val="18"/>
          <w:color w:val="auto"/>
        </w:rPr>
        <w:t>Unless otherwise provided below, the following table sets forth information regarding beneficial ownership of our common stock as of March 31, 2017 by:</w:t>
      </w:r>
    </w:p>
    <w:p>
      <w:pPr>
        <w:spacing w:after="0" w:line="62" w:lineRule="exact"/>
        <w:rPr>
          <w:sz w:val="20"/>
          <w:szCs w:val="20"/>
          <w:color w:val="auto"/>
        </w:rPr>
      </w:pPr>
    </w:p>
    <w:p>
      <w:pPr>
        <w:ind w:left="1060" w:right="520" w:hanging="85"/>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5% or more of the outstanding shares of our common stock;</w:t>
      </w:r>
    </w:p>
    <w:p>
      <w:pPr>
        <w:spacing w:after="0" w:line="62" w:lineRule="exact"/>
        <w:rPr>
          <w:rFonts w:ascii="Arial" w:cs="Arial" w:eastAsia="Arial" w:hAnsi="Arial"/>
          <w:sz w:val="18"/>
          <w:szCs w:val="18"/>
          <w:color w:val="auto"/>
        </w:rPr>
      </w:pPr>
    </w:p>
    <w:p>
      <w:pPr>
        <w:ind w:left="1200" w:hanging="225"/>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1060" w:right="180" w:hanging="85"/>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principal executive officer and our two other executive officers who served during the year ended December 31, 2016 named in the Summary Compensation table above, whom we collectively refer to as our named executive officers; and</w:t>
      </w:r>
    </w:p>
    <w:p>
      <w:pPr>
        <w:spacing w:after="0" w:line="73" w:lineRule="exact"/>
        <w:rPr>
          <w:rFonts w:ascii="Arial" w:cs="Arial" w:eastAsia="Arial" w:hAnsi="Arial"/>
          <w:sz w:val="18"/>
          <w:szCs w:val="18"/>
          <w:color w:val="auto"/>
        </w:rPr>
      </w:pPr>
    </w:p>
    <w:p>
      <w:pPr>
        <w:ind w:left="1120" w:hanging="145"/>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1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or restricted stock unit awards that are currently exercisable or will become exercisable within 60 days after March 31, 2017 are considered outstanding and beneficially owned by the person holding the options or restricted stock units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5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column entitled “Percentage of Shares Beneficially Owned” is based on a total of 33,249,614 shares of our common stock outstanding as of March 31, 2017. Except as otherwise set forth below, the address of the beneficial owner is c/o Blueprint Medicines Corporation, 38 Sidney Street, Suite 200, Cambridge, Massachusetts 02139. Beneficial ownership representing less than one percent of our outstanding common stock is denoted with an “*.”</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vMerge w:val="restart"/>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Entities affiliated with Fidelity Management &amp; Research (1)</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3,878,140</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Third Rock Ventures II, L.P. (2)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3,453,753</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Entities affiliated with Biotechnology Value Fund, L.P. (3)</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3,255,280</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Deerfield Mgmt, L.P. (4)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1,842,415</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Entities affiliated with BlackRock, Inc. (5)</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1,693,725</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Jeffrey W. Albers (6)</w:t>
            </w:r>
          </w:p>
        </w:tc>
        <w:tc>
          <w:tcPr>
            <w:tcW w:w="860" w:type="dxa"/>
            <w:vAlign w:val="bottom"/>
          </w:tcPr>
          <w:p>
            <w:pPr>
              <w:jc w:val="right"/>
              <w:spacing w:after="0"/>
              <w:rPr>
                <w:sz w:val="20"/>
                <w:szCs w:val="20"/>
                <w:color w:val="auto"/>
              </w:rPr>
            </w:pPr>
            <w:r>
              <w:rPr>
                <w:rFonts w:ascii="Arial" w:cs="Arial" w:eastAsia="Arial" w:hAnsi="Arial"/>
                <w:sz w:val="18"/>
                <w:szCs w:val="18"/>
                <w:color w:val="auto"/>
              </w:rPr>
              <w:t>434,279</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Alexis Borisy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Lonnel Coats (8)</w:t>
            </w:r>
          </w:p>
        </w:tc>
        <w:tc>
          <w:tcPr>
            <w:tcW w:w="860" w:type="dxa"/>
            <w:vAlign w:val="bottom"/>
          </w:tcPr>
          <w:p>
            <w:pPr>
              <w:jc w:val="right"/>
              <w:spacing w:after="0"/>
              <w:rPr>
                <w:sz w:val="20"/>
                <w:szCs w:val="20"/>
                <w:color w:val="auto"/>
              </w:rPr>
            </w:pPr>
            <w:r>
              <w:rPr>
                <w:rFonts w:ascii="Arial" w:cs="Arial" w:eastAsia="Arial" w:hAnsi="Arial"/>
                <w:sz w:val="18"/>
                <w:szCs w:val="18"/>
                <w:color w:val="auto"/>
              </w:rPr>
              <w:t>9,090</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D. Demetri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47,573</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Marion Dorsch, Ph.D.</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Goldberg (10)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Nicholas Lydon (11)</w:t>
            </w:r>
          </w:p>
        </w:tc>
        <w:tc>
          <w:tcPr>
            <w:tcW w:w="860" w:type="dxa"/>
            <w:vAlign w:val="bottom"/>
          </w:tcPr>
          <w:p>
            <w:pPr>
              <w:jc w:val="right"/>
              <w:spacing w:after="0"/>
              <w:rPr>
                <w:sz w:val="20"/>
                <w:szCs w:val="20"/>
                <w:color w:val="auto"/>
              </w:rPr>
            </w:pPr>
            <w:r>
              <w:rPr>
                <w:rFonts w:ascii="Arial" w:cs="Arial" w:eastAsia="Arial" w:hAnsi="Arial"/>
                <w:sz w:val="18"/>
                <w:szCs w:val="18"/>
                <w:color w:val="auto"/>
              </w:rPr>
              <w:t>202,727</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S. Lynch (12)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250,119</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Tracey L. McCain (13)</w:t>
            </w: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Charles A. Rowland, Jr. (14)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Lynn Seely, M.D. (15)</w:t>
            </w:r>
          </w:p>
        </w:tc>
        <w:tc>
          <w:tcPr>
            <w:tcW w:w="860" w:type="dxa"/>
            <w:vAlign w:val="bottom"/>
          </w:tcPr>
          <w:p>
            <w:pPr>
              <w:jc w:val="right"/>
              <w:spacing w:after="0"/>
              <w:rPr>
                <w:sz w:val="20"/>
                <w:szCs w:val="20"/>
                <w:color w:val="auto"/>
              </w:rPr>
            </w:pPr>
            <w:r>
              <w:rPr>
                <w:rFonts w:ascii="Arial" w:cs="Arial" w:eastAsia="Arial" w:hAnsi="Arial"/>
                <w:sz w:val="18"/>
                <w:szCs w:val="18"/>
                <w:color w:val="auto"/>
              </w:rPr>
              <w:t>7,878</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(14 persons) (16)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1,149,267</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6740" w:type="dxa"/>
            <w:vAlign w:val="bottom"/>
            <w:gridSpan w:val="2"/>
          </w:tcPr>
          <w:p>
            <w:pPr>
              <w:ind w:left="43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20" w:hanging="317"/>
        <w:spacing w:after="0" w:line="286"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 on February 14, 2017 by Fidelity Management and Research LLC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Fidelity Management &amp; Research Company carries out the voting of the shares under written guidelines established by the Fidelity Funds’ Boards of Trustees. The address of FMR LLC is 245 Summer Street, Boston, MA 02210.</w:t>
      </w:r>
    </w:p>
    <w:p>
      <w:pPr>
        <w:spacing w:after="0" w:line="60" w:lineRule="exact"/>
        <w:rPr>
          <w:rFonts w:ascii="Arial" w:cs="Arial" w:eastAsia="Arial" w:hAnsi="Arial"/>
          <w:sz w:val="16"/>
          <w:szCs w:val="16"/>
          <w:color w:val="auto"/>
        </w:rPr>
      </w:pPr>
    </w:p>
    <w:p>
      <w:pPr>
        <w:ind w:left="320" w:right="20" w:hanging="317"/>
        <w:spacing w:after="0" w:line="273" w:lineRule="auto"/>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solely on a Form 4 filed with the SEC on February 27, 2017 by Third Rock Ventures II, L.P. (“TRV LP”). TRV LP directly owns 3,453,753 shares of common stock. Each of Third Rock Ventures II GP, LP (“TRV GP”), the general partner of TRV LP, and Third Rock Ventures GP, LLC (“TRV LLC”), the general partner of TRV GP, and Mark Levin, Kevin Starr and Robert Tepper, the managers of TRV LLC, may be deemed to share voting and investment power over the shares held of record by TRV LP. The address for TRV LP, TRV GP, TRV LLC and Messrs. Levin, Starr and Tepper is c/o Third Rock Ventures, LLC, 29 Newbury Street, 3rd Floor, Boston, MA 02116.</w:t>
      </w:r>
    </w:p>
    <w:p>
      <w:pPr>
        <w:spacing w:after="0" w:line="70" w:lineRule="exact"/>
        <w:rPr>
          <w:rFonts w:ascii="Arial" w:cs="Arial" w:eastAsia="Arial" w:hAnsi="Arial"/>
          <w:sz w:val="17"/>
          <w:szCs w:val="17"/>
          <w:color w:val="auto"/>
        </w:rPr>
      </w:pPr>
    </w:p>
    <w:p>
      <w:pPr>
        <w:ind w:left="320" w:hanging="317"/>
        <w:spacing w:after="0" w:line="285"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 on February 14, 2017 by Biotechnology Value Fund, L.P. (“BVF”). As of December 31, 2016, BVF beneficially owned 1,564,734shares of common stock, Biotechnology Value Fund II, L.P. (“BVF II”) beneficially owned 959,457 shares of common stock and Biotechnology Value Trading Fund OS LP (“Trading Fund OS”) beneficially owned 238,070 shares of common stock. BVF Partners OS Ltd. (“Partners OS”), as the general partner of Trading Fund OS, may be deemed to beneficially own 238,070 shares of common stock beneficially owned by Trading Fund OS. BVF Partners L.P. (“Partners”), as the general partner of BVF, BVF II, the investment manager of Trading Fund OS, and the sole member of Partners OS, may be deemed to beneficially own 3,255,280 shares of common stock beneficially owned in the aggregate by BVF, BVF II, Trading Fund OS, and certain Partners managed accounts (the “Partners Managed Accounts”), including 493,019 shares of common stock held in the Partners Managed Accounts. BVF Inc. (“BVF, Inc.”), as the general partner of Partners, may be deemed to beneficially own 3,255,280 shares of common stock beneficially owned by Partners. Mark N. Lampert, as a director and officer of BVF Inc., may be deemed to beneficially own 3,255,280 shares of common stock beneficially owned by BVF, Inc. Partners OS disclaims beneficial ownership of the shares of common stock beneficially owned by Trading Fund OS. Each of Partners, BVF Inc. and Mr. Lampert disclaims beneficial ownership of the shares of Common Stock beneficially owned by BVF, BVF II, Trading Fund OS and the Partners Managed Accounts. The address for BVF, BVF II, Partners, BVF Inc. and Mr. Lampert is 1 Sansome Street, 30th Floor, San Francisco, CA 94104. The address for Trading Fund OS and Partners OS is PO Box 309, Ugland House, Grand Cayman, KY1-1104, Cayman Islands.</w:t>
      </w:r>
    </w:p>
    <w:p>
      <w:pPr>
        <w:spacing w:after="0" w:line="67" w:lineRule="exact"/>
        <w:rPr>
          <w:rFonts w:ascii="Arial" w:cs="Arial" w:eastAsia="Arial" w:hAnsi="Arial"/>
          <w:sz w:val="16"/>
          <w:szCs w:val="16"/>
          <w:color w:val="auto"/>
        </w:rPr>
      </w:pPr>
    </w:p>
    <w:p>
      <w:pPr>
        <w:ind w:left="320" w:right="60" w:hanging="317"/>
        <w:spacing w:after="0" w:line="272" w:lineRule="auto"/>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solely on a schedule 13G/A filed with the SEC on February 14, 2017. As of December 31, 2016, Deerfield Mgmt, L.P. beneficially owned 1,842,415 shares of common stock, Deerfield Management Company, L.P. beneficially owned 1,842,415 shares of common stock, Deerfield Partners, L.P. beneficially owned 806,977 shares of common stock, Deerfield International Master Fund, L.P. beneficially owned 1,035,438 shares of common stock and James E. Flynn beneficially owned 1,842,415 shares of common stock. The address for James E. Flynn, Deerfield Mgmt, L.P., Deerfield Management Company, L.P., Deerfield Partners, L.P., Deerfield International Master Fund, L.P. is 780 Third Avenue, 37th Floor, New York, NY 10017.</w:t>
      </w:r>
    </w:p>
    <w:p>
      <w:pPr>
        <w:spacing w:after="0" w:line="69" w:lineRule="exact"/>
        <w:rPr>
          <w:rFonts w:ascii="Arial" w:cs="Arial" w:eastAsia="Arial" w:hAnsi="Arial"/>
          <w:sz w:val="17"/>
          <w:szCs w:val="17"/>
          <w:color w:val="auto"/>
        </w:rPr>
      </w:pPr>
    </w:p>
    <w:p>
      <w:pPr>
        <w:ind w:left="320" w:right="100" w:hanging="317"/>
        <w:spacing w:after="0" w:line="277"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January 30, 2017 by BlackRock Inc. (“BlackRock”). The address for BlackRock is 55 East 52nd Street, New York, NY 10055.</w:t>
      </w:r>
    </w:p>
    <w:p>
      <w:pPr>
        <w:spacing w:after="0" w:line="62" w:lineRule="exact"/>
        <w:rPr>
          <w:rFonts w:ascii="Arial" w:cs="Arial" w:eastAsia="Arial" w:hAnsi="Arial"/>
          <w:sz w:val="18"/>
          <w:szCs w:val="18"/>
          <w:color w:val="auto"/>
        </w:rPr>
      </w:pPr>
    </w:p>
    <w:p>
      <w:pPr>
        <w:ind w:left="320" w:right="380" w:hanging="317"/>
        <w:spacing w:after="0" w:line="308" w:lineRule="auto"/>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Consists of (i) 55,486 shares of common stock and (ii) 378,793 options to purchase shares of common stock that are exercisable as of March 31, 2017 or will become exercisable within 60 days after such date.</w:t>
      </w:r>
    </w:p>
    <w:p>
      <w:pPr>
        <w:spacing w:after="0" w:line="38" w:lineRule="exact"/>
        <w:rPr>
          <w:rFonts w:ascii="Arial" w:cs="Arial" w:eastAsia="Arial" w:hAnsi="Arial"/>
          <w:sz w:val="17"/>
          <w:szCs w:val="17"/>
          <w:color w:val="auto"/>
        </w:rPr>
      </w:pPr>
    </w:p>
    <w:p>
      <w:pPr>
        <w:ind w:left="660" w:hanging="65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47,390 shares of common stock.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20" w:right="100" w:hanging="317"/>
        <w:spacing w:after="0" w:line="277"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9,090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320" w:right="460" w:hanging="317"/>
        <w:spacing w:after="0" w:line="308"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Consists of (i) 18,181 shares of common stock and (ii) 29,392 options to purchase shares of common stock that are exercisable as of March 31, 2017 or will become exercisable within 60 days after such date.</w:t>
      </w:r>
    </w:p>
    <w:p>
      <w:pPr>
        <w:spacing w:after="0" w:line="38" w:lineRule="exact"/>
        <w:rPr>
          <w:rFonts w:ascii="Arial" w:cs="Arial" w:eastAsia="Arial" w:hAnsi="Arial"/>
          <w:sz w:val="17"/>
          <w:szCs w:val="17"/>
          <w:color w:val="auto"/>
        </w:rPr>
      </w:pPr>
    </w:p>
    <w:p>
      <w:pPr>
        <w:ind w:left="400" w:right="520" w:hanging="397"/>
        <w:spacing w:after="0" w:line="27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13,939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840" w:hanging="837"/>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202,727 shares of common stock.</w:t>
      </w:r>
    </w:p>
    <w:p>
      <w:pPr>
        <w:spacing w:after="0" w:line="117" w:lineRule="exact"/>
        <w:rPr>
          <w:rFonts w:ascii="Arial" w:cs="Arial" w:eastAsia="Arial" w:hAnsi="Arial"/>
          <w:sz w:val="18"/>
          <w:szCs w:val="18"/>
          <w:color w:val="auto"/>
        </w:rPr>
      </w:pPr>
    </w:p>
    <w:p>
      <w:pPr>
        <w:ind w:left="860" w:hanging="857"/>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250,119 shares of common stock.</w:t>
      </w:r>
    </w:p>
    <w:p>
      <w:pPr>
        <w:spacing w:after="0" w:line="117" w:lineRule="exact"/>
        <w:rPr>
          <w:rFonts w:ascii="Arial" w:cs="Arial" w:eastAsia="Arial" w:hAnsi="Arial"/>
          <w:sz w:val="18"/>
          <w:szCs w:val="18"/>
          <w:color w:val="auto"/>
        </w:rPr>
      </w:pPr>
    </w:p>
    <w:p>
      <w:pPr>
        <w:ind w:left="400" w:right="140" w:hanging="397"/>
        <w:spacing w:after="0" w:line="27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312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400" w:right="520" w:hanging="397"/>
        <w:spacing w:after="0" w:line="27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15,757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400" w:hanging="397"/>
        <w:spacing w:after="0" w:line="27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7,878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400" w:right="180" w:hanging="397"/>
        <w:spacing w:after="0" w:line="27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573,903 shares of common stock and (ii) 575,364 options to purchase shares of common stock that are exercisable as of March 31, 2017 or will become exercisable within 60 days after such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our 2018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Included in Proxy Statement</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order to be considered for inclusion in our proxy statement and proxy card relating to our 2018 annual meeting of stockholders, stockholder proposals must be received by us no later than December 29, 2017, which is 120 days prior to the first anniversary of the mailing date of this proxy, unless the date of the 2018 annual meeting of stockholders is changed by more than 30 days from the anniversary of our 2017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Not Included in Proxy Statement</w:t>
      </w:r>
    </w:p>
    <w:p>
      <w:pPr>
        <w:spacing w:after="0" w:line="11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2018 annual meeting of stockholders but not included in the proxy statement by March 22, 2018, but not before February 20, 2018, which is not less than 90 days nor more than 120 days prior to the anniversary date of the immediately preceding annual meeting. However, if the date of the annual meeting is more than 30 days before or more than 60 days after such anniversary date, notice must be received not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2018 annual meeting of stockholders may exercise discretionary voting power regarding any such proposal. Stockholders are advised to review our bylaws which also specify requirements as to the form and content of a stockholder’s notice.</w:t>
      </w:r>
    </w:p>
    <w:p>
      <w:pPr>
        <w:spacing w:after="0" w:line="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Any proposals, notices or information about proposed director candidates should be sent to Blueprint Medicines Corporation, Attention: Nominating and Corporate Governance Committee, 38 Sidney Street, Suite 200, Cambridge, Massachusetts 02139.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2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2016 annual report to stockholders, which consists of our Annual Report on Form 10-K for the fiscal year ended December 31, 2016, to you if you contact us at Blueprint Medicines Corporation, 38 Sidney Street, Suite 200, Cambridge, Massachusetts 02139, Attn: Investor Relations, telephone: (617) 714-6674,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509905</wp:posOffset>
            </wp:positionV>
            <wp:extent cx="5754370" cy="7615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761555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509905</wp:posOffset>
            </wp:positionV>
            <wp:extent cx="5754370" cy="7581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7581265"/>
                    </a:xfrm>
                    <a:prstGeom prst="rect">
                      <a:avLst/>
                    </a:prstGeom>
                    <a:noFill/>
                  </pic:spPr>
                </pic:pic>
              </a:graphicData>
            </a:graphic>
          </wp:anchor>
        </w:drawing>
      </w:r>
    </w:p>
    <w:sectPr>
      <w:pgSz w:w="11900" w:h="16838" w:orient="portrait"/>
      <w:cols w:equalWidth="0" w:num="1">
        <w:col w:w="9039"/>
      </w:cols>
      <w:pgMar w:left="14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2)"/>
      <w:numFmt w:val="decimal"/>
      <w:start w:val="1"/>
    </w:lvl>
  </w:abstractNum>
  <w:abstractNum w:abstractNumId="3">
    <w:nsid w:val="8138641"/>
    <w:multiLevelType w:val="hybridMultilevel"/>
    <w:lvl w:ilvl="0">
      <w:lvlJc w:val="left"/>
      <w:lvlText w:val="(%1)"/>
      <w:numFmt w:val="decimal"/>
      <w:start w:val="617"/>
    </w:lvl>
  </w:abstractNum>
  <w:abstractNum w:abstractNumId="4">
    <w:nsid w:val="1E7FF521"/>
    <w:multiLevelType w:val="hybridMultilevel"/>
    <w:lvl w:ilvl="0">
      <w:lvlJc w:val="left"/>
      <w:lvlText w:val="%1."/>
      <w:numFmt w:val="upperLetter"/>
      <w:start w:val="17"/>
    </w:lvl>
    <w:lvl w:ilvl="1">
      <w:lvlJc w:val="left"/>
      <w:lvlText w:val="%2"/>
      <w:numFmt w:val="decimal"/>
      <w:start w:val="1"/>
    </w:lvl>
  </w:abstractNum>
  <w:abstractNum w:abstractNumId="5">
    <w:nsid w:val="7C3DBD3D"/>
    <w:multiLevelType w:val="hybridMultilevel"/>
    <w:lvl w:ilvl="0">
      <w:lvlJc w:val="left"/>
      <w:lvlText w:val="%1."/>
      <w:numFmt w:val="upperLetter"/>
      <w:start w:val="1"/>
    </w:lvl>
    <w:lvl w:ilvl="1">
      <w:lvlJc w:val="left"/>
      <w:lvlText w:val="%2"/>
      <w:numFmt w:val="decimal"/>
      <w:start w:val="1"/>
    </w:lvl>
  </w:abstractNum>
  <w:abstractNum w:abstractNumId="6">
    <w:nsid w:val="737B8DDC"/>
    <w:multiLevelType w:val="hybridMultilevel"/>
    <w:lvl w:ilvl="0">
      <w:lvlJc w:val="left"/>
      <w:lvlText w:val="%1."/>
      <w:numFmt w:val="upperLetter"/>
      <w:start w:val="17"/>
    </w:lvl>
    <w:lvl w:ilvl="1">
      <w:lvlJc w:val="left"/>
      <w:lvlText w:val="%2"/>
      <w:numFmt w:val="decimal"/>
      <w:start w:val="1"/>
    </w:lvl>
  </w:abstractNum>
  <w:abstractNum w:abstractNumId="7">
    <w:nsid w:val="6CEAF087"/>
    <w:multiLevelType w:val="hybridMultilevel"/>
    <w:lvl w:ilvl="0">
      <w:lvlJc w:val="left"/>
      <w:lvlText w:val="%1."/>
      <w:numFmt w:val="upperLetter"/>
      <w:start w:val="1"/>
    </w:lvl>
    <w:lvl w:ilvl="1">
      <w:lvlJc w:val="left"/>
      <w:lvlText w:val="%2"/>
      <w:numFmt w:val="decimal"/>
      <w:start w:val="1"/>
    </w:lvl>
  </w:abstractNum>
  <w:abstractNum w:abstractNumId="8">
    <w:nsid w:val="22221A70"/>
    <w:multiLevelType w:val="hybridMultilevel"/>
    <w:lvl w:ilvl="0">
      <w:lvlJc w:val="left"/>
      <w:lvlText w:val="%1."/>
      <w:numFmt w:val="upperLetter"/>
      <w:start w:val="17"/>
    </w:lvl>
    <w:lvl w:ilvl="1">
      <w:lvlJc w:val="left"/>
      <w:lvlText w:val="%2"/>
      <w:numFmt w:val="decimal"/>
      <w:start w:val="1"/>
    </w:lvl>
  </w:abstractNum>
  <w:abstractNum w:abstractNumId="9">
    <w:nsid w:val="4516DDE9"/>
    <w:multiLevelType w:val="hybridMultilevel"/>
    <w:lvl w:ilvl="0">
      <w:lvlJc w:val="left"/>
      <w:lvlText w:val="%1."/>
      <w:numFmt w:val="upperLetter"/>
      <w:start w:val="1"/>
    </w:lvl>
    <w:lvl w:ilvl="1">
      <w:lvlJc w:val="left"/>
      <w:lvlText w:val="%2."/>
      <w:numFmt w:val="decimal"/>
      <w:start w:val="1"/>
    </w:lvl>
  </w:abstractNum>
  <w:abstractNum w:abstractNumId="10">
    <w:nsid w:val="3006C83E"/>
    <w:multiLevelType w:val="hybridMultilevel"/>
    <w:lvl w:ilvl="0">
      <w:lvlJc w:val="left"/>
      <w:lvlText w:val="%1."/>
      <w:numFmt w:val="upperLetter"/>
      <w:start w:val="17"/>
    </w:lvl>
    <w:lvl w:ilvl="1">
      <w:lvlJc w:val="left"/>
      <w:lvlText w:val="%2"/>
      <w:numFmt w:val="decimal"/>
      <w:start w:val="1"/>
    </w:lvl>
  </w:abstractNum>
  <w:abstractNum w:abstractNumId="11">
    <w:nsid w:val="614FD4A1"/>
    <w:multiLevelType w:val="hybridMultilevel"/>
    <w:lvl w:ilvl="0">
      <w:lvlJc w:val="left"/>
      <w:lvlText w:val="%1."/>
      <w:numFmt w:val="upperLetter"/>
      <w:start w:val="1"/>
    </w:lvl>
    <w:lvl w:ilvl="1">
      <w:lvlJc w:val="left"/>
      <w:lvlText w:val="%2"/>
      <w:numFmt w:val="decimal"/>
      <w:start w:val="1"/>
    </w:lvl>
  </w:abstractNum>
  <w:abstractNum w:abstractNumId="12">
    <w:nsid w:val="419AC241"/>
    <w:multiLevelType w:val="hybridMultilevel"/>
    <w:lvl w:ilvl="0">
      <w:lvlJc w:val="left"/>
      <w:lvlText w:val="%1."/>
      <w:numFmt w:val="upperLetter"/>
      <w:start w:val="17"/>
    </w:lvl>
    <w:lvl w:ilvl="1">
      <w:lvlJc w:val="left"/>
      <w:lvlText w:val="%2"/>
      <w:numFmt w:val="decimal"/>
      <w:start w:val="1"/>
    </w:lvl>
  </w:abstractNum>
  <w:abstractNum w:abstractNumId="13">
    <w:nsid w:val="5577F8E1"/>
    <w:multiLevelType w:val="hybridMultilevel"/>
    <w:lvl w:ilvl="0">
      <w:lvlJc w:val="left"/>
      <w:lvlText w:val="%1."/>
      <w:numFmt w:val="upperLetter"/>
      <w:start w:val="1"/>
    </w:lvl>
    <w:lvl w:ilvl="1">
      <w:lvlJc w:val="left"/>
      <w:lvlText w:val="%2"/>
      <w:numFmt w:val="decimal"/>
      <w:start w:val="1"/>
    </w:lvl>
  </w:abstractNum>
  <w:abstractNum w:abstractNumId="14">
    <w:nsid w:val="440BADFC"/>
    <w:multiLevelType w:val="hybridMultilevel"/>
    <w:lvl w:ilvl="0">
      <w:lvlJc w:val="left"/>
      <w:lvlText w:val="%1."/>
      <w:numFmt w:val="upperLetter"/>
      <w:start w:val="17"/>
    </w:lvl>
    <w:lvl w:ilvl="1">
      <w:lvlJc w:val="left"/>
      <w:lvlText w:val="%2"/>
      <w:numFmt w:val="decimal"/>
      <w:start w:val="1"/>
    </w:lvl>
  </w:abstractNum>
  <w:abstractNum w:abstractNumId="15">
    <w:nsid w:val="5072367"/>
    <w:multiLevelType w:val="hybridMultilevel"/>
    <w:lvl w:ilvl="0">
      <w:lvlJc w:val="left"/>
      <w:lvlText w:val="%1."/>
      <w:numFmt w:val="upperLetter"/>
      <w:start w:val="1"/>
    </w:lvl>
    <w:lvl w:ilvl="1">
      <w:lvlJc w:val="left"/>
      <w:lvlText w:val="%2"/>
      <w:numFmt w:val="decimal"/>
      <w:start w:val="1"/>
    </w:lvl>
  </w:abstractNum>
  <w:abstractNum w:abstractNumId="16">
    <w:nsid w:val="3804823E"/>
    <w:multiLevelType w:val="hybridMultilevel"/>
    <w:lvl w:ilvl="0">
      <w:lvlJc w:val="left"/>
      <w:lvlText w:val="%1."/>
      <w:numFmt w:val="decimal"/>
      <w:start w:val="2"/>
    </w:lvl>
  </w:abstractNum>
  <w:abstractNum w:abstractNumId="17">
    <w:nsid w:val="77465F01"/>
    <w:multiLevelType w:val="hybridMultilevel"/>
    <w:lvl w:ilvl="0">
      <w:lvlJc w:val="left"/>
      <w:lvlText w:val="%1."/>
      <w:numFmt w:val="decimal"/>
      <w:start w:val="3"/>
    </w:lvl>
  </w:abstractNum>
  <w:abstractNum w:abstractNumId="18">
    <w:nsid w:val="7724C67E"/>
    <w:multiLevelType w:val="hybridMultilevel"/>
    <w:lvl w:ilvl="0">
      <w:lvlJc w:val="left"/>
      <w:lvlText w:val="%1."/>
      <w:numFmt w:val="upperLetter"/>
      <w:start w:val="17"/>
    </w:lvl>
    <w:lvl w:ilvl="1">
      <w:lvlJc w:val="left"/>
      <w:lvlText w:val="%2"/>
      <w:numFmt w:val="decimal"/>
      <w:start w:val="1"/>
    </w:lvl>
  </w:abstractNum>
  <w:abstractNum w:abstractNumId="19">
    <w:nsid w:val="5C482A97"/>
    <w:multiLevelType w:val="hybridMultilevel"/>
    <w:lvl w:ilvl="0">
      <w:lvlJc w:val="left"/>
      <w:lvlText w:val="%1."/>
      <w:numFmt w:val="upperLetter"/>
      <w:start w:val="1"/>
    </w:lvl>
    <w:lvl w:ilvl="1">
      <w:lvlJc w:val="left"/>
      <w:lvlText w:val="%2."/>
      <w:numFmt w:val="decimal"/>
      <w:start w:val="1"/>
    </w:lvl>
  </w:abstractNum>
  <w:abstractNum w:abstractNumId="20">
    <w:nsid w:val="2463B9EA"/>
    <w:multiLevelType w:val="hybridMultilevel"/>
    <w:lvl w:ilvl="0">
      <w:lvlJc w:val="left"/>
      <w:lvlText w:val="%1."/>
      <w:numFmt w:val="upperLetter"/>
      <w:start w:val="17"/>
    </w:lvl>
  </w:abstractNum>
  <w:abstractNum w:abstractNumId="21">
    <w:nsid w:val="5E884ADC"/>
    <w:multiLevelType w:val="hybridMultilevel"/>
    <w:lvl w:ilvl="0">
      <w:lvlJc w:val="left"/>
      <w:lvlText w:val="%1."/>
      <w:numFmt w:val="upperLetter"/>
      <w:start w:val="1"/>
    </w:lvl>
  </w:abstractNum>
  <w:abstractNum w:abstractNumId="22">
    <w:nsid w:val="51EAD36B"/>
    <w:multiLevelType w:val="hybridMultilevel"/>
    <w:lvl w:ilvl="0">
      <w:lvlJc w:val="left"/>
      <w:lvlText w:val="%1."/>
      <w:numFmt w:val="upperLetter"/>
      <w:start w:val="17"/>
    </w:lvl>
  </w:abstractNum>
  <w:abstractNum w:abstractNumId="23">
    <w:nsid w:val="2D517796"/>
    <w:multiLevelType w:val="hybridMultilevel"/>
    <w:lvl w:ilvl="0">
      <w:lvlJc w:val="left"/>
      <w:lvlText w:val="%1."/>
      <w:numFmt w:val="upperLetter"/>
      <w:start w:val="1"/>
    </w:lvl>
  </w:abstractNum>
  <w:abstractNum w:abstractNumId="24">
    <w:nsid w:val="580BD78F"/>
    <w:multiLevelType w:val="hybridMultilevel"/>
    <w:lvl w:ilvl="0">
      <w:lvlJc w:val="left"/>
      <w:lvlText w:val="%1."/>
      <w:numFmt w:val="upperLetter"/>
      <w:start w:val="17"/>
    </w:lvl>
  </w:abstractNum>
  <w:abstractNum w:abstractNumId="25">
    <w:nsid w:val="153EA438"/>
    <w:multiLevelType w:val="hybridMultilevel"/>
    <w:lvl w:ilvl="0">
      <w:lvlJc w:val="left"/>
      <w:lvlText w:val="%1."/>
      <w:numFmt w:val="upperLetter"/>
      <w:start w:val="1"/>
    </w:lvl>
  </w:abstractNum>
  <w:abstractNum w:abstractNumId="26">
    <w:nsid w:val="3855585C"/>
    <w:multiLevelType w:val="hybridMultilevel"/>
    <w:lvl w:ilvl="0">
      <w:lvlJc w:val="left"/>
      <w:lvlText w:val="%1."/>
      <w:numFmt w:val="upperLetter"/>
      <w:start w:val="17"/>
    </w:lvl>
  </w:abstractNum>
  <w:abstractNum w:abstractNumId="27">
    <w:nsid w:val="70A64E2A"/>
    <w:multiLevelType w:val="hybridMultilevel"/>
    <w:lvl w:ilvl="0">
      <w:lvlJc w:val="left"/>
      <w:lvlText w:val="%1."/>
      <w:numFmt w:val="upperLetter"/>
      <w:start w:val="1"/>
    </w:lvl>
  </w:abstractNum>
  <w:abstractNum w:abstractNumId="28">
    <w:nsid w:val="6A2342EC"/>
    <w:multiLevelType w:val="hybridMultilevel"/>
    <w:lvl w:ilvl="0">
      <w:lvlJc w:val="left"/>
      <w:lvlText w:val="%1."/>
      <w:numFmt w:val="upperLetter"/>
      <w:start w:val="17"/>
    </w:lvl>
  </w:abstractNum>
  <w:abstractNum w:abstractNumId="29">
    <w:nsid w:val="2A487CB0"/>
    <w:multiLevelType w:val="hybridMultilevel"/>
    <w:lvl w:ilvl="0">
      <w:lvlJc w:val="left"/>
      <w:lvlText w:val="%1."/>
      <w:numFmt w:val="upperLetter"/>
      <w:start w:val="1"/>
    </w:lvl>
  </w:abstractNum>
  <w:abstractNum w:abstractNumId="30">
    <w:nsid w:val="1D4ED43B"/>
    <w:multiLevelType w:val="hybridMultilevel"/>
    <w:lvl w:ilvl="0">
      <w:lvlJc w:val="left"/>
      <w:lvlText w:val="%1."/>
      <w:numFmt w:val="upperLetter"/>
      <w:start w:val="17"/>
    </w:lvl>
  </w:abstractNum>
  <w:abstractNum w:abstractNumId="31">
    <w:nsid w:val="725A06FB"/>
    <w:multiLevelType w:val="hybridMultilevel"/>
    <w:lvl w:ilvl="0">
      <w:lvlJc w:val="left"/>
      <w:lvlText w:val="%1."/>
      <w:numFmt w:val="upperLetter"/>
      <w:start w:val="1"/>
    </w:lvl>
  </w:abstractNum>
  <w:abstractNum w:abstractNumId="32">
    <w:nsid w:val="2CD89A32"/>
    <w:multiLevelType w:val="hybridMultilevel"/>
    <w:lvl w:ilvl="0">
      <w:lvlJc w:val="left"/>
      <w:lvlText w:val="%1."/>
      <w:numFmt w:val="upperLetter"/>
      <w:start w:val="17"/>
    </w:lvl>
  </w:abstractNum>
  <w:abstractNum w:abstractNumId="33">
    <w:nsid w:val="57E4CCAF"/>
    <w:multiLevelType w:val="hybridMultilevel"/>
    <w:lvl w:ilvl="0">
      <w:lvlJc w:val="left"/>
      <w:lvlText w:val="%1."/>
      <w:numFmt w:val="upperLetter"/>
      <w:start w:val="1"/>
    </w:lvl>
  </w:abstractNum>
  <w:abstractNum w:abstractNumId="34">
    <w:nsid w:val="7A6D8D3C"/>
    <w:multiLevelType w:val="hybridMultilevel"/>
    <w:lvl w:ilvl="0">
      <w:lvlJc w:val="left"/>
      <w:lvlText w:val="%1."/>
      <w:numFmt w:val="upperLetter"/>
      <w:start w:val="17"/>
    </w:lvl>
  </w:abstractNum>
  <w:abstractNum w:abstractNumId="35">
    <w:nsid w:val="4B588F54"/>
    <w:multiLevelType w:val="hybridMultilevel"/>
    <w:lvl w:ilvl="0">
      <w:lvlJc w:val="left"/>
      <w:lvlText w:val="%1."/>
      <w:numFmt w:val="upperLetter"/>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lvl w:ilvl="1">
      <w:lvlJc w:val="left"/>
      <w:lvlText w:val="%2."/>
      <w:numFmt w:val="decimal"/>
      <w:start w:val="718"/>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2019-12-07T22:03:30Z</dcterms:created>
  <dcterms:modified xsi:type="dcterms:W3CDTF">2019-12-07T22:03:30Z</dcterms:modified>
</cp:coreProperties>
</file>