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260350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117475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 xml:space="preserve">Date of Report (Date of Earliest Event Reported): </w:t>
      </w:r>
      <w:r>
        <w:rPr>
          <w:rFonts w:ascii="Times New Roman" w:cs="Times New Roman" w:eastAsia="Times New Roman" w:hAnsi="Times New Roman"/>
          <w:sz w:val="12"/>
          <w:szCs w:val="12"/>
          <w:b w:val="1"/>
          <w:bCs w:val="1"/>
          <w:color w:val="auto"/>
        </w:rPr>
        <w:t>April 25,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Blueprint Medicines Corporation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117475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48" w:lineRule="exact"/>
        <w:rPr>
          <w:sz w:val="24"/>
          <w:szCs w:val="24"/>
          <w:color w:val="auto"/>
        </w:rPr>
      </w:pPr>
    </w:p>
    <w:tbl>
      <w:tblPr>
        <w:tblLayout w:type="fixed"/>
        <w:tblInd w:w="0" w:type="dxa"/>
        <w:tblCellMar>
          <w:top w:w="0" w:type="dxa"/>
          <w:left w:w="0" w:type="dxa"/>
          <w:bottom w:w="0" w:type="dxa"/>
          <w:right w:w="0" w:type="dxa"/>
        </w:tblCellMar>
      </w:tblPr>
      <w:tr>
        <w:trPr>
          <w:trHeight w:val="148"/>
        </w:trPr>
        <w:tc>
          <w:tcPr>
            <w:tcW w:w="3860" w:type="dxa"/>
            <w:vAlign w:val="bottom"/>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3920" w:type="dxa"/>
            <w:vAlign w:val="bottom"/>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001-37359</w:t>
            </w:r>
          </w:p>
        </w:tc>
        <w:tc>
          <w:tcPr>
            <w:tcW w:w="352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26-3632015</w:t>
            </w:r>
          </w:p>
        </w:tc>
      </w:tr>
      <w:tr>
        <w:trPr>
          <w:trHeight w:val="144"/>
        </w:trPr>
        <w:tc>
          <w:tcPr>
            <w:tcW w:w="3860" w:type="dxa"/>
            <w:vAlign w:val="bottom"/>
          </w:tcPr>
          <w:p>
            <w:pPr>
              <w:jc w:val="center"/>
              <w:ind w:right="200"/>
              <w:spacing w:after="0"/>
              <w:rPr>
                <w:sz w:val="20"/>
                <w:szCs w:val="20"/>
                <w:color w:val="auto"/>
              </w:rPr>
            </w:pPr>
            <w:r>
              <w:rPr>
                <w:rFonts w:ascii="Times New Roman" w:cs="Times New Roman" w:eastAsia="Times New Roman" w:hAnsi="Times New Roman"/>
                <w:sz w:val="12"/>
                <w:szCs w:val="12"/>
                <w:color w:val="auto"/>
              </w:rPr>
              <w:t>(State or other jurisdiction</w:t>
            </w:r>
          </w:p>
        </w:tc>
        <w:tc>
          <w:tcPr>
            <w:tcW w:w="3920" w:type="dxa"/>
            <w:vAlign w:val="bottom"/>
          </w:tcPr>
          <w:p>
            <w:pPr>
              <w:jc w:val="center"/>
              <w:ind w:right="260"/>
              <w:spacing w:after="0"/>
              <w:rPr>
                <w:sz w:val="20"/>
                <w:szCs w:val="20"/>
                <w:color w:val="auto"/>
              </w:rPr>
            </w:pPr>
            <w:r>
              <w:rPr>
                <w:rFonts w:ascii="Times New Roman" w:cs="Times New Roman" w:eastAsia="Times New Roman" w:hAnsi="Times New Roman"/>
                <w:sz w:val="12"/>
                <w:szCs w:val="12"/>
                <w:color w:val="auto"/>
                <w:w w:val="99"/>
              </w:rPr>
              <w:t>(Commission File Number)</w:t>
            </w:r>
          </w:p>
        </w:tc>
        <w:tc>
          <w:tcPr>
            <w:tcW w:w="352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w w:val="99"/>
              </w:rPr>
              <w:t>(I.R.S. Employer</w:t>
            </w:r>
          </w:p>
        </w:tc>
      </w:tr>
      <w:tr>
        <w:trPr>
          <w:trHeight w:val="155"/>
        </w:trPr>
        <w:tc>
          <w:tcPr>
            <w:tcW w:w="3860" w:type="dxa"/>
            <w:vAlign w:val="bottom"/>
          </w:tcPr>
          <w:p>
            <w:pPr>
              <w:jc w:val="center"/>
              <w:ind w:right="200"/>
              <w:spacing w:after="0"/>
              <w:rPr>
                <w:sz w:val="20"/>
                <w:szCs w:val="20"/>
                <w:color w:val="auto"/>
              </w:rPr>
            </w:pPr>
            <w:r>
              <w:rPr>
                <w:rFonts w:ascii="Times New Roman" w:cs="Times New Roman" w:eastAsia="Times New Roman" w:hAnsi="Times New Roman"/>
                <w:sz w:val="12"/>
                <w:szCs w:val="12"/>
                <w:color w:val="auto"/>
                <w:w w:val="97"/>
              </w:rPr>
              <w:t>of incorporation)</w:t>
            </w:r>
          </w:p>
        </w:tc>
        <w:tc>
          <w:tcPr>
            <w:tcW w:w="3920" w:type="dxa"/>
            <w:vAlign w:val="bottom"/>
          </w:tcPr>
          <w:p>
            <w:pPr>
              <w:spacing w:after="0"/>
              <w:rPr>
                <w:sz w:val="13"/>
                <w:szCs w:val="13"/>
                <w:color w:val="auto"/>
              </w:rPr>
            </w:pPr>
          </w:p>
        </w:tc>
        <w:tc>
          <w:tcPr>
            <w:tcW w:w="352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rPr>
              <w:t>Identification No.)</w:t>
            </w:r>
          </w:p>
        </w:tc>
      </w:tr>
      <w:tr>
        <w:trPr>
          <w:trHeight w:val="273"/>
        </w:trPr>
        <w:tc>
          <w:tcPr>
            <w:tcW w:w="3860" w:type="dxa"/>
            <w:vAlign w:val="bottom"/>
          </w:tcPr>
          <w:p>
            <w:pPr>
              <w:jc w:val="center"/>
              <w:ind w:left="1600"/>
              <w:spacing w:after="0"/>
              <w:rPr>
                <w:sz w:val="20"/>
                <w:szCs w:val="20"/>
                <w:color w:val="auto"/>
              </w:rPr>
            </w:pPr>
            <w:r>
              <w:rPr>
                <w:rFonts w:ascii="Times New Roman" w:cs="Times New Roman" w:eastAsia="Times New Roman" w:hAnsi="Times New Roman"/>
                <w:sz w:val="12"/>
                <w:szCs w:val="12"/>
                <w:b w:val="1"/>
                <w:bCs w:val="1"/>
                <w:color w:val="auto"/>
              </w:rPr>
              <w:t>45 Sidney Street</w:t>
            </w:r>
          </w:p>
        </w:tc>
        <w:tc>
          <w:tcPr>
            <w:tcW w:w="3920" w:type="dxa"/>
            <w:vAlign w:val="bottom"/>
          </w:tcPr>
          <w:p>
            <w:pPr>
              <w:spacing w:after="0"/>
              <w:rPr>
                <w:sz w:val="23"/>
                <w:szCs w:val="23"/>
                <w:color w:val="auto"/>
              </w:rPr>
            </w:pPr>
          </w:p>
        </w:tc>
        <w:tc>
          <w:tcPr>
            <w:tcW w:w="3520" w:type="dxa"/>
            <w:vAlign w:val="bottom"/>
          </w:tcPr>
          <w:p>
            <w:pPr>
              <w:spacing w:after="0"/>
              <w:rPr>
                <w:sz w:val="23"/>
                <w:szCs w:val="23"/>
                <w:color w:val="auto"/>
              </w:rPr>
            </w:pPr>
          </w:p>
        </w:tc>
      </w:tr>
      <w:tr>
        <w:trPr>
          <w:trHeight w:val="148"/>
        </w:trPr>
        <w:tc>
          <w:tcPr>
            <w:tcW w:w="3860" w:type="dxa"/>
            <w:vAlign w:val="bottom"/>
          </w:tcPr>
          <w:p>
            <w:pPr>
              <w:jc w:val="center"/>
              <w:ind w:left="1620"/>
              <w:spacing w:after="0"/>
              <w:rPr>
                <w:sz w:val="20"/>
                <w:szCs w:val="20"/>
                <w:color w:val="auto"/>
              </w:rPr>
            </w:pPr>
            <w:r>
              <w:rPr>
                <w:rFonts w:ascii="Times New Roman" w:cs="Times New Roman" w:eastAsia="Times New Roman" w:hAnsi="Times New Roman"/>
                <w:sz w:val="12"/>
                <w:szCs w:val="12"/>
                <w:b w:val="1"/>
                <w:bCs w:val="1"/>
                <w:color w:val="auto"/>
                <w:w w:val="99"/>
              </w:rPr>
              <w:t>Cambridge, Massachusetts</w:t>
            </w:r>
          </w:p>
        </w:tc>
        <w:tc>
          <w:tcPr>
            <w:tcW w:w="3920" w:type="dxa"/>
            <w:vAlign w:val="bottom"/>
          </w:tcPr>
          <w:p>
            <w:pPr>
              <w:spacing w:after="0"/>
              <w:rPr>
                <w:sz w:val="12"/>
                <w:szCs w:val="12"/>
                <w:color w:val="auto"/>
              </w:rPr>
            </w:pPr>
          </w:p>
        </w:tc>
        <w:tc>
          <w:tcPr>
            <w:tcW w:w="3520" w:type="dxa"/>
            <w:vAlign w:val="bottom"/>
          </w:tcPr>
          <w:p>
            <w:pPr>
              <w:jc w:val="right"/>
              <w:ind w:right="2560"/>
              <w:spacing w:after="0"/>
              <w:rPr>
                <w:sz w:val="20"/>
                <w:szCs w:val="20"/>
                <w:color w:val="auto"/>
              </w:rPr>
            </w:pPr>
            <w:r>
              <w:rPr>
                <w:rFonts w:ascii="Times New Roman" w:cs="Times New Roman" w:eastAsia="Times New Roman" w:hAnsi="Times New Roman"/>
                <w:sz w:val="12"/>
                <w:szCs w:val="12"/>
                <w:b w:val="1"/>
                <w:bCs w:val="1"/>
                <w:color w:val="auto"/>
              </w:rPr>
              <w:t>02139</w:t>
            </w:r>
          </w:p>
        </w:tc>
      </w:tr>
      <w:tr>
        <w:trPr>
          <w:trHeight w:val="155"/>
        </w:trPr>
        <w:tc>
          <w:tcPr>
            <w:tcW w:w="3860" w:type="dxa"/>
            <w:vAlign w:val="bottom"/>
          </w:tcPr>
          <w:p>
            <w:pPr>
              <w:jc w:val="center"/>
              <w:ind w:left="1620"/>
              <w:spacing w:after="0"/>
              <w:rPr>
                <w:sz w:val="20"/>
                <w:szCs w:val="20"/>
                <w:color w:val="auto"/>
              </w:rPr>
            </w:pPr>
            <w:r>
              <w:rPr>
                <w:rFonts w:ascii="Times New Roman" w:cs="Times New Roman" w:eastAsia="Times New Roman" w:hAnsi="Times New Roman"/>
                <w:sz w:val="12"/>
                <w:szCs w:val="12"/>
                <w:color w:val="auto"/>
                <w:w w:val="99"/>
              </w:rPr>
              <w:t>(Address of principal executive offices)</w:t>
            </w:r>
          </w:p>
        </w:tc>
        <w:tc>
          <w:tcPr>
            <w:tcW w:w="3920" w:type="dxa"/>
            <w:vAlign w:val="bottom"/>
          </w:tcPr>
          <w:p>
            <w:pPr>
              <w:spacing w:after="0"/>
              <w:rPr>
                <w:sz w:val="13"/>
                <w:szCs w:val="13"/>
                <w:color w:val="auto"/>
              </w:rPr>
            </w:pPr>
          </w:p>
        </w:tc>
        <w:tc>
          <w:tcPr>
            <w:tcW w:w="3520" w:type="dxa"/>
            <w:vAlign w:val="bottom"/>
          </w:tcPr>
          <w:p>
            <w:pPr>
              <w:jc w:val="center"/>
              <w:ind w:right="1960"/>
              <w:spacing w:after="0"/>
              <w:rPr>
                <w:sz w:val="20"/>
                <w:szCs w:val="20"/>
                <w:color w:val="auto"/>
              </w:rPr>
            </w:pPr>
            <w:r>
              <w:rPr>
                <w:rFonts w:ascii="Times New Roman" w:cs="Times New Roman" w:eastAsia="Times New Roman" w:hAnsi="Times New Roman"/>
                <w:sz w:val="12"/>
                <w:szCs w:val="12"/>
                <w:color w:val="auto"/>
              </w:rPr>
              <w:t>(Zip Code)</w:t>
            </w:r>
          </w:p>
        </w:tc>
      </w:tr>
      <w:tr>
        <w:trPr>
          <w:trHeight w:val="288"/>
        </w:trPr>
        <w:tc>
          <w:tcPr>
            <w:tcW w:w="3860" w:type="dxa"/>
            <w:vAlign w:val="bottom"/>
          </w:tcPr>
          <w:p>
            <w:pPr>
              <w:spacing w:after="0"/>
              <w:rPr>
                <w:sz w:val="24"/>
                <w:szCs w:val="24"/>
                <w:color w:val="auto"/>
              </w:rPr>
            </w:pPr>
          </w:p>
        </w:tc>
        <w:tc>
          <w:tcPr>
            <w:tcW w:w="3920" w:type="dxa"/>
            <w:vAlign w:val="bottom"/>
          </w:tcPr>
          <w:p>
            <w:pPr>
              <w:jc w:val="center"/>
              <w:ind w:right="300"/>
              <w:spacing w:after="0"/>
              <w:rPr>
                <w:sz w:val="20"/>
                <w:szCs w:val="20"/>
                <w:color w:val="auto"/>
              </w:rPr>
            </w:pPr>
            <w:r>
              <w:rPr>
                <w:rFonts w:ascii="Times New Roman" w:cs="Times New Roman" w:eastAsia="Times New Roman" w:hAnsi="Times New Roman"/>
                <w:sz w:val="12"/>
                <w:szCs w:val="12"/>
                <w:color w:val="auto"/>
                <w:w w:val="99"/>
              </w:rPr>
              <w:t xml:space="preserve">Registrant’s telephone number, including area code: </w:t>
            </w:r>
            <w:r>
              <w:rPr>
                <w:rFonts w:ascii="Times New Roman" w:cs="Times New Roman" w:eastAsia="Times New Roman" w:hAnsi="Times New Roman"/>
                <w:sz w:val="12"/>
                <w:szCs w:val="12"/>
                <w:b w:val="1"/>
                <w:bCs w:val="1"/>
                <w:color w:val="auto"/>
                <w:w w:val="99"/>
              </w:rPr>
              <w:t>(617) 374-7580</w:t>
            </w:r>
          </w:p>
        </w:tc>
        <w:tc>
          <w:tcPr>
            <w:tcW w:w="3520" w:type="dxa"/>
            <w:vAlign w:val="bottom"/>
          </w:tcPr>
          <w:p>
            <w:pPr>
              <w:spacing w:after="0"/>
              <w:rPr>
                <w:sz w:val="24"/>
                <w:szCs w:val="24"/>
                <w:color w:val="auto"/>
              </w:rPr>
            </w:pPr>
          </w:p>
        </w:tc>
      </w:tr>
      <w:tr>
        <w:trPr>
          <w:trHeight w:val="288"/>
        </w:trPr>
        <w:tc>
          <w:tcPr>
            <w:tcW w:w="3860" w:type="dxa"/>
            <w:vAlign w:val="bottom"/>
          </w:tcPr>
          <w:p>
            <w:pPr>
              <w:spacing w:after="0"/>
              <w:rPr>
                <w:sz w:val="24"/>
                <w:szCs w:val="24"/>
                <w:color w:val="auto"/>
              </w:rPr>
            </w:pPr>
          </w:p>
        </w:tc>
        <w:tc>
          <w:tcPr>
            <w:tcW w:w="3920" w:type="dxa"/>
            <w:vAlign w:val="bottom"/>
          </w:tcPr>
          <w:p>
            <w:pPr>
              <w:jc w:val="center"/>
              <w:ind w:right="300"/>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tc>
        <w:tc>
          <w:tcPr>
            <w:tcW w:w="3520" w:type="dxa"/>
            <w:vAlign w:val="bottom"/>
          </w:tcPr>
          <w:p>
            <w:pPr>
              <w:spacing w:after="0"/>
              <w:rPr>
                <w:sz w:val="24"/>
                <w:szCs w:val="24"/>
                <w:color w:val="auto"/>
              </w:rPr>
            </w:pPr>
          </w:p>
        </w:tc>
      </w:tr>
      <w:tr>
        <w:trPr>
          <w:trHeight w:val="36"/>
        </w:trPr>
        <w:tc>
          <w:tcPr>
            <w:tcW w:w="3860" w:type="dxa"/>
            <w:vAlign w:val="bottom"/>
            <w:tcBorders>
              <w:bottom w:val="single" w:sz="8" w:color="auto"/>
            </w:tcBorders>
          </w:tcPr>
          <w:p>
            <w:pPr>
              <w:spacing w:after="0"/>
              <w:rPr>
                <w:sz w:val="3"/>
                <w:szCs w:val="3"/>
                <w:color w:val="auto"/>
              </w:rPr>
            </w:pPr>
          </w:p>
        </w:tc>
        <w:tc>
          <w:tcPr>
            <w:tcW w:w="3920" w:type="dxa"/>
            <w:vAlign w:val="bottom"/>
            <w:tcBorders>
              <w:bottom w:val="single" w:sz="8" w:color="auto"/>
            </w:tcBorders>
          </w:tcPr>
          <w:p>
            <w:pPr>
              <w:spacing w:after="0"/>
              <w:rPr>
                <w:sz w:val="3"/>
                <w:szCs w:val="3"/>
                <w:color w:val="auto"/>
              </w:rPr>
            </w:pPr>
          </w:p>
        </w:tc>
        <w:tc>
          <w:tcPr>
            <w:tcW w:w="3520" w:type="dxa"/>
            <w:vAlign w:val="bottom"/>
            <w:tcBorders>
              <w:bottom w:val="single" w:sz="8" w:color="auto"/>
            </w:tcBorders>
          </w:tcPr>
          <w:p>
            <w:pPr>
              <w:spacing w:after="0"/>
              <w:rPr>
                <w:sz w:val="3"/>
                <w:szCs w:val="3"/>
                <w:color w:val="auto"/>
              </w:rPr>
            </w:pPr>
          </w:p>
        </w:tc>
      </w:tr>
    </w:tbl>
    <w:p>
      <w:pPr>
        <w:spacing w:after="0" w:line="187"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640" w:hanging="216"/>
        <w:spacing w:after="0"/>
        <w:tabs>
          <w:tab w:leader="none" w:pos="6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8" w:lineRule="exact"/>
        <w:rPr>
          <w:rFonts w:ascii="MS PGothic" w:cs="MS PGothic" w:eastAsia="MS PGothic" w:hAnsi="MS PGothic"/>
          <w:sz w:val="12"/>
          <w:szCs w:val="12"/>
          <w:color w:val="auto"/>
        </w:rPr>
      </w:pPr>
    </w:p>
    <w:p>
      <w:pPr>
        <w:ind w:left="640" w:hanging="216"/>
        <w:spacing w:after="0"/>
        <w:tabs>
          <w:tab w:leader="none" w:pos="6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640" w:hanging="216"/>
        <w:spacing w:after="0"/>
        <w:tabs>
          <w:tab w:leader="none" w:pos="6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640" w:hanging="216"/>
        <w:spacing w:after="0"/>
        <w:tabs>
          <w:tab w:leader="none" w:pos="6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38" w:lineRule="exact"/>
        <w:rPr>
          <w:sz w:val="24"/>
          <w:szCs w:val="24"/>
          <w:color w:val="auto"/>
        </w:rPr>
      </w:pPr>
    </w:p>
    <w:p>
      <w:pPr>
        <w:ind w:right="20" w:firstLine="432"/>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ind w:left="42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8" w:lineRule="exact"/>
        <w:rPr>
          <w:sz w:val="24"/>
          <w:szCs w:val="24"/>
          <w:color w:val="auto"/>
        </w:rPr>
      </w:pPr>
    </w:p>
    <w:p>
      <w:pPr>
        <w:ind w:right="20" w:firstLine="432"/>
        <w:spacing w:after="0" w:line="279" w:lineRule="auto"/>
        <w:rPr>
          <w:sz w:val="20"/>
          <w:szCs w:val="20"/>
          <w:color w:val="auto"/>
        </w:rPr>
      </w:pPr>
      <w:r>
        <w:rPr>
          <w:rFonts w:ascii="Times New Roman" w:cs="Times New Roman" w:eastAsia="Times New Roman" w:hAnsi="Times New Roman"/>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Securities registered pursuant to Section 12(b) of the Exchange Act:</w:t>
      </w:r>
    </w:p>
    <w:p>
      <w:pPr>
        <w:spacing w:after="0" w:line="141" w:lineRule="exact"/>
        <w:rPr>
          <w:sz w:val="24"/>
          <w:szCs w:val="24"/>
          <w:color w:val="auto"/>
        </w:rPr>
      </w:pPr>
    </w:p>
    <w:tbl>
      <w:tblPr>
        <w:tblLayout w:type="fixed"/>
        <w:tblInd w:w="10" w:type="dxa"/>
        <w:tblCellMar>
          <w:top w:w="0" w:type="dxa"/>
          <w:left w:w="0" w:type="dxa"/>
          <w:bottom w:w="0" w:type="dxa"/>
          <w:right w:w="0" w:type="dxa"/>
        </w:tblCellMar>
      </w:tblPr>
      <w:tr>
        <w:trPr>
          <w:trHeight w:val="142"/>
        </w:trPr>
        <w:tc>
          <w:tcPr>
            <w:tcW w:w="45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2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Trading symbol(s)</w:t>
            </w:r>
          </w:p>
        </w:tc>
        <w:tc>
          <w:tcPr>
            <w:tcW w:w="4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Name of each exchange on which</w:t>
            </w:r>
          </w:p>
        </w:tc>
      </w:tr>
      <w:tr>
        <w:trPr>
          <w:trHeight w:val="155"/>
        </w:trPr>
        <w:tc>
          <w:tcPr>
            <w:tcW w:w="4520" w:type="dxa"/>
            <w:vAlign w:val="bottom"/>
            <w:tcBorders>
              <w:left w:val="single" w:sz="8" w:color="auto"/>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spacing w:after="0"/>
              <w:rPr>
                <w:sz w:val="13"/>
                <w:szCs w:val="13"/>
                <w:color w:val="auto"/>
              </w:rPr>
            </w:pPr>
          </w:p>
        </w:tc>
        <w:tc>
          <w:tcPr>
            <w:tcW w:w="4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registered</w:t>
            </w:r>
          </w:p>
        </w:tc>
      </w:tr>
      <w:tr>
        <w:trPr>
          <w:trHeight w:val="133"/>
        </w:trPr>
        <w:tc>
          <w:tcPr>
            <w:tcW w:w="4520" w:type="dxa"/>
            <w:vAlign w:val="bottom"/>
            <w:tcBorders>
              <w:left w:val="single" w:sz="8" w:color="auto"/>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Common stock, par value $0.001 per share</w:t>
            </w:r>
          </w:p>
        </w:tc>
        <w:tc>
          <w:tcPr>
            <w:tcW w:w="226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BPMC</w:t>
            </w:r>
          </w:p>
        </w:tc>
        <w:tc>
          <w:tcPr>
            <w:tcW w:w="452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Nasdaq Global Select Market</w:t>
            </w:r>
          </w:p>
        </w:tc>
      </w:tr>
      <w:tr>
        <w:trPr>
          <w:trHeight w:val="133"/>
        </w:trPr>
        <w:tc>
          <w:tcPr>
            <w:tcW w:w="452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tcPr>
          <w:p>
            <w:pPr>
              <w:spacing w:after="0"/>
              <w:rPr>
                <w:sz w:val="11"/>
                <w:szCs w:val="11"/>
                <w:color w:val="auto"/>
              </w:rPr>
            </w:pPr>
          </w:p>
        </w:tc>
        <w:tc>
          <w:tcPr>
            <w:tcW w:w="4520" w:type="dxa"/>
            <w:vAlign w:val="bottom"/>
            <w:tcBorders>
              <w:bottom w:val="single" w:sz="8" w:color="auto"/>
            </w:tcBorders>
          </w:tcPr>
          <w:p>
            <w:pPr>
              <w:spacing w:after="0"/>
              <w:rPr>
                <w:sz w:val="11"/>
                <w:szCs w:val="11"/>
                <w:color w:val="auto"/>
              </w:rPr>
            </w:pPr>
          </w:p>
        </w:tc>
      </w:tr>
      <w:tr>
        <w:trPr>
          <w:trHeight w:val="20"/>
        </w:trPr>
        <w:tc>
          <w:tcPr>
            <w:tcW w:w="452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r>
      <w:tr>
        <w:trPr>
          <w:trHeight w:val="435"/>
        </w:trPr>
        <w:tc>
          <w:tcPr>
            <w:tcW w:w="45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49"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8.01 Other Events.</w:t>
      </w:r>
    </w:p>
    <w:p>
      <w:pPr>
        <w:spacing w:after="0" w:line="154" w:lineRule="exact"/>
        <w:rPr>
          <w:sz w:val="20"/>
          <w:szCs w:val="20"/>
          <w:color w:val="auto"/>
        </w:rPr>
      </w:pPr>
    </w:p>
    <w:p>
      <w:pPr>
        <w:ind w:firstLine="432"/>
        <w:spacing w:after="0" w:line="265" w:lineRule="auto"/>
        <w:rPr>
          <w:sz w:val="20"/>
          <w:szCs w:val="20"/>
          <w:color w:val="auto"/>
        </w:rPr>
      </w:pPr>
      <w:r>
        <w:rPr>
          <w:rFonts w:ascii="Times New Roman" w:cs="Times New Roman" w:eastAsia="Times New Roman" w:hAnsi="Times New Roman"/>
          <w:sz w:val="12"/>
          <w:szCs w:val="12"/>
          <w:color w:val="auto"/>
        </w:rPr>
        <w:t>On April 25, 2024, Blueprint Medicines Corporation (the “Company”) held a webinar focused on emerging opportunities for mast cell-targeted therapies and the Company’s approach to modulating mast cells and building a pipeline in allergic and inflammatory diseases. Certain selected presentation materials used during the webinar are attached as Exhibit 99.1 to this Current Report on Form 8-K and are incorporated herein solely for purposes of this Item 8.01 disclosure.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 Exhibits.</w:t>
            </w:r>
          </w:p>
        </w:tc>
        <w:tc>
          <w:tcPr>
            <w:tcW w:w="43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73"/>
        </w:trPr>
        <w:tc>
          <w:tcPr>
            <w:tcW w:w="20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212529"/>
              </w:rPr>
              <w:t>Exhibit</w:t>
            </w:r>
          </w:p>
        </w:tc>
        <w:tc>
          <w:tcPr>
            <w:tcW w:w="54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212529"/>
              </w:rPr>
              <w:t>Description</w:t>
            </w:r>
          </w:p>
        </w:tc>
      </w:tr>
      <w:tr>
        <w:trPr>
          <w:trHeight w:val="148"/>
        </w:trPr>
        <w:tc>
          <w:tcPr>
            <w:tcW w:w="20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No.</w:t>
            </w:r>
          </w:p>
        </w:tc>
        <w:tc>
          <w:tcPr>
            <w:tcW w:w="436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28"/>
        </w:trPr>
        <w:tc>
          <w:tcPr>
            <w:tcW w:w="420" w:type="dxa"/>
            <w:vAlign w:val="bottom"/>
          </w:tcPr>
          <w:p>
            <w:pPr>
              <w:spacing w:after="0"/>
              <w:rPr>
                <w:sz w:val="11"/>
                <w:szCs w:val="11"/>
                <w:color w:val="auto"/>
              </w:rPr>
            </w:pPr>
          </w:p>
        </w:tc>
        <w:tc>
          <w:tcPr>
            <w:tcW w:w="220" w:type="dxa"/>
            <w:vAlign w:val="bottom"/>
            <w:tcBorders>
              <w:bottom w:val="single" w:sz="8" w:color="0000EE"/>
            </w:tcBorders>
          </w:tcPr>
          <w:p>
            <w:pPr>
              <w:spacing w:after="0" w:line="128" w:lineRule="exact"/>
              <w:rPr>
                <w:sz w:val="20"/>
                <w:szCs w:val="20"/>
                <w:color w:val="auto"/>
              </w:rPr>
            </w:pPr>
            <w:r>
              <w:rPr>
                <w:rFonts w:ascii="Times New Roman" w:cs="Times New Roman" w:eastAsia="Times New Roman" w:hAnsi="Times New Roman"/>
                <w:sz w:val="12"/>
                <w:szCs w:val="12"/>
                <w:color w:val="212529"/>
                <w:w w:val="95"/>
              </w:rPr>
              <w:t>99.1</w:t>
            </w:r>
          </w:p>
        </w:tc>
        <w:tc>
          <w:tcPr>
            <w:tcW w:w="1400" w:type="dxa"/>
            <w:vAlign w:val="bottom"/>
          </w:tcPr>
          <w:p>
            <w:pPr>
              <w:spacing w:after="0"/>
              <w:rPr>
                <w:sz w:val="11"/>
                <w:szCs w:val="11"/>
                <w:color w:val="auto"/>
              </w:rPr>
            </w:pPr>
          </w:p>
        </w:tc>
        <w:tc>
          <w:tcPr>
            <w:tcW w:w="4360" w:type="dxa"/>
            <w:vAlign w:val="bottom"/>
            <w:tcBorders>
              <w:bottom w:val="single" w:sz="8" w:color="0000EE"/>
            </w:tcBorders>
          </w:tcPr>
          <w:p>
            <w:pPr>
              <w:spacing w:after="0" w:line="128" w:lineRule="exact"/>
              <w:rPr>
                <w:sz w:val="20"/>
                <w:szCs w:val="20"/>
                <w:color w:val="auto"/>
              </w:rPr>
            </w:pPr>
            <w:r>
              <w:rPr>
                <w:rFonts w:ascii="Times New Roman" w:cs="Times New Roman" w:eastAsia="Times New Roman" w:hAnsi="Times New Roman"/>
                <w:sz w:val="12"/>
                <w:szCs w:val="12"/>
                <w:color w:val="0000EE"/>
                <w:w w:val="99"/>
              </w:rPr>
              <w:t>Selected slides from presentation of Blueprint Medicines Corporation dated April 25, 2024</w:t>
            </w:r>
          </w:p>
        </w:tc>
        <w:tc>
          <w:tcPr>
            <w:tcW w:w="1040" w:type="dxa"/>
            <w:vAlign w:val="bottom"/>
          </w:tcPr>
          <w:p>
            <w:pPr>
              <w:spacing w:after="0"/>
              <w:rPr>
                <w:sz w:val="11"/>
                <w:szCs w:val="11"/>
                <w:color w:val="auto"/>
              </w:rPr>
            </w:pPr>
          </w:p>
        </w:tc>
      </w:tr>
      <w:tr>
        <w:trPr>
          <w:trHeight w:val="151"/>
        </w:trPr>
        <w:tc>
          <w:tcPr>
            <w:tcW w:w="64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212529"/>
              </w:rPr>
              <w:t>104</w:t>
            </w:r>
          </w:p>
        </w:tc>
        <w:tc>
          <w:tcPr>
            <w:tcW w:w="1400" w:type="dxa"/>
            <w:vAlign w:val="bottom"/>
          </w:tcPr>
          <w:p>
            <w:pPr>
              <w:spacing w:after="0"/>
              <w:rPr>
                <w:sz w:val="13"/>
                <w:szCs w:val="13"/>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2"/>
                <w:szCs w:val="12"/>
                <w:color w:val="212529"/>
                <w:w w:val="99"/>
              </w:rPr>
              <w:t>Cover Page Interactive Data File (embedded within the Inline XBRL document and incorporated as Exhibit 101)</w:t>
            </w:r>
          </w:p>
        </w:tc>
      </w:tr>
      <w:tr>
        <w:trPr>
          <w:trHeight w:val="288"/>
        </w:trPr>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400" w:type="dxa"/>
            <w:vAlign w:val="bottom"/>
            <w:gridSpan w:val="2"/>
          </w:tcPr>
          <w:p>
            <w:pPr>
              <w:ind w:left="3220"/>
              <w:spacing w:after="0"/>
              <w:rPr>
                <w:sz w:val="20"/>
                <w:szCs w:val="20"/>
                <w:color w:val="auto"/>
              </w:rPr>
            </w:pPr>
            <w:r>
              <w:rPr>
                <w:rFonts w:ascii="Times New Roman" w:cs="Times New Roman" w:eastAsia="Times New Roman" w:hAnsi="Times New Roman"/>
                <w:sz w:val="12"/>
                <w:szCs w:val="12"/>
                <w:b w:val="1"/>
                <w:bCs w:val="1"/>
                <w:color w:val="auto"/>
              </w:rPr>
              <w:t>SIGNATURES</w:t>
            </w:r>
          </w:p>
        </w:tc>
      </w:tr>
    </w:tbl>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BLUEPRINT MEDICINES CORPORATION</w:t>
      </w:r>
    </w:p>
    <w:p>
      <w:pPr>
        <w:spacing w:after="0" w:line="154" w:lineRule="exact"/>
        <w:rPr>
          <w:sz w:val="20"/>
          <w:szCs w:val="20"/>
          <w:color w:val="auto"/>
        </w:rPr>
      </w:pPr>
    </w:p>
    <w:p>
      <w:pPr>
        <w:spacing w:after="0"/>
        <w:tabs>
          <w:tab w:leader="none" w:pos="5640" w:val="left"/>
          <w:tab w:leader="none" w:pos="5960" w:val="left"/>
        </w:tabs>
        <w:rPr>
          <w:sz w:val="20"/>
          <w:szCs w:val="20"/>
          <w:color w:val="auto"/>
        </w:rPr>
      </w:pPr>
      <w:r>
        <w:rPr>
          <w:rFonts w:ascii="Times New Roman" w:cs="Times New Roman" w:eastAsia="Times New Roman" w:hAnsi="Times New Roman"/>
          <w:sz w:val="12"/>
          <w:szCs w:val="12"/>
          <w:color w:val="auto"/>
        </w:rPr>
        <w:t>Date: April 25, 2024</w:t>
      </w:r>
      <w:r>
        <w:rPr>
          <w:sz w:val="20"/>
          <w:szCs w:val="20"/>
          <w:color w:val="auto"/>
        </w:rPr>
        <w:tab/>
      </w:r>
      <w:r>
        <w:rPr>
          <w:rFonts w:ascii="Times New Roman" w:cs="Times New Roman" w:eastAsia="Times New Roman" w:hAnsi="Times New Roman"/>
          <w:sz w:val="12"/>
          <w:szCs w:val="12"/>
          <w:color w:val="auto"/>
        </w:rPr>
        <w:t>By:</w:t>
        <w:tab/>
        <w:t>/s/ Kathryn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10795</wp:posOffset>
            </wp:positionV>
            <wp:extent cx="33718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2"/>
          <w:szCs w:val="12"/>
          <w:color w:val="auto"/>
        </w:rPr>
        <w:t>Kathryn Haviland</w:t>
      </w:r>
    </w:p>
    <w:p>
      <w:pPr>
        <w:spacing w:after="0" w:line="1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647" w:right="339" w:bottom="1440" w:gutter="0" w:footer="0" w:header="0"/>
        </w:sectPr>
      </w:pPr>
    </w:p>
    <w:bookmarkStart w:id="2" w:name="page3"/>
    <w:bookmarkEnd w:id="2"/>
    <w:p>
      <w:pPr>
        <w:ind w:left="9540"/>
        <w:spacing w:after="0"/>
        <w:rPr>
          <w:sz w:val="20"/>
          <w:szCs w:val="20"/>
          <w:color w:val="auto"/>
        </w:rPr>
      </w:pPr>
      <w:r>
        <w:rPr>
          <w:rFonts w:ascii="Times New Roman" w:cs="Times New Roman" w:eastAsia="Times New Roman" w:hAnsi="Times New Roman"/>
          <w:sz w:val="11"/>
          <w:szCs w:val="1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20320</wp:posOffset>
            </wp:positionV>
            <wp:extent cx="7172960" cy="45262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2024-04-25T07:42:48Z</dcterms:created>
  <dcterms:modified xsi:type="dcterms:W3CDTF">2024-04-25T07:42:48Z</dcterms:modified>
</cp:coreProperties>
</file>