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McCain Tracey 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26"/>
        <w:spacing w:after="0"/>
        <w:rPr>
          <w:sz w:val="20"/>
          <w:szCs w:val="20"/>
          <w:color w:val="auto"/>
        </w:rPr>
      </w:pPr>
      <w:r>
        <w:rPr>
          <w:rFonts w:ascii="Arial" w:cs="Arial" w:eastAsia="Arial" w:hAnsi="Arial"/>
          <w:sz w:val="17"/>
          <w:szCs w:val="17"/>
          <w:color w:val="0000FF"/>
        </w:rPr>
        <w:t>EVP and Chief Legal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03/01/2020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14,250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22,300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080" w:type="dxa"/>
            <w:vAlign w:val="bottom"/>
          </w:tcPr>
          <w:p>
            <w:pPr>
              <w:ind w:left="260"/>
              <w:spacing w:after="0"/>
              <w:rPr>
                <w:sz w:val="20"/>
                <w:szCs w:val="20"/>
                <w:color w:val="auto"/>
              </w:rPr>
            </w:pPr>
            <w:r>
              <w:rPr>
                <w:rFonts w:ascii="Arial" w:cs="Arial" w:eastAsia="Arial" w:hAnsi="Arial"/>
                <w:sz w:val="13"/>
                <w:szCs w:val="13"/>
                <w:color w:val="0000FF"/>
              </w:rPr>
              <w:t>03/01/2020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28,500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03/01/2030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28,500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28,500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involved the Reporting Person's receipt of a grant of 14,250 restricted stock units under Issuer's 2015 Stock Option and Incentive Plan. The Reporting Person has reported prior awards of restricted stock units in Table II of Form 4. The total reported in Column 5 includes the 14,250 newly awarded restricted stock units, and 8,050 previously reported restricted stock units, 2,013 of which vested on March 1, 2020.</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2020 and as to an additional 1/48th of the shares underlying the option each month thereafter.</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2020-03-03T18:11:57Z</dcterms:created>
  <dcterms:modified xsi:type="dcterms:W3CDTF">2020-03-03T18:11:57Z</dcterms:modified>
</cp:coreProperties>
</file>