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2"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001-37359</w:t>
      </w:r>
    </w:p>
    <w:p>
      <w:pPr>
        <w:spacing w:after="0" w:line="2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174" w:lineRule="exact"/>
        <w:rPr>
          <w:sz w:val="24"/>
          <w:szCs w:val="24"/>
          <w:color w:val="auto"/>
        </w:rPr>
      </w:pPr>
    </w:p>
    <w:tbl>
      <w:tblPr>
        <w:tblLayout w:type="fixed"/>
        <w:tblInd w:w="1480" w:type="dxa"/>
        <w:tblCellMar>
          <w:top w:w="0" w:type="dxa"/>
          <w:left w:w="0" w:type="dxa"/>
          <w:bottom w:w="0" w:type="dxa"/>
          <w:right w:w="0" w:type="dxa"/>
        </w:tblCellMar>
      </w:tblPr>
      <w:tr>
        <w:trPr>
          <w:trHeight w:val="209"/>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3980" w:type="dxa"/>
            <w:vAlign w:val="bottom"/>
          </w:tcPr>
          <w:p>
            <w:pPr>
              <w:jc w:val="center"/>
              <w:ind w:left="3048"/>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980" w:type="dxa"/>
            <w:vAlign w:val="bottom"/>
          </w:tcPr>
          <w:p>
            <w:pPr>
              <w:jc w:val="center"/>
              <w:ind w:left="3048"/>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r>
      <w:tr>
        <w:trPr>
          <w:trHeight w:val="297"/>
        </w:trPr>
        <w:tc>
          <w:tcPr>
            <w:tcW w:w="2500" w:type="dxa"/>
            <w:vAlign w:val="bottom"/>
          </w:tcPr>
          <w:p>
            <w:pPr>
              <w:jc w:val="center"/>
              <w:ind w:right="348"/>
              <w:spacing w:after="0"/>
              <w:rPr>
                <w:sz w:val="20"/>
                <w:szCs w:val="20"/>
                <w:color w:val="auto"/>
              </w:rPr>
            </w:pPr>
            <w:r>
              <w:rPr>
                <w:rFonts w:ascii="Times New Roman" w:cs="Times New Roman" w:eastAsia="Times New Roman" w:hAnsi="Times New Roman"/>
                <w:sz w:val="18"/>
                <w:szCs w:val="18"/>
                <w:b w:val="1"/>
                <w:bCs w:val="1"/>
                <w:color w:val="auto"/>
                <w:w w:val="99"/>
              </w:rPr>
              <w:t>45 Sidney Street</w:t>
            </w:r>
          </w:p>
        </w:tc>
        <w:tc>
          <w:tcPr>
            <w:tcW w:w="3980" w:type="dxa"/>
            <w:vAlign w:val="bottom"/>
          </w:tcPr>
          <w:p>
            <w:pPr>
              <w:spacing w:after="0"/>
              <w:rPr>
                <w:sz w:val="24"/>
                <w:szCs w:val="24"/>
                <w:color w:val="auto"/>
              </w:rPr>
            </w:pPr>
          </w:p>
        </w:tc>
      </w:tr>
      <w:tr>
        <w:trPr>
          <w:trHeight w:val="209"/>
        </w:trPr>
        <w:tc>
          <w:tcPr>
            <w:tcW w:w="2500" w:type="dxa"/>
            <w:vAlign w:val="bottom"/>
          </w:tcPr>
          <w:p>
            <w:pPr>
              <w:jc w:val="center"/>
              <w:ind w:right="368"/>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980" w:type="dxa"/>
            <w:vAlign w:val="bottom"/>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15"/>
        </w:trPr>
        <w:tc>
          <w:tcPr>
            <w:tcW w:w="2500" w:type="dxa"/>
            <w:vAlign w:val="bottom"/>
          </w:tcPr>
          <w:p>
            <w:pPr>
              <w:jc w:val="center"/>
              <w:ind w:right="348"/>
              <w:spacing w:after="0" w:line="115" w:lineRule="exact"/>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980" w:type="dxa"/>
            <w:vAlign w:val="bottom"/>
          </w:tcPr>
          <w:p>
            <w:pPr>
              <w:jc w:val="center"/>
              <w:ind w:left="3048"/>
              <w:spacing w:after="0" w:line="115" w:lineRule="exact"/>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23"/>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Times New Roman" w:cs="Times New Roman" w:eastAsia="Times New Roman" w:hAnsi="Times New Roman"/>
                <w:sz w:val="18"/>
                <w:szCs w:val="18"/>
                <w:b w:val="1"/>
                <w:bCs w:val="1"/>
                <w:color w:val="auto"/>
              </w:rPr>
              <w:t>(617) 374-7580</w:t>
            </w:r>
          </w:p>
        </w:tc>
      </w:tr>
    </w:tbl>
    <w:p>
      <w:pPr>
        <w:jc w:val="center"/>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164" w:lineRule="exact"/>
        <w:rPr>
          <w:sz w:val="24"/>
          <w:szCs w:val="24"/>
          <w:color w:val="auto"/>
        </w:rPr>
      </w:pPr>
    </w:p>
    <w:p>
      <w:pPr>
        <w:ind w:right="100" w:firstLine="415"/>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right="160" w:firstLine="415"/>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right="320" w:firstLine="415"/>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82"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1" w:right="979" w:bottom="1440" w:gutter="0" w:footer="0" w:header="0"/>
          <w:type w:val="continuous"/>
        </w:sectPr>
      </w:pPr>
    </w:p>
    <w:p>
      <w:pPr>
        <w:spacing w:after="0" w:line="14" w:lineRule="exact"/>
        <w:rPr>
          <w:sz w:val="24"/>
          <w:szCs w:val="24"/>
          <w:color w:val="auto"/>
        </w:rPr>
      </w:pPr>
    </w:p>
    <w:p>
      <w:pPr>
        <w:ind w:left="656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2">
            <w:col w:w="8120" w:space="80"/>
            <w:col w:w="1740"/>
          </w:cols>
          <w:pgMar w:left="980" w:top="661" w:right="979" w:bottom="1440" w:gutter="0" w:footer="0" w:header="0"/>
          <w:type w:val="continuous"/>
        </w:sectPr>
      </w:pPr>
    </w:p>
    <w:p>
      <w:pPr>
        <w:ind w:right="60" w:firstLine="415"/>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color w:val="auto"/>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October 26, 2020: 55,730,804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863600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7300" w:type="dxa"/>
            <w:vAlign w:val="bottom"/>
            <w:gridSpan w:val="6"/>
            <w:vMerge w:val="restart"/>
          </w:tcPr>
          <w:p>
            <w:pPr>
              <w:jc w:val="center"/>
              <w:ind w:right="580"/>
              <w:spacing w:after="0"/>
              <w:rPr>
                <w:rFonts w:ascii="Times New Roman" w:cs="Times New Roman" w:eastAsia="Times New Roman" w:hAnsi="Times New Roman"/>
                <w:sz w:val="18"/>
                <w:szCs w:val="18"/>
                <w:b w:val="1"/>
                <w:bCs w:val="1"/>
                <w:u w:val="single" w:color="auto"/>
                <w:color w:val="0000EE"/>
                <w:w w:val="99"/>
              </w:rPr>
            </w:pPr>
            <w:hyperlink w:anchor="page5">
              <w:r>
                <w:rPr>
                  <w:rFonts w:ascii="Times New Roman" w:cs="Times New Roman" w:eastAsia="Times New Roman" w:hAnsi="Times New Roman"/>
                  <w:sz w:val="18"/>
                  <w:szCs w:val="18"/>
                  <w:b w:val="1"/>
                  <w:bCs w:val="1"/>
                  <w:u w:val="single" w:color="auto"/>
                  <w:color w:val="0000EE"/>
                  <w:w w:val="99"/>
                </w:rPr>
                <w:t>PART I – FINANCIAL INFORMATION</w:t>
              </w:r>
            </w:hyperlink>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7300" w:type="dxa"/>
            <w:vAlign w:val="bottom"/>
            <w:gridSpan w:val="6"/>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300" w:type="dxa"/>
            <w:vAlign w:val="bottom"/>
            <w:gridSpan w:val="9"/>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Item 1. Financial Statements (unaudited)</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60" w:type="dxa"/>
            <w:vAlign w:val="bottom"/>
            <w:gridSpan w:val="7"/>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Balance Sheets as of September 30, 2020 and December 31, 2019</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4"/>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gridSpan w:val="7"/>
          </w:tcPr>
          <w:p>
            <w:pPr>
              <w:spacing w:after="0" w:line="194"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and Comprehensive Income (Loss) for the three and</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3"/>
          </w:tcPr>
          <w:p>
            <w:pPr>
              <w:spacing w:after="0" w:line="169"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nine months ended September 30, 2020 and 2019</w:t>
              </w:r>
            </w:hyperlink>
          </w:p>
        </w:tc>
        <w:tc>
          <w:tcPr>
            <w:tcW w:w="3460" w:type="dxa"/>
            <w:vAlign w:val="bottom"/>
            <w:tcBorders>
              <w:top w:val="single" w:sz="8" w:color="0000EE"/>
              <w:bottom w:val="single" w:sz="8" w:color="0000EE"/>
            </w:tcBorders>
          </w:tcPr>
          <w:p>
            <w:pPr>
              <w:spacing w:after="0"/>
              <w:rPr>
                <w:sz w:val="15"/>
                <w:szCs w:val="15"/>
                <w:color w:val="auto"/>
              </w:rPr>
            </w:pPr>
          </w:p>
        </w:tc>
        <w:tc>
          <w:tcPr>
            <w:tcW w:w="42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7"/>
            <w:vMerge w:val="restart"/>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Stockholders’ Equity for the three and nine months ended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2"/>
          </w:tcPr>
          <w:p>
            <w:pPr>
              <w:spacing w:after="0" w:line="169"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September 30, 2020 and 2019</w:t>
              </w:r>
            </w:hyperlink>
          </w:p>
        </w:tc>
        <w:tc>
          <w:tcPr>
            <w:tcW w:w="4860" w:type="dxa"/>
            <w:vAlign w:val="bottom"/>
            <w:tcBorders>
              <w:top w:val="single" w:sz="8" w:color="0000EE"/>
              <w:bottom w:val="single" w:sz="8" w:color="0000EE"/>
            </w:tcBorders>
            <w:gridSpan w:val="2"/>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7"/>
            <w:vMerge w:val="restart"/>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nine months ended September 30, 2020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69"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2019</w:t>
              </w:r>
            </w:hyperlink>
          </w:p>
        </w:tc>
        <w:tc>
          <w:tcPr>
            <w:tcW w:w="180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34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7"/>
            <w:vMerge w:val="restart"/>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Condensed Consolidated Financial Statements</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60" w:type="dxa"/>
            <w:vAlign w:val="bottom"/>
            <w:gridSpan w:val="7"/>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300" w:type="dxa"/>
            <w:vAlign w:val="bottom"/>
            <w:gridSpan w:val="9"/>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4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Item 3.</w:t>
              </w:r>
            </w:hyperlink>
          </w:p>
        </w:tc>
        <w:tc>
          <w:tcPr>
            <w:tcW w:w="7760" w:type="dxa"/>
            <w:vAlign w:val="bottom"/>
            <w:gridSpan w:val="8"/>
          </w:tcPr>
          <w:p>
            <w:pPr>
              <w:ind w:left="2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Quantitative and Qualitative Disclosures About Market Risk</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5"/>
        </w:trPr>
        <w:tc>
          <w:tcPr>
            <w:tcW w:w="540" w:type="dxa"/>
            <w:vAlign w:val="bottom"/>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Item 4.</w:t>
              </w:r>
            </w:hyperlink>
          </w:p>
        </w:tc>
        <w:tc>
          <w:tcPr>
            <w:tcW w:w="7760" w:type="dxa"/>
            <w:vAlign w:val="bottom"/>
            <w:gridSpan w:val="8"/>
          </w:tcPr>
          <w:p>
            <w:pPr>
              <w:ind w:left="2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Controls and Procedures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0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500" w:type="dxa"/>
            <w:vAlign w:val="bottom"/>
            <w:gridSpan w:val="5"/>
          </w:tcPr>
          <w:p>
            <w:pPr>
              <w:jc w:val="center"/>
              <w:ind w:right="2380"/>
              <w:spacing w:after="0"/>
              <w:rPr>
                <w:rFonts w:ascii="Times New Roman" w:cs="Times New Roman" w:eastAsia="Times New Roman" w:hAnsi="Times New Roman"/>
                <w:sz w:val="18"/>
                <w:szCs w:val="18"/>
                <w:b w:val="1"/>
                <w:bCs w:val="1"/>
                <w:u w:val="single" w:color="auto"/>
                <w:color w:val="0000EE"/>
                <w:w w:val="98"/>
              </w:rPr>
            </w:pPr>
            <w:hyperlink w:anchor="page49">
              <w:r>
                <w:rPr>
                  <w:rFonts w:ascii="Times New Roman" w:cs="Times New Roman" w:eastAsia="Times New Roman" w:hAnsi="Times New Roman"/>
                  <w:sz w:val="18"/>
                  <w:szCs w:val="18"/>
                  <w:b w:val="1"/>
                  <w:bCs w:val="1"/>
                  <w:u w:val="single" w:color="auto"/>
                  <w:color w:val="0000EE"/>
                  <w:w w:val="98"/>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w:t>
              </w:r>
            </w:hyperlink>
          </w:p>
        </w:tc>
        <w:tc>
          <w:tcPr>
            <w:tcW w:w="7760" w:type="dxa"/>
            <w:vAlign w:val="bottom"/>
            <w:gridSpan w:val="8"/>
          </w:tcPr>
          <w:p>
            <w:pPr>
              <w:ind w:left="2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Legal Proceedings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8300" w:type="dxa"/>
            <w:vAlign w:val="bottom"/>
            <w:gridSpan w:val="9"/>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Item 1A. Risk Factors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540" w:type="dxa"/>
            <w:vAlign w:val="bottom"/>
          </w:tcPr>
          <w:p>
            <w:pPr>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Item 6.</w:t>
              </w:r>
            </w:hyperlink>
          </w:p>
        </w:tc>
        <w:tc>
          <w:tcPr>
            <w:tcW w:w="7760" w:type="dxa"/>
            <w:vAlign w:val="bottom"/>
            <w:gridSpan w:val="8"/>
          </w:tcPr>
          <w:p>
            <w:pPr>
              <w:ind w:left="2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Exhibits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8300" w:type="dxa"/>
            <w:vAlign w:val="bottom"/>
            <w:gridSpan w:val="9"/>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Signatures</w:t>
              </w:r>
            </w:hyperlink>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right="19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AYVAKYT®, GAVRETO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192" w:lineRule="exact"/>
        <w:rPr>
          <w:sz w:val="20"/>
          <w:szCs w:val="20"/>
          <w:color w:val="auto"/>
        </w:rPr>
      </w:pPr>
    </w:p>
    <w:p>
      <w:pPr>
        <w:ind w:left="1380" w:right="559" w:hanging="331"/>
        <w:spacing w:after="0" w:line="250"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09" w:lineRule="exact"/>
        <w:rPr>
          <w:rFonts w:ascii="Times New Roman" w:cs="Times New Roman" w:eastAsia="Times New Roman" w:hAnsi="Times New Roman"/>
          <w:sz w:val="18"/>
          <w:szCs w:val="18"/>
          <w:color w:val="auto"/>
        </w:rPr>
      </w:pPr>
    </w:p>
    <w:p>
      <w:pPr>
        <w:ind w:left="1380" w:right="79" w:hanging="331"/>
        <w:spacing w:after="0" w:line="245"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 (avapritinib) (marketed in Europe under the brand name AYVAKYT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GAVRETO™ (pralsetinib) and any current and future drug candidates for which we receive marketing approval;</w:t>
      </w:r>
    </w:p>
    <w:p>
      <w:pPr>
        <w:spacing w:after="0" w:line="99" w:lineRule="exact"/>
        <w:rPr>
          <w:rFonts w:ascii="Times New Roman" w:cs="Times New Roman" w:eastAsia="Times New Roman" w:hAnsi="Times New Roman"/>
          <w:sz w:val="18"/>
          <w:szCs w:val="18"/>
          <w:color w:val="auto"/>
        </w:rPr>
      </w:pPr>
    </w:p>
    <w:p>
      <w:pPr>
        <w:ind w:left="1380" w:right="41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AYVAKIT/AYVAKYT, GAVRETO and any current and future drug candidates for which we receive marketing approval;</w:t>
      </w:r>
    </w:p>
    <w:p>
      <w:pPr>
        <w:spacing w:after="0" w:line="94"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AYVAKIT/AYVAKYT, GAVRETO and any current and future drug candidates for which we receive marketing approval;</w:t>
      </w:r>
    </w:p>
    <w:p>
      <w:pPr>
        <w:spacing w:after="0" w:line="94" w:lineRule="exact"/>
        <w:rPr>
          <w:rFonts w:ascii="Times New Roman" w:cs="Times New Roman" w:eastAsia="Times New Roman" w:hAnsi="Times New Roman"/>
          <w:sz w:val="18"/>
          <w:szCs w:val="18"/>
          <w:color w:val="auto"/>
        </w:rPr>
      </w:pPr>
    </w:p>
    <w:p>
      <w:pPr>
        <w:ind w:left="1380" w:right="259" w:hanging="331"/>
        <w:spacing w:after="0" w:line="250"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avapritinib, pralsetinib, fisogatinib, BLU-263, BLU-945 and our research and development programs;</w:t>
      </w:r>
    </w:p>
    <w:p>
      <w:pPr>
        <w:spacing w:after="0" w:line="95"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44"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09"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81"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current and future drugs, drug candidates and technology;</w:t>
      </w:r>
    </w:p>
    <w:p>
      <w:pPr>
        <w:spacing w:after="0" w:line="94" w:lineRule="exact"/>
        <w:rPr>
          <w:rFonts w:ascii="Times New Roman" w:cs="Times New Roman" w:eastAsia="Times New Roman" w:hAnsi="Times New Roman"/>
          <w:sz w:val="18"/>
          <w:szCs w:val="18"/>
          <w:color w:val="auto"/>
        </w:rPr>
      </w:pPr>
    </w:p>
    <w:p>
      <w:pPr>
        <w:ind w:left="1380" w:right="119" w:hanging="331"/>
        <w:spacing w:after="0" w:line="241"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and our collaboration with CStone Pharmaceuticals to develop and commercialize avapritinib, pralsetinib and fisogatinib in Greater China, as well as our ability to maintain these collaborations and establish additional strategic collaborations;</w:t>
      </w:r>
    </w:p>
    <w:p>
      <w:pPr>
        <w:spacing w:after="0" w:line="116" w:lineRule="exact"/>
        <w:rPr>
          <w:rFonts w:ascii="Times New Roman" w:cs="Times New Roman" w:eastAsia="Times New Roman" w:hAnsi="Times New Roman"/>
          <w:sz w:val="18"/>
          <w:szCs w:val="18"/>
          <w:color w:val="auto"/>
        </w:rPr>
      </w:pPr>
    </w:p>
    <w:p>
      <w:pPr>
        <w:ind w:left="1380" w:right="679" w:hanging="331"/>
        <w:spacing w:after="0" w:line="266" w:lineRule="auto"/>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to develop and commercialize BLU-782 for fibrodysplasia ossificans progressiva;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144"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pacing w:after="0" w:line="94"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380" w:right="139" w:hanging="331"/>
        <w:spacing w:after="0" w:line="24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potential benefits of designations granted by the U.S. Food and Drug Administration, or FDA, such as orphan drug, fast track and breakthrough therapy designation or priority review, and the review of current or future new drug applications under the FDA’s Oncology Center of Excellence Real-Time Oncology Review pilot program or the FDA’s Project Orbis initiative; and</w:t>
      </w:r>
    </w:p>
    <w:p>
      <w:pPr>
        <w:spacing w:after="0" w:line="113" w:lineRule="exact"/>
        <w:rPr>
          <w:rFonts w:ascii="Times New Roman" w:cs="Times New Roman" w:eastAsia="Times New Roman" w:hAnsi="Times New Roman"/>
          <w:sz w:val="18"/>
          <w:szCs w:val="18"/>
          <w:color w:val="auto"/>
        </w:rPr>
      </w:pPr>
    </w:p>
    <w:p>
      <w:pPr>
        <w:ind w:left="1380" w:right="179" w:hanging="331"/>
        <w:spacing w:after="0" w:line="242"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117"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1" w:lineRule="exact"/>
        <w:rPr>
          <w:sz w:val="20"/>
          <w:szCs w:val="20"/>
          <w:color w:val="auto"/>
        </w:rPr>
      </w:pPr>
    </w:p>
    <w:p>
      <w:pPr>
        <w:ind w:left="60" w:right="139" w:firstLine="648"/>
        <w:spacing w:after="0" w:line="264" w:lineRule="auto"/>
        <w:rPr>
          <w:sz w:val="20"/>
          <w:szCs w:val="20"/>
          <w:color w:val="auto"/>
        </w:rPr>
      </w:pPr>
      <w:r>
        <w:rPr>
          <w:rFonts w:ascii="Times New Roman" w:cs="Times New Roman" w:eastAsia="Times New Roman" w:hAnsi="Times New Roman"/>
          <w:sz w:val="17"/>
          <w:szCs w:val="17"/>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66" w:lineRule="exact"/>
        <w:rPr>
          <w:sz w:val="20"/>
          <w:szCs w:val="20"/>
          <w:color w:val="auto"/>
        </w:rPr>
      </w:pPr>
    </w:p>
    <w:p>
      <w:pPr>
        <w:ind w:left="60" w:right="339" w:firstLine="648"/>
        <w:spacing w:after="0" w:line="239" w:lineRule="auto"/>
        <w:rPr>
          <w:sz w:val="20"/>
          <w:szCs w:val="20"/>
          <w:color w:val="auto"/>
        </w:rPr>
      </w:pPr>
      <w:r>
        <w:rPr>
          <w:rFonts w:ascii="Times New Roman" w:cs="Times New Roman" w:eastAsia="Times New Roman" w:hAnsi="Times New Roman"/>
          <w:sz w:val="18"/>
          <w:szCs w:val="18"/>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74"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565,221</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Investments, available-for-sale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17,404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841,655</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516,786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available-for-sale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598,470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35,199</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1,558,178</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707,694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deferred revenue</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10,391</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110,108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106,482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9,318</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238,178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243,335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(Note 15)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Preferred stock, $0.001 par value; 5,000,000 shares authorized; no shares issued and outstanding</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660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Common stock, $0.001 par value; 120,000,000 shares authorized; 55,514,395 and 49,272,223 shares issued and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at September 30, 2020 and December 31, 2019, respectively</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1,867,572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1,412,083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(545,688)</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(945,238)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1,320,000</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464,359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1,558,178</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707,694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 revenue,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738,810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9,139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744,183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745,118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9,139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759,629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Cost and operating expenses: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74,230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249,456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242,804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ind w:left="20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37,375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25,647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115,203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cost and operating expenses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111,751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364,956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3,758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5,663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5,247</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634,348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(94,275)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399,920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633,978</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(94,275)</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399,550</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Unrealized gain (losses) on available-for-sale investments</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(777)</w:t>
            </w:r>
          </w:p>
        </w:tc>
        <w:tc>
          <w:tcPr>
            <w:tcW w:w="18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(287)</w:t>
            </w: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Currency translation adjustments</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633,158</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(94,565)</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400,144</w:t>
            </w:r>
          </w:p>
        </w:tc>
        <w:tc>
          <w:tcPr>
            <w:tcW w:w="1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11.49</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7.40</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right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11.16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(5.94)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88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auto"/>
              </w:rPr>
              <w:t>Weighted-average number of common shares used in net income</w:t>
            </w: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48,921</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54,018</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8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56,786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55,492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444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7" w:lineRule="auto"/>
        <w:rPr>
          <w:sz w:val="20"/>
          <w:szCs w:val="20"/>
          <w:color w:val="auto"/>
        </w:rPr>
      </w:pPr>
      <w:r>
        <w:rPr>
          <w:rFonts w:ascii="Times New Roman" w:cs="Times New Roman" w:eastAsia="Times New Roman" w:hAnsi="Times New Roman"/>
          <w:sz w:val="18"/>
          <w:szCs w:val="18"/>
          <w:b w:val="1"/>
          <w:bCs w:val="1"/>
          <w:color w:val="auto"/>
        </w:rPr>
        <w:t>Blueprint Medicines Corporation Condensed Consolidated Statements of Stockholders’ Equity (in thousands, except share data) (Unaudited)</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4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80" w:type="dxa"/>
            <w:vAlign w:val="bottom"/>
          </w:tcPr>
          <w:p>
            <w:pPr>
              <w:jc w:val="right"/>
              <w:ind w:right="97"/>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7"/>
              <w:spacing w:after="0" w:line="144"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49,272,223</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1,412,083</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(2,535)</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(945,238)</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464,359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186,166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Follow on offering,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4,710,144</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(110,954)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(110,954)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2020</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54,168,533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1,739,140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(1,056,192)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682,933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98,950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17,018</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June 30, 2020</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54,284,501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1,762,099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(1,120)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(1,179,666)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581,367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194,375</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related to collaboration agreement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1,035,519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633,978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633,978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September 30, 2020</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55,514,395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56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1,867,572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(1,940)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(545,688)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1,320,000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44,037,026</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44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1,016,690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(597,545)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419,009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134,439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Balance at March 31, 2019</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44,171,465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44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1,029,046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(684,952)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344,213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215,299</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Purchase of common stock under ESPP</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Follow on offering, net of issuance costs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4,662,162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327,437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327,442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(99,681)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(99,681)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June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49,059,644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1,376,484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(784,633)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592,827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Issuance of common stock under stock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115,798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Follow on offering, net of issuance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gain (loss) on available-for-sale securities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(94,275)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(94,275)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September 30, 2019</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49,175,442</w:t>
            </w:r>
          </w:p>
        </w:tc>
        <w:tc>
          <w:tcPr>
            <w:tcW w:w="12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49</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1,394,566</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(878,908)</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516,344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6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60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399,550</w:t>
            </w:r>
          </w:p>
        </w:tc>
        <w:tc>
          <w:tcPr>
            <w:tcW w:w="180" w:type="dxa"/>
            <w:vAlign w:val="bottom"/>
          </w:tcPr>
          <w:p>
            <w:pPr>
              <w:spacing w:after="0"/>
              <w:rPr>
                <w:sz w:val="17"/>
                <w:szCs w:val="17"/>
                <w:color w:val="auto"/>
              </w:rPr>
            </w:pPr>
          </w:p>
        </w:tc>
        <w:tc>
          <w:tcPr>
            <w:tcW w:w="180" w:type="dxa"/>
            <w:vAlign w:val="bottom"/>
            <w:gridSpan w:val="2"/>
          </w:tcPr>
          <w:p>
            <w:pPr>
              <w:jc w:val="center"/>
              <w:ind w:right="1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(281,363)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4,887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3,685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Noncash lease expense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3,649</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56,022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38,954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Accretion of premiums and discounts on investments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(4,366)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(43,705)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Unbilled accounts receivable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5,862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(2,417)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Inventory</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(7,175)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26,408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(4,836)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620"/>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411,834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(233,120)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(2,472)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(10,122)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Purchases of investments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(796,980)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(597,514)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440,735</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523,434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62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(358,717)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(84,202)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Proceeds from public offerings of common stock, net of issuance cost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308,750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327,466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9,921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11,454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Issuance of common stock related to collaboration agreement</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79,305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5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540"/>
              <w:spacing w:after="0" w:line="19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397,666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338,804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450,783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570,389</w:t>
            </w:r>
          </w:p>
        </w:tc>
        <w:tc>
          <w:tcPr>
            <w:tcW w:w="180" w:type="dxa"/>
            <w:vAlign w:val="bottom"/>
          </w:tcPr>
          <w:p>
            <w:pPr>
              <w:spacing w:after="0"/>
              <w:rPr>
                <w:sz w:val="20"/>
                <w:szCs w:val="20"/>
                <w:color w:val="auto"/>
              </w:rPr>
            </w:pPr>
          </w:p>
        </w:tc>
        <w:tc>
          <w:tcPr>
            <w:tcW w:w="180" w:type="dxa"/>
            <w:vAlign w:val="bottom"/>
            <w:gridSpan w:val="2"/>
          </w:tcPr>
          <w:p>
            <w:pPr>
              <w:jc w:val="center"/>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94,901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costs incurred but unpaid at period end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2"/>
                <w:szCs w:val="22"/>
                <w:color w:val="auto"/>
              </w:rPr>
            </w:pPr>
          </w:p>
        </w:tc>
        <w:tc>
          <w:tcPr>
            <w:tcW w:w="18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60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209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center"/>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3,225</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taxes, net</w:t>
            </w:r>
          </w:p>
        </w:tc>
        <w:tc>
          <w:tcPr>
            <w:tcW w:w="5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4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jc w:val="center"/>
              <w:ind w:right="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r>
      <w:tr>
        <w:trPr>
          <w:trHeight w:val="156"/>
        </w:trPr>
        <w:tc>
          <w:tcPr>
            <w:tcW w:w="65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565,221</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89,237</w:t>
            </w:r>
          </w:p>
        </w:tc>
        <w:tc>
          <w:tcPr>
            <w:tcW w:w="80" w:type="dxa"/>
            <w:vAlign w:val="bottom"/>
            <w:shd w:val="clear" w:color="auto" w:fill="CCEEFF"/>
          </w:tcPr>
          <w:p>
            <w:pPr>
              <w:spacing w:after="0"/>
              <w:rPr>
                <w:sz w:val="13"/>
                <w:szCs w:val="13"/>
                <w:color w:val="auto"/>
              </w:rPr>
            </w:pPr>
          </w:p>
        </w:tc>
      </w:tr>
      <w:tr>
        <w:trPr>
          <w:trHeight w:val="162"/>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2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4"/>
                <w:szCs w:val="14"/>
                <w:color w:val="auto"/>
              </w:rPr>
            </w:pPr>
          </w:p>
        </w:tc>
      </w:tr>
      <w:tr>
        <w:trPr>
          <w:trHeight w:val="16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w:t>
            </w:r>
          </w:p>
        </w:tc>
        <w:tc>
          <w:tcPr>
            <w:tcW w:w="80" w:type="dxa"/>
            <w:vAlign w:val="bottom"/>
            <w:shd w:val="clear" w:color="auto" w:fill="CCEEFF"/>
          </w:tcPr>
          <w:p>
            <w:pPr>
              <w:spacing w:after="0"/>
              <w:rPr>
                <w:sz w:val="14"/>
                <w:szCs w:val="14"/>
                <w:color w:val="auto"/>
              </w:rPr>
            </w:pPr>
          </w:p>
        </w:tc>
      </w:tr>
      <w:tr>
        <w:trPr>
          <w:trHeight w:val="155"/>
        </w:trPr>
        <w:tc>
          <w:tcPr>
            <w:tcW w:w="6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 shown in condensed consolidated statements of cash flows</w:t>
            </w: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570,389</w:t>
            </w:r>
          </w:p>
        </w:tc>
        <w:tc>
          <w:tcPr>
            <w:tcW w:w="180" w:type="dxa"/>
            <w:vAlign w:val="bottom"/>
          </w:tcPr>
          <w:p>
            <w:pPr>
              <w:spacing w:after="0"/>
              <w:rPr>
                <w:sz w:val="13"/>
                <w:szCs w:val="13"/>
                <w:color w:val="auto"/>
              </w:rPr>
            </w:pPr>
          </w:p>
        </w:tc>
        <w:tc>
          <w:tcPr>
            <w:tcW w:w="2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94,901</w:t>
            </w:r>
          </w:p>
        </w:tc>
        <w:tc>
          <w:tcPr>
            <w:tcW w:w="80" w:type="dxa"/>
            <w:vAlign w:val="bottom"/>
          </w:tcPr>
          <w:p>
            <w:pPr>
              <w:spacing w:after="0"/>
              <w:rPr>
                <w:sz w:val="13"/>
                <w:szCs w:val="13"/>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1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 The Company has two approved precision therapies and is currently advancing multiple investigational medicines in clinical and pre-clinical development, along with a number of earlier stage research programs.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91"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 xml:space="preserve">As of September 30, 2020, the Company had cash, cash equivalents and investments of $1,355.9 million. Based on the Company’s current operating plans, the Company anticipates that its existing cash, cash equivalents and investments will </w:t>
      </w:r>
      <w:r>
        <w:rPr>
          <w:rFonts w:ascii="Times New Roman" w:cs="Times New Roman" w:eastAsia="Times New Roman" w:hAnsi="Times New Roman"/>
          <w:sz w:val="18"/>
          <w:szCs w:val="18"/>
          <w:color w:val="212529"/>
        </w:rPr>
        <w:t>be sufficient to enable it to fund its current operations for at least the next twelve months from the issuance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financial statements.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2019 and notes thereto included in the Company’s Annual Report on Form 10-K for the year ended December 31, 2019, filed with the SEC on February 13, 2020 (the 2019 Annual Report on Form 10-K).</w:t>
      </w:r>
    </w:p>
    <w:p>
      <w:pPr>
        <w:spacing w:after="0" w:line="191"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2020, the results of its operations for the three and nine months ended September 30, 2020 and 2019, stockholder’s equity for the three and nine months ended September 30, 2020 and 2019 and cash flows for the nine months ended September 30, 2020 and 2019. Such adjustments are of a normal and recurring nature. The results for the three and nine months ended September 30, 2020 are not necessarily indicative of the results for the year ending December 31, 2020 or for any future period.</w:t>
      </w:r>
    </w:p>
    <w:p>
      <w:pPr>
        <w:spacing w:after="0" w:line="187" w:lineRule="exact"/>
        <w:rPr>
          <w:sz w:val="20"/>
          <w:szCs w:val="20"/>
          <w:color w:val="auto"/>
        </w:rPr>
      </w:pPr>
    </w:p>
    <w:p>
      <w:pPr>
        <w:ind w:left="60" w:right="119" w:firstLine="648"/>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stock-based compensation expense, accrued expenses, and income taxes. The full extent to which the COVID-19 pandemic will directly or indirectly impact the Company’s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thereof on local, regional, national and international customers and markets. The Company had made estimates of the impact of COVID-19 within its financial statements and there may be changes to those estimates in future periods. Actual results may differ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16" w:lineRule="exact"/>
        <w:rPr>
          <w:sz w:val="20"/>
          <w:szCs w:val="20"/>
          <w:color w:val="auto"/>
        </w:rPr>
      </w:pPr>
    </w:p>
    <w:p>
      <w:pPr>
        <w:ind w:left="60" w:right="279" w:firstLine="648"/>
        <w:spacing w:after="0" w:line="245"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for the three and nine months ended September 30, 2020 are consistent with those discussed in Note 2 to the consolidated financial statements in the 2019 Annual Report on Form 10-K, except as noted below with respect to the Company’s accounting policies for product revenue, accounts receivable, and inventory.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14"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Company generated product revenue from sales of </w:t>
      </w:r>
      <w:r>
        <w:rPr>
          <w:rFonts w:ascii="Times New Roman" w:cs="Times New Roman" w:eastAsia="Times New Roman" w:hAnsi="Times New Roman"/>
          <w:sz w:val="18"/>
          <w:szCs w:val="18"/>
          <w:color w:val="0A0A0A"/>
          <w:highlight w:val="white"/>
        </w:rPr>
        <w:t>AYVAKIT and GAVRETO</w:t>
      </w:r>
      <w:r>
        <w:rPr>
          <w:rFonts w:ascii="Times New Roman" w:cs="Times New Roman" w:eastAsia="Times New Roman" w:hAnsi="Times New Roman"/>
          <w:sz w:val="18"/>
          <w:szCs w:val="18"/>
          <w:color w:val="auto"/>
        </w:rPr>
        <w:t xml:space="preserve"> to a limited number of specialty distributors and specialty pharmacy providers in the U.S.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18"/>
          <w:szCs w:val="18"/>
          <w:color w:val="0A0A0A"/>
          <w:highlight w:val="white"/>
        </w:rPr>
        <w:t>its products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the Company’s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76"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5" w:lineRule="exact"/>
        <w:rPr>
          <w:sz w:val="20"/>
          <w:szCs w:val="20"/>
          <w:color w:val="auto"/>
        </w:rPr>
      </w:pPr>
    </w:p>
    <w:p>
      <w:pPr>
        <w:ind w:left="60" w:right="279" w:firstLine="648"/>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Government rebates: </w:t>
      </w:r>
      <w:r>
        <w:rPr>
          <w:rFonts w:ascii="Times New Roman" w:cs="Times New Roman" w:eastAsia="Times New Roman" w:hAnsi="Times New Roman"/>
          <w:sz w:val="17"/>
          <w:szCs w:val="17"/>
          <w:color w:val="auto"/>
        </w:rPr>
        <w:t>Government rebates consist of Medicare, Tricare and Medicaid rebates, which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using the expected value method, based upon a range of possible outcomes for the estimated payor mix. These</w:t>
      </w:r>
    </w:p>
    <w:p>
      <w:pPr>
        <w:sectPr>
          <w:pgSz w:w="11900" w:h="16838" w:orient="portrait"/>
          <w:cols w:equalWidth="0" w:num="1">
            <w:col w:w="9019"/>
          </w:cols>
          <w:pgMar w:left="1440" w:top="513" w:right="1440"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250" w:lineRule="auto"/>
        <w:rPr>
          <w:sz w:val="20"/>
          <w:szCs w:val="20"/>
          <w:color w:val="auto"/>
        </w:rPr>
      </w:pPr>
      <w:r>
        <w:rPr>
          <w:rFonts w:ascii="Times New Roman" w:cs="Times New Roman" w:eastAsia="Times New Roman" w:hAnsi="Times New Roman"/>
          <w:sz w:val="18"/>
          <w:szCs w:val="18"/>
          <w:color w:val="auto"/>
        </w:rPr>
        <w:t>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75" w:lineRule="exact"/>
        <w:rPr>
          <w:sz w:val="20"/>
          <w:szCs w:val="20"/>
          <w:color w:val="auto"/>
        </w:rPr>
      </w:pPr>
    </w:p>
    <w:p>
      <w:pPr>
        <w:jc w:val="both"/>
        <w:ind w:left="60" w:right="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the customers with discounts that are explicitly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77" w:lineRule="exact"/>
        <w:rPr>
          <w:sz w:val="20"/>
          <w:szCs w:val="20"/>
          <w:color w:val="auto"/>
        </w:rPr>
      </w:pPr>
    </w:p>
    <w:p>
      <w:pPr>
        <w:ind w:left="60" w:right="11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estimates the amount of its product sales that may be returned by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64" w:lineRule="exact"/>
        <w:rPr>
          <w:sz w:val="20"/>
          <w:szCs w:val="20"/>
          <w:color w:val="auto"/>
        </w:rPr>
      </w:pPr>
    </w:p>
    <w:p>
      <w:pPr>
        <w:ind w:left="60" w:right="29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1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7"/>
          <w:szCs w:val="17"/>
          <w:color w:val="auto"/>
        </w:rPr>
        <w:t>Accounts receivable arise from product sales and amounts due from the Company’s collaboration partners. The amount from product sales represents amounts due from specialty pharmacy providers in the U.S. The Company monitors economic conditions to identify facts or circumstances that may indicate that its receivables are at risk of collection. The Company provides reserves against accounts receivable for estimated losses that may result from a customer’s inability to pay based on the composition of its accounts receivable, current economic conditions and historical credit loss activity. Amounts determined to be uncollectible are charged or written-off against the reserve. For the three and nine months ended September 30, 2020, the Company did not record any expected credit losses related to outstanding accounts receivable.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14" w:lineRule="exact"/>
        <w:rPr>
          <w:sz w:val="20"/>
          <w:szCs w:val="20"/>
          <w:color w:val="auto"/>
        </w:rPr>
      </w:pPr>
    </w:p>
    <w:p>
      <w:pPr>
        <w:jc w:val="both"/>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w:t>
      </w:r>
    </w:p>
    <w:p>
      <w:pPr>
        <w:spacing w:after="0" w:line="177"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8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condensed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16"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14" w:lineRule="exact"/>
        <w:rPr>
          <w:sz w:val="20"/>
          <w:szCs w:val="20"/>
          <w:color w:val="auto"/>
        </w:rPr>
      </w:pPr>
    </w:p>
    <w:p>
      <w:pPr>
        <w:ind w:left="60" w:right="299"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No. 2016-13, 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The FASB subsequently issued amendments to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had the same effective date and transition date of January 1, 2020. These standards require that credit losses be reported using an expected losses model rather than the incurred losses model that is currently used, and establish additional disclosures related to credit risks. For available-for-sale debt securities with unrealized losses, these standards now require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w:t>
      </w:r>
    </w:p>
    <w:p>
      <w:pPr>
        <w:spacing w:after="0" w:line="189"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The Company adopted the new standard on a prospective basis on January 1, 2020 and has completed the assessment of the standard based on the composition of its accounts receivable, investment portfolio of financial instruments, current and forecasted economic conditions and historical credit loss activity as of January 1, 2020. The adoption of this standard did not have a significant impact on the Company’s condensed consolidated financial statements and related disclosures.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14" w:lineRule="exact"/>
        <w:rPr>
          <w:sz w:val="20"/>
          <w:szCs w:val="20"/>
          <w:color w:val="auto"/>
        </w:rPr>
      </w:pPr>
    </w:p>
    <w:p>
      <w:pPr>
        <w:ind w:left="60" w:right="79" w:firstLine="648"/>
        <w:spacing w:after="0" w:line="246"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No. 2018-13, Fair Value Measurement (Topic 820): Disclosure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Fair Value Measurement</w:t>
      </w:r>
      <w:r>
        <w:rPr>
          <w:rFonts w:ascii="Times New Roman" w:cs="Times New Roman" w:eastAsia="Times New Roman" w:hAnsi="Times New Roman"/>
          <w:sz w:val="18"/>
          <w:szCs w:val="18"/>
          <w:color w:val="auto"/>
        </w:rPr>
        <w:t>. This standard modifies certain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on fair value measurements. The Company adopted the new standard on January 1, 2020 and the adoption of this standard did not have a material impact on related disclosures.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14" w:lineRule="exact"/>
        <w:rPr>
          <w:sz w:val="20"/>
          <w:szCs w:val="20"/>
          <w:color w:val="auto"/>
        </w:rPr>
      </w:pPr>
    </w:p>
    <w:p>
      <w:pPr>
        <w:jc w:val="both"/>
        <w:ind w:left="60" w:right="199"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November 2018, the </w:t>
      </w:r>
      <w:r>
        <w:rPr>
          <w:rFonts w:ascii="Times New Roman" w:cs="Times New Roman" w:eastAsia="Times New Roman" w:hAnsi="Times New Roman"/>
          <w:sz w:val="18"/>
          <w:szCs w:val="18"/>
          <w:i w:val="1"/>
          <w:iCs w:val="1"/>
          <w:color w:val="auto"/>
        </w:rPr>
        <w:t>FASB issued ASU No. 2018-18, Collaborative Arrangements (Topic 808):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Interaction between Topic 808 and Topic 606. </w:t>
      </w:r>
      <w:r>
        <w:rPr>
          <w:rFonts w:ascii="Times New Roman" w:cs="Times New Roman" w:eastAsia="Times New Roman" w:hAnsi="Times New Roman"/>
          <w:sz w:val="18"/>
          <w:szCs w:val="18"/>
          <w:color w:val="auto"/>
        </w:rPr>
        <w:t>This standard makes targeted improvements for collaborative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follows:</w:t>
      </w:r>
    </w:p>
    <w:p>
      <w:pPr>
        <w:spacing w:after="0" w:line="176" w:lineRule="exact"/>
        <w:rPr>
          <w:sz w:val="20"/>
          <w:szCs w:val="20"/>
          <w:color w:val="auto"/>
        </w:rPr>
      </w:pPr>
    </w:p>
    <w:p>
      <w:pPr>
        <w:ind w:left="1380" w:right="299" w:hanging="331"/>
        <w:spacing w:after="0" w:line="24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Clarifies that certain transactions between collaborative arrangement participants should be accounted for as revenue under </w:t>
      </w:r>
      <w:r>
        <w:rPr>
          <w:rFonts w:ascii="Times New Roman" w:cs="Times New Roman" w:eastAsia="Times New Roman" w:hAnsi="Times New Roman"/>
          <w:sz w:val="18"/>
          <w:szCs w:val="18"/>
          <w:i w:val="1"/>
          <w:iCs w:val="1"/>
          <w:color w:val="auto"/>
        </w:rPr>
        <w:t>ASC 606, Revenue from Contracts with Customers</w:t>
      </w:r>
      <w:r>
        <w:rPr>
          <w:rFonts w:ascii="Times New Roman" w:cs="Times New Roman" w:eastAsia="Times New Roman" w:hAnsi="Times New Roman"/>
          <w:sz w:val="18"/>
          <w:szCs w:val="18"/>
          <w:color w:val="auto"/>
        </w:rPr>
        <w:t>, when the collaborative arrangement participant is a customer in the context of a unit of account. In those situations, all the guidance in ASC 606 should be applied, including recognition, measurement, presentation and disclosure requirements;</w:t>
      </w:r>
    </w:p>
    <w:p>
      <w:pPr>
        <w:spacing w:after="0" w:line="182" w:lineRule="exact"/>
        <w:rPr>
          <w:rFonts w:ascii="Times New Roman" w:cs="Times New Roman" w:eastAsia="Times New Roman" w:hAnsi="Times New Roman"/>
          <w:sz w:val="18"/>
          <w:szCs w:val="18"/>
          <w:color w:val="auto"/>
        </w:rPr>
      </w:pPr>
    </w:p>
    <w:p>
      <w:pPr>
        <w:jc w:val="both"/>
        <w:ind w:left="1380" w:right="439" w:hanging="331"/>
        <w:spacing w:after="0" w:line="251"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Adds unit-of-account guidance to </w:t>
      </w:r>
      <w:r>
        <w:rPr>
          <w:rFonts w:ascii="Times New Roman" w:cs="Times New Roman" w:eastAsia="Times New Roman" w:hAnsi="Times New Roman"/>
          <w:sz w:val="18"/>
          <w:szCs w:val="18"/>
          <w:i w:val="1"/>
          <w:iCs w:val="1"/>
          <w:color w:val="auto"/>
        </w:rPr>
        <w:t>ASC 808, Collaborative Arrangements</w:t>
      </w:r>
      <w:r>
        <w:rPr>
          <w:rFonts w:ascii="Times New Roman" w:cs="Times New Roman" w:eastAsia="Times New Roman" w:hAnsi="Times New Roman"/>
          <w:sz w:val="18"/>
          <w:szCs w:val="18"/>
          <w:color w:val="auto"/>
        </w:rPr>
        <w:t>, to align with the guidance in ASC 606 (that is, a distinct good or service) when an entity is assessing whether the collaborative arrangement or a part of the arrangement is within the scope of ASC 606; and</w:t>
      </w:r>
    </w:p>
    <w:p>
      <w:pPr>
        <w:spacing w:after="0" w:line="176" w:lineRule="exact"/>
        <w:rPr>
          <w:rFonts w:ascii="Times New Roman" w:cs="Times New Roman" w:eastAsia="Times New Roman" w:hAnsi="Times New Roman"/>
          <w:sz w:val="18"/>
          <w:szCs w:val="18"/>
          <w:color w:val="auto"/>
        </w:rPr>
      </w:pPr>
    </w:p>
    <w:p>
      <w:pPr>
        <w:ind w:left="1380" w:right="239" w:hanging="331"/>
        <w:spacing w:after="0" w:line="250"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77" w:lineRule="exact"/>
        <w:rPr>
          <w:sz w:val="20"/>
          <w:szCs w:val="20"/>
          <w:color w:val="auto"/>
        </w:rPr>
      </w:pPr>
    </w:p>
    <w:p>
      <w:pPr>
        <w:ind w:left="60" w:right="319" w:firstLine="648"/>
        <w:spacing w:after="0" w:line="245" w:lineRule="auto"/>
        <w:rPr>
          <w:sz w:val="20"/>
          <w:szCs w:val="20"/>
          <w:color w:val="auto"/>
        </w:rPr>
      </w:pPr>
      <w:r>
        <w:rPr>
          <w:rFonts w:ascii="Times New Roman" w:cs="Times New Roman" w:eastAsia="Times New Roman" w:hAnsi="Times New Roman"/>
          <w:sz w:val="18"/>
          <w:szCs w:val="18"/>
          <w:color w:val="auto"/>
        </w:rPr>
        <w:t>The Company adopted the new standard on January 1, 2020. A retrospective transition approach is required for either all contracts or only for contracts that are not completed at the date of initial application of ASC 606, with a cumulative adjustment to opening retained earnings. The adoption of this standard did not have a material impact on its condensed consolidated financial position and results of operations.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227" w:lineRule="exact"/>
        <w:rPr>
          <w:sz w:val="20"/>
          <w:szCs w:val="20"/>
          <w:color w:val="auto"/>
        </w:rPr>
      </w:pPr>
    </w:p>
    <w:p>
      <w:pPr>
        <w:jc w:val="both"/>
        <w:ind w:left="60" w:right="59"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No. 2018-15, 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Customer’s Accounting for Implementation Costs Incurred in a Cloud Computing Arrangement That Is</w:t>
      </w:r>
    </w:p>
    <w:p>
      <w:pPr>
        <w:jc w:val="both"/>
        <w:ind w:left="60" w:right="79"/>
        <w:spacing w:after="0" w:line="255" w:lineRule="auto"/>
        <w:rPr>
          <w:sz w:val="20"/>
          <w:szCs w:val="20"/>
          <w:color w:val="auto"/>
        </w:rPr>
      </w:pPr>
      <w:r>
        <w:rPr>
          <w:rFonts w:ascii="Times New Roman" w:cs="Times New Roman" w:eastAsia="Times New Roman" w:hAnsi="Times New Roman"/>
          <w:sz w:val="18"/>
          <w:szCs w:val="18"/>
          <w:i w:val="1"/>
          <w:iCs w:val="1"/>
          <w:color w:val="auto"/>
        </w:rPr>
        <w:t>a Service Contract</w:t>
      </w:r>
      <w:r>
        <w:rPr>
          <w:rFonts w:ascii="Times New Roman" w:cs="Times New Roman" w:eastAsia="Times New Roman" w:hAnsi="Times New Roman"/>
          <w:sz w:val="18"/>
          <w:szCs w:val="18"/>
          <w:color w:val="auto"/>
        </w:rPr>
        <w:t>, which clarifies the accounting for implementation costs in cloud computing arrangements.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is effective for interim and annual periods beginning after December 15, 2019, with early adoption permitted, and can be adopted prospectively or retrospectively.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adopted the new standard on January 1, 2020 on a prospective basis. The adoption of this standard did not have a significant impact on the Company’s condensed consolidated financial position and results of operations. However, the adoption of this standard will result in an increase in capitalized assets related to qualifying cloud computing arrangement implementation costs incurred after the adoption date.</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No. 2019-12, 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part of its initiative to reduce complexity in the accounting standards. The amendments in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amendments in ASU 2019-12 are effective for the fiscal years beginning after December 15, 2020. Early adoption is permitted, including adoption in any interim period. The Company has early adopted this amendment as of January 1, 2020. The adoption of the standard did not have a material impact to the Company’s condensed consolidated financial position and results of operations as well as related income tax disclosures.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0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prior year’s condensed consolidated financial statements have been reclassified to conform to the current presentation.</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Cash Equivalents and Investments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Cash equivalents and investments, available-for-sale, consisted of the following at September 30, 2020 and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2019 (in thousands):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9"/>
        </w:trPr>
        <w:tc>
          <w:tcPr>
            <w:tcW w:w="3460" w:type="dxa"/>
            <w:vAlign w:val="bottom"/>
            <w:tcBorders>
              <w:bottom w:val="single" w:sz="8" w:color="CCEEFF"/>
            </w:tcBorders>
            <w:gridSpan w:val="2"/>
            <w:vMerge w:val="continue"/>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565,221</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643,513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U.S. treasury obligations</w:t>
            </w: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146,002</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146,741</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1,354,736</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1,338</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1,355,900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9"/>
        </w:trPr>
        <w:tc>
          <w:tcPr>
            <w:tcW w:w="34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7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98,946</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128,156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7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305,360</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547,454</w:t>
            </w: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99"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2020, the Company held 31 debt securities that were in an unrealized loss position with an aggregate fair value of $383.4 million. As of December 31, 2019, the Company held 11 debt securities that were in an unrealized loss position with an aggregate fair value of $82.1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2020, there was no securities in an unrealized loss position for more than twelve months. The Company has the intent and ability to hold such securities until recovery, and there was no material change in the credit risk of these investments. As a result, the Company determined it did not hold any investments with an other-than-temporary impairment as of September 30, 2020.</w:t>
      </w:r>
    </w:p>
    <w:p>
      <w:pPr>
        <w:spacing w:after="0" w:line="167"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 xml:space="preserve">As of September 30, 2020, 63 securities with an aggregate fair value of $598.5 million have remaining maturities between one year and five years. As of December 31, 2019, nine </w:t>
      </w:r>
      <w:r>
        <w:rPr>
          <w:rFonts w:ascii="Times New Roman" w:cs="Times New Roman" w:eastAsia="Times New Roman" w:hAnsi="Times New Roman"/>
          <w:sz w:val="18"/>
          <w:szCs w:val="18"/>
          <w:color w:val="212529"/>
        </w:rPr>
        <w:t>securities with an aggregate fair value of $64.4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had remaining maturities greater than one year.</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4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September 30, 2020 (in thousands):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2"/>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5"/>
        </w:trPr>
        <w:tc>
          <w:tcPr>
            <w:tcW w:w="486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565,221</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565,221</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2"/>
        </w:trPr>
        <w:tc>
          <w:tcPr>
            <w:tcW w:w="4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643,938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643,938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146,741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146,741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1,355,900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711,962</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643,938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cash equivalents and marketable securities measured at fair value on a recurring basis as of December 31, 2019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62"/>
        </w:trPr>
        <w:tc>
          <w:tcPr>
            <w:tcW w:w="49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56"/>
        </w:trPr>
        <w:tc>
          <w:tcPr>
            <w:tcW w:w="49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492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98,946</w:t>
            </w:r>
          </w:p>
        </w:tc>
        <w:tc>
          <w:tcPr>
            <w:tcW w:w="2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98,946</w:t>
            </w:r>
          </w:p>
        </w:tc>
        <w:tc>
          <w:tcPr>
            <w:tcW w:w="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92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14,992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14,992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9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92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305,710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305,710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547,960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419,648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Product Revenue Reserves and Allowances</w:t>
      </w:r>
    </w:p>
    <w:p>
      <w:pPr>
        <w:spacing w:after="0" w:line="21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7"/>
          <w:szCs w:val="17"/>
          <w:color w:val="auto"/>
        </w:rPr>
        <w:t xml:space="preserve">In January 2020, the U.S. Food and Drug Administration (FDA) approved </w:t>
      </w:r>
      <w:r>
        <w:rPr>
          <w:rFonts w:ascii="Times New Roman" w:cs="Times New Roman" w:eastAsia="Times New Roman" w:hAnsi="Times New Roman"/>
          <w:sz w:val="17"/>
          <w:szCs w:val="17"/>
          <w:color w:val="0A0A0A"/>
          <w:highlight w:val="white"/>
        </w:rPr>
        <w:t>AYVAKIT</w:t>
      </w:r>
      <w:r>
        <w:rPr>
          <w:rFonts w:ascii="Times New Roman" w:cs="Times New Roman" w:eastAsia="Times New Roman" w:hAnsi="Times New Roman"/>
          <w:sz w:val="17"/>
          <w:szCs w:val="17"/>
          <w:color w:val="auto"/>
        </w:rPr>
        <w:t xml:space="preserve"> for the treatment of adults with unresectable or metastatic gastrointestinal stromal tumor (GIST) harboring a </w:t>
      </w:r>
      <w:r>
        <w:rPr>
          <w:rFonts w:ascii="Times New Roman" w:cs="Times New Roman" w:eastAsia="Times New Roman" w:hAnsi="Times New Roman"/>
          <w:sz w:val="17"/>
          <w:szCs w:val="17"/>
          <w:color w:val="0A0A0A"/>
          <w:highlight w:val="white"/>
        </w:rPr>
        <w:t>PDGFRA exon 18 mutation, 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PDGFRA D842V mutations</w:t>
      </w:r>
      <w:r>
        <w:rPr>
          <w:rFonts w:ascii="Times New Roman" w:cs="Times New Roman" w:eastAsia="Times New Roman" w:hAnsi="Times New Roman"/>
          <w:sz w:val="17"/>
          <w:szCs w:val="17"/>
          <w:color w:val="000000"/>
        </w:rPr>
        <w:t>. In September 2020, the FDA granted accelerated approval of GAVRETO for the treatment of</w:t>
      </w:r>
      <w:r>
        <w:rPr>
          <w:rFonts w:ascii="Times New Roman" w:cs="Times New Roman" w:eastAsia="Times New Roman" w:hAnsi="Times New Roman"/>
          <w:sz w:val="17"/>
          <w:szCs w:val="17"/>
          <w:color w:val="0A0A0A"/>
          <w:highlight w:val="white"/>
        </w:rPr>
        <w:t xml:space="preserve"> </w:t>
      </w:r>
      <w:r>
        <w:rPr>
          <w:rFonts w:ascii="Times New Roman" w:cs="Times New Roman" w:eastAsia="Times New Roman" w:hAnsi="Times New Roman"/>
          <w:sz w:val="17"/>
          <w:szCs w:val="17"/>
          <w:color w:val="000000"/>
        </w:rPr>
        <w:t>adult patients with metastatic RET fusion-positive non-small cell lung cancer (NSCLC) as detected by an FDA approved test, and the European Commission granted conditional marketing authorization to AYVAKYT as a monotherapy for the treatment of adult patients with unresectable or metastatic GIST harboring the PDGFRA D842V mutation.</w:t>
      </w:r>
    </w:p>
    <w:p>
      <w:pPr>
        <w:spacing w:after="0" w:line="170"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Company has generated net product revenue from the U.S. sales of </w:t>
      </w:r>
      <w:r>
        <w:rPr>
          <w:rFonts w:ascii="Times New Roman" w:cs="Times New Roman" w:eastAsia="Times New Roman" w:hAnsi="Times New Roman"/>
          <w:sz w:val="18"/>
          <w:szCs w:val="18"/>
          <w:color w:val="0A0A0A"/>
          <w:highlight w:val="white"/>
        </w:rPr>
        <w:t>AYVAKIT and GAVRETO for a total</w:t>
      </w:r>
      <w:r>
        <w:rPr>
          <w:rFonts w:ascii="Times New Roman" w:cs="Times New Roman" w:eastAsia="Times New Roman" w:hAnsi="Times New Roman"/>
          <w:sz w:val="18"/>
          <w:szCs w:val="18"/>
          <w:color w:val="auto"/>
        </w:rPr>
        <w:t xml:space="preserve"> of $6.3 million and $15.4 million for the three and nine months ended September 30, 2020, respectively. The following table summarizes activity in each of the product revenue allowance and reserve categories for the nine months ended September 30, 2020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Beginning balance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7"/>
          <w:szCs w:val="17"/>
          <w:color w:val="auto"/>
        </w:rPr>
        <w:t>Provision related to sales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Adjustment related to prior periods sales</w:t>
      </w:r>
    </w:p>
    <w:p>
      <w:pPr>
        <w:ind w:left="60"/>
        <w:spacing w:after="0"/>
        <w:rPr>
          <w:sz w:val="20"/>
          <w:szCs w:val="20"/>
          <w:color w:val="auto"/>
        </w:rPr>
      </w:pPr>
      <w:r>
        <w:rPr>
          <w:rFonts w:ascii="Times New Roman" w:cs="Times New Roman" w:eastAsia="Times New Roman" w:hAnsi="Times New Roman"/>
          <w:sz w:val="18"/>
          <w:szCs w:val="18"/>
          <w:color w:val="auto"/>
        </w:rPr>
        <w:t>Credits and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Ending balance at September 30, 2020</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left="599"/>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9" w:lineRule="exact"/>
        <w:rPr>
          <w:sz w:val="20"/>
          <w:szCs w:val="20"/>
          <w:color w:val="auto"/>
        </w:rPr>
      </w:pPr>
    </w:p>
    <w:p>
      <w:pPr>
        <w:ind w:left="1279" w:hanging="1279"/>
        <w:spacing w:after="0"/>
        <w:tabs>
          <w:tab w:leader="none" w:pos="127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105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1,774</w:t>
      </w:r>
    </w:p>
    <w:p>
      <w:pPr>
        <w:ind w:left="1279"/>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ind w:left="11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(824)</w:t>
      </w:r>
    </w:p>
    <w:p>
      <w:pPr>
        <w:spacing w:after="0" w:line="19" w:lineRule="exact"/>
        <w:rPr>
          <w:sz w:val="20"/>
          <w:szCs w:val="20"/>
          <w:color w:val="auto"/>
        </w:rPr>
      </w:pPr>
    </w:p>
    <w:p>
      <w:pPr>
        <w:ind w:left="1199" w:hanging="1199"/>
        <w:spacing w:after="0"/>
        <w:tabs>
          <w:tab w:leader="none" w:pos="11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90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1" w:space="720"/>
            <w:col w:w="1598"/>
          </w:cols>
          <w:pgMar w:left="1440" w:top="513" w:right="1440" w:bottom="1440" w:gutter="0" w:footer="0" w:header="0"/>
          <w:type w:val="continuous"/>
        </w:sectPr>
      </w:pPr>
    </w:p>
    <w:p>
      <w:pPr>
        <w:spacing w:after="0" w:line="88"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The total reserves above, which are included in the Company’s condensed consolidated balance sheets, are summarized as follows (in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7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7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Reduction of accounts receivable, net</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196"/>
        </w:trPr>
        <w:tc>
          <w:tcPr>
            <w:tcW w:w="73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revenue-related reserves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950</w:t>
            </w: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September 30, 2020 and December 31, 2019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6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5,415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7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67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5,565</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and was zero for the three and nine months ended September 30, 2020 and 2019.</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Restricted Cash</w:t>
      </w:r>
    </w:p>
    <w:p>
      <w:pPr>
        <w:spacing w:after="0" w:line="216" w:lineRule="exact"/>
        <w:rPr>
          <w:sz w:val="20"/>
          <w:szCs w:val="20"/>
          <w:color w:val="auto"/>
        </w:rPr>
      </w:pPr>
    </w:p>
    <w:p>
      <w:pPr>
        <w:ind w:left="60" w:right="379" w:firstLine="648"/>
        <w:spacing w:after="0" w:line="296" w:lineRule="auto"/>
        <w:rPr>
          <w:sz w:val="20"/>
          <w:szCs w:val="20"/>
          <w:color w:val="auto"/>
        </w:rPr>
      </w:pPr>
      <w:r>
        <w:rPr>
          <w:rFonts w:ascii="Times New Roman" w:cs="Times New Roman" w:eastAsia="Times New Roman" w:hAnsi="Times New Roman"/>
          <w:sz w:val="17"/>
          <w:szCs w:val="17"/>
          <w:color w:val="auto"/>
        </w:rPr>
        <w:t>At September 30, 2020 and December 31, 2019, $5.2 million and $5.7 million, respectively, of the Company’s cash is restricted by a bank primarily related to security deposits for the Company’s building lease agreements.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as follows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500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0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500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Lab equipment</w:t>
            </w: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10,937</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8,975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3,764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10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1,572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128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color w:val="auto"/>
                <w:w w:val="96"/>
              </w:rPr>
              <w:t>Term of lease</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36,945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35,975</w:t>
            </w:r>
          </w:p>
        </w:tc>
        <w:tc>
          <w:tcPr>
            <w:tcW w:w="120" w:type="dxa"/>
            <w:vAlign w:val="bottom"/>
          </w:tcPr>
          <w:p>
            <w:pPr>
              <w:spacing w:after="0"/>
              <w:rPr>
                <w:sz w:val="17"/>
                <w:szCs w:val="17"/>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10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7"/>
                <w:szCs w:val="17"/>
                <w:color w:val="auto"/>
              </w:rPr>
            </w:pPr>
          </w:p>
        </w:tc>
      </w:tr>
      <w:tr>
        <w:trPr>
          <w:trHeight w:val="203"/>
        </w:trPr>
        <w:tc>
          <w:tcPr>
            <w:tcW w:w="500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Construction-in-progress</w:t>
            </w:r>
          </w:p>
        </w:tc>
        <w:tc>
          <w:tcPr>
            <w:tcW w:w="10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190</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tcPr>
          <w:p>
            <w:pPr>
              <w:spacing w:after="0"/>
              <w:rPr>
                <w:sz w:val="17"/>
                <w:szCs w:val="17"/>
                <w:color w:val="auto"/>
              </w:rPr>
            </w:pP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cost</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53,758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52,045</w:t>
            </w:r>
          </w:p>
        </w:tc>
        <w:tc>
          <w:tcPr>
            <w:tcW w:w="120" w:type="dxa"/>
            <w:vAlign w:val="bottom"/>
            <w:shd w:val="clear" w:color="auto" w:fill="CCEEFF"/>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(18,559)</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(13,684)</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35,199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For the three and nine months ended September 30, 2020, depreciation expense totaled $1.6 million and $4.9 million, respectively, compared to $1.3 million and $3.7 million, respectively, for the three and nine months ended September 30, 2019.</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Research, development and commercial contract costs</w:t>
            </w: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56,658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59,420</w:t>
            </w:r>
          </w:p>
        </w:tc>
        <w:tc>
          <w:tcPr>
            <w:tcW w:w="80" w:type="dxa"/>
            <w:vAlign w:val="bottom"/>
            <w:shd w:val="clear" w:color="auto" w:fill="CCEEFF"/>
          </w:tcPr>
          <w:p>
            <w:pPr>
              <w:spacing w:after="0"/>
              <w:rPr>
                <w:sz w:val="17"/>
                <w:szCs w:val="17"/>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8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11,049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12,042</w:t>
            </w:r>
          </w:p>
        </w:tc>
        <w:tc>
          <w:tcPr>
            <w:tcW w:w="80" w:type="dxa"/>
            <w:vAlign w:val="bottom"/>
            <w:shd w:val="clear" w:color="auto" w:fill="CCEEFF"/>
          </w:tcPr>
          <w:p>
            <w:pPr>
              <w:spacing w:after="0"/>
              <w:rPr>
                <w:sz w:val="17"/>
                <w:szCs w:val="17"/>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2,957</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3,725</w:t>
            </w:r>
          </w:p>
        </w:tc>
        <w:tc>
          <w:tcPr>
            <w:tcW w:w="80" w:type="dxa"/>
            <w:vAlign w:val="bottom"/>
            <w:shd w:val="clear" w:color="auto" w:fill="CCEEFF"/>
          </w:tcPr>
          <w:p>
            <w:pPr>
              <w:spacing w:after="0"/>
              <w:rPr>
                <w:sz w:val="17"/>
                <w:szCs w:val="17"/>
                <w:color w:val="auto"/>
              </w:rPr>
            </w:pPr>
          </w:p>
        </w:tc>
      </w:tr>
      <w:tr>
        <w:trPr>
          <w:trHeight w:val="196"/>
        </w:trPr>
        <w:tc>
          <w:tcPr>
            <w:tcW w:w="6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89,116</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88,706</w:t>
            </w:r>
          </w:p>
        </w:tc>
        <w:tc>
          <w:tcPr>
            <w:tcW w:w="8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16" w:lineRule="exact"/>
        <w:rPr>
          <w:sz w:val="20"/>
          <w:szCs w:val="20"/>
          <w:color w:val="auto"/>
        </w:rPr>
      </w:pPr>
    </w:p>
    <w:p>
      <w:pPr>
        <w:ind w:left="60" w:right="219" w:firstLine="648"/>
        <w:spacing w:after="0" w:line="241" w:lineRule="auto"/>
        <w:rPr>
          <w:sz w:val="20"/>
          <w:szCs w:val="20"/>
          <w:color w:val="auto"/>
        </w:rPr>
      </w:pPr>
      <w:r>
        <w:rPr>
          <w:rFonts w:ascii="Times New Roman" w:cs="Times New Roman" w:eastAsia="Times New Roman" w:hAnsi="Times New Roman"/>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4"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in the third quarter of 2020. In addition, the Company is eligible to receive up to $927.0 million in contingent payments, including specified development, regulatory and sales-based milestones for pralsetinib and any licensed product containing a next-generation RET compound. During the three months ended September 30, 2020, as a result of initial U.S. marketing approval for GAVRETO, the Company achieved $40.0 million in specified regulatory and commercialization milestones.</w:t>
      </w:r>
    </w:p>
    <w:p>
      <w:pPr>
        <w:spacing w:after="0" w:line="184"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In the U.S., the Company and Roche will work together to co-commercialize pralsetinib and will equally share responsibilities, profits and losses. In addition, the Company is eligible to receive tiered royalties ranging from high-teens to mid-twenties on annual net sales of pralsetinib outside the U.S., excluding Greater China (the Roche territory).</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rPr>
          <w:sz w:val="20"/>
          <w:szCs w:val="20"/>
          <w:color w:val="auto"/>
        </w:rPr>
      </w:pPr>
      <w:r>
        <w:rPr>
          <w:rFonts w:ascii="Times New Roman" w:cs="Times New Roman" w:eastAsia="Times New Roman" w:hAnsi="Times New Roman"/>
          <w:sz w:val="18"/>
          <w:szCs w:val="18"/>
          <w:color w:val="auto"/>
        </w:rPr>
        <w:t>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85" w:lineRule="exact"/>
        <w:rPr>
          <w:sz w:val="20"/>
          <w:szCs w:val="20"/>
          <w:color w:val="auto"/>
        </w:rPr>
      </w:pPr>
    </w:p>
    <w:p>
      <w:pPr>
        <w:ind w:left="60" w:right="159" w:firstLine="648"/>
        <w:spacing w:after="0" w:line="239"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7"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4"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27" w:lineRule="exact"/>
        <w:rPr>
          <w:sz w:val="20"/>
          <w:szCs w:val="20"/>
          <w:color w:val="auto"/>
        </w:rPr>
      </w:pPr>
    </w:p>
    <w:p>
      <w:pPr>
        <w:ind w:left="60" w:right="199" w:hanging="10"/>
        <w:spacing w:after="0" w:line="236"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the Company is not exposed to significant risks and rewards, and Roche is a customer with regard to those components.</w:t>
      </w:r>
    </w:p>
    <w:p>
      <w:pPr>
        <w:spacing w:after="0" w:line="188"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transaction price for the pralsetinib license was determined to be $695.7 million, which consisted of the upfront cash payment of $675.0 million and the $20.7 million premium on the sale of common stock to Roche Holdings. The Company determined that Roche benefited from the pralsetinib license at the time of grant, and therefore the related performance obligation is satisfied at a point in time. During the three months ended September 30, 2020, as a result of initial U.S. marketing approval for GAVRETO, the Company achieved $40.0 million in specified regulatory and commercialization milestones and added the $40.0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transaction price, and any addition to the transaction price would be recognized as revenue when it becomes probable that inclusion would not lead to a significant revenue reversal.</w:t>
      </w:r>
    </w:p>
    <w:p>
      <w:pPr>
        <w:spacing w:after="0" w:line="162"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Company evaluated the Roche territory activities under ASC 606 and identified one material promise associated with manufacturing activities related to development and commercial supply of pralsetinib in the Roche territory. The Company concluded that the provision of manufacturing activities related to development and commercial supply of pralsetinib in Roche territory was an option for the purpose of ASC 606, was not issued at a significant and incremental discount and do not provide Roche with any material rights. Therefore, the manufacturing activities were excluded as performance obligations 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will be recognized as revenue.</w:t>
      </w:r>
    </w:p>
    <w:p>
      <w:pPr>
        <w:spacing w:after="0" w:line="191"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three and nine months ended September 30, 2020 and 2019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1580" w:type="dxa"/>
            <w:vAlign w:val="bottom"/>
            <w:gridSpan w:val="4"/>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5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7"/>
                <w:szCs w:val="17"/>
                <w:color w:val="auto"/>
              </w:rPr>
            </w:pPr>
          </w:p>
        </w:tc>
        <w:tc>
          <w:tcPr>
            <w:tcW w:w="158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3"/>
        </w:trPr>
        <w:tc>
          <w:tcPr>
            <w:tcW w:w="5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Upfront license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695,694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695,694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Services related to Roche territory-specific activities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5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736,550</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736,550</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will be accounted for as an increase to or reduction of research and development expenses. Prior to the transition date as defined in the Roche pralsetinib collaboration agreement, the Company is the principal for product sales to customers in the U.S. and will recognize revenues on sales to third parties in product revenue, net in its consolidated statements of operations. After such transition, Roche will be the principal for product sales to customers in the U.S., and the Company will recognize its portion of the commercial profits and losses sharing as revenue (expenses) from the collaboration arrangement in its consolidated statements of operations.</w:t>
      </w:r>
    </w:p>
    <w:p>
      <w:pPr>
        <w:spacing w:after="0" w:line="186"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During the three and nine months ended September 30, 2020, the Company recorded a $5.3 million reduction in selling, general and administrative expenses in connection with the commercialization of GAVRETO in the U.S. and a $9.7 million reduction in research and development expenses in connection with global development activities for pralsetinib.</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 assets associated with the Roche pralsetinib collaboration as of</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and December 31, 2019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6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7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16"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treatment of fibrodysplasia ossificans progressiva (FOP), as well as specified other compounds related to the BLU-782 program.</w:t>
      </w:r>
    </w:p>
    <w:p>
      <w:pPr>
        <w:spacing w:after="0" w:line="162"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Under the Clementia agreement, the Company received an upfront cash payment of $25.0 million and a $20.0 million cash milestone payment in October 2019 and July 2020, respectively. Subject to the terms of the Clementia agreement, the Company is eligible to receive up to $490.0 million in additional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5"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5"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1"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The Company determined that the transaction price as of the outset of the arrangement was $46.5 million, which consists of the upfront amount of $25.0 million, the $20.0 million cash milestone payment received in July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obligations on a relative stand-alone selling price basis. The Company satisfies the performance obligations upon delivery of the license and completion of the technology transfer and inventory transfers.</w:t>
      </w:r>
    </w:p>
    <w:p>
      <w:pPr>
        <w:spacing w:after="0" w:line="187"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During 2019, the Company completed the delivery of the license, the technology transfer and the transfer of existing manufacturing inventory and recognized a total of $46.2 million as revenue.</w:t>
      </w:r>
    </w:p>
    <w:p>
      <w:pPr>
        <w:spacing w:after="0" w:line="16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During the three months ended September 30, 2020, no revenue was recognized from the Clementia collaboration. During the nine months ended September 30, 2020, the Company completed the transfer of the in-process manufacturing inventory and recognized revenue of $0.3 million accordingly. No revenue was recognized during the nine months ended September 30, 2019. There was no revenue deferred as a contract liability associated with the Clementia agreement as of September 30, 2020 and December 31, 2019.</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16"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On June 1, 2018, the Company entered into a collaboration and license agreement (the CStone agreement) with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subject to the terms of the CStone agreement, is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7"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fisogatinib in combination with CS1001, a clinical-stage anti-programmed death ligand-1 immunotherapy being developed by CStone, as a first-line therapy for the treatment of patients with hepatocellular carcinoma.</w:t>
      </w:r>
    </w:p>
    <w:p>
      <w:pPr>
        <w:spacing w:after="0" w:line="185"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8"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91"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 summary of manufacturing and research and development services related to the global development activities net of cost sharing payments during the three and nine months ended September 30, 2020 and 2019 is as follows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9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440" w:type="dxa"/>
            <w:vAlign w:val="bottom"/>
          </w:tcPr>
          <w:p>
            <w:pPr>
              <w:spacing w:after="0"/>
              <w:rPr>
                <w:sz w:val="16"/>
                <w:szCs w:val="16"/>
                <w:color w:val="auto"/>
              </w:rPr>
            </w:pPr>
          </w:p>
        </w:tc>
        <w:tc>
          <w:tcPr>
            <w:tcW w:w="19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544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64"/>
        </w:trPr>
        <w:tc>
          <w:tcPr>
            <w:tcW w:w="54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 global</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2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 activities net of cost sharing payments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1,047</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1,275</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89"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5" w:lineRule="exact"/>
        <w:rPr>
          <w:sz w:val="20"/>
          <w:szCs w:val="20"/>
          <w:color w:val="auto"/>
        </w:rPr>
      </w:pPr>
    </w:p>
    <w:p>
      <w:pPr>
        <w:jc w:val="both"/>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77" w:lineRule="exact"/>
        <w:rPr>
          <w:sz w:val="20"/>
          <w:szCs w:val="20"/>
          <w:color w:val="auto"/>
        </w:rPr>
      </w:pPr>
    </w:p>
    <w:p>
      <w:pPr>
        <w:ind w:left="60" w:right="299" w:firstLine="648"/>
        <w:spacing w:after="0"/>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85"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nine months ended September 30, 2020, a development milestone was achieved and the associated cash consideration of $2.0 million for such milestone was added to the estimated transaction price for the CStone agreement.</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revenue recognized under the CStone agreement during the three and nine months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and 2019 is as follows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146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46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54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License milestone revenue</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services related to CStone territory-specific activities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196"/>
        </w:trPr>
        <w:tc>
          <w:tcPr>
            <w:tcW w:w="54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CStone collaboration revenue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3,496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10,144</w:t>
            </w:r>
          </w:p>
        </w:tc>
      </w:tr>
      <w:tr>
        <w:trPr>
          <w:trHeight w:val="20"/>
        </w:trPr>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contract assets associated with the CStone collaboration as of</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2020 and December 31, 2019 (in thousands):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6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bl>
    <w:p>
      <w:pPr>
        <w:spacing w:after="0" w:line="171" w:lineRule="exact"/>
        <w:rPr>
          <w:sz w:val="20"/>
          <w:szCs w:val="20"/>
          <w:color w:val="auto"/>
        </w:rPr>
      </w:pPr>
    </w:p>
    <w:p>
      <w:pPr>
        <w:ind w:left="60" w:right="359"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2020, the Company had $2.1 million of deferred revenue as a contract liability associated with the CStone collaboration. This contract liability resulted from an advance payment made by CStone in connection with commercial supply of avapritinib for the CStone territory. There was no associated contract liability at December 31, 2019.</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16"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the Roche immunotherapy agreement) with F. Hoffmann-La Roche Ltd and Hoffmann-La Roche Inc. (collectively, Roche) for the discovery, development and commercialization of up to five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185" w:lineRule="exact"/>
        <w:rPr>
          <w:sz w:val="20"/>
          <w:szCs w:val="20"/>
          <w:color w:val="auto"/>
        </w:rPr>
      </w:pPr>
    </w:p>
    <w:p>
      <w:pPr>
        <w:ind w:left="60" w:right="99" w:firstLine="693"/>
        <w:spacing w:after="0" w:line="238" w:lineRule="auto"/>
        <w:rPr>
          <w:sz w:val="20"/>
          <w:szCs w:val="20"/>
          <w:color w:val="auto"/>
        </w:rPr>
      </w:pPr>
      <w:r>
        <w:rPr>
          <w:rFonts w:ascii="Times New Roman" w:cs="Times New Roman" w:eastAsia="Times New Roman" w:hAnsi="Times New Roman"/>
          <w:sz w:val="18"/>
          <w:szCs w:val="18"/>
          <w:color w:val="auto"/>
        </w:rPr>
        <w:t>Under the Roche immunotherapy agreement, Roche was granted up to five option rights to obtain an exclusive license to exploit products derived from the collaboration programs in the field of cancer immunotherapy. Such option rights are triggered upon the achievement of Phase 1 proof-of-concept. As a result of an amendment to the Roche immunotherapy agreement in the fourth quarter of 2019, the parties are currently conducting activities for up to four programs under the collaboration. For up to two collaboration programs, if Roche exercises its option, Roche will receive worldwide, exclusive commercialization rights for the licensed products. For up to two collaboration programs, if Roche exercises its option, the Company will retain commercialization rights in the U.S. for the licensed products, and Roche will receive commercialization rights outside of the U.S. for the licensed products. The Company will also retain worldwide rights to any products for which Roche elects not to exercise its applicable option.</w:t>
      </w:r>
    </w:p>
    <w:p>
      <w:pPr>
        <w:spacing w:after="0" w:line="191"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87"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The Company received an upfront cash payment of $45.0 million in March 2016 upon execution of the Roche immunotherapy agreement, and subject to the terms of the Roche immunotherapy agreement, the Company is eligible to receive up to approximately $940.0 million in contingent option fees and milestone payments related to specified research, pre-clinical, clinical, regulatory and sales-based milestones. Of the total contingent payments, up to approximately $190.0 million are for option fees and milestone payments for research, pre-clinical and clinical development events prior to licensing across all four potential collaboration programs.</w:t>
      </w:r>
    </w:p>
    <w:p>
      <w:pPr>
        <w:spacing w:after="0" w:line="184"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7"/>
          <w:szCs w:val="17"/>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8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2" w:lineRule="exact"/>
        <w:rPr>
          <w:sz w:val="20"/>
          <w:szCs w:val="20"/>
          <w:color w:val="auto"/>
        </w:rPr>
      </w:pPr>
    </w:p>
    <w:p>
      <w:pPr>
        <w:ind w:left="60" w:right="59" w:hanging="10"/>
        <w:spacing w:after="0" w:line="236"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87" w:lineRule="exact"/>
        <w:rPr>
          <w:sz w:val="20"/>
          <w:szCs w:val="20"/>
          <w:color w:val="auto"/>
        </w:rPr>
      </w:pPr>
    </w:p>
    <w:p>
      <w:pPr>
        <w:ind w:left="60" w:right="379" w:firstLine="648"/>
        <w:spacing w:after="0" w:line="245" w:lineRule="auto"/>
        <w:rPr>
          <w:sz w:val="20"/>
          <w:szCs w:val="20"/>
          <w:color w:val="auto"/>
        </w:rPr>
      </w:pPr>
      <w:r>
        <w:rPr>
          <w:rFonts w:ascii="Times New Roman" w:cs="Times New Roman" w:eastAsia="Times New Roman" w:hAnsi="Times New Roman"/>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1" w:lineRule="exact"/>
        <w:rPr>
          <w:sz w:val="20"/>
          <w:szCs w:val="20"/>
          <w:color w:val="auto"/>
        </w:rPr>
      </w:pPr>
    </w:p>
    <w:p>
      <w:pPr>
        <w:ind w:left="60" w:right="339" w:firstLine="648"/>
        <w:spacing w:after="0" w:line="250"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77"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91" w:lineRule="exact"/>
        <w:rPr>
          <w:sz w:val="20"/>
          <w:szCs w:val="20"/>
          <w:color w:val="auto"/>
        </w:rPr>
      </w:pPr>
    </w:p>
    <w:p>
      <w:pPr>
        <w:ind w:left="60" w:right="159" w:firstLine="648"/>
        <w:spacing w:after="0" w:line="264" w:lineRule="auto"/>
        <w:rPr>
          <w:sz w:val="20"/>
          <w:szCs w:val="20"/>
          <w:color w:val="auto"/>
        </w:rPr>
      </w:pPr>
      <w:r>
        <w:rPr>
          <w:rFonts w:ascii="Times New Roman" w:cs="Times New Roman" w:eastAsia="Times New Roman" w:hAnsi="Times New Roman"/>
          <w:sz w:val="17"/>
          <w:szCs w:val="17"/>
          <w:color w:val="auto"/>
        </w:rPr>
        <w:t>In June 2018 and October 2019, the Company achieved and received a $10.0 million research milestone payment and an $8.0 million research milestone payment related to the Roche immunotherapy agreement, respectively.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66" w:lineRule="exact"/>
        <w:rPr>
          <w:sz w:val="20"/>
          <w:szCs w:val="20"/>
          <w:color w:val="auto"/>
        </w:rPr>
      </w:pPr>
    </w:p>
    <w:p>
      <w:pPr>
        <w:jc w:val="both"/>
        <w:ind w:left="60" w:right="339" w:firstLine="648"/>
        <w:spacing w:after="0" w:line="264" w:lineRule="auto"/>
        <w:rPr>
          <w:sz w:val="20"/>
          <w:szCs w:val="20"/>
          <w:color w:val="auto"/>
        </w:rPr>
      </w:pPr>
      <w:r>
        <w:rPr>
          <w:rFonts w:ascii="Times New Roman" w:cs="Times New Roman" w:eastAsia="Times New Roman" w:hAnsi="Times New Roman"/>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1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 summary of revenue recognized under the Roche immunotherapy agreement during the three and nine months ended September 30, 2020 and 2019 is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60" w:type="dxa"/>
            <w:vAlign w:val="bottom"/>
          </w:tcPr>
          <w:p>
            <w:pPr>
              <w:spacing w:after="0"/>
              <w:rPr>
                <w:sz w:val="16"/>
                <w:szCs w:val="16"/>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5"/>
        </w:trPr>
        <w:tc>
          <w:tcPr>
            <w:tcW w:w="57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64"/>
        </w:trPr>
        <w:tc>
          <w:tcPr>
            <w:tcW w:w="57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Roche immunotherapy collaboration research and development services</w:t>
            </w: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21"/>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$ 2,161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$ 3,139</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$ 3,845</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$ 4,836</w:t>
            </w:r>
          </w:p>
        </w:tc>
      </w:tr>
    </w:tbl>
    <w:p>
      <w:pPr>
        <w:spacing w:after="0" w:line="225"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2020 and 2019, the Company recognized the following revenue due to the changes in the contract liability balances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60" w:type="dxa"/>
            <w:vAlign w:val="bottom"/>
          </w:tcPr>
          <w:p>
            <w:pPr>
              <w:spacing w:after="0"/>
              <w:rPr>
                <w:sz w:val="16"/>
                <w:szCs w:val="16"/>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5"/>
        </w:trPr>
        <w:tc>
          <w:tcPr>
            <w:tcW w:w="576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7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$ 1,259</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$ 1,518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$ 3,310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$ 3,470</w:t>
            </w:r>
          </w:p>
        </w:tc>
      </w:tr>
    </w:tbl>
    <w:p>
      <w:pPr>
        <w:spacing w:after="0" w:line="238"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2020, the Company had revenue deferred as a contract liability related to the Roche immunotherapy agreement of $43.3 million, of which $8.3 million was included in current liabilities, and the research and development services related to the performance obligation are expected to be performed over a remaining period of approximately 4.5 years.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16"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2020, the number of shares reserved for issuance under the 2015 Plan was increased by 1,970,888 shares. In addition, the total number of shares reserved for issuance is subject to adjustment in the event of a stock split, stock dividend or other change in the Company’s capitalization. As of September 30, 2020, there were 1,587,167 shares available for future grant under the 2015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2020:</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7"/>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December 31, 2019</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5,795,710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58.82</w:t>
            </w:r>
          </w:p>
        </w:tc>
        <w:tc>
          <w:tcPr>
            <w:tcW w:w="0" w:type="dxa"/>
            <w:vAlign w:val="bottom"/>
          </w:tcPr>
          <w:p>
            <w:pPr>
              <w:spacing w:after="0"/>
              <w:rPr>
                <w:sz w:val="1"/>
                <w:szCs w:val="1"/>
                <w:color w:val="auto"/>
              </w:rPr>
            </w:pPr>
          </w:p>
        </w:tc>
      </w:tr>
      <w:tr>
        <w:trPr>
          <w:trHeight w:val="230"/>
        </w:trPr>
        <w:tc>
          <w:tcPr>
            <w:tcW w:w="6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1,386,743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02"/>
        </w:trPr>
        <w:tc>
          <w:tcPr>
            <w:tcW w:w="64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(385,696)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Canceled</w:t>
            </w:r>
          </w:p>
        </w:tc>
        <w:tc>
          <w:tcPr>
            <w:tcW w:w="9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(331,443)</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September 30, 2020</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6,465,314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60.01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3,280,686</w:t>
            </w:r>
          </w:p>
        </w:tc>
        <w:tc>
          <w:tcPr>
            <w:tcW w:w="2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6" w:lineRule="auto"/>
        <w:rPr>
          <w:sz w:val="20"/>
          <w:szCs w:val="20"/>
          <w:color w:val="auto"/>
        </w:rPr>
      </w:pPr>
      <w:r>
        <w:rPr>
          <w:rFonts w:ascii="Times New Roman" w:cs="Times New Roman" w:eastAsia="Times New Roman" w:hAnsi="Times New Roman"/>
          <w:sz w:val="17"/>
          <w:szCs w:val="17"/>
          <w:color w:val="auto"/>
        </w:rPr>
        <w:t>As of September 30, 2020, the total unrecognized compensation expense related to unvested stock option awards was $124.7 million, which is expected to be recognized over a weighted-average period of approximately 2.68 years.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activity for the nine months ended September 30, 2020:</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9"/>
        </w:trPr>
        <w:tc>
          <w:tcPr>
            <w:tcW w:w="634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196"/>
        </w:trPr>
        <w:tc>
          <w:tcPr>
            <w:tcW w:w="63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Unvested shares at December 31, 2019</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419,755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82.50</w:t>
            </w:r>
          </w:p>
        </w:tc>
      </w:tr>
      <w:tr>
        <w:trPr>
          <w:trHeight w:val="203"/>
        </w:trPr>
        <w:tc>
          <w:tcPr>
            <w:tcW w:w="63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903,460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57.62</w:t>
            </w: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114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(93,795)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85.67</w:t>
            </w:r>
          </w:p>
        </w:tc>
      </w:tr>
      <w:tr>
        <w:trPr>
          <w:trHeight w:val="203"/>
        </w:trPr>
        <w:tc>
          <w:tcPr>
            <w:tcW w:w="63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(67,982)</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66.81</w:t>
            </w:r>
          </w:p>
        </w:tc>
      </w:tr>
      <w:tr>
        <w:trPr>
          <w:trHeight w:val="196"/>
        </w:trPr>
        <w:tc>
          <w:tcPr>
            <w:tcW w:w="63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Unvested shares at September 30, 2020</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1,161,438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63.81</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2020, the total unrecognized compensation expense related to unvested restricted stock units was $62.9 million, which is expected to be recognize over a weighted-average period of approximately 3.19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216"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September 30, 2020, there were 159,514 shares issued under the Inducement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1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2020, the number of shares reserved for issuance under the 2015 ESPP was increased by 492,722 shares. The Company issued 17,018 and 10,718 shares under the 2015 ESPP during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60" w:right="120" w:firstLine="648"/>
        <w:spacing w:after="0" w:line="245"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$19.6 million and $56.0 million for the three and nine months ended September 30, 2020, respectively. Stock-based compensation expense by award type included within the unaudited condensed consolidated statements of operations and comprehensive income (loss) was as follows (in thousands):</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9"/>
                <w:szCs w:val="19"/>
                <w:color w:val="auto"/>
              </w:rPr>
            </w:pPr>
          </w:p>
        </w:tc>
        <w:tc>
          <w:tcPr>
            <w:tcW w:w="156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12,778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34,373</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548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Stock-based compensation expense included in total cost and operating</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19,635</w:t>
            </w:r>
          </w:p>
        </w:tc>
        <w:tc>
          <w:tcPr>
            <w:tcW w:w="8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14,993</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56,022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38,954</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30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by classification within the unaudited condensed consolidated statements of operations and comprehensive income (loss)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40" w:type="dxa"/>
            <w:vAlign w:val="bottom"/>
            <w:gridSpan w:val="3"/>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5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5"/>
        </w:trPr>
        <w:tc>
          <w:tcPr>
            <w:tcW w:w="5520" w:type="dxa"/>
            <w:vAlign w:val="bottom"/>
          </w:tcPr>
          <w:p>
            <w:pPr>
              <w:spacing w:after="0"/>
              <w:rPr>
                <w:sz w:val="13"/>
                <w:szCs w:val="13"/>
                <w:color w:val="auto"/>
              </w:rPr>
            </w:pPr>
          </w:p>
        </w:tc>
        <w:tc>
          <w:tcPr>
            <w:tcW w:w="720" w:type="dxa"/>
            <w:vAlign w:val="bottom"/>
          </w:tcPr>
          <w:p>
            <w:pPr>
              <w:jc w:val="right"/>
              <w:ind w:right="13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3"/>
                <w:szCs w:val="13"/>
                <w:color w:val="auto"/>
              </w:rPr>
            </w:pPr>
          </w:p>
        </w:tc>
        <w:tc>
          <w:tcPr>
            <w:tcW w:w="720" w:type="dxa"/>
            <w:vAlign w:val="bottom"/>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720" w:type="dxa"/>
            <w:vAlign w:val="bottom"/>
            <w:gridSpan w:val="2"/>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gridSpan w:val="3"/>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5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8,634</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7,678</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$ 25,141</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$ 20,971</w:t>
            </w:r>
          </w:p>
        </w:tc>
      </w:tr>
      <w:tr>
        <w:trPr>
          <w:trHeight w:val="203"/>
        </w:trPr>
        <w:tc>
          <w:tcPr>
            <w:tcW w:w="55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11,001</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7,315</w:t>
            </w:r>
          </w:p>
        </w:tc>
        <w:tc>
          <w:tcPr>
            <w:tcW w:w="9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color w:val="auto"/>
              </w:rPr>
              <w:t>30,881</w:t>
            </w:r>
          </w:p>
        </w:tc>
        <w:tc>
          <w:tcPr>
            <w:tcW w:w="920" w:type="dxa"/>
            <w:vAlign w:val="bottom"/>
            <w:gridSpan w:val="3"/>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17,983</w:t>
            </w:r>
          </w:p>
        </w:tc>
      </w:tr>
      <w:tr>
        <w:trPr>
          <w:trHeight w:val="196"/>
        </w:trPr>
        <w:tc>
          <w:tcPr>
            <w:tcW w:w="55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19,635</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14,993</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56,022</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38,954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16" w:lineRule="exact"/>
        <w:rPr>
          <w:sz w:val="20"/>
          <w:szCs w:val="20"/>
          <w:color w:val="auto"/>
        </w:rPr>
      </w:pPr>
    </w:p>
    <w:p>
      <w:pPr>
        <w:ind w:left="60" w:right="140" w:firstLine="648"/>
        <w:spacing w:after="0" w:line="24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(loss) by the weighted average number of shares of common stock outstanding during the period. Diluted EPS is calculated by adjusting weighted average shares outstanding for the dilutive effect of common stock equivalents outstanding for the period. For purposes of the diluted EPS calculation, the effect of stock options, unvested restricted stock units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184" w:lineRule="exact"/>
        <w:rPr>
          <w:sz w:val="20"/>
          <w:szCs w:val="20"/>
          <w:color w:val="auto"/>
        </w:rPr>
      </w:pPr>
    </w:p>
    <w:p>
      <w:pPr>
        <w:jc w:val="both"/>
        <w:ind w:left="60" w:right="120" w:firstLine="648"/>
        <w:spacing w:after="0" w:line="250" w:lineRule="auto"/>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income (loss) per share for the three and nine months ended September 30, 2020 and 2019 are as follows (in thousands, except per share data):</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38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3"/>
                <w:szCs w:val="13"/>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 basic and diluted</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633,978</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(94,275)</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399,550</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(281,363)</w:t>
            </w:r>
          </w:p>
        </w:tc>
        <w:tc>
          <w:tcPr>
            <w:tcW w:w="20" w:type="dxa"/>
            <w:vAlign w:val="bottom"/>
          </w:tcPr>
          <w:p>
            <w:pPr>
              <w:spacing w:after="0"/>
              <w:rPr>
                <w:sz w:val="17"/>
                <w:szCs w:val="17"/>
                <w:color w:val="auto"/>
              </w:rPr>
            </w:pPr>
          </w:p>
        </w:tc>
      </w:tr>
      <w:tr>
        <w:trPr>
          <w:trHeight w:val="203"/>
        </w:trPr>
        <w:tc>
          <w:tcPr>
            <w:tcW w:w="38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55,169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48,921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54,018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47,361</w:t>
            </w:r>
          </w:p>
        </w:tc>
        <w:tc>
          <w:tcPr>
            <w:tcW w:w="20" w:type="dxa"/>
            <w:vAlign w:val="bottom"/>
          </w:tcPr>
          <w:p>
            <w:pPr>
              <w:spacing w:after="0"/>
              <w:rPr>
                <w:sz w:val="17"/>
                <w:szCs w:val="17"/>
                <w:color w:val="auto"/>
              </w:rPr>
            </w:pPr>
          </w:p>
        </w:tc>
      </w:tr>
      <w:tr>
        <w:trPr>
          <w:trHeight w:val="203"/>
        </w:trPr>
        <w:tc>
          <w:tcPr>
            <w:tcW w:w="38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384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1,289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203"/>
        </w:trPr>
        <w:tc>
          <w:tcPr>
            <w:tcW w:w="38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209</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r>
      <w:tr>
        <w:trPr>
          <w:trHeight w:val="196"/>
        </w:trPr>
        <w:tc>
          <w:tcPr>
            <w:tcW w:w="38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56,786</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48,921</w:t>
            </w: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55,492</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47,361</w:t>
            </w:r>
          </w:p>
        </w:tc>
        <w:tc>
          <w:tcPr>
            <w:tcW w:w="20" w:type="dxa"/>
            <w:vAlign w:val="bottom"/>
          </w:tcPr>
          <w:p>
            <w:pPr>
              <w:spacing w:after="0"/>
              <w:rPr>
                <w:sz w:val="17"/>
                <w:szCs w:val="17"/>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Pr>
          <w:p>
            <w:pPr>
              <w:spacing w:after="0"/>
              <w:rPr>
                <w:sz w:val="19"/>
                <w:szCs w:val="19"/>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(5.94)</w:t>
            </w:r>
          </w:p>
        </w:tc>
      </w:tr>
      <w:tr>
        <w:trPr>
          <w:trHeight w:val="635"/>
        </w:trPr>
        <w:tc>
          <w:tcPr>
            <w:tcW w:w="3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40"/>
          </w:cols>
          <w:pgMar w:left="1440" w:top="513" w:right="1419"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right="459" w:firstLine="648"/>
        <w:spacing w:after="0" w:line="296" w:lineRule="auto"/>
        <w:rPr>
          <w:sz w:val="20"/>
          <w:szCs w:val="20"/>
          <w:color w:val="auto"/>
        </w:rPr>
      </w:pPr>
      <w:r>
        <w:rPr>
          <w:rFonts w:ascii="Times New Roman" w:cs="Times New Roman" w:eastAsia="Times New Roman" w:hAnsi="Times New Roman"/>
          <w:sz w:val="17"/>
          <w:szCs w:val="17"/>
          <w:color w:val="auto"/>
        </w:rPr>
        <w:t>For the three and nine months ended September 30, 2020 and 2019, the following dilutive securities were not included in the computation of net income (loss) per share because the effect would be anti-dilutive (in thousands):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54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39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55"/>
        </w:trPr>
        <w:tc>
          <w:tcPr>
            <w:tcW w:w="39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3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4,704</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5,631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4,543</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4,459</w:t>
            </w:r>
          </w:p>
        </w:tc>
      </w:tr>
      <w:tr>
        <w:trPr>
          <w:trHeight w:val="203"/>
        </w:trPr>
        <w:tc>
          <w:tcPr>
            <w:tcW w:w="39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gridSpan w:val="3"/>
          </w:tcPr>
          <w:p>
            <w:pPr>
              <w:jc w:val="right"/>
              <w:ind w:right="6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r>
      <w:tr>
        <w:trPr>
          <w:trHeight w:val="203"/>
        </w:trPr>
        <w:tc>
          <w:tcPr>
            <w:tcW w:w="39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ESPP</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4,730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6,025</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4,637</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4,477</w:t>
            </w:r>
          </w:p>
        </w:tc>
      </w:tr>
      <w:tr>
        <w:trPr>
          <w:trHeight w:val="20"/>
        </w:trPr>
        <w:tc>
          <w:tcPr>
            <w:tcW w:w="3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Security Act</w:t>
      </w:r>
    </w:p>
    <w:p>
      <w:pPr>
        <w:spacing w:after="0" w:line="20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7"/>
          <w:szCs w:val="17"/>
          <w:color w:val="auto"/>
        </w:rPr>
        <w:t>In response to the COVID-19 pandemic, the Coronavirus Aid, Relief and Economic Security Act (CARES Act) was signed into law in March 2020. The CARES Act lifts certain deduction limitations originally imposed by the Tax Cuts and Jobs Act of 2017 (2017 Tax Act). Corporate taxpayers may carryback net operating losses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in 2019 and 2020.</w:t>
      </w:r>
    </w:p>
    <w:p>
      <w:pPr>
        <w:spacing w:after="0" w:line="174" w:lineRule="exact"/>
        <w:rPr>
          <w:sz w:val="20"/>
          <w:szCs w:val="20"/>
          <w:color w:val="auto"/>
        </w:rPr>
      </w:pPr>
    </w:p>
    <w:p>
      <w:pPr>
        <w:jc w:val="both"/>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In addition, the CARES Act raises the corporate charitable deduction limit to 25% of taxable income and makes qualified improvement property generally eligible for 15-year cost-recovery and 100% bonus depreciation. The enactment of the CARES Act did not result in any material adjustments to the Company’s income tax provision for the three and nine months ended September 30, 2020, or to its net deferred tax assets and related allowances as of September 30,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Roche Pralsetinib Collaboration</w:t>
      </w:r>
    </w:p>
    <w:p>
      <w:pPr>
        <w:spacing w:after="0" w:line="214"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As a result of the Roche pralsetinib collaboration agreement, the Company received an upfront cash payment of $675.0 million and $100.0 million from the issuance and the sale of the Company’s common stock to Roche Holdings. For the sale of common stock to Roche Holdings, $20.7 million of the $100.0 million is treated as a premium. The $775.0 million in aggregate payments for the upfront payment and equity investment received in the third quarter of 2020 and the $40.0 million in milestone payments received in October 2020 are expected to generate taxable income for the Company in 2020. The Company is currently performing an analysis to determine whether an ownership change under Section 382 of the Internal Revenue Code of 1986, as amended (the Code) has occurred from the Company’s inception in 2008 and through December 31, 2020. If it is determined that the Company’s U.S. subsidiaries underwent an “ownership change” for purposes of Section 382 of the Code at any time during this period, the effect of this change would result in the imposition of a limitation on the use of the Company’s NOLs and other tax 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16"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The Company’s building leases are comprised of office and laboratory spaces under non-cancelable operating leases. The lease agreements have remaining lease terms of two to nine years and contain various clauses for renewal at the Company’s option. The renewal options were not included in the calculation of the operating lease assets and the operating lease as the renewal option is not reasonably certain of being exercised. The lease agreements do not contain residual value guarantees and the components of lease cost for the three and nine months ended September 30, 2020 and 2019 were as follows (in thousands):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7"/>
                <w:szCs w:val="17"/>
                <w:color w:val="auto"/>
              </w:rPr>
            </w:pPr>
          </w:p>
        </w:tc>
        <w:tc>
          <w:tcPr>
            <w:tcW w:w="18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5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9"/>
        </w:trPr>
        <w:tc>
          <w:tcPr>
            <w:tcW w:w="51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4,303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4,167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13,014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11,906</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(730)</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(2,181)</w:t>
            </w: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(2,117)</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10,833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9,789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September 30, 2020.</w:t>
      </w:r>
    </w:p>
    <w:p>
      <w:pPr>
        <w:spacing w:after="0" w:line="21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three and nine months ended September 30, 2020 was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580" w:type="dxa"/>
            <w:vAlign w:val="bottom"/>
            <w:gridSpan w:val="5"/>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7"/>
                <w:szCs w:val="17"/>
                <w:color w:val="auto"/>
              </w:rPr>
            </w:pPr>
          </w:p>
        </w:tc>
        <w:tc>
          <w:tcPr>
            <w:tcW w:w="1580" w:type="dxa"/>
            <w:vAlign w:val="bottom"/>
            <w:gridSpan w:val="5"/>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9"/>
        </w:trPr>
        <w:tc>
          <w:tcPr>
            <w:tcW w:w="5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Cash paid for amounts included in the measurement of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3,616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3,485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6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10,789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shd w:val="clear" w:color="auto" w:fill="CCEEFF"/>
              </w:rPr>
              <w:t>8,727</w:t>
            </w:r>
          </w:p>
        </w:tc>
      </w:tr>
      <w:tr>
        <w:trPr>
          <w:trHeight w:val="203"/>
        </w:trPr>
        <w:tc>
          <w:tcPr>
            <w:tcW w:w="51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23,300</w:t>
            </w:r>
          </w:p>
        </w:tc>
      </w:tr>
      <w:tr>
        <w:trPr>
          <w:trHeight w:val="387"/>
        </w:trPr>
        <w:tc>
          <w:tcPr>
            <w:tcW w:w="8900" w:type="dxa"/>
            <w:vAlign w:val="bottom"/>
            <w:gridSpan w:val="13"/>
          </w:tcPr>
          <w:p>
            <w:pPr>
              <w:jc w:val="right"/>
              <w:ind w:right="314"/>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8"/>
        </w:trPr>
        <w:tc>
          <w:tcPr>
            <w:tcW w:w="5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Operating leases</w:t>
            </w: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Commitments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216"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212529"/>
        </w:rPr>
        <w:t>In connection with the commercialization of AYVAKIT/AYVAKYT and GAVRETO, the Company has negotiated manufacturing agreements with certain vendors that require the Company to meet minimum purchase obligations on an annual basis. The aggregate amount of future minimum purchase obligations under these manufacturing agreements is approximately $25.5 million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16. Subsequent Events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Manufacturing Agreements</w:t>
      </w:r>
    </w:p>
    <w:p>
      <w:pPr>
        <w:spacing w:after="0" w:line="256"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212529"/>
        </w:rPr>
        <w:t>In October 2020, in connection with the commercialization of GAVRETO, the Company negotiated an additional manufacturing agreement with certain vendor that requires the Company to meet minimum purchase obligations on an annual basis. The aggregate amount of future minimum purchase obligations under this manufacturing agreement is approximately $10.0 million for a five year period.</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Sublease Amendment</w:t>
      </w:r>
    </w:p>
    <w:p>
      <w:pPr>
        <w:spacing w:after="0" w:line="256"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212529"/>
        </w:rPr>
        <w:t>In October 2020, the Company amended the sublease agreement for the premises located at 38 Sidney Street, Cambridge, Massachusetts to extend the term of the sublease through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unaudited consolidated financial statements and related notes thereto and management’s discussion and analysis of financial condition and results of operations included in our Annual Report on Form 10-K for the year ended December 31, 2019, filed with the Securities and Exchange Commission, or the SEC, on February 13,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We have two approved precision therapies and are currently advancing multiple investigational medicines in clinical and pre-clinical development, along with a number of earlier stage research programs.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Avapritinib and BLU-263 — Systemic Mastocytosis and other Mast Cell Disorders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54"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and plan to commercialize avapritinib for the treatment of systemic mastocytosis, or SM,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08"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We are currently evaluating avapritinib in an ongoing registration-enabling Phase 1 clinical trial in advanced SM, which we refer to as our EXPLORER trial, and an ongoing registration-enabling Phase 2 clinical trial in advanced SM, which we refer to as our PATHFINDER trial. In June 2020, we presented data from the EXPLORER trial at the European Hematology Association 25th Annual Congress, and in September 2020, we reported top-line data from the EXPLORER trial and the PATHFINDER trial. We plan to submit a supplemental new drug application, or NDA, to the U.S. Food and Drug Administration, or FDA, for avapritinib for the treatment of advanced SM in the fourth quarter of 2020. We anticipate the supplemental NDA will be focused on data from patients in the EXPLORER and PATHFINDER trials who were treated with avapritinib at a starting dose of 200 mg once daily, or QD, supported by pooled data from all doses.</w:t>
      </w:r>
    </w:p>
    <w:p>
      <w:pPr>
        <w:spacing w:after="0" w:line="228" w:lineRule="exact"/>
        <w:rPr>
          <w:sz w:val="20"/>
          <w:szCs w:val="20"/>
          <w:color w:val="auto"/>
        </w:rPr>
      </w:pPr>
    </w:p>
    <w:p>
      <w:pPr>
        <w:ind w:left="60" w:right="79" w:firstLine="693"/>
        <w:spacing w:after="0" w:line="238" w:lineRule="auto"/>
        <w:rPr>
          <w:sz w:val="20"/>
          <w:szCs w:val="20"/>
          <w:color w:val="auto"/>
        </w:rPr>
      </w:pPr>
      <w:r>
        <w:rPr>
          <w:rFonts w:ascii="Times New Roman" w:cs="Times New Roman" w:eastAsia="Times New Roman" w:hAnsi="Times New Roman"/>
          <w:sz w:val="18"/>
          <w:szCs w:val="18"/>
          <w:color w:val="auto"/>
        </w:rPr>
        <w:t>In addition, we are evaluating avapritinib in an ongoing registration-enabling Phase 2 clinical trial in indolent SM, which we refer to as our PIONEER trial. In March 2020, we reported updated data from the dose-finding portion (Part 1) of the PIONEER trial at an investor conference call and on a virtual forum established by the American Academy of Allergy, Asthma &amp; Immunology, and in June 2020, we presented additional data from Part 1 of the PIONEER trial at the European Academy of Allergy and Clinical Immunology 2020 Congress. In the third quarter of 2020, we initiated the registration-enabling Part 2 of the PIONEER trial, activated multiple clinical sites in the United States and Europe, and are currently enrolling patients. Given uncertainty from the impact of the COVID-19 pandemic on activation of additional clinical trial sites and patient enrollment rates, we plan to provide an update in the first quarter of 2021 on expected timing for completing enrollment for Part 2 of the PIONEER trial.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BLU-263</w:t>
      </w:r>
    </w:p>
    <w:p>
      <w:pPr>
        <w:spacing w:after="0" w:line="254"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We are developing BLU-263 for the treatment of indolent SM and other mast cell disorders. BLU-263 is an investigational, orally available, potent and highly selective KIT inhibitor. BLU-263 is designed to have equivalent potency as avapritinib, improved selectivity for KIT, with low off-target activity, and lower penetration of the central nervous system relative to avapritinib based on preclinical data, which we believe will enable development of BLU-263 in a broad population of patients with indolent SM, including patients with lower disease burden requiring potentially life-long chronic therapy, as well as patients with other KIT-driven mast cell disorders. We are currently conducting a Phase 1 trial of BLU-263 in healthy volunteers.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Pralsetinib — RET-altered Cancers</w:t>
      </w:r>
    </w:p>
    <w:p>
      <w:pPr>
        <w:spacing w:after="0" w:line="256"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or NSCLC, and developing and plan to commercialize pralsetinib for the treatment of RET-altered thyroid carcinoma, including medullary thyroid carcinoma, or MTC, and other solid tumors. We have exclusive licenses to Roche and CStone to develop and commercialize pralsetinib in their respective territories. 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 xml:space="preserve">Pralsetinib is approved in the U.S. </w:t>
      </w:r>
      <w:r>
        <w:rPr>
          <w:rFonts w:ascii="Times New Roman" w:cs="Times New Roman" w:eastAsia="Times New Roman" w:hAnsi="Times New Roman"/>
          <w:sz w:val="18"/>
          <w:szCs w:val="18"/>
          <w:color w:val="0A0A0A"/>
          <w:highlight w:val="white"/>
        </w:rPr>
        <w:t>with accelerated approval</w:t>
      </w:r>
      <w:r>
        <w:rPr>
          <w:rFonts w:ascii="Times New Roman" w:cs="Times New Roman" w:eastAsia="Times New Roman" w:hAnsi="Times New Roman"/>
          <w:sz w:val="18"/>
          <w:szCs w:val="18"/>
          <w:color w:val="auto"/>
        </w:rPr>
        <w:t xml:space="preserve"> under the brand name GAVRETO for the treatment of </w:t>
      </w:r>
      <w:r>
        <w:rPr>
          <w:rFonts w:ascii="Times New Roman" w:cs="Times New Roman" w:eastAsia="Times New Roman" w:hAnsi="Times New Roman"/>
          <w:sz w:val="18"/>
          <w:szCs w:val="18"/>
          <w:color w:val="0A0A0A"/>
          <w:highlight w:val="white"/>
        </w:rPr>
        <w:t>adult patients with metastatic RET fusion-positive NSCLC as detected by an FDA approved test. In addition,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European Medicines Agency, or </w:t>
      </w:r>
      <w:r>
        <w:rPr>
          <w:rFonts w:ascii="Times New Roman" w:cs="Times New Roman" w:eastAsia="Times New Roman" w:hAnsi="Times New Roman"/>
          <w:sz w:val="18"/>
          <w:szCs w:val="18"/>
          <w:color w:val="0A0A0A"/>
          <w:highlight w:val="white"/>
        </w:rPr>
        <w:t>EMA, is currently reviewing our</w:t>
      </w:r>
      <w:r>
        <w:rPr>
          <w:rFonts w:ascii="Times New Roman" w:cs="Times New Roman" w:eastAsia="Times New Roman" w:hAnsi="Times New Roman"/>
          <w:sz w:val="18"/>
          <w:szCs w:val="18"/>
          <w:color w:val="212529"/>
        </w:rPr>
        <w:t xml:space="preserve"> marketing authorization application, or </w:t>
      </w:r>
      <w:r>
        <w:rPr>
          <w:rFonts w:ascii="Times New Roman" w:cs="Times New Roman" w:eastAsia="Times New Roman" w:hAnsi="Times New Roman"/>
          <w:sz w:val="18"/>
          <w:szCs w:val="18"/>
          <w:color w:val="0A0A0A"/>
          <w:highlight w:val="white"/>
        </w:rPr>
        <w:t>MAA, for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A0A0A"/>
          <w:highlight w:val="white"/>
        </w:rPr>
        <w:t xml:space="preserve">pralsetinib for </w:t>
      </w:r>
      <w:r>
        <w:rPr>
          <w:rFonts w:ascii="Times New Roman" w:cs="Times New Roman" w:eastAsia="Times New Roman" w:hAnsi="Times New Roman"/>
          <w:sz w:val="18"/>
          <w:szCs w:val="18"/>
          <w:color w:val="000000"/>
        </w:rPr>
        <w:t>RET fusion-positive NSCLC</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We plan to submit additional marketing applications for pralsetinib for RET</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fusion-positive NSCLC through the FDA’s Project Orbis initiative, which provides a framework for concurrent submission and review of marketing applications for oncology products among international health authorities. In addition, in September 2020, China’s National Medical Products Administration, or NMPA, accepted an NDA submitted by CStone Pharmaceuticals, or CStone, for pralsetinib for the treatment of RET fusion-positive NSCLC patients previously treated with platinum-based chemotherapy. In the second quarter of 2020, we submitted an NDA to the FDA for pralsetinib for the treatment of patients with advanced or metastatic RET mutant MTC and RET fusion-positive thyroid cancers, and the FDA set a Prescription Drug User Fee Act, or PDUFA, action date of February 28, 2021 for this NDA. This NDA was submitted under the FDA’s Oncology Center of Excellence Real-Time Oncology Review pilot program, or RTOR program, which aims to explore a more efficient review process to ensure that safe and effective treatments are available to patients as early as possible, while maintaining and improving review quality by the FDA.</w:t>
      </w:r>
    </w:p>
    <w:p>
      <w:pPr>
        <w:spacing w:after="0" w:line="21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We are currently evaluating pralsetinib in an ongoing registration-enabling Phase 1/2 clinical trial in patients with RET-altered NSCLC, MTC and other advanced solid tumors, which we refer to as our ARROW trial. In January 2020, we reported top-line data from the ARROW trial in RET fusion-positive NSCLC patients, and in April 2020, we reported top-line data from the ARROW trial in RET-mutant MTC patients. In June 2020, we presented additional data from the ARROW trial of pralsetinib in RET fusion-positive NSCLC and other RET-altered solid tumors at the American Society of Clinical Oncology Annual Meeting. In September 2020, we announced updated data from the ARROW trial in RET-mutant MTC patients at the European Society for Medical Oncology Virtual Congress 2020. We are also evaluating pralsetinib in an ongoing Phase 3 clinical trial in patients with first-line RET fusion-positive NSCLC, which we refer to as our AcceleRET Lung trial. Pursuant to our collaboration with Roche, we plan to co-develop pralsetinib globally in RET-altered solid tumors, including NSCLC, MTC and other thyroid cancers, as well as other solid tumors.</w:t>
      </w:r>
    </w:p>
    <w:p>
      <w:pPr>
        <w:spacing w:after="0" w:line="229" w:lineRule="exact"/>
        <w:rPr>
          <w:sz w:val="20"/>
          <w:szCs w:val="20"/>
          <w:color w:val="auto"/>
        </w:rPr>
      </w:pPr>
    </w:p>
    <w:p>
      <w:pPr>
        <w:ind w:left="60" w:right="339" w:firstLine="648"/>
        <w:spacing w:after="0" w:line="272" w:lineRule="auto"/>
        <w:rPr>
          <w:sz w:val="20"/>
          <w:szCs w:val="20"/>
          <w:color w:val="auto"/>
        </w:rPr>
      </w:pPr>
      <w:r>
        <w:rPr>
          <w:rFonts w:ascii="Times New Roman" w:cs="Times New Roman" w:eastAsia="Times New Roman" w:hAnsi="Times New Roman"/>
          <w:sz w:val="17"/>
          <w:szCs w:val="17"/>
          <w:color w:val="auto"/>
        </w:rPr>
        <w:t>The FDA has granted orphan drug designation to pralsetinib for the treatment of RET-rearranged NSCLC, JAK1/2-positive NSCLC or TRKC-positive NSCLC, and the FDA has granted breakthrough therapy designation to pralsetinib for the treatment of patients with RET fusion-positive NSCLC that has progressed following platinum-based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70" w:lineRule="auto"/>
        <w:rPr>
          <w:sz w:val="20"/>
          <w:szCs w:val="20"/>
          <w:color w:val="auto"/>
        </w:rPr>
      </w:pPr>
      <w:r>
        <w:rPr>
          <w:rFonts w:ascii="Times New Roman" w:cs="Times New Roman" w:eastAsia="Times New Roman" w:hAnsi="Times New Roman"/>
          <w:sz w:val="18"/>
          <w:szCs w:val="18"/>
          <w:color w:val="auto"/>
        </w:rPr>
        <w:t>chemotherapy and to pralsetinib for the treatment of patients with RET mutation-positive MTC that requires systemic treatment and for which there are no acceptable alternative treatments</w:t>
      </w:r>
      <w:r>
        <w:rPr>
          <w:rFonts w:ascii="Arial" w:cs="Arial" w:eastAsia="Arial" w:hAnsi="Arial"/>
          <w:sz w:val="18"/>
          <w:szCs w:val="18"/>
          <w:color w:val="auto"/>
        </w:rPr>
        <w: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Avapritinib — Gastrointestinal Stromal Tumors</w:t>
      </w:r>
    </w:p>
    <w:p>
      <w:pPr>
        <w:spacing w:after="0" w:line="256"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We are also developing and commercializing avapritinib for the treatment of patients with PDGFRA exon 18 mutant gastrointestinal stromal tumors, or GIST, a rare disease that is a sarcoma, or tumor of bone or connective tissue, of the gastrointestinal tract.</w:t>
      </w:r>
    </w:p>
    <w:p>
      <w:pPr>
        <w:spacing w:after="0" w:line="204"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Avapritinib is approved in the U.S. under the brand name AYVAKIT for the treatment of adults with unresectable or metastatic GIST harboring a PDGFRA exon 18 mutation, including PDGFRA D842V mutations, and is approved in European Union with conditional marketing authorization under the brand name AYVAKYT as a monotherapy for the treatment of adult patients with unresectable or metastatic GIST harboring PDGFRA D842V mutation. The European Commission has granted orphan medicinal product designation to avapritinib for the treatment of GIST. In addition, in March 2020, the NMPA accepted an NDA submitted by CStone for avapritinib for the treatment of adults with unresectable or metastatic PDGFRA exon 18 mutant GIST and fourth-line GIST. CStone also submitted an NDA to the Taiwan Food and Drug Administration, or the TFDA, for avapritinib for the indication of adult patients with unresectable or metastatic GIST harboring a PDGFRA exon 18 mutation, including PDGFRA D842V mutations, and received priority review designation from the TFDA. As previously announced, we do not plan to further develop avapritinib for additional GIST indications beyond PDGFRA exon 18 mutant GIST.</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BLU-945 — Treatment-Resistant EGFR-Mutated NSCLC</w:t>
      </w:r>
    </w:p>
    <w:p>
      <w:pPr>
        <w:spacing w:after="0" w:line="256"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We are developing BLU-945 for the treatment of EGFR-mutated NSCLC. BLU-945 is selective investigational inhibitor designed to potently inhibit triple-mutant EGFR harboring either the activating L858R or exon 19 deletion mutations combined with the acquired T790M and C797S mutations, the most common on-target resistance to standard EGFR inhibitors. In addition, BLU-945 was designed to be wild-type EGFR and kinome selective with the potential for improved tolerability and combination strategies. Based on preclinical proof-of-concept data presented in September 2020, we plan to develop BLU-945 as a monotherapy and in combination with other agents for the treatment of patients with treatment-resistant EGFR-mutated NSCLC. We plan to initiate a global Phase 1 dose-escalation trial of BLU-945 in the first half of 2021.</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Fisogatinib — Hepatocellular Carcinoma</w:t>
      </w:r>
    </w:p>
    <w:p>
      <w:pPr>
        <w:spacing w:after="0" w:line="256"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we are also evaluating fisogatinib in combination with CS1001,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243"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We currently have four wholly-owned discovery programs consisting of the following: BLU-945, our development candidate for the treatment of resistant EGFR-positive triple mutant NSCLC; a pre-development candidate program targeting EGFR Exon 19/L858R+C797S, which we refer to as resistant EGFR-positive double mutant NSCLC; and two pre-development candidate programs for undisclosed kinase targets. We also have up to four discovery programs in cancer immunotherapy under our collaboration with Roche. 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below. In addition to BLU-945, we plan to nominate up to two additional development candidates by the end of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Commercialization Rights</w:t>
      </w:r>
    </w:p>
    <w:p>
      <w:pPr>
        <w:spacing w:after="0" w:line="256"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We currently have worldwide development and commercialization rights to avapritinib and fisogatinib, other than the rights licensed to CStone for these drug candidates in Mainland China, Hong Kong, Macau and Taiwan, or the CStone territory. We have worldwide development and commercialization rights to BLU-263. We currently have worldwide development and commercialization rights to all of our discovery programs, including BLU-945, other than the discovery-stage cancer immunotherapy programs under our collaboration with Roche.</w:t>
      </w:r>
    </w:p>
    <w:p>
      <w:pPr>
        <w:spacing w:after="0" w:line="225"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 We have granted an exclusive worldwide license to Clementia Pharmaceuticals, Inc., or Clementia, a wholly-owned subsidiary of Ipsen S.A., to develop and commercialize BLU-782.</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w:t>
      </w:r>
    </w:p>
    <w:p>
      <w:pPr>
        <w:spacing w:after="0" w:line="256"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In addition to the collaborations and licenses described below, we will continue to evaluate potential additional collaborations, partnerships and licenses that could maximize the value of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 We may also explore opportunities to acquire or in-license additional businesses, technologies or drugs, form strategic alliances or create joint ventures with third parties that we believe will complement or augment our existing business.</w:t>
      </w:r>
    </w:p>
    <w:p>
      <w:pPr>
        <w:spacing w:after="0" w:line="223" w:lineRule="exact"/>
        <w:rPr>
          <w:sz w:val="20"/>
          <w:szCs w:val="20"/>
          <w:color w:val="auto"/>
        </w:rPr>
      </w:pPr>
    </w:p>
    <w:p>
      <w:pPr>
        <w:ind w:left="60" w:right="2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Roche—Immunotherapy Collaboration. </w:t>
      </w:r>
      <w:r>
        <w:rPr>
          <w:rFonts w:ascii="Times New Roman" w:cs="Times New Roman" w:eastAsia="Times New Roman" w:hAnsi="Times New Roman"/>
          <w:sz w:val="18"/>
          <w:szCs w:val="18"/>
          <w:color w:val="auto"/>
        </w:rPr>
        <w:t>In March 2016, we entered into a collaboration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529"/>
        </w:rPr>
        <w:t>Roche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up to four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204" w:lineRule="exact"/>
        <w:rPr>
          <w:sz w:val="20"/>
          <w:szCs w:val="20"/>
          <w:color w:val="auto"/>
        </w:rPr>
      </w:pPr>
    </w:p>
    <w:p>
      <w:pPr>
        <w:ind w:left="60" w:right="279" w:firstLine="648"/>
        <w:spacing w:after="0"/>
        <w:rPr>
          <w:sz w:val="20"/>
          <w:szCs w:val="20"/>
          <w:color w:val="auto"/>
        </w:rPr>
      </w:pPr>
      <w:r>
        <w:rPr>
          <w:rFonts w:ascii="Times New Roman" w:cs="Times New Roman" w:eastAsia="Times New Roman" w:hAnsi="Times New Roman"/>
          <w:sz w:val="18"/>
          <w:szCs w:val="18"/>
          <w:i w:val="1"/>
          <w:iCs w:val="1"/>
          <w:color w:val="auto"/>
        </w:rPr>
        <w:t xml:space="preserve">Roche—Pralsetinib Collaboration. </w:t>
      </w:r>
      <w:r>
        <w:rPr>
          <w:rFonts w:ascii="Times New Roman" w:cs="Times New Roman" w:eastAsia="Times New Roman" w:hAnsi="Times New Roman"/>
          <w:sz w:val="18"/>
          <w:szCs w:val="18"/>
          <w:color w:val="auto"/>
        </w:rPr>
        <w:t>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225" w:lineRule="exact"/>
        <w:rPr>
          <w:sz w:val="20"/>
          <w:szCs w:val="20"/>
          <w:color w:val="auto"/>
        </w:rPr>
      </w:pPr>
    </w:p>
    <w:p>
      <w:pPr>
        <w:ind w:left="60" w:right="43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CStone. </w:t>
      </w:r>
      <w:r>
        <w:rPr>
          <w:rFonts w:ascii="Times New Roman" w:cs="Times New Roman" w:eastAsia="Times New Roman" w:hAnsi="Times New Roman"/>
          <w:sz w:val="18"/>
          <w:szCs w:val="18"/>
          <w:color w:val="auto"/>
        </w:rPr>
        <w:t>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including back-up forms and certain other forms, in the CStone territory either as a monotherapy or as part of a combination therapy.</w:t>
      </w:r>
    </w:p>
    <w:p>
      <w:pPr>
        <w:spacing w:after="0" w:line="215" w:lineRule="exact"/>
        <w:rPr>
          <w:sz w:val="20"/>
          <w:szCs w:val="20"/>
          <w:color w:val="auto"/>
        </w:rPr>
      </w:pPr>
    </w:p>
    <w:p>
      <w:pPr>
        <w:ind w:left="60" w:right="25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Clementia. </w:t>
      </w:r>
      <w:r>
        <w:rPr>
          <w:rFonts w:ascii="Times New Roman" w:cs="Times New Roman" w:eastAsia="Times New Roman" w:hAnsi="Times New Roman"/>
          <w:sz w:val="18"/>
          <w:szCs w:val="18"/>
          <w:color w:val="auto"/>
        </w:rPr>
        <w:t>In October 2019, we entered into a license agreement with Clementia and granted Clementia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COVID-19 Pandemic</w:t>
      </w:r>
    </w:p>
    <w:p>
      <w:pPr>
        <w:spacing w:after="0" w:line="256" w:lineRule="exact"/>
        <w:rPr>
          <w:sz w:val="20"/>
          <w:szCs w:val="20"/>
          <w:color w:val="auto"/>
        </w:rPr>
      </w:pPr>
    </w:p>
    <w:p>
      <w:pPr>
        <w:ind w:left="60" w:right="99" w:firstLine="661"/>
        <w:spacing w:after="0" w:line="245" w:lineRule="auto"/>
        <w:rPr>
          <w:sz w:val="20"/>
          <w:szCs w:val="20"/>
          <w:color w:val="auto"/>
        </w:rPr>
      </w:pPr>
      <w:r>
        <w:rPr>
          <w:rFonts w:ascii="Times New Roman" w:cs="Times New Roman" w:eastAsia="Times New Roman" w:hAnsi="Times New Roman"/>
          <w:sz w:val="18"/>
          <w:szCs w:val="18"/>
          <w:color w:val="auto"/>
        </w:rPr>
        <w:t>Due to the evolving and uncertain global impacts of the COVID-19 pandemic, we cannot precisely determine or quantify the impact this pandemic will have on our business, operations and financial performance for the remainder of our fiscal year ending December 31, 2020 and beyond. We initially established a work-from-home policy for all employees, other than those performing or supporting business-critical activities, such as certain members of our</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36" w:lineRule="auto"/>
        <w:rPr>
          <w:sz w:val="20"/>
          <w:szCs w:val="20"/>
          <w:color w:val="auto"/>
        </w:rPr>
      </w:pPr>
      <w:r>
        <w:rPr>
          <w:rFonts w:ascii="Times New Roman" w:cs="Times New Roman" w:eastAsia="Times New Roman" w:hAnsi="Times New Roman"/>
          <w:sz w:val="18"/>
          <w:szCs w:val="18"/>
          <w:color w:val="auto"/>
        </w:rPr>
        <w:t>laboratory and facilities staff. While the majority of employees continue to work from home, we have continued to evaluate and update this policy for each of our locations and field-based employees based on guidance from federal, state and local government authorities. For our ongoing and planned clinical trials, while we anticipate and have experienced some temporary delays or disruptions due to the COVID-19 pandemic, in particular with respect to activation of additional clinical trial sites and patient enrollment rates, we are working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avapritinib, pralsetinib, fisogatinib and BLU-263 through 2021. However, depending on the length and ultimate impact of the COVID-19 pandemic, our suppliers could be adversely impacted, which may result in delays or disruptions in our current or future supply chain. For our commercial activities for AYVAKIT/AYVAKYT and GAVRETO, we are conducting commercial and medical affairs field activities across our portfolio in virtual formats where possible in order to allow us to continue to serve the needs of healthcare providers, patients and other stakeholders during this critical time. We will continue to assess the duration, scope and severity of the COVID-19 pandemic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6"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a debt financing and limited product revenue. Through September 30, 2020, we have received an aggregate of $2.6 billion from such transactions, including $1.7 billion in aggregate gross proceeds from the sale of common stock in our initial public offering, or IPO, follow-on public offerings and the equity investment by Roche, $115.1 million in gross proceeds from the issuance of convertible preferred stock, $855.8 million in upfront payments and milestone payments under our collaborations with Roche and CStone, our license agreement with Clementia and our former collaboration with Alexion Pharma Holding, or Alexion, and $10.0 million in gross proceeds from a debt financing. In addition, in September 2020, we achieved $40.0 million in specified regulatory and commercialization milestones as a result of the initial U.S. marketing approval for GAVRETO and received those milestone payments in October 2020.</w:t>
      </w:r>
    </w:p>
    <w:p>
      <w:pPr>
        <w:spacing w:after="0" w:line="215" w:lineRule="exact"/>
        <w:rPr>
          <w:sz w:val="20"/>
          <w:szCs w:val="20"/>
          <w:color w:val="auto"/>
        </w:rPr>
      </w:pPr>
    </w:p>
    <w:p>
      <w:pPr>
        <w:ind w:left="60" w:right="159" w:firstLine="648"/>
        <w:spacing w:after="0" w:line="239"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three and nine months ended September 30, 2020. Our net income was $399.6 million for the nine months ended September 30, 2020 primarily due to the collaboration revenue recorded under our collaboration with Roche for pralsetinib. Our net losses were $347.7 million, $236.6 million and $148.1 million for the years ended December 31, 2019, 2018 and 2017, respectively. As of September 30, 2020, we had an accumulated deficit of $545.7 million. We expect to continue to incur significant expenses and operating losses over the next few years. However, as a result of our collaboration with Roche for pralsetinib, we expect to record net income for the year ended December 31, 2020. We anticipate that our expenses will continue to increase in connection with our ongoing activities, particularly as we:</w:t>
      </w:r>
    </w:p>
    <w:p>
      <w:pPr>
        <w:spacing w:after="0" w:line="228" w:lineRule="exact"/>
        <w:rPr>
          <w:sz w:val="20"/>
          <w:szCs w:val="20"/>
          <w:color w:val="auto"/>
        </w:rPr>
      </w:pPr>
    </w:p>
    <w:p>
      <w:pPr>
        <w:ind w:left="1380" w:right="199" w:hanging="331"/>
        <w:spacing w:after="0" w:line="250"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sales, marketing and distribution infrastructure to continue to commercialize AYVAKIT/AYVAKYT, GAVRETO and any current or future drug candidates for which we may obtain marketing approval;</w:t>
      </w:r>
    </w:p>
    <w:p>
      <w:pPr>
        <w:spacing w:after="0" w:line="176" w:lineRule="exact"/>
        <w:rPr>
          <w:rFonts w:ascii="Times New Roman" w:cs="Times New Roman" w:eastAsia="Times New Roman" w:hAnsi="Times New Roman"/>
          <w:sz w:val="18"/>
          <w:szCs w:val="18"/>
          <w:color w:val="auto"/>
        </w:rPr>
      </w:pPr>
    </w:p>
    <w:p>
      <w:pPr>
        <w:ind w:left="1380" w:right="579" w:hanging="331"/>
        <w:spacing w:after="0" w:line="296" w:lineRule="auto"/>
        <w:tabs>
          <w:tab w:leader="none" w:pos="13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marketing approval for avapritinib and pralsetinib for additional indications and in additional geographies and seek marketing approvals for any other current or future drug candidates;</w:t>
      </w:r>
    </w:p>
    <w:p>
      <w:pPr>
        <w:spacing w:after="0" w:line="138" w:lineRule="exact"/>
        <w:rPr>
          <w:rFonts w:ascii="Times New Roman" w:cs="Times New Roman" w:eastAsia="Times New Roman" w:hAnsi="Times New Roman"/>
          <w:sz w:val="17"/>
          <w:szCs w:val="17"/>
          <w:color w:val="auto"/>
        </w:rPr>
      </w:pPr>
    </w:p>
    <w:p>
      <w:pPr>
        <w:ind w:left="1380" w:right="99" w:hanging="331"/>
        <w:spacing w:after="0" w:line="26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activities for avapritinib and pralsetinib and initiate or advance clinical development activities for other current or future drug candidates;</w:t>
      </w:r>
    </w:p>
    <w:p>
      <w:pPr>
        <w:spacing w:after="0" w:line="162"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BLU-945;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66"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w:t>
      </w:r>
    </w:p>
    <w:p>
      <w:pPr>
        <w:spacing w:after="0" w:line="162" w:lineRule="exact"/>
        <w:rPr>
          <w:rFonts w:ascii="Times New Roman" w:cs="Times New Roman" w:eastAsia="Times New Roman" w:hAnsi="Times New Roman"/>
          <w:sz w:val="18"/>
          <w:szCs w:val="18"/>
          <w:color w:val="auto"/>
        </w:rPr>
      </w:pPr>
    </w:p>
    <w:p>
      <w:pPr>
        <w:ind w:left="1380" w:right="1219" w:hanging="331"/>
        <w:spacing w:after="0" w:line="296" w:lineRule="auto"/>
        <w:tabs>
          <w:tab w:leader="none" w:pos="1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development and commercialization activities for companion diagnostic tests for AYVAKIT/AYVAKYT, GAVRETO and any other current or future drug candidates;</w:t>
      </w:r>
    </w:p>
    <w:p>
      <w:pPr>
        <w:spacing w:after="0" w:line="138"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Roche and CStone;</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11"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w:t>
      </w:r>
    </w:p>
    <w:p>
      <w:pPr>
        <w:spacing w:after="0" w:line="162" w:lineRule="exact"/>
        <w:rPr>
          <w:rFonts w:ascii="Times New Roman" w:cs="Times New Roman" w:eastAsia="Times New Roman" w:hAnsi="Times New Roman"/>
          <w:sz w:val="18"/>
          <w:szCs w:val="18"/>
          <w:color w:val="auto"/>
        </w:rPr>
      </w:pPr>
    </w:p>
    <w:p>
      <w:pPr>
        <w:ind w:left="1380" w:right="679" w:hanging="331"/>
        <w:spacing w:after="0" w:line="266" w:lineRule="auto"/>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left="60" w:right="239" w:firstLine="648"/>
        <w:spacing w:after="0"/>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FDA granted accelerated approval to pralsetinib under the brand name GAVRETO for the treatment of adult patients with metastatic RET fusion-positive NSCLC as detected by an FDA approved test, and the European Commission granted conditional marketing authorization to avapritinib under the brand name AYVAKYT as a monotherapy for the treatment of adult patients with unresectable or metastatic GIST harboring the PDGFRA D842V mutation.</w:t>
      </w:r>
    </w:p>
    <w:p>
      <w:pPr>
        <w:spacing w:after="0" w:line="212"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Through September 30, 2020, our revenue consisted of sales of AYVAKIT, GAVRETO and collaboration revenue under our collaborations with Roche and CStone and license agreement with Clementia. Collaboration revenue includes amounts that were recognized related to upfront payments, milestone payments, the equity premium from Roche, and amounts due to us for supply of inventory (under our collaboration and license agreements), research and development services, and license revenue under our license agreement with Clementia.</w:t>
      </w:r>
    </w:p>
    <w:p>
      <w:pPr>
        <w:spacing w:after="0" w:line="225"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In the future, we expect to record revenue from a combination of sales of AYVAKIT/AYVAKYT, GAVRETO and any current or future drug candidates for which we receive marketing approval, royalties on drug sales and cost reimbursements, as well as upfront, milestone, profit sharing, royalty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and related reimbursements, payments for manufacturing services, and option fees, milestone payments or other payments under our collaboration or license agreements, if any.</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43" w:lineRule="exact"/>
        <w:rPr>
          <w:sz w:val="20"/>
          <w:szCs w:val="20"/>
          <w:color w:val="auto"/>
        </w:rPr>
      </w:pPr>
    </w:p>
    <w:p>
      <w:pPr>
        <w:ind w:left="60" w:right="199" w:firstLine="648"/>
        <w:spacing w:after="0" w:line="241"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during the respective period, including salary related and stock-based compensation expense for employees involved with production and distribution, freight, and indirect overhead costs. In addition, shipping and handling costs for product shipments are recorded in cost of sales as incurred. Cost of sales for newly launched products will not be significant until the initial pre-launch inventory is depleted, and additional inventory is manufactured. As a result, the gross margin of our product sales for the three and nine months ended September 30, 2020 was enhanced by use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active pharmaceutical ingredients and components that were previously expensed as research and development expense in prior years.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ind w:left="60" w:right="719" w:firstLine="648"/>
        <w:spacing w:after="0" w:line="296"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79" w:lineRule="exact"/>
        <w:rPr>
          <w:sz w:val="20"/>
          <w:szCs w:val="20"/>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11" w:lineRule="exact"/>
        <w:rPr>
          <w:rFonts w:ascii="Times New Roman" w:cs="Times New Roman" w:eastAsia="Times New Roman" w:hAnsi="Times New Roman"/>
          <w:sz w:val="18"/>
          <w:szCs w:val="18"/>
          <w:color w:val="auto"/>
        </w:rPr>
      </w:pPr>
    </w:p>
    <w:p>
      <w:pPr>
        <w:ind w:left="1380" w:right="519" w:hanging="331"/>
        <w:spacing w:after="0" w:line="266"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2" w:lineRule="exact"/>
        <w:rPr>
          <w:rFonts w:ascii="Times New Roman" w:cs="Times New Roman" w:eastAsia="Times New Roman" w:hAnsi="Times New Roman"/>
          <w:sz w:val="18"/>
          <w:szCs w:val="18"/>
          <w:color w:val="auto"/>
        </w:rPr>
      </w:pPr>
    </w:p>
    <w:p>
      <w:pPr>
        <w:ind w:left="1380" w:right="379" w:hanging="331"/>
        <w:spacing w:after="0" w:line="266"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11"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commercial supply materials; and</w:t>
      </w:r>
    </w:p>
    <w:p>
      <w:pPr>
        <w:spacing w:after="0" w:line="162" w:lineRule="exact"/>
        <w:rPr>
          <w:rFonts w:ascii="Times New Roman" w:cs="Times New Roman" w:eastAsia="Times New Roman" w:hAnsi="Times New Roman"/>
          <w:sz w:val="18"/>
          <w:szCs w:val="18"/>
          <w:color w:val="auto"/>
        </w:rPr>
      </w:pPr>
    </w:p>
    <w:p>
      <w:pPr>
        <w:ind w:left="1380" w:right="319" w:hanging="331"/>
        <w:spacing w:after="0" w:line="250" w:lineRule="auto"/>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17"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8" w:lineRule="exact"/>
        <w:rPr>
          <w:sz w:val="20"/>
          <w:szCs w:val="20"/>
          <w:color w:val="auto"/>
        </w:rPr>
      </w:pPr>
    </w:p>
    <w:p>
      <w:pPr>
        <w:ind w:left="60" w:right="419" w:firstLine="648"/>
        <w:spacing w:after="0" w:line="242"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225" w:lineRule="exact"/>
        <w:rPr>
          <w:sz w:val="20"/>
          <w:szCs w:val="20"/>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11" w:lineRule="exact"/>
        <w:rPr>
          <w:rFonts w:ascii="Times New Roman" w:cs="Times New Roman" w:eastAsia="Times New Roman" w:hAnsi="Times New Roman"/>
          <w:sz w:val="18"/>
          <w:szCs w:val="18"/>
          <w:color w:val="auto"/>
        </w:rPr>
      </w:pPr>
    </w:p>
    <w:p>
      <w:pPr>
        <w:ind w:left="1380" w:right="959" w:hanging="331"/>
        <w:spacing w:after="0" w:line="266"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62" w:lineRule="exact"/>
        <w:rPr>
          <w:rFonts w:ascii="Times New Roman" w:cs="Times New Roman" w:eastAsia="Times New Roman" w:hAnsi="Times New Roman"/>
          <w:sz w:val="18"/>
          <w:szCs w:val="18"/>
          <w:color w:val="auto"/>
        </w:rPr>
      </w:pPr>
    </w:p>
    <w:p>
      <w:pPr>
        <w:ind w:left="1380" w:right="1139" w:hanging="331"/>
        <w:spacing w:after="0" w:line="266"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GAVRETO and our drug candidates;</w:t>
      </w:r>
    </w:p>
    <w:p>
      <w:pPr>
        <w:spacing w:after="0" w:line="162"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GAVRETO and our drug candidates, if and when approved, whether alone or in collaboration with others;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59" w:hanging="331"/>
        <w:spacing w:after="0" w:line="266" w:lineRule="auto"/>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GAVRETO and any future drug we may commercialize;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203"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8"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25" w:lineRule="exact"/>
        <w:rPr>
          <w:sz w:val="20"/>
          <w:szCs w:val="20"/>
          <w:color w:val="auto"/>
        </w:rPr>
      </w:pPr>
    </w:p>
    <w:p>
      <w:pPr>
        <w:ind w:left="60" w:right="359"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and nine months ended September 30, 2020 and 2019. Other development and pre-development candidate expenses, unallocated expenses and internal research and development expenses have been classified separately.</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3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142"/>
        </w:trPr>
        <w:tc>
          <w:tcPr>
            <w:tcW w:w="3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w w:val="79"/>
              </w:rPr>
              <w:t>(in thousands)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Avapritinib external expenses</w:t>
            </w:r>
          </w:p>
        </w:tc>
        <w:tc>
          <w:tcPr>
            <w:tcW w:w="480" w:type="dxa"/>
            <w:vAlign w:val="bottom"/>
            <w:gridSpan w:val="2"/>
            <w:shd w:val="clear" w:color="auto" w:fill="CCEEFF"/>
          </w:tcPr>
          <w:p>
            <w:pPr>
              <w:ind w:left="2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17,477</w:t>
            </w:r>
          </w:p>
        </w:tc>
        <w:tc>
          <w:tcPr>
            <w:tcW w:w="66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18,290</w:t>
            </w:r>
          </w:p>
        </w:tc>
        <w:tc>
          <w:tcPr>
            <w:tcW w:w="3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56,412</w:t>
            </w:r>
          </w:p>
        </w:tc>
        <w:tc>
          <w:tcPr>
            <w:tcW w:w="46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69,953</w:t>
            </w:r>
          </w:p>
        </w:tc>
      </w:tr>
      <w:tr>
        <w:trPr>
          <w:trHeight w:val="203"/>
        </w:trPr>
        <w:tc>
          <w:tcPr>
            <w:tcW w:w="3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Pralsetinib external expenses*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10,199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21,963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59,231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59,850</w:t>
            </w:r>
          </w:p>
        </w:tc>
      </w:tr>
      <w:tr>
        <w:trPr>
          <w:trHeight w:val="202"/>
        </w:trPr>
        <w:tc>
          <w:tcPr>
            <w:tcW w:w="3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Fisogatinib external expenses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513</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4,694</w:t>
            </w:r>
          </w:p>
        </w:tc>
      </w:tr>
      <w:tr>
        <w:trPr>
          <w:trHeight w:val="203"/>
        </w:trPr>
        <w:tc>
          <w:tcPr>
            <w:tcW w:w="3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BLU-263 external expenses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4,318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10,382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2,019</w:t>
            </w:r>
          </w:p>
        </w:tc>
      </w:tr>
      <w:tr>
        <w:trPr>
          <w:trHeight w:val="184"/>
        </w:trPr>
        <w:tc>
          <w:tcPr>
            <w:tcW w:w="36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Other development and pre-development</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21"/>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candidate expenses and unallocated expenses*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17,313</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w:t>
            </w:r>
          </w:p>
        </w:tc>
      </w:tr>
      <w:tr>
        <w:trPr>
          <w:trHeight w:val="203"/>
        </w:trPr>
        <w:tc>
          <w:tcPr>
            <w:tcW w:w="36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Internal research and development expenses</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24,410</w:t>
            </w: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19,550</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71,833</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54,396</w:t>
            </w:r>
          </w:p>
        </w:tc>
      </w:tr>
      <w:tr>
        <w:trPr>
          <w:trHeight w:val="196"/>
        </w:trPr>
        <w:tc>
          <w:tcPr>
            <w:tcW w:w="3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74,230</w:t>
            </w:r>
          </w:p>
        </w:tc>
        <w:tc>
          <w:tcPr>
            <w:tcW w:w="6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81,453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249,456</w:t>
            </w:r>
          </w:p>
        </w:tc>
        <w:tc>
          <w:tcPr>
            <w:tcW w:w="4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242,804</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1020" w:right="419" w:hanging="322"/>
        <w:spacing w:after="0" w:line="250"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includes reimbursable expenses under our collaboration for pralsetinib with Roche, and other development and pre-development candidate expenses includes reimbursable expenses under our other collaboration agreements.</w:t>
      </w:r>
    </w:p>
    <w:p>
      <w:pPr>
        <w:spacing w:after="0" w:line="217"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with CStone, development activities under our collaboration for pralsetinib with Roche and development activities for companion diagnostic tests for our products and any current or future drug candidates.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other related costs, including stock-based compensation, for pre-launch and post-launch commercial operations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24"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54"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Interest income, net consists primarily of income earned on cash equivalents and investments. We expect our interest income, net will increase in future periods due to our increase in average investment balances following receipt of the upfront payments related to our collaboration with Roche for pralsetinib.</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income (expense), net consists primarily of foreign currency transaction gains or losses.</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60" w:right="419" w:firstLine="648"/>
        <w:spacing w:after="0" w:line="245" w:lineRule="auto"/>
        <w:rPr>
          <w:sz w:val="20"/>
          <w:szCs w:val="20"/>
          <w:color w:val="auto"/>
        </w:rPr>
      </w:pPr>
      <w:r>
        <w:rPr>
          <w:rFonts w:ascii="Times New Roman" w:cs="Times New Roman" w:eastAsia="Times New Roman" w:hAnsi="Times New Roman"/>
          <w:sz w:val="18"/>
          <w:szCs w:val="18"/>
          <w:color w:val="auto"/>
        </w:rPr>
        <w:t>Income tax expense consists primarily of income taxes related to the taxable income generated from our collaboration with Roche for pralsetinib and our product sales in the state jurisdictions where we conduct business. We expect our income taxes provisions will increase in future periods due to future taxable income generated from our collaboration with Roche for pralsetinib and the increase in our product sales in the respective state jurisdictions.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221" w:lineRule="exact"/>
        <w:rPr>
          <w:sz w:val="20"/>
          <w:szCs w:val="20"/>
          <w:color w:val="auto"/>
        </w:rPr>
      </w:pPr>
    </w:p>
    <w:p>
      <w:pPr>
        <w:ind w:left="60" w:right="419" w:firstLine="648"/>
        <w:spacing w:after="0" w:line="245" w:lineRule="auto"/>
        <w:rPr>
          <w:sz w:val="20"/>
          <w:szCs w:val="20"/>
          <w:color w:val="auto"/>
        </w:rPr>
      </w:pPr>
      <w:r>
        <w:rPr>
          <w:rFonts w:ascii="Times New Roman" w:cs="Times New Roman" w:eastAsia="Times New Roman" w:hAnsi="Times New Roman"/>
          <w:sz w:val="18"/>
          <w:szCs w:val="18"/>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2019. Other than as described below, there have been no significant changes to our critical accounting policies since December 31, 2019.</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14"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 xml:space="preserve">We generated product revenue from sales of </w:t>
      </w:r>
      <w:r>
        <w:rPr>
          <w:rFonts w:ascii="Times New Roman" w:cs="Times New Roman" w:eastAsia="Times New Roman" w:hAnsi="Times New Roman"/>
          <w:sz w:val="18"/>
          <w:szCs w:val="18"/>
          <w:color w:val="0A0A0A"/>
          <w:highlight w:val="white"/>
        </w:rPr>
        <w:t>AYVAKIT and GAVRETO</w:t>
      </w:r>
      <w:r>
        <w:rPr>
          <w:rFonts w:ascii="Times New Roman" w:cs="Times New Roman" w:eastAsia="Times New Roman" w:hAnsi="Times New Roman"/>
          <w:sz w:val="18"/>
          <w:szCs w:val="18"/>
          <w:color w:val="auto"/>
        </w:rPr>
        <w:t xml:space="preserve"> to a limited number of specialty distributors and specialty pharmacy providers in the U.S. These customers subsequently resell the products or dispense the products directly to patients. In addition, we entered into arrangements with payors that provide for government mandated rebates, discounts and allowances with respect to the utilization of our </w:t>
      </w:r>
      <w:r>
        <w:rPr>
          <w:rFonts w:ascii="Times New Roman" w:cs="Times New Roman" w:eastAsia="Times New Roman" w:hAnsi="Times New Roman"/>
          <w:sz w:val="18"/>
          <w:szCs w:val="18"/>
          <w:color w:val="0A0A0A"/>
          <w:highlight w:val="white"/>
        </w:rPr>
        <w:t>products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37"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our product. Reserves are established based on the amounts earned or to be claimed on the related sales. Where appropriate, we utilize the expected value method to determine the appropriate amount for estimates of variable consideration based on factors such as our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189"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us. The customers charge us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5" w:lineRule="exact"/>
        <w:rPr>
          <w:sz w:val="20"/>
          <w:szCs w:val="20"/>
          <w:color w:val="auto"/>
        </w:rPr>
      </w:pPr>
    </w:p>
    <w:p>
      <w:pPr>
        <w:ind w:left="60" w:right="15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Government rebates consist of Medicare, Tricare and Medicaid rebates,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we also estimate the number of patients in the prescription drug coverage gap for whom we will owe a rebate under the Medicare Part D program.</w:t>
      </w:r>
    </w:p>
    <w:p>
      <w:pPr>
        <w:spacing w:after="0" w:line="167" w:lineRule="exact"/>
        <w:rPr>
          <w:sz w:val="20"/>
          <w:szCs w:val="20"/>
          <w:color w:val="auto"/>
        </w:rPr>
      </w:pPr>
    </w:p>
    <w:p>
      <w:pPr>
        <w:ind w:left="60" w:right="1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We provide the customers with discounts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recorded as a reduction of revenue in the period the related product revenue is recognized. In addition, we also receive sales order management, inventory management and data services from the customers in exchange for certain fees.</w:t>
      </w:r>
    </w:p>
    <w:p>
      <w:pPr>
        <w:spacing w:after="0" w:line="177" w:lineRule="exact"/>
        <w:rPr>
          <w:sz w:val="20"/>
          <w:szCs w:val="20"/>
          <w:color w:val="auto"/>
        </w:rPr>
      </w:pPr>
    </w:p>
    <w:p>
      <w:pPr>
        <w:ind w:left="60" w:right="1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We estimate the amount of product sales that may be returned by our customers and records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as a reduction of revenue in the period the related product revenue is recognized. We currently estimate product return liabilities using expected value method based on available industry data and our visibility into the inventory remaining in the distribution channel.</w:t>
      </w:r>
    </w:p>
    <w:p>
      <w:pPr>
        <w:spacing w:after="0" w:line="164"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 them with prescription drug co-payments required by the patient’s insurance provider. Reserves for co-pay assistance are recorded in the same period the related revenue is recognized, resulting in a reduction of product revenue.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14"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Accounts receivables arise from product sales and amounts due from our collaboration partners. The amount from product sales represents amounts due from specialty pharmacy providers in the U.S. We monitor economic conditions to identify facts or circumstances that may indicate that our receivables are at risk of collection. We provide reserves against accounts receivable for estimated losses that may result from a customer’s inability to pay based on the composition of our accounts receivable, current economic conditions and historical credit loss activity. Amounts determined to be uncollectible are charged or written-off against the reserve.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14" w:lineRule="exact"/>
        <w:rPr>
          <w:sz w:val="20"/>
          <w:szCs w:val="20"/>
          <w:color w:val="auto"/>
        </w:rPr>
      </w:pPr>
    </w:p>
    <w:p>
      <w:pPr>
        <w:jc w:val="both"/>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45" w:lineRule="auto"/>
        <w:rPr>
          <w:sz w:val="20"/>
          <w:szCs w:val="20"/>
          <w:color w:val="auto"/>
        </w:rPr>
      </w:pPr>
      <w:r>
        <w:rPr>
          <w:rFonts w:ascii="Times New Roman" w:cs="Times New Roman" w:eastAsia="Times New Roman" w:hAnsi="Times New Roman"/>
          <w:sz w:val="18"/>
          <w:szCs w:val="18"/>
          <w:color w:val="auto"/>
        </w:rPr>
        <w:t>Prior to the regulatory approval of our drug candidates, we incur expenses for the manufacture of drug product supplies to support clinical development that could potentially be available to support the commercial launch of those drugs. Until the date at which regulatory approval has been received or is otherwise considered probable, we record all such costs as research and development expenses.</w:t>
      </w:r>
    </w:p>
    <w:p>
      <w:pPr>
        <w:spacing w:after="0" w:line="181" w:lineRule="exact"/>
        <w:rPr>
          <w:sz w:val="20"/>
          <w:szCs w:val="20"/>
          <w:color w:val="auto"/>
        </w:rPr>
      </w:pPr>
    </w:p>
    <w:p>
      <w:pPr>
        <w:ind w:left="60" w:right="219" w:firstLine="648"/>
        <w:spacing w:after="0" w:line="241" w:lineRule="auto"/>
        <w:rPr>
          <w:sz w:val="20"/>
          <w:szCs w:val="20"/>
          <w:color w:val="auto"/>
        </w:rPr>
      </w:pPr>
      <w:r>
        <w:rPr>
          <w:rFonts w:ascii="Times New Roman" w:cs="Times New Roman" w:eastAsia="Times New Roman" w:hAnsi="Times New Roman"/>
          <w:sz w:val="18"/>
          <w:szCs w:val="18"/>
          <w:color w:val="auto"/>
        </w:rPr>
        <w:t>We perform an assessment of the recoverability of capitalized inventories during each reporting period and write down any excess and obsolete inventory to its net realizable value in the period in which the impairment is first identified. Such impairment charges, should they occur, are recorded as a component of cost of product sales in the condensed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2020 and 2019</w:t>
      </w:r>
    </w:p>
    <w:p>
      <w:pPr>
        <w:spacing w:after="0" w:line="216"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2020 and 2019, together with the changes in those items in dollars and as a percentage: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Revenues: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Product revenue, net</w:t>
            </w:r>
          </w:p>
        </w:tc>
        <w:tc>
          <w:tcPr>
            <w:tcW w:w="1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6,308</w:t>
            </w:r>
          </w:p>
        </w:tc>
        <w:tc>
          <w:tcPr>
            <w:tcW w:w="28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6,308</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Collaboration revenue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738,810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9,139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729,671</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7,984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745,118</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9,139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735,979</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Cost and operating expenses: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146</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74,230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81,453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(7,223)</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37,375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25,647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11,728</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cost and operating expenses</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111,751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107,100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4,651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income, net</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3,758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(2,585)</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(120)</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other income</w:t>
            </w:r>
          </w:p>
        </w:tc>
        <w:tc>
          <w:tcPr>
            <w:tcW w:w="1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3,686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(2,705)</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634,348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(94,275)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44444"/>
              </w:rPr>
              <w:t>728,623</w:t>
            </w:r>
          </w:p>
        </w:tc>
        <w:tc>
          <w:tcPr>
            <w:tcW w:w="1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633,978</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(94,275)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728,253</w:t>
            </w:r>
          </w:p>
        </w:tc>
        <w:tc>
          <w:tcPr>
            <w:tcW w:w="16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772</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net was $6.3 million for the three months ended September 30, 2020.</w:t>
      </w:r>
    </w:p>
    <w:p>
      <w:pPr>
        <w:spacing w:after="0" w:line="212"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For the three months ended September 30, 2020, we recorded net product revenue of $6.1 million.</w:t>
      </w:r>
    </w:p>
    <w:p>
      <w:pPr>
        <w:spacing w:after="0" w:line="181" w:lineRule="exact"/>
        <w:rPr>
          <w:sz w:val="20"/>
          <w:szCs w:val="20"/>
          <w:color w:val="auto"/>
        </w:rPr>
      </w:pPr>
    </w:p>
    <w:p>
      <w:pPr>
        <w:jc w:val="both"/>
        <w:ind w:left="60" w:right="279" w:firstLine="648"/>
        <w:spacing w:after="0" w:line="250" w:lineRule="auto"/>
        <w:rPr>
          <w:sz w:val="20"/>
          <w:szCs w:val="20"/>
          <w:color w:val="auto"/>
        </w:rPr>
      </w:pPr>
      <w:r>
        <w:rPr>
          <w:rFonts w:ascii="Times New Roman" w:cs="Times New Roman" w:eastAsia="Times New Roman" w:hAnsi="Times New Roman"/>
          <w:sz w:val="18"/>
          <w:szCs w:val="18"/>
          <w:color w:val="auto"/>
        </w:rPr>
        <w:t>We started generating revenue from sales of GAVRETO in the third quarter of 2020 following FDA approval of GAVRETO for the treatment of adult patients with metastatic RET fusion-positive NSCLC. For the three months ended September 30, 2020, we recorded net product revenue of $0.2 million.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Collaboration revenue increased by $729.7 million from $9.1 million for the three months ended September 30, 2019 to $738.8 million for the three months ended September 30, 2020. For the three months ended September 30, 2020, our collaboration revenue consisted of $736.6 million in revenue under our collaboration with Roche for pralsetinib and $2.2 million in revenue under our immunotherapy collaboration with Roche. Revenue recognized under our collaboration with Roche for pralsetinib for the three months ended September 30, 2020 consisted of $675.0 million upfront cash payment, $20.7 million premium associated with the $100.0 million equity investment by Roche, $40.0 million in specified regulatory and commercialization milestone payments as a result of the initial U.S. marketing approval for GAVRETO and $0.9 million associated with services related to Roche territory-specific activities. We recognized $2.2 million in revenue under our cancer immunotherapy collaboration with Roche for the three months ended September 30, 2020, which was primarily related to amortization of the total $63.0 million of upfront and milestone payments received as of such period.</w:t>
      </w:r>
    </w:p>
    <w:p>
      <w:pPr>
        <w:spacing w:after="0" w:line="186" w:lineRule="exact"/>
        <w:rPr>
          <w:sz w:val="20"/>
          <w:szCs w:val="20"/>
          <w:color w:val="auto"/>
        </w:rPr>
      </w:pPr>
    </w:p>
    <w:p>
      <w:pPr>
        <w:ind w:left="60" w:right="259" w:firstLine="648"/>
        <w:spacing w:after="0" w:line="296" w:lineRule="auto"/>
        <w:rPr>
          <w:sz w:val="20"/>
          <w:szCs w:val="20"/>
          <w:color w:val="auto"/>
        </w:rPr>
      </w:pPr>
      <w:r>
        <w:rPr>
          <w:rFonts w:ascii="Times New Roman" w:cs="Times New Roman" w:eastAsia="Times New Roman" w:hAnsi="Times New Roman"/>
          <w:sz w:val="17"/>
          <w:szCs w:val="17"/>
          <w:color w:val="auto"/>
        </w:rPr>
        <w:t>For the three months ended September 30, 2019, our collaboration revenue mainly consisted of $6.0 million in revenue under our CStone collaboration and $3.1 million in revenue under our cancer immunotherapy collaboration with</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2" w:lineRule="auto"/>
        <w:rPr>
          <w:sz w:val="20"/>
          <w:szCs w:val="20"/>
          <w:color w:val="auto"/>
        </w:rPr>
      </w:pPr>
      <w:r>
        <w:rPr>
          <w:rFonts w:ascii="Times New Roman" w:cs="Times New Roman" w:eastAsia="Times New Roman" w:hAnsi="Times New Roman"/>
          <w:sz w:val="18"/>
          <w:szCs w:val="18"/>
          <w:color w:val="auto"/>
        </w:rPr>
        <w:t>Roche. Revenue recognized under the CStone collaboration for the three months ended September 30, 2019 consisted of $6.0 million in milestone revenue related to development and regulatory milestones that were either achieved or deemed probable during the third quarter of 2019. We recognized $3.1 million in revenue under our cancer immunotherapy collaboration with Roche for the three months ended September 30, 2019, which was primarily related to amortization of the total $55.0 million of upfront and milestone payments received as of such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14" w:lineRule="exact"/>
        <w:rPr>
          <w:sz w:val="20"/>
          <w:szCs w:val="20"/>
          <w:color w:val="auto"/>
        </w:rPr>
      </w:pPr>
    </w:p>
    <w:p>
      <w:pPr>
        <w:ind w:left="60" w:right="439" w:firstLine="648"/>
        <w:spacing w:after="0" w:line="250" w:lineRule="auto"/>
        <w:rPr>
          <w:sz w:val="20"/>
          <w:szCs w:val="20"/>
          <w:color w:val="auto"/>
        </w:rPr>
      </w:pPr>
      <w:r>
        <w:rPr>
          <w:rFonts w:ascii="Times New Roman" w:cs="Times New Roman" w:eastAsia="Times New Roman" w:hAnsi="Times New Roman"/>
          <w:sz w:val="18"/>
          <w:szCs w:val="18"/>
          <w:color w:val="auto"/>
        </w:rPr>
        <w:t>Cost of product sales was $0.1 million for the three months ended September 30, 2020 and was related to manufacturing costs associated with our products sales. Costs associated with the manufacture of our products prior to FDA approval were expensed and, therefore, are not included in cost of sales during the current period.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14"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Research and development expense decreased by $7.2 million from $81.5 million for the three months ended September 30, 2019 to $74.2 million for the three months ended September 30, 2020. The decrease in research and development expense was primarily related to a $9.7 million reimbursement from global development cost sharing arrangement under our collaboration with Roche for pralsetinib. This decrease in research and development expense was offset primarily by an increase of approximately $2.2 million in personnel expenses due to an increase in headcount, which was driven by growth in the clinical and manufacturing organizations, and an increase of $1.0 million in stock-based compensation expense.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14" w:lineRule="exact"/>
        <w:rPr>
          <w:sz w:val="20"/>
          <w:szCs w:val="20"/>
          <w:color w:val="auto"/>
        </w:rPr>
      </w:pPr>
    </w:p>
    <w:p>
      <w:pPr>
        <w:ind w:left="60" w:right="199" w:firstLine="648"/>
        <w:spacing w:after="0"/>
        <w:rPr>
          <w:sz w:val="20"/>
          <w:szCs w:val="20"/>
          <w:color w:val="auto"/>
        </w:rPr>
      </w:pPr>
      <w:r>
        <w:rPr>
          <w:rFonts w:ascii="Times New Roman" w:cs="Times New Roman" w:eastAsia="Times New Roman" w:hAnsi="Times New Roman"/>
          <w:sz w:val="18"/>
          <w:szCs w:val="18"/>
          <w:color w:val="auto"/>
        </w:rPr>
        <w:t>Selling, general and administrative expense increased by $11.7 million from $25.6 million for the three months ended September 30, 2019 to $37.4 million for the three months ended September 30, 2020. The increase in selling, general and administrative expense was primarily related to an increase of $10.2 million in personnel expenses, including an increase of $3.7 million in stock-based compensation expense, as well as an increase of $4.7 million in commercial expenses to build our commercial infrastructure for commercialization of AYVAKIT/AYVAKYT and GAVRETO. The increase in selling, general and administrative expense was partially offset by a $5.3 million reimbursement in connection with the commercialization of GAVRETO in the U.S. under our collaboration with Roche for pralsetinib.</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14" w:lineRule="exact"/>
        <w:rPr>
          <w:sz w:val="20"/>
          <w:szCs w:val="20"/>
          <w:color w:val="auto"/>
        </w:rPr>
      </w:pPr>
    </w:p>
    <w:p>
      <w:pPr>
        <w:jc w:val="both"/>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Interest income, net, decreased by $2.6 million from $3.8 million for the three months ended September 30, 2019 to $1.2 million for the three months ended September 30, 2020. The decrease was primarily due to a lower rate of return on investments caused by the severe liquidity crisis in the capital markets resulting from the COVID-19 pandemic.</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Other expenses, net, increased by $0.1 million from $0.1 million for the three months ended September 30, 2019 to $0.2 million for the three months ended September 30, 2020.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60" w:right="339" w:firstLine="648"/>
        <w:spacing w:after="0" w:line="250" w:lineRule="auto"/>
        <w:rPr>
          <w:sz w:val="20"/>
          <w:szCs w:val="20"/>
          <w:color w:val="auto"/>
        </w:rPr>
      </w:pPr>
      <w:r>
        <w:rPr>
          <w:rFonts w:ascii="Times New Roman" w:cs="Times New Roman" w:eastAsia="Times New Roman" w:hAnsi="Times New Roman"/>
          <w:sz w:val="18"/>
          <w:szCs w:val="18"/>
          <w:color w:val="auto"/>
        </w:rPr>
        <w:t>Income tax expense consisted of $0.4 million for the three months ended September 30, 2020, related to the income taxes provisions associated with the taxable income generated from our collaboration with Roche for pralsetinib and our product sales in certain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2020 and 2019</w:t>
      </w:r>
    </w:p>
    <w:p>
      <w:pPr>
        <w:spacing w:after="0" w:line="216" w:lineRule="exact"/>
        <w:rPr>
          <w:sz w:val="20"/>
          <w:szCs w:val="20"/>
          <w:color w:val="auto"/>
        </w:rPr>
      </w:pPr>
    </w:p>
    <w:p>
      <w:pPr>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2020 and 2019, together with the changes in those items in dollars and as a percentage: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15,446</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15,446</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744,183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14,979</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729,204</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4,868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759,629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744,650</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249,456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242,804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6,652</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115,203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64,123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51,080</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364,956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306,927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58,029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10,742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(5,079)</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(259)</w:t>
            </w: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10,585</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(5,338)</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399,920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444444"/>
              </w:rPr>
              <w:t>681,283</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399,550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(281,363)</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680,913</w:t>
            </w:r>
          </w:p>
        </w:tc>
        <w:tc>
          <w:tcPr>
            <w:tcW w:w="1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242</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Product revenue, net was $15.4 million for the nine months ended September 30, 2020.</w:t>
      </w:r>
    </w:p>
    <w:p>
      <w:pPr>
        <w:spacing w:after="0" w:line="212"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For the nine months ended September 30, 2020, we recorded net product revenue of $15.2 million.</w:t>
      </w:r>
    </w:p>
    <w:p>
      <w:pPr>
        <w:spacing w:after="0" w:line="181" w:lineRule="exact"/>
        <w:rPr>
          <w:sz w:val="20"/>
          <w:szCs w:val="20"/>
          <w:color w:val="auto"/>
        </w:rPr>
      </w:pPr>
    </w:p>
    <w:p>
      <w:pPr>
        <w:ind w:left="60" w:right="279" w:firstLine="648"/>
        <w:spacing w:after="0" w:line="250" w:lineRule="auto"/>
        <w:rPr>
          <w:sz w:val="20"/>
          <w:szCs w:val="20"/>
          <w:color w:val="auto"/>
        </w:rPr>
      </w:pPr>
      <w:r>
        <w:rPr>
          <w:rFonts w:ascii="Times New Roman" w:cs="Times New Roman" w:eastAsia="Times New Roman" w:hAnsi="Times New Roman"/>
          <w:sz w:val="18"/>
          <w:szCs w:val="18"/>
          <w:color w:val="auto"/>
        </w:rPr>
        <w:t>We started generating revenue from sales of GAVRETO in the third quarter of 2020 following FDA approval of GAVRETO for the treatment of adult patients with metastatic RET fusion-positive NSCLC. For the nine months ended September 30, 2020, we recorded net product revenue of $0.2 million.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Collaboration revenue increased by $729.2 million from $15.0 million for the nine months ended September 30, 2019 to $744.2 million for the nine months ended September 30, 2020. For the nine months ended September 30, 2020, our collaboration revenue mainly consisted of $736.6 million in revenue under our collaboration agreement with Roche for pralsetinib, $3.5 million in revenue under our CStone collaboration, and $3.8 million revenue under our cancer immunotherapy collaboration with Roche. Revenue recognized under our collaboration with Roche for pralsetinib for the nine months ended September 30, 2020 consisted of $675.0 million upfront cash payment, $20.7 million premium associated with the $100.0 million equity investment by Roche, $40.0 million in specified regulatory and commercialization milestone payments as a result of the initial U.S. marketing approval for GAVRETO and $0.9 million associated with services related to Roche territory-specific activities. Revenue recognized under our CStone collaboration for the nine months ended September 30, 2020 primarily consisted of $2.0 million in milestone revenue related to a development milestone that was achieved as of such period and $1.5 million associated with manufacturing services related to CStone territory-specific activities. We recognized $3.8 million in revenue under our cancer immunotherapy collaboration with Roche for the nine months ended September 30, 2020, which was primarily related to amortization of the total $63.0 million of upfront and milestone payments received as of such period.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For the nine months ended September 30, 2019, our collaboration revenue mainly consisted of $10.1 million in revenue under our CStone collaboration and $4.8 million in revenue under our cancer immunotherapy collaboration with Roche. Revenue recognized under our CStone collaboration for the nine months ended September 30, 2019 primarily consisted of $10.0 million in milestone revenue related to development and regulatory milestones that were either achieved or deemed probable as of such period. We recognized $4.8 million in revenue under our cancer immunotherapy collaboration with Roche for the nine months ended September 30, 2019, which was primarily related to amortization of the total $55.0 million of upfront and milestone payments received as of such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214"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Cost of product sales was $0.3 million for the nine months ended September 30, 2020 and was related to manufacturing costs associated with our product sales. Costs associated with the manufacture of our products prior to FDA approval were expensed and, therefore, are not included in cost of sales during the current period.</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14"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Research and development expense increased by $6.7 million from $242.8 million for the nine months ended September 30, 2019 to $249.5 million for the nine months ended September 30, 2020. The increase in research and development expense was primarily related to an increase of approximately $14.7 million in personnel expenses, primarily due to an increase in headcount, which was driven by growth in the clinical and manufacturing organizations and an increase of $4.2 million in stock-based compensation expense. The increase in research and development expense was partially offset by a $9.7 million reimbursement from global development cost sharing under our collaboration with Roche for pralsetinib.</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14"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Selling, general and administrative expense increased by $51.1 million from $64.1 million for the nine months ended September 30, 2019 to $115.2 million for the nine months ended September 30, 2020. The increase in selling, general and administrative expense was primarily related to an increase of approximately $39.2 million in personnel expenses, including an increase of $12.9 million in stock-based compensation expense, as well as an increase of $12.6 million in commercial expenses to build our commercial infrastructure for commercialization of AYVAKIT/AYVAKYT and GAVRETO. The increase in selling, general and administrative expense was partially offset by a $5.3 million reimbursement in connection with the commercialization of GAVRETO in the U.S. under our collaboration with Roche for pralsetinib.</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14" w:lineRule="exact"/>
        <w:rPr>
          <w:sz w:val="20"/>
          <w:szCs w:val="20"/>
          <w:color w:val="auto"/>
        </w:rPr>
      </w:pPr>
    </w:p>
    <w:p>
      <w:pPr>
        <w:jc w:val="both"/>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Interest income, net, decreased by $5.1 million from $10.7 million for the nine months ended September 30, 2019 to $5.7 million for the nine months ended September 30, 2020. The decrease was primarily due to a lower rate of return on investments caused by the severe liquidity crisis in the capital markets resulting from the COVID-19 pandemic.</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expenses, net, increased by $0.3 million from $0.2 million for the nine months ended September 30, 2019 to $0.4 million for the nine months ended September 30, 2020.</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14" w:lineRule="exact"/>
        <w:rPr>
          <w:sz w:val="20"/>
          <w:szCs w:val="20"/>
          <w:color w:val="auto"/>
        </w:rPr>
      </w:pPr>
    </w:p>
    <w:p>
      <w:pPr>
        <w:ind w:left="60" w:right="339" w:firstLine="648"/>
        <w:spacing w:after="0" w:line="250" w:lineRule="auto"/>
        <w:rPr>
          <w:sz w:val="20"/>
          <w:szCs w:val="20"/>
          <w:color w:val="auto"/>
        </w:rPr>
      </w:pPr>
      <w:r>
        <w:rPr>
          <w:rFonts w:ascii="Times New Roman" w:cs="Times New Roman" w:eastAsia="Times New Roman" w:hAnsi="Times New Roman"/>
          <w:sz w:val="18"/>
          <w:szCs w:val="18"/>
          <w:color w:val="auto"/>
        </w:rPr>
        <w:t>Income tax expense consisted of $0.4 million for the nine months ended September 30, 2020, related to the income taxes provisions associated with the taxable income generated from our collaboration with Roche for pralsetinib and our product sales in certain state jurisdictions.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16" w:lineRule="exact"/>
        <w:rPr>
          <w:sz w:val="20"/>
          <w:szCs w:val="20"/>
          <w:color w:val="auto"/>
        </w:rPr>
      </w:pPr>
    </w:p>
    <w:p>
      <w:pPr>
        <w:ind w:left="60" w:right="399" w:firstLine="648"/>
        <w:spacing w:after="0" w:line="23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 license agreement, a debt financing and limited product revenue. Through September 30, 2020, we have received an aggregate of $2.6 billion from such transactions, including $1.7 billion in aggregate gross proceeds from the sale of common stock in our IPO, follow-on public offerings and the equity investment by Roche, $115.1 million in gross proceeds from the issuance of convertible preferred stock, $855.8 million in upfront payments and milestone payments under our collaborations with Roche and CStone, our license agreement with Clementia and our former collaboration with Alexion, and $10.0 million in gross proceeds from a debt financing. In addition, in September 2020, we achieved $40.0 million in specified regulatory and commercialization milestones as a result of the initial U.S. marketing approval for GAVRETO and received those milestone payments in October 2020.</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September 30, 2020, we had cash, cash equivalents and investments of $1,355.9 million.</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14"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2020 and 2019:</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220" w:type="dxa"/>
            <w:vAlign w:val="bottom"/>
            <w:tcBorders>
              <w:bottom w:val="single" w:sz="8" w:color="CCEEFF"/>
            </w:tcBorders>
            <w:vMerge w:val="continue"/>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411,834</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(233,120)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(358,717)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(84,202)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397,666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338,804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450,783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0" w:right="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w:t>
      </w:r>
      <w:r>
        <w:rPr>
          <w:rFonts w:ascii="Times New Roman" w:cs="Times New Roman" w:eastAsia="Times New Roman" w:hAnsi="Times New Roman"/>
          <w:sz w:val="18"/>
          <w:szCs w:val="18"/>
          <w:color w:val="auto"/>
        </w:rPr>
        <w:t>For the nine months ended September 30, 2020,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2019, the $645.0 million increase in net cash provided by operating activities was primarily due to the increased net income during this period of $680.9 million, which was driven by the $736.6 million collaboration revenue recognized under our collaboration agreement with Roche for pralsetinib.</w:t>
      </w:r>
    </w:p>
    <w:p>
      <w:pPr>
        <w:spacing w:after="0" w:line="123" w:lineRule="exact"/>
        <w:rPr>
          <w:sz w:val="20"/>
          <w:szCs w:val="20"/>
          <w:color w:val="auto"/>
        </w:rPr>
      </w:pPr>
    </w:p>
    <w:p>
      <w:pPr>
        <w:ind w:left="60" w:right="25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For the nine months ended September 30, 2020,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2019, the $274.5 million increase in net cash used in investing activities was primarily due to an increase in net purchases of available-for-sale investments.</w:t>
      </w:r>
    </w:p>
    <w:p>
      <w:pPr>
        <w:spacing w:after="0" w:line="174" w:lineRule="exact"/>
        <w:rPr>
          <w:sz w:val="20"/>
          <w:szCs w:val="20"/>
          <w:color w:val="auto"/>
        </w:rPr>
      </w:pPr>
    </w:p>
    <w:p>
      <w:pPr>
        <w:ind w:left="60" w:right="7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nine months ended September 30, 2020,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2019, the $58.9 million increase in net cash provided by financing activities was primarily due to the $79.3 million received from the issuance of common stock related to the collaboration agreement with Roche for pralsetinib, offset by an $18.7 million decrease in net proceeds received from our January 2020 follow-on public offering as compared with our April 2019 follow-on public offering.</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54"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in additional geographies.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raise capital when needed or on attractive terms, we may be forced to delay, reduce or eliminate certain of our research and development programs or future commercialization efforts.</w:t>
      </w:r>
    </w:p>
    <w:p>
      <w:pPr>
        <w:spacing w:after="0" w:line="203"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2020, we had cash, cash equivalents and investments of $1,355.9 million. Based on our current operating plans, we anticipate our existing cash, cash equivalents and investments, together with anticipated future product revenues, will provide sufficient capital to enable us to achieve a self-sustainable financial profile.</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296"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8" w:lineRule="exact"/>
        <w:rPr>
          <w:rFonts w:ascii="Times New Roman" w:cs="Times New Roman" w:eastAsia="Times New Roman" w:hAnsi="Times New Roman"/>
          <w:sz w:val="17"/>
          <w:szCs w:val="17"/>
          <w:color w:val="auto"/>
        </w:rPr>
      </w:pPr>
    </w:p>
    <w:p>
      <w:pPr>
        <w:ind w:left="1380" w:right="339" w:hanging="331"/>
        <w:spacing w:after="0" w:line="250"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76" w:lineRule="exact"/>
        <w:rPr>
          <w:rFonts w:ascii="Times New Roman" w:cs="Times New Roman" w:eastAsia="Times New Roman" w:hAnsi="Times New Roman"/>
          <w:sz w:val="18"/>
          <w:szCs w:val="18"/>
          <w:color w:val="auto"/>
        </w:rPr>
      </w:pPr>
    </w:p>
    <w:p>
      <w:pPr>
        <w:ind w:left="1380" w:right="79" w:hanging="331"/>
        <w:spacing w:after="0" w:line="272" w:lineRule="auto"/>
        <w:tabs>
          <w:tab w:leader="none" w:pos="13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58" w:lineRule="exact"/>
        <w:rPr>
          <w:rFonts w:ascii="Times New Roman" w:cs="Times New Roman" w:eastAsia="Times New Roman" w:hAnsi="Times New Roman"/>
          <w:sz w:val="17"/>
          <w:szCs w:val="17"/>
          <w:color w:val="auto"/>
        </w:rPr>
      </w:pPr>
    </w:p>
    <w:p>
      <w:pPr>
        <w:ind w:left="1380" w:right="15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2"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ind w:left="1380" w:right="239" w:hanging="331"/>
        <w:spacing w:after="0" w:line="250"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76" w:lineRule="exact"/>
        <w:rPr>
          <w:rFonts w:ascii="Times New Roman" w:cs="Times New Roman" w:eastAsia="Times New Roman" w:hAnsi="Times New Roman"/>
          <w:sz w:val="18"/>
          <w:szCs w:val="18"/>
          <w:color w:val="auto"/>
        </w:rPr>
      </w:pPr>
    </w:p>
    <w:p>
      <w:pPr>
        <w:ind w:left="1380" w:right="119" w:hanging="331"/>
        <w:spacing w:after="0" w:line="250"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76" w:lineRule="exact"/>
        <w:rPr>
          <w:rFonts w:ascii="Times New Roman" w:cs="Times New Roman" w:eastAsia="Times New Roman" w:hAnsi="Times New Roman"/>
          <w:sz w:val="18"/>
          <w:szCs w:val="18"/>
          <w:color w:val="auto"/>
        </w:rPr>
      </w:pPr>
    </w:p>
    <w:p>
      <w:pPr>
        <w:ind w:left="1380" w:right="75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2" w:lineRule="exact"/>
        <w:rPr>
          <w:rFonts w:ascii="Times New Roman" w:cs="Times New Roman" w:eastAsia="Times New Roman" w:hAnsi="Times New Roman"/>
          <w:sz w:val="18"/>
          <w:szCs w:val="18"/>
          <w:color w:val="auto"/>
        </w:rPr>
      </w:pPr>
    </w:p>
    <w:p>
      <w:pPr>
        <w:ind w:left="1380" w:right="69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80" w:right="759" w:hanging="331"/>
        <w:spacing w:after="0" w:line="266" w:lineRule="auto"/>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39"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for additional indications or in additional geographies, and achieve substantial revenues for any of our drugs that receive marketing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4" w:lineRule="auto"/>
        <w:rPr>
          <w:sz w:val="20"/>
          <w:szCs w:val="20"/>
          <w:color w:val="auto"/>
        </w:rPr>
      </w:pPr>
      <w:r>
        <w:rPr>
          <w:rFonts w:ascii="Times New Roman" w:cs="Times New Roman" w:eastAsia="Times New Roman" w:hAnsi="Times New Roman"/>
          <w:sz w:val="17"/>
          <w:szCs w:val="17"/>
          <w:color w:val="auto"/>
        </w:rPr>
        <w:t>approval, including for AYVAKIT/AYVAKYT and GAVRETO. In addition, our drugs and any current or future drug candidates that receive marketing approvals, including avapritinib or pralsetinib for additional indications or in additional geographies, may not achieve commercial success. Accordingly, we may need to rely on additional financing to achieve our business objectives. Adequate additional financing may not be available to us on acceptable terms, or at all.</w:t>
      </w:r>
    </w:p>
    <w:p>
      <w:pPr>
        <w:spacing w:after="0" w:line="206" w:lineRule="exact"/>
        <w:rPr>
          <w:sz w:val="20"/>
          <w:szCs w:val="20"/>
          <w:color w:val="auto"/>
        </w:rPr>
      </w:pPr>
    </w:p>
    <w:p>
      <w:pPr>
        <w:ind w:left="60" w:right="219" w:firstLine="648"/>
        <w:spacing w:after="0" w:line="238"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29"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Our contractual obligations primarily consist of our obligations under non-cancellable operating leases and unconditional purchase obligations.</w:t>
      </w:r>
    </w:p>
    <w:p>
      <w:pPr>
        <w:spacing w:after="0" w:line="203" w:lineRule="exact"/>
        <w:rPr>
          <w:sz w:val="20"/>
          <w:szCs w:val="20"/>
          <w:color w:val="auto"/>
        </w:rPr>
      </w:pPr>
    </w:p>
    <w:p>
      <w:pPr>
        <w:ind w:left="60" w:right="239" w:firstLine="648"/>
        <w:spacing w:after="0" w:line="242" w:lineRule="auto"/>
        <w:rPr>
          <w:sz w:val="20"/>
          <w:szCs w:val="20"/>
          <w:color w:val="auto"/>
        </w:rPr>
      </w:pPr>
      <w:r>
        <w:rPr>
          <w:rFonts w:ascii="Times New Roman" w:cs="Times New Roman" w:eastAsia="Times New Roman" w:hAnsi="Times New Roman"/>
          <w:sz w:val="18"/>
          <w:szCs w:val="18"/>
          <w:color w:val="auto"/>
        </w:rPr>
        <w:t xml:space="preserve">During the nine months ended September 30, 2020, except for minimum purchase obligations associated with certain commercial manufacturing agreements of </w:t>
      </w:r>
      <w:r>
        <w:rPr>
          <w:rFonts w:ascii="Times New Roman" w:cs="Times New Roman" w:eastAsia="Times New Roman" w:hAnsi="Times New Roman"/>
          <w:sz w:val="18"/>
          <w:szCs w:val="18"/>
          <w:color w:val="212529"/>
        </w:rPr>
        <w:t>approximately $25.5 million disclosed in Note 15 to our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consolidated financial statements, </w:t>
      </w:r>
      <w:r>
        <w:rPr>
          <w:rFonts w:ascii="Times New Roman" w:cs="Times New Roman" w:eastAsia="Times New Roman" w:hAnsi="Times New Roman"/>
          <w:sz w:val="18"/>
          <w:szCs w:val="18"/>
          <w:color w:val="000000"/>
        </w:rPr>
        <w:t>there have been no other material changes to our contractual obligations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commitments from those described under “Management’s Discussion and Analysis of Financial Condition and Results of Operations” included in the Annual Report on Form 10-K for the year ended December 31, 2019.</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1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2020 and December 31, 2019, we had cash, cash equivalents and investments of $1,355.9 million and $548.0 million, respectively, consisting primarily of money market funds and investments in U.S. government agency and treasury obligations.</w:t>
      </w:r>
    </w:p>
    <w:p>
      <w:pPr>
        <w:spacing w:after="0" w:line="150"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3" w:lineRule="exact"/>
        <w:rPr>
          <w:sz w:val="20"/>
          <w:szCs w:val="20"/>
          <w:color w:val="auto"/>
        </w:rPr>
      </w:pPr>
    </w:p>
    <w:p>
      <w:pPr>
        <w:ind w:left="60" w:right="579" w:firstLine="648"/>
        <w:spacing w:after="0" w:line="296" w:lineRule="auto"/>
        <w:rPr>
          <w:sz w:val="20"/>
          <w:szCs w:val="20"/>
          <w:color w:val="auto"/>
        </w:rPr>
      </w:pPr>
      <w:r>
        <w:rPr>
          <w:rFonts w:ascii="Times New Roman" w:cs="Times New Roman" w:eastAsia="Times New Roman" w:hAnsi="Times New Roman"/>
          <w:sz w:val="17"/>
          <w:szCs w:val="17"/>
          <w:color w:val="auto"/>
        </w:rPr>
        <w:t>We are also exposed to market risk related to changes in foreign currency exchange rates, including recent changes resulting from the impact of the COVID-19 pandemic. From time to time, we contract with vendors that are</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located in Asia and Europe, which are denominated in foreign currencies. We are subject to fluctuations in foreign currency rates in connection with these agreements. We do not currently hedge our foreign currency exchange rate risk. As of September 30, 2020 and December 31, 2019, we had minimal or no liabilities denominated in foreign currencies.</w:t>
      </w:r>
    </w:p>
    <w:p>
      <w:pPr>
        <w:spacing w:after="0" w:line="150"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and nine months ended September 30, 2020 and 2019.</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214"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8"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2020. Based upon such evaluation, our Chief Executive Officer and Chief Financial Officer have concluded that, as of September 30, 2020, our disclosure controls and procedures were effective at the reasonable assurance level.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14" w:lineRule="exact"/>
        <w:rPr>
          <w:sz w:val="20"/>
          <w:szCs w:val="20"/>
          <w:color w:val="auto"/>
        </w:rPr>
      </w:pPr>
    </w:p>
    <w:p>
      <w:pPr>
        <w:ind w:left="60" w:right="539" w:firstLine="648"/>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left="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58"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1"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AYVAKIT/AYVAKYT and GAVRETO. To date, we have financed our operations primarily through public offerings of our common stock, private placements of our convertible preferred and common stock, collaborations, a license agreement, a debt financing and limited product revenue. Through September 30, 2020, we have received an aggregate of $2.6 billion from such transactions, including $1.7 billion in aggregate gross proceeds from the sale of common stock in our initial public offering, follow-on public offerings and the equity investment by Roche, $115.1 million in gross proceeds from the issuance of convertible preferred stock, $855.8 million in upfront payments and milestone payments under our collaborations with Roche and CStone, our license agreement with Clementia and our former collaboration with Alexion Pharma Holding, and $10.0 million in gross proceeds from a debt financing. In addition, in September 2020, we achieved $40.0 million in specified regulatory and commercialization milestones as a result of the initial U.S. marketing approval for GAVRETO and received those milestone payments in October 2020.</w:t>
      </w:r>
    </w:p>
    <w:p>
      <w:pPr>
        <w:spacing w:after="0" w:line="198"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three and nine months ended September 30, 2020. Our net income was $399.6 million for the nine months ended September 30, 2020 primarily due to the collaboration revenue recorded under our collaboration with Roche for pralsetinib, and our net losses were $347.7 million, $236.6 million, and $148.1 million for the years ended December 31, 2019, 2018 and 2017, respectively. As of September 30, 2020, we had an accumulated deficit of $545.7 million.</w:t>
      </w:r>
    </w:p>
    <w:p>
      <w:pPr>
        <w:spacing w:after="0" w:line="185"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1" w:lineRule="auto"/>
        <w:rPr>
          <w:sz w:val="20"/>
          <w:szCs w:val="20"/>
          <w:color w:val="auto"/>
        </w:rPr>
      </w:pPr>
      <w:r>
        <w:rPr>
          <w:rFonts w:ascii="Times New Roman" w:cs="Times New Roman" w:eastAsia="Times New Roman" w:hAnsi="Times New Roman"/>
          <w:sz w:val="18"/>
          <w:szCs w:val="18"/>
          <w:color w:val="auto"/>
        </w:rPr>
        <w:t>additional clinical trials. In addition, we will incur significant sales, marketing and outsourced-manufacturing expenses in connection with the commercialization of any of our approved drugs.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84"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substantial revenue from drug sales. Our ability to generate substantial revenue depends on a number of factors, including, but not limited to, our ability to:</w:t>
      </w:r>
    </w:p>
    <w:p>
      <w:pPr>
        <w:spacing w:after="0" w:line="162" w:lineRule="exact"/>
        <w:rPr>
          <w:sz w:val="20"/>
          <w:szCs w:val="20"/>
          <w:color w:val="auto"/>
        </w:rPr>
      </w:pPr>
    </w:p>
    <w:p>
      <w:pPr>
        <w:ind w:left="1380" w:hanging="331"/>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11"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w:t>
      </w:r>
    </w:p>
    <w:p>
      <w:pPr>
        <w:spacing w:after="0" w:line="162" w:lineRule="exact"/>
        <w:rPr>
          <w:rFonts w:ascii="Times New Roman" w:cs="Times New Roman" w:eastAsia="Times New Roman" w:hAnsi="Times New Roman"/>
          <w:sz w:val="18"/>
          <w:szCs w:val="18"/>
          <w:color w:val="auto"/>
        </w:rPr>
      </w:pPr>
    </w:p>
    <w:p>
      <w:pPr>
        <w:ind w:left="1380" w:right="439" w:hanging="331"/>
        <w:spacing w:after="0" w:line="266"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for clinical supply and commercial manufacturing;</w:t>
      </w:r>
    </w:p>
    <w:p>
      <w:pPr>
        <w:spacing w:after="0" w:line="162" w:lineRule="exact"/>
        <w:rPr>
          <w:rFonts w:ascii="Times New Roman" w:cs="Times New Roman" w:eastAsia="Times New Roman" w:hAnsi="Times New Roman"/>
          <w:sz w:val="18"/>
          <w:szCs w:val="18"/>
          <w:color w:val="auto"/>
        </w:rPr>
      </w:pPr>
    </w:p>
    <w:p>
      <w:pPr>
        <w:ind w:left="1380" w:right="559" w:hanging="331"/>
        <w:spacing w:after="0" w:line="250"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 sales, marketing and distribution infrastructure to commercialize AYVAKIT/AYVAKYT, GAVRETO and any current or future drug candidates for which we obtain marketing approval; and</w:t>
      </w:r>
    </w:p>
    <w:p>
      <w:pPr>
        <w:spacing w:after="0" w:line="176" w:lineRule="exact"/>
        <w:rPr>
          <w:rFonts w:ascii="Times New Roman" w:cs="Times New Roman" w:eastAsia="Times New Roman" w:hAnsi="Times New Roman"/>
          <w:sz w:val="18"/>
          <w:szCs w:val="18"/>
          <w:color w:val="auto"/>
        </w:rPr>
      </w:pPr>
    </w:p>
    <w:p>
      <w:pPr>
        <w:ind w:left="1380" w:right="479" w:hanging="331"/>
        <w:spacing w:after="0" w:line="250"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GAVRETO and any current or future drug candidates for which we receive marketing approval.</w:t>
      </w:r>
    </w:p>
    <w:p>
      <w:pPr>
        <w:spacing w:after="0" w:line="17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6"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future growth prospects could be materially and adversely affected by the COVID-19 pandemic.</w:t>
      </w:r>
    </w:p>
    <w:p>
      <w:pPr>
        <w:spacing w:after="0" w:line="15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Due to the evolving and uncertain global impacts of the COVID-19 pandemic, we cannot precisely determine or quantify the impact this pandemic will have on our business operations for the remainder of our fiscal year ending December 31, 2020 or beyond.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For example, public health actions being undertaken globally in response to the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which could adversely impact ongoing and planned clinical trials, our employees and business operations, personnel at our third-party suppliers and other vendors in the U.S. and other countries, the availability, cost or supply of materials, which may cause delays or disruptions to development plans for our drug candidates or clinical or commercial supply chains for our current or future approved drugs and drug candidates, and sales and marketing activities related to AYVAKIT/AYVAKYT, GAVRETO and any drug candidates for which we may receive marketing approval in the U.S. or other geographies in the future.</w:t>
      </w:r>
    </w:p>
    <w:p>
      <w:pPr>
        <w:spacing w:after="0" w:line="187"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To the extent the COVID-19 pandemic adversely affects our business, results of operations and future growth prospects, it may also have the effect of heightening many of the other risks described in this “Risk Factors” section.</w:t>
      </w:r>
    </w:p>
    <w:p>
      <w:pPr>
        <w:spacing w:after="0" w:line="136" w:lineRule="exact"/>
        <w:rPr>
          <w:sz w:val="20"/>
          <w:szCs w:val="20"/>
          <w:color w:val="auto"/>
        </w:rPr>
      </w:pPr>
    </w:p>
    <w:p>
      <w:pPr>
        <w:ind w:left="60" w:right="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58"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 Accordingly, we may seek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193"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80" w:right="379" w:hanging="331"/>
        <w:spacing w:after="0" w:line="296"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8" w:lineRule="exact"/>
        <w:rPr>
          <w:rFonts w:ascii="Times New Roman" w:cs="Times New Roman" w:eastAsia="Times New Roman" w:hAnsi="Times New Roman"/>
          <w:sz w:val="17"/>
          <w:szCs w:val="17"/>
          <w:color w:val="auto"/>
        </w:rPr>
      </w:pPr>
    </w:p>
    <w:p>
      <w:pPr>
        <w:ind w:left="1380" w:right="339" w:hanging="331"/>
        <w:spacing w:after="0" w:line="250"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76" w:lineRule="exact"/>
        <w:rPr>
          <w:rFonts w:ascii="Times New Roman" w:cs="Times New Roman" w:eastAsia="Times New Roman" w:hAnsi="Times New Roman"/>
          <w:sz w:val="18"/>
          <w:szCs w:val="18"/>
          <w:color w:val="auto"/>
        </w:rPr>
      </w:pPr>
    </w:p>
    <w:p>
      <w:pPr>
        <w:ind w:left="1380" w:right="79" w:hanging="331"/>
        <w:spacing w:after="0" w:line="272" w:lineRule="auto"/>
        <w:tabs>
          <w:tab w:leader="none" w:pos="13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58" w:lineRule="exact"/>
        <w:rPr>
          <w:rFonts w:ascii="Times New Roman" w:cs="Times New Roman" w:eastAsia="Times New Roman" w:hAnsi="Times New Roman"/>
          <w:sz w:val="17"/>
          <w:szCs w:val="17"/>
          <w:color w:val="auto"/>
        </w:rPr>
      </w:pPr>
    </w:p>
    <w:p>
      <w:pPr>
        <w:ind w:left="1380" w:right="159" w:hanging="331"/>
        <w:spacing w:after="0" w:line="266"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2"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ind w:left="1380" w:right="239" w:hanging="331"/>
        <w:spacing w:after="0" w:line="250"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76" w:lineRule="exact"/>
        <w:rPr>
          <w:rFonts w:ascii="Times New Roman" w:cs="Times New Roman" w:eastAsia="Times New Roman" w:hAnsi="Times New Roman"/>
          <w:sz w:val="18"/>
          <w:szCs w:val="18"/>
          <w:color w:val="auto"/>
        </w:rPr>
      </w:pPr>
    </w:p>
    <w:p>
      <w:pPr>
        <w:ind w:left="1380" w:right="119" w:hanging="331"/>
        <w:spacing w:after="0" w:line="250" w:lineRule="auto"/>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5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2" w:lineRule="exact"/>
        <w:rPr>
          <w:rFonts w:ascii="Times New Roman" w:cs="Times New Roman" w:eastAsia="Times New Roman" w:hAnsi="Times New Roman"/>
          <w:sz w:val="18"/>
          <w:szCs w:val="18"/>
          <w:color w:val="auto"/>
        </w:rPr>
      </w:pPr>
    </w:p>
    <w:p>
      <w:pPr>
        <w:ind w:left="1380" w:right="69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80" w:right="759" w:hanging="331"/>
        <w:spacing w:after="0" w:line="266" w:lineRule="auto"/>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12" w:lineRule="exact"/>
        <w:rPr>
          <w:sz w:val="20"/>
          <w:szCs w:val="20"/>
          <w:color w:val="auto"/>
        </w:rPr>
      </w:pPr>
    </w:p>
    <w:p>
      <w:pPr>
        <w:ind w:left="60" w:right="199" w:firstLine="648"/>
        <w:spacing w:after="0"/>
        <w:rPr>
          <w:sz w:val="20"/>
          <w:szCs w:val="20"/>
          <w:color w:val="auto"/>
        </w:rPr>
      </w:pPr>
      <w:r>
        <w:rPr>
          <w:rFonts w:ascii="Times New Roman" w:cs="Times New Roman" w:eastAsia="Times New Roman" w:hAnsi="Times New Roman"/>
          <w:sz w:val="18"/>
          <w:szCs w:val="18"/>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additional marketing approvals, including for avapritinib and pralsetinib for additional indications or in additional geographies, and achieve sales for any of our drug candidates that receive marketing approval. In addition, our approved drugs and drug candidates, if approved, may not achieve commercial success. Accordingly, we may need to rely on additional financing to achieve our business objectives. Adequate additional financing may not be available to us on acceptable terms, or at all.</w:t>
      </w:r>
    </w:p>
    <w:p>
      <w:pPr>
        <w:spacing w:after="0" w:line="185"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any of our approved drugs or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9" w:lineRule="exact"/>
        <w:rPr>
          <w:sz w:val="20"/>
          <w:szCs w:val="20"/>
          <w:color w:val="auto"/>
        </w:rPr>
      </w:pPr>
    </w:p>
    <w:p>
      <w:pPr>
        <w:ind w:left="60" w:right="219" w:firstLine="648"/>
        <w:spacing w:after="0" w:line="245"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8" w:lineRule="exact"/>
        <w:rPr>
          <w:sz w:val="20"/>
          <w:szCs w:val="20"/>
          <w:color w:val="auto"/>
        </w:rPr>
      </w:pPr>
    </w:p>
    <w:p>
      <w:pPr>
        <w:ind w:left="60" w:right="219" w:firstLine="648"/>
        <w:spacing w:after="0" w:line="238"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12" w:lineRule="exact"/>
        <w:rPr>
          <w:sz w:val="20"/>
          <w:szCs w:val="20"/>
          <w:color w:val="auto"/>
        </w:rPr>
      </w:pPr>
    </w:p>
    <w:p>
      <w:pPr>
        <w:ind w:left="60" w:right="3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58"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7"/>
          <w:szCs w:val="17"/>
          <w:color w:val="auto"/>
        </w:rPr>
        <w:t>We have four drug candidates currently in clinical development: avapritinib, pralsetinib, fisogatinib and BLU-263. All of our other drug candidates and development candidates are currently in pre-clinical or earlier stages of development. We have invested significant efforts and financial resources in the identification and pre-clinical development of kinase inhibitors, including the development of our drugs and drug candidates. Our ability to generate substantial drug revenues, if ever, will depend heavily on the successful development and commercialization of our drugs and drug candidates. Each of our drug candidates, including avapritinib and pralsetinib for additional indications or in additional geographies,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substantial revenues from drug sales. Further clinical development, manufacturing and regulatory activities, and substantial investment will be required before we may obtain marketing approval for avapritinib and pralsetinib for additional indications or in additional geographies, if at all. In addition, for some of our drug candidates, in order to select patients most likely to respond to treatment and rapidly confirm mechanistic and clinical proof-of-concept, or to identify appropriate patients for any drug candidates for which we obtain approval, we may be required or we may seek to develop companion diagnostic tests, which are assays or tests to identify an appropriate patient population. For example, we have entered into or plan to enter into agreements with third parties to develop and/or commercialize companion diagnostics for avapritinib in order to identify GIST patients with the PDGFRA D842V mutation, fisogatinib in order to identify HCC patients with FGFR4 pathway activation and pralsetinib in order to identify NSCLC patients with RET fusions and medullary thyroid carcinoma, or MTC patients with RET mutations.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380" w:lineRule="exact"/>
        <w:rPr>
          <w:sz w:val="20"/>
          <w:szCs w:val="20"/>
          <w:color w:val="auto"/>
        </w:rPr>
      </w:pPr>
    </w:p>
    <w:p>
      <w:pPr>
        <w:ind w:left="1380" w:right="319" w:hanging="331"/>
        <w:spacing w:after="0" w:line="250"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avapritinib, pralsetinib, fisogatinib and BLU-263 and other current or future drug candidates;</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INDs to commence future clinical trials for our other drug candidates;</w:t>
      </w:r>
    </w:p>
    <w:p>
      <w:pPr>
        <w:spacing w:after="0" w:line="211"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current or future drug candidates;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211" w:lineRule="exact"/>
        <w:rPr>
          <w:rFonts w:ascii="Times New Roman" w:cs="Times New Roman" w:eastAsia="Times New Roman" w:hAnsi="Times New Roman"/>
          <w:sz w:val="18"/>
          <w:szCs w:val="18"/>
          <w:color w:val="auto"/>
        </w:rPr>
      </w:pPr>
    </w:p>
    <w:p>
      <w:pPr>
        <w:ind w:left="1380" w:right="199" w:hanging="331"/>
        <w:spacing w:after="0" w:line="245"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80"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2"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approved drugs and drug candidates, if and when approved, whether alone or in collaboration with others;</w:t>
      </w:r>
    </w:p>
    <w:p>
      <w:pPr>
        <w:spacing w:after="0" w:line="162"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11"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approved drugs and drug candidates following approval.</w:t>
      </w:r>
    </w:p>
    <w:p>
      <w:pPr>
        <w:spacing w:after="0" w:line="162" w:lineRule="exact"/>
        <w:rPr>
          <w:sz w:val="20"/>
          <w:szCs w:val="20"/>
          <w:color w:val="auto"/>
        </w:rPr>
      </w:pPr>
    </w:p>
    <w:p>
      <w:pPr>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73"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8"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including avapritinib for additional indications, if we are unable to locate and enroll a sufficient number of eligible patients to participate in these trials as required by the FDA or similar regulatory authorities outside the U.S. In particular, because we are focused on diseases in genomically defined patient populations, our ability to enroll eligible patients may be limited or may result in slower enrollment than we anticipate. In addition, we have experienced some temporary delays or disruptions in enrollment in our ongoing clinical trials due to the COVID-19 pandemic, and we anticipate we may experience additional delays or disruptions in the future due to the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In addition, some of our competitors have ongoing clinical trials for drug candidates that treat the same indications as AYVAKIT/AYVAKYT, GAVRETO and our drug candidates, and patients who would otherwise be eligible for our clinical trials may instead enroll in clinical trials of our competitors’ drug candidates.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08" w:lineRule="exact"/>
        <w:rPr>
          <w:sz w:val="20"/>
          <w:szCs w:val="20"/>
          <w:color w:val="auto"/>
        </w:rPr>
      </w:pPr>
    </w:p>
    <w:p>
      <w:pPr>
        <w:ind w:left="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the target patient populations for AYVAKIT/AYVAKYT, GAVRETO and our drug candidates are relatively small, it may be difficult to successfully identify patients, which could delay enrollment for our trials.</w:t>
      </w:r>
    </w:p>
    <w:p>
      <w:pPr>
        <w:spacing w:after="0" w:line="158"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We focus our research and development on treatments for cancer and rare diseases, including genomically defined cancer and diseases driven by abnormal kinase activation. Because the target patient populations for AYVAKIT/AYVAKYT, GAVRETO and our drug candidates are relatively small, it may be difficult to successfully identify patients. We have entered into or plan to enter into agreements with third parties to develop a companion diagnostic test for avapritinib in order to identify GIST patients with the PDGFRA D842V mutation, fisogatinib in order to identify HCC patients with FGFR4 pathway activation and pralsetinib in order to identify NSCLC patients with RET fusions and MTC patients with RET mutations, and we may engage third parties to develop companion diagnostic tests for use in some of our other current or future clinical trials. However, we may experience delays in reaching, or fail to reach, agreement on acceptable terms to develop companion diagnostic tests with third parties, and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91"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Our inability to enroll a sufficient number of patients in our clinical trials, or to identify patients appropriate for enrollment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83" w:lineRule="exact"/>
        <w:rPr>
          <w:sz w:val="20"/>
          <w:szCs w:val="20"/>
          <w:color w:val="auto"/>
        </w:rPr>
      </w:pPr>
    </w:p>
    <w:p>
      <w:pPr>
        <w:ind w:left="60" w:right="3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such drug candidates, and our ability to generate revenue will be materially impaired.</w:t>
      </w:r>
    </w:p>
    <w:p>
      <w:pPr>
        <w:spacing w:after="0" w:line="175"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Our drug candidates and any companion diagnostic tests related to our approved drugs or drug candidates, including the companion diagnostic tests that we are developing or have developed for AYVAKIT/AYVAKYT in order to identify GIST patients with the PDGFRA D842V mutation, pralsetinib in order to identify NSCLC patients with RET fusions and MTC patients with RET mutations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fisogatinib.</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39" w:lineRule="auto"/>
        <w:rPr>
          <w:sz w:val="20"/>
          <w:szCs w:val="20"/>
          <w:color w:val="auto"/>
        </w:rPr>
      </w:pPr>
      <w:r>
        <w:rPr>
          <w:rFonts w:ascii="Times New Roman" w:cs="Times New Roman" w:eastAsia="Times New Roman" w:hAnsi="Times New Roman"/>
          <w:sz w:val="18"/>
          <w:szCs w:val="18"/>
          <w:color w:val="auto"/>
        </w:rPr>
        <w:t>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7"/>
          <w:szCs w:val="17"/>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marketing applications pending for pralsetinib in the U.S. and Europe.</w:t>
      </w:r>
    </w:p>
    <w:p>
      <w:pPr>
        <w:spacing w:after="0" w:line="177"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62" w:lineRule="exact"/>
        <w:rPr>
          <w:sz w:val="20"/>
          <w:szCs w:val="20"/>
          <w:color w:val="auto"/>
        </w:rPr>
      </w:pPr>
    </w:p>
    <w:p>
      <w:pPr>
        <w:ind w:left="1380" w:right="7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50"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76"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2" w:lineRule="exact"/>
        <w:rPr>
          <w:rFonts w:ascii="Times New Roman" w:cs="Times New Roman" w:eastAsia="Times New Roman" w:hAnsi="Times New Roman"/>
          <w:sz w:val="18"/>
          <w:szCs w:val="18"/>
          <w:color w:val="auto"/>
        </w:rPr>
      </w:pPr>
    </w:p>
    <w:p>
      <w:pPr>
        <w:ind w:left="1380" w:right="19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2" w:lineRule="exact"/>
        <w:rPr>
          <w:rFonts w:ascii="Times New Roman" w:cs="Times New Roman" w:eastAsia="Times New Roman" w:hAnsi="Times New Roman"/>
          <w:sz w:val="18"/>
          <w:szCs w:val="18"/>
          <w:color w:val="auto"/>
        </w:rPr>
      </w:pPr>
    </w:p>
    <w:p>
      <w:pPr>
        <w:ind w:left="1380" w:right="379" w:hanging="331"/>
        <w:spacing w:after="0" w:line="296" w:lineRule="auto"/>
        <w:tabs>
          <w:tab w:leader="none" w:pos="1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8" w:lineRule="exact"/>
        <w:rPr>
          <w:rFonts w:ascii="Times New Roman" w:cs="Times New Roman" w:eastAsia="Times New Roman" w:hAnsi="Times New Roman"/>
          <w:sz w:val="17"/>
          <w:szCs w:val="17"/>
          <w:color w:val="auto"/>
        </w:rPr>
      </w:pPr>
    </w:p>
    <w:p>
      <w:pPr>
        <w:ind w:left="1380" w:right="279" w:hanging="331"/>
        <w:spacing w:after="0" w:line="250"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76"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2" w:lineRule="exact"/>
        <w:rPr>
          <w:rFonts w:ascii="Times New Roman" w:cs="Times New Roman" w:eastAsia="Times New Roman" w:hAnsi="Times New Roman"/>
          <w:sz w:val="18"/>
          <w:szCs w:val="18"/>
          <w:color w:val="auto"/>
        </w:rPr>
      </w:pPr>
    </w:p>
    <w:p>
      <w:pPr>
        <w:ind w:left="1380" w:right="719" w:hanging="331"/>
        <w:spacing w:after="0" w:line="266" w:lineRule="auto"/>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impacting the FDA or comparable foreign regulatory authorities due to the COVID-19 pandemic.</w:t>
      </w:r>
    </w:p>
    <w:p>
      <w:pPr>
        <w:spacing w:after="0" w:line="162"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7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or result in significant negative consequences following marketing approval, if any.</w:t>
      </w:r>
    </w:p>
    <w:p>
      <w:pPr>
        <w:spacing w:after="0" w:line="17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approved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8"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approved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91"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5" w:lineRule="exact"/>
        <w:rPr>
          <w:sz w:val="20"/>
          <w:szCs w:val="20"/>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1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2"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2" w:lineRule="exact"/>
        <w:rPr>
          <w:rFonts w:ascii="Times New Roman" w:cs="Times New Roman" w:eastAsia="Times New Roman" w:hAnsi="Times New Roman"/>
          <w:sz w:val="18"/>
          <w:szCs w:val="18"/>
          <w:color w:val="auto"/>
        </w:rPr>
      </w:pPr>
    </w:p>
    <w:p>
      <w:pPr>
        <w:ind w:left="1380" w:right="559" w:hanging="331"/>
        <w:spacing w:after="0" w:line="266"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pacing w:after="0" w:line="162" w:lineRule="exact"/>
        <w:rPr>
          <w:rFonts w:ascii="Times New Roman" w:cs="Times New Roman" w:eastAsia="Times New Roman" w:hAnsi="Times New Roman"/>
          <w:sz w:val="18"/>
          <w:szCs w:val="18"/>
          <w:color w:val="auto"/>
        </w:rPr>
      </w:pPr>
    </w:p>
    <w:p>
      <w:pPr>
        <w:jc w:val="both"/>
        <w:ind w:left="1380" w:right="99" w:hanging="331"/>
        <w:spacing w:after="0" w:line="250" w:lineRule="auto"/>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11"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ind w:left="60" w:right="339" w:firstLine="648"/>
        <w:spacing w:after="0" w:line="245"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7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including avapritinib and pralsetinib, may not lead to a faster development or regulatory review or approval process, and it does not increase the likelihood that our drug candidates will receive marketing approval.</w:t>
      </w:r>
    </w:p>
    <w:p>
      <w:pPr>
        <w:spacing w:after="0" w:line="176"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pralsetinib for the treatment of patients with RET fusion-positive NSCLC that has progressed following platinum-based chemotherapy and to pralsetinib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89"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As of June 23, 2020, the FDA noted it is continuing to ensure timely reviews of applications for medical products during the COVID-19 pandemic in line with its user fee performance goals; however, the FDA may not be able to continue its current pace and review timelines could be extended.</w:t>
      </w:r>
    </w:p>
    <w:p>
      <w:pPr>
        <w:spacing w:after="0" w:line="187" w:lineRule="exact"/>
        <w:rPr>
          <w:sz w:val="20"/>
          <w:szCs w:val="20"/>
          <w:color w:val="auto"/>
        </w:rPr>
      </w:pPr>
    </w:p>
    <w:p>
      <w:pPr>
        <w:ind w:left="60" w:right="7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our drug candidates avapritinib, pralsetinib and fisogatinib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81"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left="60" w:right="719"/>
        <w:spacing w:after="0" w:line="243" w:lineRule="auto"/>
        <w:rPr>
          <w:sz w:val="20"/>
          <w:szCs w:val="20"/>
          <w:color w:val="auto"/>
        </w:rPr>
      </w:pPr>
      <w:r>
        <w:rPr>
          <w:rFonts w:ascii="Times New Roman" w:cs="Times New Roman" w:eastAsia="Times New Roman" w:hAnsi="Times New Roman"/>
          <w:sz w:val="18"/>
          <w:szCs w:val="18"/>
          <w:color w:val="auto"/>
        </w:rPr>
        <w:t>200,000 individuals annually in the U.S., or a patient population greater than 200,000 in the U.S. where there is no reasonable expectation that the cost of developing the drug will be recovered from sales in the U.S. In the</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66" w:lineRule="auto"/>
        <w:rPr>
          <w:sz w:val="20"/>
          <w:szCs w:val="20"/>
          <w:color w:val="auto"/>
        </w:rPr>
      </w:pPr>
      <w:r>
        <w:rPr>
          <w:rFonts w:ascii="Times New Roman" w:cs="Times New Roman" w:eastAsia="Times New Roman" w:hAnsi="Times New Roman"/>
          <w:sz w:val="18"/>
          <w:szCs w:val="18"/>
          <w:color w:val="auto"/>
        </w:rPr>
        <w:t>U.S., orphan drug designation entitles a party to financial incentives such as opportunities for grant funding towards clinical trial costs, tax advantages and user-fee waivers.</w:t>
      </w:r>
    </w:p>
    <w:p>
      <w:pPr>
        <w:spacing w:after="0" w:line="162"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88"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8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89" w:lineRule="exact"/>
        <w:rPr>
          <w:sz w:val="20"/>
          <w:szCs w:val="20"/>
          <w:color w:val="auto"/>
        </w:rPr>
      </w:pPr>
    </w:p>
    <w:p>
      <w:pPr>
        <w:ind w:left="60" w:right="5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Review of our NDA for pralsetinib for the treatment of patients with advanced or metastatic RET mutant MTC and RET fusion-positive thyroid cancers under the FDA’s RTOR program and planned additional marketing applications for pralsetinib for RET fusion-positive NSCLC through the FDA’s Project Orbis initiative may not lead to a faster regulatory review or approval for pralsetinib, and they do not increase the likelihood that pralsetinib will obtain marketing approval.</w:t>
      </w:r>
    </w:p>
    <w:p>
      <w:pPr>
        <w:spacing w:after="0" w:line="18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7"/>
          <w:szCs w:val="17"/>
          <w:color w:val="auto"/>
        </w:rPr>
        <w:t>The FDA and other regulatory bodies periodically introduce pilot programs with the goal of a more efficient review of applications for drug or biologic approval, including the Oncology Center of Excellence Real-Time Oncology Review pilot program, or RTOR program, which is currently being tested by the FDA. The RTOR program aims to explore a more efficient review process to ensure that safe and effective treatments are available to patients as early as possible, while maintaining and improving review quality by the FDA. The FDA’s Project Orbis initiative provides a framework for concurrent submission and review of marketing applications for oncology products among international health authorities.</w:t>
      </w:r>
    </w:p>
    <w:p>
      <w:pPr>
        <w:spacing w:after="0" w:line="211" w:lineRule="exact"/>
        <w:rPr>
          <w:sz w:val="20"/>
          <w:szCs w:val="20"/>
          <w:color w:val="auto"/>
        </w:rPr>
      </w:pPr>
    </w:p>
    <w:p>
      <w:pPr>
        <w:ind w:left="60" w:right="219" w:firstLine="648"/>
        <w:spacing w:after="0"/>
        <w:rPr>
          <w:sz w:val="20"/>
          <w:szCs w:val="20"/>
          <w:color w:val="auto"/>
        </w:rPr>
      </w:pPr>
      <w:r>
        <w:rPr>
          <w:rFonts w:ascii="Times New Roman" w:cs="Times New Roman" w:eastAsia="Times New Roman" w:hAnsi="Times New Roman"/>
          <w:sz w:val="18"/>
          <w:szCs w:val="18"/>
          <w:color w:val="auto"/>
        </w:rPr>
        <w:t xml:space="preserve">Pralsetinib is approved in the U.S. </w:t>
      </w:r>
      <w:r>
        <w:rPr>
          <w:rFonts w:ascii="Times New Roman" w:cs="Times New Roman" w:eastAsia="Times New Roman" w:hAnsi="Times New Roman"/>
          <w:sz w:val="18"/>
          <w:szCs w:val="18"/>
          <w:color w:val="0A0A0A"/>
          <w:highlight w:val="white"/>
        </w:rPr>
        <w:t>with accelerated approval</w:t>
      </w:r>
      <w:r>
        <w:rPr>
          <w:rFonts w:ascii="Times New Roman" w:cs="Times New Roman" w:eastAsia="Times New Roman" w:hAnsi="Times New Roman"/>
          <w:sz w:val="18"/>
          <w:szCs w:val="18"/>
          <w:color w:val="auto"/>
        </w:rPr>
        <w:t xml:space="preserve"> under the brand name GAVRETO for the treatment of </w:t>
      </w:r>
      <w:r>
        <w:rPr>
          <w:rFonts w:ascii="Times New Roman" w:cs="Times New Roman" w:eastAsia="Times New Roman" w:hAnsi="Times New Roman"/>
          <w:sz w:val="18"/>
          <w:szCs w:val="18"/>
          <w:color w:val="0A0A0A"/>
          <w:highlight w:val="white"/>
        </w:rPr>
        <w:t>adult patients with metastatic RET fusion-positive NSCLC as detected by an FDA approved test. In addition, the EMA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highlight w:val="white"/>
        </w:rPr>
        <w:t xml:space="preserve">is currently reviewing our MAA for pralsetinib for </w:t>
      </w:r>
      <w:r>
        <w:rPr>
          <w:rFonts w:ascii="Times New Roman" w:cs="Times New Roman" w:eastAsia="Times New Roman" w:hAnsi="Times New Roman"/>
          <w:sz w:val="18"/>
          <w:szCs w:val="18"/>
          <w:color w:val="000000"/>
        </w:rPr>
        <w:t>RET fusion-positive NSCLC</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We plan to submit additional marketing</w:t>
      </w:r>
      <w:r>
        <w:rPr>
          <w:rFonts w:ascii="Times New Roman" w:cs="Times New Roman" w:eastAsia="Times New Roman" w:hAnsi="Times New Roman"/>
          <w:sz w:val="18"/>
          <w:szCs w:val="18"/>
          <w:color w:val="0A0A0A"/>
          <w:highlight w:val="white"/>
        </w:rPr>
        <w:t xml:space="preserve"> </w:t>
      </w:r>
      <w:r>
        <w:rPr>
          <w:rFonts w:ascii="Times New Roman" w:cs="Times New Roman" w:eastAsia="Times New Roman" w:hAnsi="Times New Roman"/>
          <w:sz w:val="18"/>
          <w:szCs w:val="18"/>
          <w:color w:val="000000"/>
        </w:rPr>
        <w:t>applications for pralsetinib for RET fusion-positive NSCLC through the FDA’s Project Orbis initiative, which provides a framework for concurrent submission and review of marketing applications for oncology products among international health authorities. In the second quarter of 2020, we submitted an NDA to the FDA for pralsetinib for the treatment of patients with advanced or metastatic RET mutant MTC and RET fusion-positive thyroid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5" w:lineRule="auto"/>
        <w:rPr>
          <w:sz w:val="20"/>
          <w:szCs w:val="20"/>
          <w:color w:val="auto"/>
        </w:rPr>
      </w:pPr>
      <w:r>
        <w:rPr>
          <w:rFonts w:ascii="Times New Roman" w:cs="Times New Roman" w:eastAsia="Times New Roman" w:hAnsi="Times New Roman"/>
          <w:sz w:val="18"/>
          <w:szCs w:val="18"/>
          <w:color w:val="auto"/>
        </w:rPr>
        <w:t>cancers and the FDA set a Prescription Drug User Fee Act, or PDUFA, action date of February 28, 2021. This NDA was submitted under the FDA’s Oncology Center of Excellence Real-Time Oncology Review pilot program, or RTOR program, which aims to explore a more efficient review process to ensure that safe and effective treatments are available to patients as early as possible, while maintaining and improving review quality by the FDA.</w:t>
      </w:r>
    </w:p>
    <w:p>
      <w:pPr>
        <w:spacing w:after="0" w:line="221" w:lineRule="exact"/>
        <w:rPr>
          <w:sz w:val="20"/>
          <w:szCs w:val="20"/>
          <w:color w:val="auto"/>
        </w:rPr>
      </w:pPr>
    </w:p>
    <w:p>
      <w:pPr>
        <w:ind w:left="60" w:right="239" w:firstLine="648"/>
        <w:spacing w:after="0" w:line="237" w:lineRule="auto"/>
        <w:rPr>
          <w:sz w:val="20"/>
          <w:szCs w:val="20"/>
          <w:color w:val="auto"/>
        </w:rPr>
      </w:pPr>
      <w:r>
        <w:rPr>
          <w:rFonts w:ascii="Times New Roman" w:cs="Times New Roman" w:eastAsia="Times New Roman" w:hAnsi="Times New Roman"/>
          <w:sz w:val="18"/>
          <w:szCs w:val="18"/>
          <w:color w:val="auto"/>
        </w:rPr>
        <w:t>Acceptance into the RTOR program and Project Orbis initiative does not guarantee or influence approvability of any current or future marketing applications for pralsetinib in patients with RET fusion-positive NSCLC or patients with advanced or metastatic RET mutant MTC and RET fusion-positive thyroid cancers, which are subject to the standard benefit-risk evaluation by the FDA and any other applicable health authority. In addition, we may not derive any benefit, such as a more efficient review process compared to marketing applications submitted and reviewed under conventional procedures by the FDA or other health authorities, from inclusion in these programs. These programs are not formal regulatory pathways and may be changed, suspended, or halted at any time, including as a result of the FDA deciding not to continue these programs or determining that a current or future marketing application no longer meets the criteria for inclusion in one or both of these programs. The FDA’s RTOR program and Project Orbis initiative do not change the scientific and medical standard for approval or the quality of evidence necessary to support approval. As a result, even if current or future marketing applications are subject to one or more of these programs, they may still be denied based on study data, study design, or other factors.</w:t>
      </w:r>
    </w:p>
    <w:p>
      <w:pPr>
        <w:spacing w:after="0" w:line="189" w:lineRule="exact"/>
        <w:rPr>
          <w:sz w:val="20"/>
          <w:szCs w:val="20"/>
          <w:color w:val="auto"/>
        </w:rPr>
      </w:pPr>
    </w:p>
    <w:p>
      <w:pPr>
        <w:ind w:left="60" w:right="15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our approved drugs and, if we receive regulatory approval, our drug candidates, including conducting confirmatory clinical trials of any drug that receives accelerated approval. In addition, our drugs and drug candidates, if approved, could be subject to labeling and other restrictions and market withdrawal and we may be subject to penalties if we fail to comply with regulatory requirements or experience unanticipated problems with our drugs.</w:t>
      </w:r>
    </w:p>
    <w:p>
      <w:pPr>
        <w:spacing w:after="0" w:line="185"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Any current or future drug candidate for which we receive accelerated approval from the FDA, including GAVRETO, or similar conditional approval from the EMA, including AVYAKYT,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5"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6" w:lineRule="exact"/>
        <w:rPr>
          <w:sz w:val="20"/>
          <w:szCs w:val="20"/>
          <w:color w:val="auto"/>
        </w:rPr>
      </w:pPr>
    </w:p>
    <w:p>
      <w:pPr>
        <w:ind w:left="1380" w:right="47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11"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use and expand our discovery platform to build a pipeline of drug candidates.</w:t>
      </w:r>
    </w:p>
    <w:p>
      <w:pPr>
        <w:spacing w:after="0" w:line="227"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84" w:lineRule="exact"/>
        <w:rPr>
          <w:sz w:val="20"/>
          <w:szCs w:val="20"/>
          <w:color w:val="auto"/>
        </w:rPr>
      </w:pPr>
    </w:p>
    <w:p>
      <w:pPr>
        <w:ind w:left="60" w:right="1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8"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7" w:lineRule="exact"/>
        <w:rPr>
          <w:sz w:val="20"/>
          <w:szCs w:val="20"/>
          <w:color w:val="auto"/>
        </w:rPr>
      </w:pPr>
    </w:p>
    <w:p>
      <w:pPr>
        <w:ind w:left="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choose not to develop a potential drug candidate, or we may suspend, deprioritize or terminate one or more discovery programs or pre-clinical or clinical drug candidates or programs.</w:t>
      </w:r>
    </w:p>
    <w:p>
      <w:pPr>
        <w:spacing w:after="0" w:line="158"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58"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initiated the commercial launch of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for additional indications are currently under review or planned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U.S. and Europe. To execute our business plan, in addition to successfully marketing and selling our approved drugs, we will need to successfully:</w:t>
      </w:r>
    </w:p>
    <w:p>
      <w:pPr>
        <w:spacing w:after="0" w:line="162" w:lineRule="exact"/>
        <w:rPr>
          <w:sz w:val="20"/>
          <w:szCs w:val="20"/>
          <w:color w:val="auto"/>
        </w:rPr>
      </w:pPr>
    </w:p>
    <w:p>
      <w:pPr>
        <w:ind w:left="1380" w:right="19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the patients who may receive our drugs and any future drugs;</w:t>
      </w:r>
    </w:p>
    <w:p>
      <w:pPr>
        <w:spacing w:after="0" w:line="162" w:lineRule="exact"/>
        <w:rPr>
          <w:rFonts w:ascii="Times New Roman" w:cs="Times New Roman" w:eastAsia="Times New Roman" w:hAnsi="Times New Roman"/>
          <w:sz w:val="18"/>
          <w:szCs w:val="18"/>
          <w:color w:val="auto"/>
        </w:rPr>
      </w:pPr>
    </w:p>
    <w:p>
      <w:pPr>
        <w:ind w:left="1380" w:right="35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GAVRETO and any future drugs;</w:t>
      </w:r>
    </w:p>
    <w:p>
      <w:pPr>
        <w:spacing w:after="0" w:line="162" w:lineRule="exact"/>
        <w:rPr>
          <w:rFonts w:ascii="Times New Roman" w:cs="Times New Roman" w:eastAsia="Times New Roman" w:hAnsi="Times New Roman"/>
          <w:sz w:val="18"/>
          <w:szCs w:val="18"/>
          <w:color w:val="auto"/>
        </w:rPr>
      </w:pPr>
    </w:p>
    <w:p>
      <w:pPr>
        <w:ind w:left="1380" w:right="41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the drug candidates in our pipeline;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successful strategic alliances; and</w:t>
      </w:r>
    </w:p>
    <w:p>
      <w:pPr>
        <w:spacing w:after="0" w:line="211" w:lineRule="exact"/>
        <w:rPr>
          <w:rFonts w:ascii="Times New Roman" w:cs="Times New Roman" w:eastAsia="Times New Roman" w:hAnsi="Times New Roman"/>
          <w:sz w:val="18"/>
          <w:szCs w:val="18"/>
          <w:color w:val="auto"/>
        </w:rPr>
      </w:pPr>
    </w:p>
    <w:p>
      <w:pPr>
        <w:ind w:left="1380" w:right="49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62" w:lineRule="exact"/>
        <w:rPr>
          <w:sz w:val="20"/>
          <w:szCs w:val="20"/>
          <w:color w:val="auto"/>
        </w:rPr>
      </w:pPr>
    </w:p>
    <w:p>
      <w:pPr>
        <w:ind w:left="60" w:right="299" w:firstLine="648"/>
        <w:spacing w:after="0" w:line="250"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develop drug candidates, commercialize AYVAKIT/AYVAKYT, GAVRETO or any future drugs, raise capital, expand our business or continue our operations.</w:t>
      </w:r>
    </w:p>
    <w:p>
      <w:pPr>
        <w:spacing w:after="0" w:line="173" w:lineRule="exact"/>
        <w:rPr>
          <w:sz w:val="20"/>
          <w:szCs w:val="20"/>
          <w:color w:val="auto"/>
        </w:rPr>
      </w:pPr>
    </w:p>
    <w:p>
      <w:pPr>
        <w:ind w:left="60" w:right="8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drugs will depend upon the degree of market acceptance by physicians, patients, third-party payors and others in the medical community.</w:t>
      </w:r>
    </w:p>
    <w:p>
      <w:pPr>
        <w:spacing w:after="0" w:line="158" w:lineRule="exact"/>
        <w:rPr>
          <w:sz w:val="20"/>
          <w:szCs w:val="20"/>
          <w:color w:val="auto"/>
        </w:rPr>
      </w:pPr>
    </w:p>
    <w:p>
      <w:pPr>
        <w:ind w:left="60" w:right="239" w:firstLine="648"/>
        <w:spacing w:after="0" w:line="242" w:lineRule="auto"/>
        <w:rPr>
          <w:sz w:val="20"/>
          <w:szCs w:val="20"/>
          <w:color w:val="auto"/>
        </w:rPr>
      </w:pPr>
      <w:r>
        <w:rPr>
          <w:rFonts w:ascii="Times New Roman" w:cs="Times New Roman" w:eastAsia="Times New Roman" w:hAnsi="Times New Roman"/>
          <w:sz w:val="18"/>
          <w:szCs w:val="18"/>
          <w:color w:val="auto"/>
        </w:rPr>
        <w:t>AYVAKIT/AYVAKYT, GAVRETO and any other drugs that we may bring to the market may not gain market acceptance by physicians, patients, third-party payors and others in the medical community. If these drugs do not achieve an adequate level of acceptance, we may not generate significant product revenue and may not become profitable. The degree of market acceptance of our approved drugs and any current or future drug candidates for which we receive marketing approval will depend on a number of factors, including:</w:t>
      </w:r>
    </w:p>
    <w:p>
      <w:pPr>
        <w:spacing w:after="0" w:line="185" w:lineRule="exact"/>
        <w:rPr>
          <w:sz w:val="20"/>
          <w:szCs w:val="20"/>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w:t>
      </w:r>
    </w:p>
    <w:p>
      <w:pPr>
        <w:spacing w:after="0" w:line="211"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drug’s approved labeling;</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11" w:lineRule="exact"/>
        <w:rPr>
          <w:rFonts w:ascii="Times New Roman" w:cs="Times New Roman" w:eastAsia="Times New Roman" w:hAnsi="Times New Roman"/>
          <w:sz w:val="18"/>
          <w:szCs w:val="18"/>
          <w:color w:val="auto"/>
        </w:rPr>
      </w:pPr>
    </w:p>
    <w:p>
      <w:pPr>
        <w:ind w:left="1380" w:right="219" w:hanging="331"/>
        <w:spacing w:after="0" w:line="266"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11" w:lineRule="exact"/>
        <w:rPr>
          <w:rFonts w:ascii="Times New Roman" w:cs="Times New Roman" w:eastAsia="Times New Roman" w:hAnsi="Times New Roman"/>
          <w:sz w:val="18"/>
          <w:szCs w:val="18"/>
          <w:color w:val="auto"/>
        </w:rPr>
      </w:pPr>
    </w:p>
    <w:p>
      <w:pPr>
        <w:ind w:left="1380" w:right="599" w:hanging="331"/>
        <w:spacing w:after="0" w:line="266"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1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Even if a potential drug displays a favorable efficacy and safety profile in preclinical and clinical studies, market acceptance of the drug will not be known until after it is launched. Our efforts to educate the medical community and third-party payors on the benefits of our drugs may require significant resources and may never be successful. Our efforts to educate the marketplace may require more resources than are required by the conventional technologies marketed by our competitors. Any of these factors may cause our approved drugs or any current or future drug candidates for which we receive marketing approval to be unsuccessful or less successful than anticipated.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58"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7"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We cannot be sure that we will be able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 with other companies to recruit, hire, train and retain sales and marketing personnel.</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12" w:lineRule="exact"/>
        <w:rPr>
          <w:sz w:val="20"/>
          <w:szCs w:val="20"/>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11"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62" w:lineRule="exact"/>
        <w:rPr>
          <w:rFonts w:ascii="Times New Roman" w:cs="Times New Roman" w:eastAsia="Times New Roman" w:hAnsi="Times New Roman"/>
          <w:sz w:val="18"/>
          <w:szCs w:val="18"/>
          <w:color w:val="auto"/>
        </w:rPr>
      </w:pPr>
    </w:p>
    <w:p>
      <w:pPr>
        <w:ind w:left="1380" w:right="779" w:hanging="331"/>
        <w:spacing w:after="0" w:line="26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 due to the COVID-19 pandemic.</w:t>
      </w:r>
    </w:p>
    <w:p>
      <w:pPr>
        <w:spacing w:after="0" w:line="212" w:lineRule="exact"/>
        <w:rPr>
          <w:sz w:val="20"/>
          <w:szCs w:val="20"/>
          <w:color w:val="auto"/>
        </w:rPr>
      </w:pPr>
    </w:p>
    <w:p>
      <w:pPr>
        <w:jc w:val="both"/>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173" w:lineRule="exact"/>
        <w:rPr>
          <w:sz w:val="20"/>
          <w:szCs w:val="20"/>
          <w:color w:val="auto"/>
        </w:rPr>
      </w:pPr>
    </w:p>
    <w:p>
      <w:pPr>
        <w:ind w:left="60" w:right="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other drug candidates that may be approved in the future.</w:t>
      </w:r>
    </w:p>
    <w:p>
      <w:pPr>
        <w:spacing w:after="0" w:line="158"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other drug candidates that may be approved in the future. We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1" w:lineRule="exact"/>
        <w:rPr>
          <w:sz w:val="20"/>
          <w:szCs w:val="20"/>
          <w:color w:val="auto"/>
        </w:rPr>
      </w:pPr>
    </w:p>
    <w:p>
      <w:pPr>
        <w:jc w:val="both"/>
        <w:ind w:left="60" w:right="2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approved drugs and drug candidates have not been established with precision. If the market opportunities for our approved drugs or drug candidates are smaller than we estimate or if any approval that we obtain is based on a narrower definition of the patient population, our revenue and ability to achieve profitability will be adversely affected, possibly materially.</w:t>
      </w:r>
    </w:p>
    <w:p>
      <w:pPr>
        <w:spacing w:after="0" w:line="18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precise incidence and/or prevalence for GIST, SM, RET-altered NSCLC and MTC, and HCC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U.S., France, Germany, Italy, Spain, the United Kingdom and Japan, or the Major Markets, there are approximately: 75,000 patients with SM, including 3,750 patients with advanced SM and 71,250 patients with indolent SM or smoldering SM (regardless of severity of symptoms); 500</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50" w:lineRule="auto"/>
        <w:rPr>
          <w:sz w:val="20"/>
          <w:szCs w:val="20"/>
          <w:color w:val="auto"/>
        </w:rPr>
      </w:pPr>
      <w:r>
        <w:rPr>
          <w:rFonts w:ascii="Times New Roman" w:cs="Times New Roman" w:eastAsia="Times New Roman" w:hAnsi="Times New Roman"/>
          <w:sz w:val="18"/>
          <w:szCs w:val="18"/>
          <w:color w:val="auto"/>
        </w:rPr>
        <w:t>first-line patients with PDGFRA D842V mutant GIST (including resectable, metastatic and unresectable GIST); 8,900 first- and second-line patients with RET-altered NSCLC; 1,300 patients with MTC (regardless of line of therapy or alteration); and 25,900 first- and second-line patients with FGFR4-activated HCC.</w:t>
      </w:r>
    </w:p>
    <w:p>
      <w:pPr>
        <w:spacing w:after="0" w:line="177"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The total addressable market opportunity for avapritinib for the treatment of patients with GIST and SM, pralsetinib for the treatment of patients with RET-altered NSCLC and thyroid cancers, including MTC, and fisogatinib for the treatment of patients with advanced HCC will ultimately depend upon, among other things, the diagnosis criteria included in the final label for our current and future drugs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7"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158"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In addition, if avapritinib is approved for advanced SM or if avapritinib or BLU-263 are approved for indolent SM, they may face competition from other drug candidates in development for these indications, including drug candidates being developed by AB Science S.A., Allakos Inc. and Cogent Biosciences, Inc. (formerly known as Unum Therapeutics).</w:t>
      </w:r>
    </w:p>
    <w:p>
      <w:pPr>
        <w:spacing w:after="0" w:line="184" w:lineRule="exact"/>
        <w:rPr>
          <w:sz w:val="20"/>
          <w:szCs w:val="20"/>
          <w:color w:val="auto"/>
        </w:rPr>
      </w:pPr>
    </w:p>
    <w:p>
      <w:pPr>
        <w:ind w:left="60" w:right="99" w:firstLine="648"/>
        <w:spacing w:after="0" w:line="264" w:lineRule="auto"/>
        <w:rPr>
          <w:sz w:val="20"/>
          <w:szCs w:val="20"/>
          <w:color w:val="auto"/>
        </w:rPr>
      </w:pPr>
      <w:r>
        <w:rPr>
          <w:rFonts w:ascii="Times New Roman" w:cs="Times New Roman" w:eastAsia="Times New Roman" w:hAnsi="Times New Roman"/>
          <w:sz w:val="17"/>
          <w:szCs w:val="17"/>
          <w:color w:val="auto"/>
        </w:rPr>
        <w:t>AYVAKIT/AYVAKYT may face competition from drug candidates in development for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6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GAVRETO faces competition for RET fusion-positive NSCLC from Eli Lilly and Company’s selpercatinib, which was approved by the FDA in May 2020 for the treatment of RET-driven NSCLC, MTC and thyroid cancer. If pralsetinib receives marketing approval for patients with RET-altered thyroid carcinoma, including MTC, and other solid tumors, it will also face competition from selpercatinib for these additional indications. In addition, pralsetinib may face competition from other drug candidates in development,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91" w:lineRule="exact"/>
        <w:rPr>
          <w:sz w:val="20"/>
          <w:szCs w:val="20"/>
          <w:color w:val="auto"/>
        </w:rPr>
      </w:pPr>
    </w:p>
    <w:p>
      <w:pPr>
        <w:ind w:left="60" w:right="219" w:firstLine="648"/>
        <w:spacing w:after="0" w:line="242" w:lineRule="auto"/>
        <w:rPr>
          <w:sz w:val="20"/>
          <w:szCs w:val="20"/>
          <w:color w:val="auto"/>
        </w:rPr>
      </w:pPr>
      <w:r>
        <w:rPr>
          <w:rFonts w:ascii="Times New Roman" w:cs="Times New Roman" w:eastAsia="Times New Roman" w:hAnsi="Times New Roman"/>
          <w:sz w:val="18"/>
          <w:szCs w:val="18"/>
          <w:color w:val="auto"/>
        </w:rPr>
        <w:t>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Inc., H3 Biomedicine Inc., Incyte Corporation, Johnson &amp; Johnson, Novartis AG, Sanofi S.A., Taiho Pharmaceutical Co., Ltd., U3 Pharma GmbH, a wholly-owned subsidiary of Daiichi Sankyo Company, Limited, and Xoma Ltd.</w:t>
      </w:r>
    </w:p>
    <w:p>
      <w:pPr>
        <w:spacing w:after="0" w:line="16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3"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8" w:lineRule="exact"/>
        <w:rPr>
          <w:sz w:val="20"/>
          <w:szCs w:val="20"/>
          <w:color w:val="auto"/>
        </w:rPr>
      </w:pPr>
    </w:p>
    <w:p>
      <w:pPr>
        <w:ind w:left="60" w:right="399" w:firstLine="648"/>
        <w:spacing w:after="0" w:line="242"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85" w:lineRule="exact"/>
        <w:rPr>
          <w:sz w:val="20"/>
          <w:szCs w:val="20"/>
          <w:color w:val="auto"/>
        </w:rPr>
      </w:pPr>
    </w:p>
    <w:p>
      <w:pPr>
        <w:ind w:left="1380" w:right="89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39" w:firstLine="648"/>
        <w:spacing w:after="0" w:line="264"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76"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or plan to enter into agreements to develop and/or commercialize companion diagnostic tests with third parties for AYVAKIT in order to identify GIST patients with the PDGFRA D842V mutation, pralsetinib in order to identify NSCLC patients with RET fusions and MTC patients with RET mutations and fisogatinib in order to identify HCC patients with FGFR4 pathway activation. We have not yet initiated commercialization of these companion diagnostic tests or development and commercialization of companion diagnostic tests for any of our other programs. We have limited experience in the development and commercialization of companion diagnostic tests and may not be successful in developing and commercializing appropriate companion diagnostic tests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Given our limited experience in developing and commercializing companion diagnostic tests,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our drugs and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93" w:lineRule="exact"/>
        <w:rPr>
          <w:sz w:val="20"/>
          <w:szCs w:val="20"/>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11"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clearances or approvals;</w:t>
      </w:r>
    </w:p>
    <w:p>
      <w:pPr>
        <w:spacing w:after="0" w:line="162" w:lineRule="exact"/>
        <w:rPr>
          <w:rFonts w:ascii="Times New Roman" w:cs="Times New Roman" w:eastAsia="Times New Roman" w:hAnsi="Times New Roman"/>
          <w:sz w:val="18"/>
          <w:szCs w:val="18"/>
          <w:color w:val="auto"/>
        </w:rPr>
      </w:pPr>
    </w:p>
    <w:p>
      <w:pPr>
        <w:jc w:val="both"/>
        <w:ind w:left="1380" w:right="279" w:hanging="331"/>
        <w:spacing w:after="0" w:line="250"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a companion diagnostic test;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12" w:lineRule="exact"/>
        <w:rPr>
          <w:sz w:val="20"/>
          <w:szCs w:val="20"/>
          <w:color w:val="auto"/>
        </w:rPr>
      </w:pPr>
    </w:p>
    <w:p>
      <w:pPr>
        <w:ind w:left="60" w:right="539" w:firstLine="648"/>
        <w:spacing w:after="0" w:line="296" w:lineRule="auto"/>
        <w:rPr>
          <w:sz w:val="20"/>
          <w:szCs w:val="20"/>
          <w:color w:val="auto"/>
        </w:rPr>
      </w:pPr>
      <w:r>
        <w:rPr>
          <w:rFonts w:ascii="Times New Roman" w:cs="Times New Roman" w:eastAsia="Times New Roman" w:hAnsi="Times New Roman"/>
          <w:sz w:val="17"/>
          <w:szCs w:val="17"/>
          <w:color w:val="auto"/>
        </w:rPr>
        <w:t>Any delay or failure by us or our collaborators to develop or obtain regulatory clearance or approval of the companion diagnostic tests could delay or prevent approval of our drug candidates. If we, or any third parties that we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have engaged or may in the future engage to assist us are unable to successfully develop and commercialize companion diagnostic tests for our drugs and drug candidates, or experience delays in doing so:</w:t>
      </w:r>
    </w:p>
    <w:p>
      <w:pPr>
        <w:spacing w:after="0" w:line="162" w:lineRule="exact"/>
        <w:rPr>
          <w:sz w:val="20"/>
          <w:szCs w:val="20"/>
          <w:color w:val="auto"/>
        </w:rPr>
      </w:pPr>
    </w:p>
    <w:p>
      <w:pPr>
        <w:ind w:left="1380" w:right="19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approved drugs and drug candidates may be adversely affected if we are unable to appropriately select patients for enrollment in our clinical trials;</w:t>
      </w:r>
    </w:p>
    <w:p>
      <w:pPr>
        <w:spacing w:after="0" w:line="162" w:lineRule="exact"/>
        <w:rPr>
          <w:rFonts w:ascii="Times New Roman" w:cs="Times New Roman" w:eastAsia="Times New Roman" w:hAnsi="Times New Roman"/>
          <w:sz w:val="18"/>
          <w:szCs w:val="18"/>
          <w:color w:val="auto"/>
        </w:rPr>
      </w:pPr>
    </w:p>
    <w:p>
      <w:pPr>
        <w:ind w:left="1380" w:right="29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w:t>
      </w:r>
    </w:p>
    <w:p>
      <w:pPr>
        <w:spacing w:after="0" w:line="162" w:lineRule="exact"/>
        <w:rPr>
          <w:rFonts w:ascii="Times New Roman" w:cs="Times New Roman" w:eastAsia="Times New Roman" w:hAnsi="Times New Roman"/>
          <w:sz w:val="18"/>
          <w:szCs w:val="18"/>
          <w:color w:val="auto"/>
        </w:rPr>
      </w:pPr>
    </w:p>
    <w:p>
      <w:pPr>
        <w:ind w:left="1380" w:right="779" w:hanging="331"/>
        <w:spacing w:after="0" w:line="266"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post-marketing requirements regarding the development and commercialization of companion diagnostic tests for our drugs and drug candidates; and</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50" w:lineRule="auto"/>
        <w:tabs>
          <w:tab w:leader="none" w:pos="1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our business would be harmed, possibly materially.</w:t>
      </w:r>
    </w:p>
    <w:p>
      <w:pPr>
        <w:spacing w:after="0" w:line="212"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84"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86"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16"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8"/>
          <w:szCs w:val="18"/>
          <w:color w:val="auto"/>
        </w:rPr>
        <w:t>In the U.S.,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(increased to 70% by the Bipartisan Budget Act of 2018, effective January 1, 2019) off negotiated prices of applicable brand drugs to eligible beneficiaries during their coverage gap period, as a condition for the manufacturer’s outpatient drugs to be covered under Medicare Part D.</w:t>
      </w:r>
    </w:p>
    <w:p>
      <w:pPr>
        <w:spacing w:after="0" w:line="191"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in the U.S.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2030 unless additional Congressional action is taken.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242" w:lineRule="auto"/>
        <w:rPr>
          <w:sz w:val="20"/>
          <w:szCs w:val="20"/>
          <w:color w:val="auto"/>
        </w:rPr>
      </w:pPr>
      <w:r>
        <w:rPr>
          <w:rFonts w:ascii="Times New Roman" w:cs="Times New Roman" w:eastAsia="Times New Roman" w:hAnsi="Times New Roman"/>
          <w:sz w:val="18"/>
          <w:szCs w:val="18"/>
          <w:color w:val="auto"/>
        </w:rPr>
        <w:t>However, the Medicare sequester reductions under the Budget Control Act of 2011 will be suspended from May 1, 2020 through December 31, 2020 due to the COVID-19 pandemic.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5"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Middle Class Tax Relief and Job Creation Act of 2012 required that the Centers for Medicare and Medicaid Services,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87"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Since its enactment, some of the provisions of the Affordable Care Act have yet to be fully implemented, while certain provisions have been subject to judicial, congressional, and executive challenges. Since January 2017, President Trump has signed two executive orders and other directives designed to delay the implementation of certain provisions of the Affordable Care Act. Concurrently, Congress has considered legislation that would repeal or repeal and replace all or part of the Affordable Care Act. While Congress has not passed repeal legislation to date, it has enacted laws that modify certain provisions of the Affordable Care Act. The Tax Cuts and Jobs Act of 2017, or TCJA,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portion of the Affordable Care Act is an essential and inseverable feature of the Affordable Care Act, and therefore because the mandate was repealed as part of the TCJA, the remaining provisions of the Affordable Care Act are invalid as well. On December 18, 2019, the Fifth Circuit U.S. Court of Appeals held that the individual mandate is unconstitutional, and remanded the case to the lower court to reconsider its earlier invalidation of the full Affordable Care Act. On March 2, 2020, the United States Supreme Court granted the petitions for writs of certiorari to review this case, and has allotted one hour for oral arguments, which are expected to occur in the fall. Pending review, the Affordable Care Act remains in effect, but it is unclear at this time what effect the latest ruling will have on the status of the Affordable Care Act. Litigation and legislation over the Affordable Care Act are likely to continue, with unpredictable and uncertain results. We will continue to evaluate the effect that the Affordable Care Act and its possible repeal and replacement has on our business.</w:t>
      </w:r>
    </w:p>
    <w:p>
      <w:pPr>
        <w:spacing w:after="0" w:line="196"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7"/>
          <w:szCs w:val="17"/>
          <w:color w:val="auto"/>
        </w:rPr>
        <w:t xml:space="preserve">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On June 14, 2018, U.S. Court of Appeals for the Federal Circuit ruled that the federal government was not required to pay more than $12 billion in Affordable Care Act risk corridor payments to third-party payors who argued were owed to them. On April 27, 2020, in </w:t>
      </w:r>
      <w:r>
        <w:rPr>
          <w:rFonts w:ascii="Times New Roman" w:cs="Times New Roman" w:eastAsia="Times New Roman" w:hAnsi="Times New Roman"/>
          <w:sz w:val="17"/>
          <w:szCs w:val="17"/>
          <w:i w:val="1"/>
          <w:iCs w:val="1"/>
          <w:color w:val="auto"/>
        </w:rPr>
        <w:t>Moda Health Plan, Inc. v. United States</w:t>
      </w:r>
      <w:r>
        <w:rPr>
          <w:rFonts w:ascii="Times New Roman" w:cs="Times New Roman" w:eastAsia="Times New Roman" w:hAnsi="Times New Roman"/>
          <w:sz w:val="17"/>
          <w:szCs w:val="17"/>
          <w:color w:val="auto"/>
        </w:rPr>
        <w:t xml:space="preserve"> the U.S. Supreme Court reversed the judgment, holding the risk corridors program created a government obligation to pay insurers the full amount set out in the Affordable Care Act and remanded for further preceding. The effects of this gap in reimbursement on third-party payors, the viability of the Affordable Care Act marketplace, providers, and potentially our business, are not yet known.</w:t>
      </w:r>
    </w:p>
    <w:p>
      <w:pPr>
        <w:spacing w:after="0" w:line="180"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Moreover, on January 22, 2018, President Trump signed a continuing resolution on appropriations for fiscal year 2018 that delayed the implementation of certain Affordable Care Act-mandated fees, including the so called “Cadillac” tax on certain high cost employer-sponsored insurance plans, the annual fee imposed on certain health insurance providers based on market share. However, on December 20, 2019, President Trump signed into law the Further Consolidated Appropriations Act (H.R. 1865), which repeals the Cadillac tax, the health insurance provider tax, and the medical device excise tax. In December 2018, CMS published a final rule permitting further collections and</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Times New Roman" w:cs="Times New Roman" w:eastAsia="Times New Roman" w:hAnsi="Times New Roman"/>
          <w:sz w:val="18"/>
          <w:szCs w:val="18"/>
          <w:color w:val="auto"/>
        </w:rPr>
        <w:t>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Since then, the Affordable Care Act risk adjustment program payment parameters have been updated annually. In addition, CMS published regulations that would give states greater flexibility in setting benchmarks for insurers in the individual and small group marketplaces, which may have the effect of relaxing the health benefits required under the Affordable Care Act for plans sold through these marketplaces. Congress and the Trump administration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8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at the federal level, the U.S. government’s budget proposal for fiscal year 2021 includes a $135 billion allowance to support legislative proposals seeking to reduce drug prices, increase competition, lower out-of-pocket drug costs for patients, and increase patient access to lower-cost generic and biosimilar drugs. While some proposed measures may require additional authorization to become effective, Congress and the Trump administration have each indicated that it will continue to seek new legislative and/or administrative measures to control drug costs.</w:t>
      </w:r>
    </w:p>
    <w:p>
      <w:pPr>
        <w:spacing w:after="0" w:line="188"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We may face competition in the U.S. for our current and future drug candidates and approved drugs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the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95" w:lineRule="exact"/>
        <w:rPr>
          <w:sz w:val="20"/>
          <w:szCs w:val="20"/>
          <w:color w:val="auto"/>
        </w:rPr>
      </w:pPr>
    </w:p>
    <w:p>
      <w:pPr>
        <w:jc w:val="both"/>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On March 10, 2020, the U.S. government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w:t>
      </w:r>
    </w:p>
    <w:p>
      <w:pPr>
        <w:spacing w:after="0" w:line="1"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7"/>
          <w:szCs w:val="17"/>
          <w:color w:val="auto"/>
        </w:rPr>
        <w:t>Additionally, the Trump administration previously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firstLine="648"/>
        <w:spacing w:after="0" w:line="245" w:lineRule="auto"/>
        <w:rPr>
          <w:sz w:val="20"/>
          <w:szCs w:val="20"/>
          <w:color w:val="auto"/>
        </w:rPr>
      </w:pPr>
      <w:r>
        <w:rPr>
          <w:rFonts w:ascii="Times New Roman" w:cs="Times New Roman" w:eastAsia="Times New Roman" w:hAnsi="Times New Roman"/>
          <w:sz w:val="18"/>
          <w:szCs w:val="18"/>
          <w:color w:val="auto"/>
        </w:rPr>
        <w:t>In addition, individual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81"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current and future drugs.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85"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6" w:lineRule="exact"/>
        <w:rPr>
          <w:sz w:val="20"/>
          <w:szCs w:val="20"/>
          <w:color w:val="auto"/>
        </w:rPr>
      </w:pPr>
    </w:p>
    <w:p>
      <w:pPr>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1"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 and we may not be able to generate any revenue.</w:t>
      </w:r>
    </w:p>
    <w:p>
      <w:pPr>
        <w:spacing w:after="0" w:line="175"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4"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In addition, we may not be successful in entering into arrangements with third parties to sell and market our current and future drugs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8"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We are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of our approved drugs and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drugs and drug candidates for which we obtain marketing approval. Restrictions under applicable federal and state healthcare laws and regulations include, but are not limited to, the following:</w:t>
      </w:r>
    </w:p>
    <w:p>
      <w:pPr>
        <w:spacing w:after="0" w:line="187" w:lineRule="exact"/>
        <w:rPr>
          <w:sz w:val="20"/>
          <w:szCs w:val="20"/>
          <w:color w:val="auto"/>
        </w:rPr>
      </w:pPr>
    </w:p>
    <w:p>
      <w:pPr>
        <w:ind w:left="1380" w:right="239" w:hanging="331"/>
        <w:spacing w:after="0" w:line="241"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1380" w:right="119" w:hanging="331"/>
        <w:spacing w:after="0" w:line="238"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91" w:lineRule="exact"/>
        <w:rPr>
          <w:rFonts w:ascii="Times New Roman" w:cs="Times New Roman" w:eastAsia="Times New Roman" w:hAnsi="Times New Roman"/>
          <w:sz w:val="18"/>
          <w:szCs w:val="18"/>
          <w:color w:val="auto"/>
        </w:rPr>
      </w:pPr>
    </w:p>
    <w:p>
      <w:pPr>
        <w:ind w:left="1380" w:right="179" w:hanging="331"/>
        <w:spacing w:after="0"/>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regardless of the payor (e.g., public or private),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4" w:lineRule="exact"/>
        <w:rPr>
          <w:rFonts w:ascii="Times New Roman" w:cs="Times New Roman" w:eastAsia="Times New Roman" w:hAnsi="Times New Roman"/>
          <w:sz w:val="18"/>
          <w:szCs w:val="18"/>
          <w:color w:val="auto"/>
        </w:rPr>
      </w:pPr>
    </w:p>
    <w:p>
      <w:pPr>
        <w:ind w:left="1380" w:right="99" w:hanging="331"/>
        <w:spacing w:after="0" w:line="239"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(as defined by the statute) and their immediate family members. Effective January 1, 2022, these reporting obligations will extend to include transfers of value made to certain non-physician providers such as physician assistants and nurse practitioners;</w:t>
      </w:r>
    </w:p>
    <w:p>
      <w:pPr>
        <w:spacing w:after="0" w:line="187" w:lineRule="exact"/>
        <w:rPr>
          <w:rFonts w:ascii="Times New Roman" w:cs="Times New Roman" w:eastAsia="Times New Roman" w:hAnsi="Times New Roman"/>
          <w:sz w:val="18"/>
          <w:szCs w:val="18"/>
          <w:color w:val="auto"/>
        </w:rPr>
      </w:pPr>
    </w:p>
    <w:p>
      <w:pPr>
        <w:ind w:left="1380" w:right="119" w:hanging="331"/>
        <w:spacing w:after="0" w:line="239" w:lineRule="auto"/>
        <w:tabs>
          <w:tab w:leader="none" w:pos="1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59"/>
        <w:spacing w:after="0" w:line="266" w:lineRule="auto"/>
        <w:rPr>
          <w:sz w:val="20"/>
          <w:szCs w:val="20"/>
          <w:color w:val="auto"/>
        </w:rPr>
      </w:pPr>
      <w:r>
        <w:rPr>
          <w:rFonts w:ascii="Times New Roman" w:cs="Times New Roman" w:eastAsia="Times New Roman" w:hAnsi="Times New Roman"/>
          <w:sz w:val="18"/>
          <w:szCs w:val="18"/>
          <w:color w:val="auto"/>
        </w:rPr>
        <w:t>actions for damages or injunctions in federal courts to enforce the federal HIPAA laws and seek attorneys’ fees and costs associated with pursuing federal civil actions;</w:t>
      </w:r>
    </w:p>
    <w:p>
      <w:pPr>
        <w:spacing w:after="0" w:line="162" w:lineRule="exact"/>
        <w:rPr>
          <w:sz w:val="20"/>
          <w:szCs w:val="20"/>
          <w:color w:val="auto"/>
        </w:rPr>
      </w:pPr>
    </w:p>
    <w:p>
      <w:pPr>
        <w:ind w:left="1380" w:right="259" w:hanging="331"/>
        <w:spacing w:after="0" w:line="242"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4" w:lineRule="exact"/>
        <w:rPr>
          <w:rFonts w:ascii="Times New Roman" w:cs="Times New Roman" w:eastAsia="Times New Roman" w:hAnsi="Times New Roman"/>
          <w:sz w:val="18"/>
          <w:szCs w:val="18"/>
          <w:color w:val="auto"/>
        </w:rPr>
      </w:pPr>
    </w:p>
    <w:p>
      <w:pPr>
        <w:ind w:left="1380" w:right="199" w:hanging="331"/>
        <w:spacing w:after="0" w:line="266"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2" w:lineRule="exact"/>
        <w:rPr>
          <w:rFonts w:ascii="Times New Roman" w:cs="Times New Roman" w:eastAsia="Times New Roman" w:hAnsi="Times New Roman"/>
          <w:sz w:val="18"/>
          <w:szCs w:val="18"/>
          <w:color w:val="auto"/>
        </w:rPr>
      </w:pPr>
    </w:p>
    <w:p>
      <w:pPr>
        <w:ind w:left="1380" w:right="119" w:hanging="331"/>
        <w:spacing w:after="0" w:line="238" w:lineRule="auto"/>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91"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91"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4" w:lineRule="exact"/>
        <w:rPr>
          <w:sz w:val="20"/>
          <w:szCs w:val="20"/>
          <w:color w:val="auto"/>
        </w:rPr>
      </w:pPr>
    </w:p>
    <w:p>
      <w:pPr>
        <w:ind w:left="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8"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develop our drug candidates or obtain approval of our drug candidates and ultimately commercialize our drug candidates in foreign markets, we would be subject to additional risks and uncertainties, including:</w:t>
      </w:r>
    </w:p>
    <w:p>
      <w:pPr>
        <w:spacing w:after="0" w:line="162" w:lineRule="exact"/>
        <w:rPr>
          <w:sz w:val="20"/>
          <w:szCs w:val="20"/>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11" w:lineRule="exact"/>
        <w:rPr>
          <w:rFonts w:ascii="Times New Roman" w:cs="Times New Roman" w:eastAsia="Times New Roman" w:hAnsi="Times New Roman"/>
          <w:sz w:val="18"/>
          <w:szCs w:val="18"/>
          <w:color w:val="auto"/>
        </w:rPr>
      </w:pPr>
    </w:p>
    <w:p>
      <w:pPr>
        <w:ind w:left="1380" w:right="119" w:hanging="331"/>
        <w:spacing w:after="0" w:line="250" w:lineRule="auto"/>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1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87" w:lineRule="exact"/>
        <w:rPr>
          <w:sz w:val="20"/>
          <w:szCs w:val="20"/>
          <w:color w:val="auto"/>
        </w:rPr>
      </w:pPr>
    </w:p>
    <w:p>
      <w:pPr>
        <w:ind w:left="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8" w:lineRule="exact"/>
        <w:rPr>
          <w:sz w:val="20"/>
          <w:szCs w:val="20"/>
          <w:color w:val="auto"/>
        </w:rPr>
      </w:pPr>
    </w:p>
    <w:p>
      <w:pPr>
        <w:ind w:left="60" w:right="439" w:firstLine="648"/>
        <w:spacing w:after="0" w:line="264"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w:t>
      </w:r>
    </w:p>
    <w:p>
      <w:pPr>
        <w:sectPr>
          <w:pgSz w:w="11900" w:h="16838" w:orient="portrait"/>
          <w:cols w:equalWidth="0" w:num="1">
            <w:col w:w="9019"/>
          </w:cols>
          <w:pgMar w:left="1440" w:top="513"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5" w:lineRule="auto"/>
        <w:rPr>
          <w:sz w:val="20"/>
          <w:szCs w:val="20"/>
          <w:color w:val="auto"/>
        </w:rPr>
      </w:pPr>
      <w:r>
        <w:rPr>
          <w:rFonts w:ascii="Times New Roman" w:cs="Times New Roman" w:eastAsia="Times New Roman" w:hAnsi="Times New Roman"/>
          <w:sz w:val="18"/>
          <w:szCs w:val="18"/>
          <w:color w:val="auto"/>
        </w:rPr>
        <w:t>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12"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licensing arrangements, and, if we are not able to establish them on commercially reasonable terms, we may have to alter our development and commercialization plans.</w:t>
      </w:r>
    </w:p>
    <w:p>
      <w:pPr>
        <w:spacing w:after="0" w:line="158"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Our drug development programs and the commercialization of any of our approved drugs and drug candidates will require substantial additional cash to fund expenses. We may decide to collaborate with additional pharmaceutical and biotechnology companies for the development and commercialization of certain approved drugs or drug candidates or to license the development and commercialization rights of certain approved drugs or drug candidates to third parties.</w:t>
      </w:r>
    </w:p>
    <w:p>
      <w:pPr>
        <w:spacing w:after="0" w:line="181"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licensing partners. Whether we reach a definitive agreement for a collaboration or license will depend, among other things, upon our assessment of the collaborator’s or licensing partner’s resources and expertise, the terms and conditions of the proposed agreement and the proposed partner’s evaluation of a number of factors. Those factors may include the design or results of clinical trials, the likelihood of approval by the FDA or similar regulatory authorities outside the U.S., the potential market for the subject drug or drug candidate, the costs and complexities of manufacturing and delivering such drug or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or licensing partner may also consider alternative drug candidates or technologies for similar indications that may be available to collaborate on and whether such a collaboration or licensing arrangement could be more attractive than the one with us for our drug candidate. The terms of any additional collaborations, licenses or other arrangements that we may establish may not be favorable to us. We may also be restricted under our collaboration agreements with Roche and CStone and our license agreement with Clementia from entering into future agreements on certain terms with potential collaborators. 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186" w:lineRule="exact"/>
        <w:rPr>
          <w:sz w:val="20"/>
          <w:szCs w:val="20"/>
          <w:color w:val="auto"/>
        </w:rPr>
      </w:pPr>
    </w:p>
    <w:p>
      <w:pPr>
        <w:ind w:left="60" w:right="319" w:firstLine="648"/>
        <w:spacing w:after="0" w:line="239" w:lineRule="auto"/>
        <w:rPr>
          <w:sz w:val="20"/>
          <w:szCs w:val="20"/>
          <w:color w:val="auto"/>
        </w:rPr>
      </w:pPr>
      <w:r>
        <w:rPr>
          <w:rFonts w:ascii="Times New Roman" w:cs="Times New Roman" w:eastAsia="Times New Roman" w:hAnsi="Times New Roman"/>
          <w:sz w:val="18"/>
          <w:szCs w:val="18"/>
          <w:color w:val="auto"/>
        </w:rPr>
        <w:t>We may not be able to negotiate additional collaborations and licensing arrangements on a timely basis, on acceptable terms or at all. If we are unable to do so, we may have to curtail the development of the drug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87"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 addition, our collaborations or licenses with Roche, CStone and Clementia, as well as any future collaborations or licenses that we enter into, may not be successful. The success of these arrangements will depend heavily on the efforts and activities of our collaborators and licensing partners.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Licensors generally have sole discretion in determining the efforts and resources that they will apply to the licensed products. Collaborations and licenses with pharmaceutical or biotechnology companies and other third parties often are terminated or allowed to expire by the other party. For example, in the fourth quarter of 2017, Alexion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5" w:lineRule="auto"/>
        <w:rPr>
          <w:sz w:val="20"/>
          <w:szCs w:val="20"/>
          <w:color w:val="auto"/>
        </w:rPr>
      </w:pPr>
      <w:r>
        <w:rPr>
          <w:rFonts w:ascii="Times New Roman" w:cs="Times New Roman" w:eastAsia="Times New Roman" w:hAnsi="Times New Roman"/>
          <w:sz w:val="18"/>
          <w:szCs w:val="18"/>
          <w:color w:val="auto"/>
        </w:rPr>
        <w:t>terminated our collaboration related to fibrodysplasia ossificans progressiva for convenience following a strategic review by Alexion of its research and development portfolio. Any termination or expiration of our collaboration or license agreements with Roche, CStone or Clementia, or of any future collaboration or license agreement, could adversely affect us financially or harm our business reputation.</w:t>
      </w:r>
    </w:p>
    <w:p>
      <w:pPr>
        <w:spacing w:after="0" w:line="177" w:lineRule="exact"/>
        <w:rPr>
          <w:sz w:val="20"/>
          <w:szCs w:val="20"/>
          <w:color w:val="auto"/>
        </w:rPr>
      </w:pPr>
    </w:p>
    <w:p>
      <w:pPr>
        <w:jc w:val="both"/>
        <w:ind w:left="60" w:right="7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approved drugs and drug candidates. If these third parties do not successfully carry out their contractual duties, comply with regulatory requirements or meet expected deadlines, we may not be able to obtain regulatory approval for or commercialize our approved drugs and drug candidates and our business could be substantially harmed.</w:t>
      </w:r>
    </w:p>
    <w:p>
      <w:pPr>
        <w:spacing w:after="0" w:line="181"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7"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8"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4" w:lineRule="exact"/>
        <w:rPr>
          <w:sz w:val="20"/>
          <w:szCs w:val="20"/>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12"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rPr>
          <w:sz w:val="20"/>
          <w:szCs w:val="20"/>
          <w:color w:val="auto"/>
        </w:rPr>
      </w:pPr>
      <w:r>
        <w:rPr>
          <w:rFonts w:ascii="Times New Roman" w:cs="Times New Roman" w:eastAsia="Times New Roman" w:hAnsi="Times New Roman"/>
          <w:sz w:val="18"/>
          <w:szCs w:val="18"/>
          <w:color w:val="auto"/>
        </w:rPr>
        <w:t>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5"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3" w:lineRule="exact"/>
        <w:rPr>
          <w:sz w:val="20"/>
          <w:szCs w:val="20"/>
          <w:color w:val="auto"/>
        </w:rPr>
      </w:pPr>
    </w:p>
    <w:p>
      <w:pPr>
        <w:ind w:left="60" w:right="7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pre-clinical development and clinical trials, and for the manufacture of AYVAKIT/AYVAKYT and GAVRETO for commercialization. This reliance on third parties increases the risk that we will not have sufficient quantities of our drugs or drug candidates or such quantities at an acceptable cost, which could delay, prevent or impair our development or commercialization efforts.</w:t>
      </w:r>
    </w:p>
    <w:p>
      <w:pPr>
        <w:spacing w:after="0" w:line="181"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4"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98"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In response to the COVID-19 pandemic, on March 10, 2020, the FDA announced its intention to postpone most inspections of foreign manufacturing facilities and products while local, national and international conditions warrant. On March 18, 2020, the FDA announced its intention to temporarily postpone routine surveillance inspections of domestic manufacturing facilities and provided guidance regarding the conduct of clinical trials which the FDA continues to update.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43" w:lineRule="auto"/>
        <w:rPr>
          <w:sz w:val="20"/>
          <w:szCs w:val="20"/>
          <w:color w:val="auto"/>
        </w:rPr>
      </w:pPr>
      <w:r>
        <w:rPr>
          <w:rFonts w:ascii="Times New Roman" w:cs="Times New Roman" w:eastAsia="Times New Roman" w:hAnsi="Times New Roman"/>
          <w:sz w:val="18"/>
          <w:szCs w:val="18"/>
          <w:color w:val="auto"/>
        </w:rPr>
        <w:t>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Regulatory authorities outside the U.S. may adopt similar restrictions or other policy measures in response to the COVID-19 pandemic and may experience delays in their regulatory activities.</w:t>
      </w:r>
    </w:p>
    <w:p>
      <w:pPr>
        <w:spacing w:after="0" w:line="18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do not have long-term supply agreements with all of our contract manufacturers, and purchase our required drug supply, including the API, drug product and drug substance used in our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85" w:lineRule="exact"/>
        <w:rPr>
          <w:sz w:val="20"/>
          <w:szCs w:val="20"/>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11"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2"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Any of our approved drugs and drug candidates that we may develop may compete with other approved drugs and drug candidates for access to manufacturing facilities. There are a limited number of manufacturers that operate under cGMP regulations and that might be capable of manufacturing for us. On March 27, 2020, President Trump signed into law the Coronavirus Aid, Relief, and Economic Security (CARES) Act in response to the U.S.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91" w:lineRule="exact"/>
        <w:rPr>
          <w:sz w:val="20"/>
          <w:szCs w:val="20"/>
          <w:color w:val="auto"/>
        </w:rPr>
      </w:pPr>
    </w:p>
    <w:p>
      <w:pPr>
        <w:ind w:left="60" w:right="259" w:firstLine="648"/>
        <w:spacing w:after="0" w:line="24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84" w:lineRule="exact"/>
        <w:rPr>
          <w:sz w:val="20"/>
          <w:szCs w:val="20"/>
          <w:color w:val="auto"/>
        </w:rPr>
      </w:pPr>
    </w:p>
    <w:p>
      <w:pPr>
        <w:ind w:left="60" w:right="319" w:firstLine="648"/>
        <w:spacing w:after="0" w:line="245"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77" w:lineRule="exact"/>
        <w:rPr>
          <w:sz w:val="20"/>
          <w:szCs w:val="20"/>
          <w:color w:val="auto"/>
        </w:rPr>
      </w:pPr>
    </w:p>
    <w:p>
      <w:pPr>
        <w:ind w:left="60" w:right="3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75"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The API, drug substance and drug product used in avapritinib and pralsetinib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2" w:lineRule="auto"/>
        <w:rPr>
          <w:sz w:val="20"/>
          <w:szCs w:val="20"/>
          <w:color w:val="auto"/>
        </w:rPr>
      </w:pPr>
      <w:r>
        <w:rPr>
          <w:rFonts w:ascii="Times New Roman" w:cs="Times New Roman" w:eastAsia="Times New Roman" w:hAnsi="Times New Roman"/>
          <w:sz w:val="18"/>
          <w:szCs w:val="18"/>
          <w:color w:val="auto"/>
        </w:rPr>
        <w:t>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COVID-19 pandemic, it could significantly and adversely affect our business, the supply of our drug candidates or approved drugs and our financial condition.</w:t>
      </w:r>
    </w:p>
    <w:p>
      <w:pPr>
        <w:spacing w:after="0" w:line="185"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avapritinib, pralsetinib, fisogatinib and BLU-263 through 2021. However, the COVID-19 pandemic could adversely impact our suppliers and result in delays or disruptions in our current or future supply chain.</w:t>
      </w:r>
    </w:p>
    <w:p>
      <w:pPr>
        <w:spacing w:after="0" w:line="188"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ind w:left="60" w:right="1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1"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recent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12" w:lineRule="exact"/>
        <w:rPr>
          <w:sz w:val="20"/>
          <w:szCs w:val="20"/>
          <w:color w:val="auto"/>
        </w:rPr>
      </w:pPr>
    </w:p>
    <w:p>
      <w:pPr>
        <w:ind w:left="60" w:right="3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1"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85"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adjustments or patent term extensions could result in later expiration dates.</w:t>
      </w:r>
    </w:p>
    <w:p>
      <w:pPr>
        <w:spacing w:after="0" w:line="187"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As of October 15, 2020, we owned nine issued U.S. patents, 13 issued foreign patents, including one European patent validated in 38 countries, three pending U.S. non-provisional patent applications, five pending U.S. provisional patent applications, four pending PCT international applications and 23 pending foreign patent applications directed to our KIT and PDGFRA program, including avapritinib and BLU-263. The patents that have issued or will issue covering our KIT and PDGFRA program will have a statutory expiration date between 2034 and 2041. Patent term adjustments or patent term extensions could result in later expiration dates for avapritinib or BLU-263.</w:t>
      </w:r>
    </w:p>
    <w:p>
      <w:pPr>
        <w:spacing w:after="0" w:line="184"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As of October 15, 2020, we owned seven issued U.S. patents, five pending U.S. non-provisional patent applications, three U.S. provisional patent applications, two pending PCT international applications, two issued foreign patents and 38 pending foreign patent applications directed to our RET program, including pralsetinib. The patents that have issued or will issue covering our RET program will have a statutory expiration date between 2036 and 2041. Patent term adjustments or patent term extensions could result in later expiration dates.</w:t>
      </w:r>
    </w:p>
    <w:p>
      <w:pPr>
        <w:spacing w:after="0" w:line="185"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As of October 15, 2020, we owned eight issued U.S. patents, three pending U.S. non-provisional patent applications, two pending PCT international applications, 26 issued foreign patents and 29 pending foreign patent applications directed to our FGFR4 program, including fisogatinib. The patents that have issued or will issue covering our FGFR4 program will have a statutory expiration date between 2033 and 2039. Patent term adjustments or patent term extensions could result in later expiration dates.</w:t>
      </w:r>
    </w:p>
    <w:p>
      <w:pPr>
        <w:spacing w:after="0" w:line="185"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October 15, 2020, we owned seven issued U.S. patents, six pending U.S. non-provisional patent applications, five pending European Union patent applications and six issued European patents directed to this technology. Any U.S. or ex-U.S. patent issuing from the pending applications directed to this technology, if issued, will have statutory expiration dates ranging from 2034 to 2035.</w:t>
      </w:r>
    </w:p>
    <w:p>
      <w:pPr>
        <w:spacing w:after="0" w:line="184"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left="60" w:right="379" w:firstLine="648"/>
        <w:spacing w:after="0" w:line="296" w:lineRule="auto"/>
        <w:rPr>
          <w:sz w:val="20"/>
          <w:szCs w:val="20"/>
          <w:color w:val="auto"/>
        </w:rPr>
      </w:pPr>
      <w:r>
        <w:rPr>
          <w:rFonts w:ascii="Times New Roman" w:cs="Times New Roman" w:eastAsia="Times New Roman" w:hAnsi="Times New Roman"/>
          <w:sz w:val="17"/>
          <w:szCs w:val="17"/>
          <w:color w:val="auto"/>
        </w:rPr>
        <w:t>The degree of patent protection we require to successfully commercialize any of our approved drugs and drug candidates may be unavailable or severely limited in some cases and may not adequately protect our rights or permit us</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8" w:lineRule="auto"/>
        <w:rPr>
          <w:sz w:val="20"/>
          <w:szCs w:val="20"/>
          <w:color w:val="auto"/>
        </w:rPr>
      </w:pPr>
      <w:r>
        <w:rPr>
          <w:rFonts w:ascii="Times New Roman" w:cs="Times New Roman" w:eastAsia="Times New Roman" w:hAnsi="Times New Roman"/>
          <w:sz w:val="18"/>
          <w:szCs w:val="18"/>
          <w:color w:val="auto"/>
        </w:rPr>
        <w:t>to gain or keep any competitive advantage. We cannot provide any assurances that any of our patents have, or that any of our pending patent applications that mature into issued patents will include, claims with a scope sufficient to protect avapritinib, pralsetinib, fisogatinib or BLU-263.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8"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7"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7"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7"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3" w:lineRule="exact"/>
        <w:rPr>
          <w:sz w:val="20"/>
          <w:szCs w:val="20"/>
          <w:color w:val="auto"/>
        </w:rPr>
      </w:pPr>
    </w:p>
    <w:p>
      <w:pPr>
        <w:ind w:left="60" w:right="6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5"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0" w:lineRule="auto"/>
        <w:rPr>
          <w:sz w:val="20"/>
          <w:szCs w:val="20"/>
          <w:color w:val="auto"/>
        </w:rPr>
      </w:pPr>
      <w:r>
        <w:rPr>
          <w:rFonts w:ascii="Times New Roman" w:cs="Times New Roman" w:eastAsia="Times New Roman" w:hAnsi="Times New Roman"/>
          <w:sz w:val="18"/>
          <w:szCs w:val="18"/>
          <w:color w:val="auto"/>
        </w:rPr>
        <w:t>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77"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7"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8"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1" w:lineRule="exact"/>
        <w:rPr>
          <w:sz w:val="20"/>
          <w:szCs w:val="20"/>
          <w:color w:val="auto"/>
        </w:rPr>
      </w:pPr>
    </w:p>
    <w:p>
      <w:pPr>
        <w:ind w:left="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1" w:lineRule="exact"/>
        <w:rPr>
          <w:sz w:val="20"/>
          <w:szCs w:val="20"/>
          <w:color w:val="auto"/>
        </w:rPr>
      </w:pPr>
    </w:p>
    <w:p>
      <w:pPr>
        <w:ind w:left="60" w:right="359" w:firstLine="648"/>
        <w:spacing w:after="0" w:line="296"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w:t>
      </w:r>
    </w:p>
    <w:p>
      <w:pPr>
        <w:sectPr>
          <w:pgSz w:w="11900" w:h="16838" w:orient="portrait"/>
          <w:cols w:equalWidth="0" w:num="1">
            <w:col w:w="9019"/>
          </w:cols>
          <w:pgMar w:left="1440" w:top="513" w:right="1440" w:bottom="1440" w:gutter="0" w:footer="0" w:header="0"/>
        </w:sect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4" w:lineRule="auto"/>
        <w:rPr>
          <w:sz w:val="20"/>
          <w:szCs w:val="20"/>
          <w:color w:val="auto"/>
        </w:rPr>
      </w:pPr>
      <w:r>
        <w:rPr>
          <w:rFonts w:ascii="Times New Roman" w:cs="Times New Roman" w:eastAsia="Times New Roman" w:hAnsi="Times New Roman"/>
          <w:sz w:val="17"/>
          <w:szCs w:val="17"/>
          <w:color w:val="auto"/>
        </w:rPr>
        <w:t>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2" w:lineRule="exact"/>
        <w:rPr>
          <w:sz w:val="20"/>
          <w:szCs w:val="20"/>
          <w:color w:val="auto"/>
        </w:rPr>
      </w:pPr>
    </w:p>
    <w:p>
      <w:pPr>
        <w:ind w:left="6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drugs or drug candidates, which would have a material adverse effect on our business.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88" w:lineRule="exact"/>
        <w:rPr>
          <w:sz w:val="20"/>
          <w:szCs w:val="20"/>
          <w:color w:val="auto"/>
        </w:rPr>
      </w:pPr>
    </w:p>
    <w:p>
      <w:pPr>
        <w:ind w:left="60" w:right="219" w:firstLine="648"/>
        <w:spacing w:after="0" w:line="242"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1"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8"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42" w:lineRule="auto"/>
        <w:rPr>
          <w:sz w:val="20"/>
          <w:szCs w:val="20"/>
          <w:color w:val="auto"/>
        </w:rPr>
      </w:pPr>
      <w:r>
        <w:rPr>
          <w:rFonts w:ascii="Times New Roman" w:cs="Times New Roman" w:eastAsia="Times New Roman" w:hAnsi="Times New Roman"/>
          <w:sz w:val="18"/>
          <w:szCs w:val="18"/>
          <w:color w:val="auto"/>
        </w:rPr>
        <w:t>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5"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0" w:lineRule="exact"/>
        <w:rPr>
          <w:sz w:val="20"/>
          <w:szCs w:val="20"/>
          <w:color w:val="auto"/>
        </w:rPr>
      </w:pPr>
    </w:p>
    <w:p>
      <w:pPr>
        <w:ind w:left="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8"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89"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rPr>
          <w:sz w:val="20"/>
          <w:szCs w:val="20"/>
          <w:color w:val="auto"/>
        </w:rPr>
      </w:pPr>
      <w:r>
        <w:rPr>
          <w:rFonts w:ascii="Times New Roman" w:cs="Times New Roman" w:eastAsia="Times New Roman" w:hAnsi="Times New Roman"/>
          <w:sz w:val="18"/>
          <w:szCs w:val="18"/>
          <w:color w:val="auto"/>
        </w:rPr>
        <w:t>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212" w:lineRule="exact"/>
        <w:rPr>
          <w:sz w:val="20"/>
          <w:szCs w:val="20"/>
          <w:color w:val="auto"/>
        </w:rPr>
      </w:pPr>
    </w:p>
    <w:p>
      <w:pPr>
        <w:ind w:left="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8" w:lineRule="exact"/>
        <w:rPr>
          <w:sz w:val="20"/>
          <w:szCs w:val="20"/>
          <w:color w:val="auto"/>
        </w:rPr>
      </w:pPr>
    </w:p>
    <w:p>
      <w:pPr>
        <w:ind w:left="60" w:right="179" w:firstLine="648"/>
        <w:spacing w:after="0" w:line="260" w:lineRule="auto"/>
        <w:rPr>
          <w:sz w:val="20"/>
          <w:szCs w:val="20"/>
          <w:color w:val="auto"/>
        </w:rPr>
      </w:pPr>
      <w:r>
        <w:rPr>
          <w:rFonts w:ascii="Times New Roman" w:cs="Times New Roman" w:eastAsia="Times New Roman" w:hAnsi="Times New Roman"/>
          <w:sz w:val="17"/>
          <w:szCs w:val="17"/>
          <w:color w:val="auto"/>
        </w:rPr>
        <w:t>We are highly dependent on the research and development, clinical, business development, financial and legal expertise of Jeffrey W. Albers, our President and Chief Executive Officer, Fouad Namouni, M.D., our President, Research</w:t>
      </w:r>
    </w:p>
    <w:p>
      <w:pPr>
        <w:spacing w:after="0" w:line="1" w:lineRule="exact"/>
        <w:rPr>
          <w:sz w:val="20"/>
          <w:szCs w:val="20"/>
          <w:color w:val="auto"/>
        </w:rPr>
      </w:pPr>
    </w:p>
    <w:p>
      <w:pPr>
        <w:ind w:left="60" w:right="99" w:hanging="10"/>
        <w:spacing w:after="0" w:line="236"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Anthony L. Boral, our Chief Medical Officer, Debra Durso-Bumpus, our Chief People Officer, Marion Dorsch, our Chief Scientific Officer, Kathryn Haviland, our Chief Operating Officer, Michael Landsittel, our Chief Financial Officer, Tracey McCain, our Chief Legal and Compliance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5"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2"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8"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As of October 15, 2020, we had 420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7"/>
          <w:szCs w:val="17"/>
          <w:color w:val="auto"/>
        </w:rPr>
        <w:t>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6" w:lineRule="exact"/>
        <w:rPr>
          <w:sz w:val="20"/>
          <w:szCs w:val="20"/>
          <w:color w:val="auto"/>
        </w:rPr>
      </w:pPr>
    </w:p>
    <w:p>
      <w:pPr>
        <w:ind w:left="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8"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4"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For example, the departure of the United Kingdom from the European Union, commonly referred to as Brexit, could result in the United Kingdom or the European Union significantly altering its regulations affecting the clearance or approval of our drug candidates that are developed in the United Kingdom. 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87"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8"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ind w:left="60" w:right="1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1"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rPr>
          <w:sz w:val="20"/>
          <w:szCs w:val="20"/>
          <w:color w:val="auto"/>
        </w:rPr>
      </w:pPr>
      <w:r>
        <w:rPr>
          <w:rFonts w:ascii="Times New Roman" w:cs="Times New Roman" w:eastAsia="Times New Roman" w:hAnsi="Times New Roman"/>
          <w:sz w:val="18"/>
          <w:szCs w:val="18"/>
          <w:color w:val="auto"/>
        </w:rPr>
        <w:t>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85"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82" w:lineRule="exact"/>
        <w:rPr>
          <w:sz w:val="20"/>
          <w:szCs w:val="20"/>
          <w:color w:val="auto"/>
        </w:rPr>
      </w:pPr>
    </w:p>
    <w:p>
      <w:pPr>
        <w:jc w:val="both"/>
        <w:ind w:left="60" w:right="1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5"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91"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7" w:lineRule="exact"/>
        <w:rPr>
          <w:sz w:val="20"/>
          <w:szCs w:val="20"/>
          <w:color w:val="auto"/>
        </w:rPr>
      </w:pPr>
    </w:p>
    <w:p>
      <w:pPr>
        <w:jc w:val="both"/>
        <w:ind w:left="6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Times New Roman" w:cs="Times New Roman" w:eastAsia="Times New Roman" w:hAnsi="Times New Roman"/>
          <w:sz w:val="18"/>
          <w:szCs w:val="18"/>
          <w:color w:val="auto"/>
        </w:rPr>
        <w:t>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2" w:lineRule="exact"/>
        <w:rPr>
          <w:sz w:val="20"/>
          <w:szCs w:val="20"/>
          <w:color w:val="auto"/>
        </w:rPr>
      </w:pPr>
    </w:p>
    <w:p>
      <w:pPr>
        <w:ind w:left="60" w:right="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90" w:lineRule="exact"/>
        <w:rPr>
          <w:sz w:val="20"/>
          <w:szCs w:val="20"/>
          <w:color w:val="auto"/>
        </w:rPr>
      </w:pPr>
    </w:p>
    <w:p>
      <w:pPr>
        <w:ind w:left="60" w:right="2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drugs, or form strategic alliances, in the future, and we may not realize the benefits of such acquisitions.</w:t>
      </w:r>
    </w:p>
    <w:p>
      <w:pPr>
        <w:spacing w:after="0" w:line="158"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We may acquire or in-license additional businesses, technologies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16"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5"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For example, on December 22, 2017,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on March 27, 2020, President Trump signed into law the CARES Act, which included certain changes in tax law intended to stimulate the U.S. economy in light of the COVID-19 pandemic, including delaying the 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16" w:lineRule="exact"/>
        <w:rPr>
          <w:sz w:val="20"/>
          <w:szCs w:val="20"/>
          <w:color w:val="auto"/>
        </w:rPr>
      </w:pPr>
    </w:p>
    <w:p>
      <w:pPr>
        <w:jc w:val="both"/>
        <w:ind w:left="60" w:right="259" w:firstLine="648"/>
        <w:spacing w:after="0" w:line="245"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$109.00 and a low price of $13.04 per share for the period beginning on April 30, 2015, our first day of trading on The Nasdaq Global Select Market, through October 28, 2020. As a result of this volatility, our stockholders could incur substantial losses.</w:t>
      </w:r>
    </w:p>
    <w:p>
      <w:pPr>
        <w:spacing w:after="0" w:line="18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4" w:lineRule="exact"/>
        <w:rPr>
          <w:sz w:val="20"/>
          <w:szCs w:val="20"/>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79" w:hanging="331"/>
        <w:spacing w:after="0" w:line="266"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11" w:lineRule="exact"/>
        <w:rPr>
          <w:rFonts w:ascii="Times New Roman" w:cs="Times New Roman" w:eastAsia="Times New Roman" w:hAnsi="Times New Roman"/>
          <w:sz w:val="18"/>
          <w:szCs w:val="18"/>
          <w:color w:val="auto"/>
        </w:rPr>
      </w:pPr>
    </w:p>
    <w:p>
      <w:pPr>
        <w:ind w:left="1380" w:right="399" w:hanging="331"/>
        <w:spacing w:after="0" w:line="266" w:lineRule="auto"/>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7"/>
          <w:szCs w:val="17"/>
          <w:color w:val="auto"/>
        </w:rPr>
        <w:t>Future sales or issuances of common stock or other equity related securities may also adversely affect the market price of our common stock. In July 2020, we entered into a sales agreement with Cowen through which we may, from time to time, issue and sell shares of our common stock having an aggregate offering price of up to $250.0 million, subject to the terms and conditions of the sales agreement. If we sell our common stock under the sales agreement, seek authorization to sell additional shares of common stock under the sales agreement, enter into new “at-the-market” stock offering programs, or through other means, it could lead to additional dilution for our stockholders and may impact our stock price adversely.</w:t>
      </w:r>
    </w:p>
    <w:p>
      <w:pPr>
        <w:spacing w:after="0" w:line="170"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Because of the potential volatility of our stock price, we may become the target of securities litigation in the future. If any of our stockholders brought a lawsuit against us, we could incur substantial costs defending the lawsuit. Such a lawsuit could also divert the time and attention of our management.</w:t>
      </w:r>
    </w:p>
    <w:p>
      <w:pPr>
        <w:spacing w:after="0" w:line="181"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8" w:lineRule="exact"/>
        <w:rPr>
          <w:sz w:val="20"/>
          <w:szCs w:val="20"/>
          <w:color w:val="auto"/>
        </w:rPr>
      </w:pPr>
    </w:p>
    <w:p>
      <w:pPr>
        <w:ind w:left="60" w:right="299" w:firstLine="648"/>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1" w:lineRule="exact"/>
        <w:rPr>
          <w:sz w:val="20"/>
          <w:szCs w:val="20"/>
          <w:color w:val="auto"/>
        </w:rPr>
      </w:pPr>
    </w:p>
    <w:p>
      <w:pPr>
        <w:ind w:left="60" w:right="2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8"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5" w:lineRule="exact"/>
        <w:rPr>
          <w:sz w:val="20"/>
          <w:szCs w:val="20"/>
          <w:color w:val="auto"/>
        </w:rPr>
      </w:pPr>
    </w:p>
    <w:p>
      <w:pPr>
        <w:ind w:left="1380" w:hanging="331"/>
        <w:spacing w:after="0"/>
        <w:tabs>
          <w:tab w:leader="none" w:pos="1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11" w:lineRule="exact"/>
        <w:rPr>
          <w:rFonts w:ascii="Times New Roman" w:cs="Times New Roman" w:eastAsia="Times New Roman" w:hAnsi="Times New Roman"/>
          <w:sz w:val="18"/>
          <w:szCs w:val="18"/>
          <w:color w:val="auto"/>
        </w:rPr>
      </w:pPr>
    </w:p>
    <w:p>
      <w:pPr>
        <w:ind w:left="1380" w:right="9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6"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ind w:left="60" w:right="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8"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191"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4" w:lineRule="exact"/>
        <w:rPr>
          <w:sz w:val="20"/>
          <w:szCs w:val="20"/>
          <w:color w:val="auto"/>
        </w:rPr>
      </w:pPr>
    </w:p>
    <w:p>
      <w:pPr>
        <w:ind w:left="60" w:right="3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35"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5"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7"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2" w:lineRule="exact"/>
        <w:rPr>
          <w:sz w:val="20"/>
          <w:szCs w:val="20"/>
          <w:color w:val="auto"/>
        </w:rPr>
      </w:pPr>
    </w:p>
    <w:p>
      <w:pPr>
        <w:ind w:left="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8"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1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$812.2 million, and our ability to utilize those net operating loss carryforwards could be limited by an “ownership change” as described above, which could result in increased tax liability to us. In addition, pursuant to the TCJA (as modified by the CARES Act), we may not use net operating loss carry-forwards generated in taxable years beginning after December 31, 2017 to reduce our taxable income in any year beginning after December 31, 2020 by more than 80%, and we may not carry back any net operating losses generated in taxable years beginning after December 31, 2020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6"/>
          </w:tcPr>
          <w:p>
            <w:pPr>
              <w:ind w:left="26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7800" w:type="dxa"/>
            <w:vAlign w:val="bottom"/>
            <w:tcBorders>
              <w:bottom w:val="single" w:sz="8" w:color="auto"/>
            </w:tcBorders>
            <w:gridSpan w:val="6"/>
          </w:tcPr>
          <w:p>
            <w:pPr>
              <w:ind w:left="3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6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800" w:type="dxa"/>
            <w:vAlign w:val="bottom"/>
            <w:gridSpan w:val="6"/>
          </w:tcPr>
          <w:p>
            <w:pPr>
              <w:spacing w:after="0"/>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Certification of Principal Executive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w:anchor="page96">
              <w:r>
                <w:rPr>
                  <w:rFonts w:ascii="Times New Roman" w:cs="Times New Roman" w:eastAsia="Times New Roman" w:hAnsi="Times New Roman"/>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7800" w:type="dxa"/>
            <w:vAlign w:val="bottom"/>
            <w:gridSpan w:val="6"/>
          </w:tcPr>
          <w:p>
            <w:pPr>
              <w:spacing w:after="0"/>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Certification of Principal Financial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7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Certifications of Principal Executive Officer and Principal Financial Officer pursuant to 18 U.S.C. Section</w:t>
              </w:r>
            </w:hyperlink>
          </w:p>
        </w:tc>
        <w:tc>
          <w:tcPr>
            <w:tcW w:w="1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6"/>
          </w:tcPr>
          <w:p>
            <w:pPr>
              <w:spacing w:after="0" w:line="196" w:lineRule="exact"/>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1350, as adopted pursuant to Section 906 of the Sarbanes-Oxley Act of 2002</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29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w:t>
            </w:r>
          </w:p>
        </w:tc>
      </w:t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9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1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1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76" w:lineRule="exact"/>
        <w:rPr>
          <w:sz w:val="20"/>
          <w:szCs w:val="20"/>
          <w:color w:val="auto"/>
        </w:rPr>
      </w:pPr>
    </w:p>
    <w:p>
      <w:pPr>
        <w:ind w:left="1160" w:right="339" w:hanging="1104"/>
        <w:spacing w:after="0" w:line="282" w:lineRule="auto"/>
        <w:tabs>
          <w:tab w:leader="none" w:pos="11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85"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-196215</wp:posOffset>
            </wp:positionV>
            <wp:extent cx="14141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sz w:val="20"/>
          <w:szCs w:val="20"/>
          <w:color w:val="auto"/>
        </w:rPr>
      </w:pPr>
    </w:p>
    <w:p>
      <w:pPr>
        <w:ind w:left="300" w:right="119" w:hanging="250"/>
        <w:spacing w:after="0" w:line="245" w:lineRule="auto"/>
        <w:tabs>
          <w:tab w:leader="none" w:pos="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60" w:right="279"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ind w:left="60"/>
        <w:spacing w:after="0"/>
        <w:tabs>
          <w:tab w:leader="none" w:pos="4300" w:val="left"/>
          <w:tab w:leader="none" w:pos="472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26035</wp:posOffset>
            </wp:positionV>
            <wp:extent cx="2665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Michael Landsittel</w:t>
      </w:r>
    </w:p>
    <w:p>
      <w:pPr>
        <w:spacing w:after="0" w:line="3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11" w:lineRule="exact"/>
        <w:rPr>
          <w:rFonts w:ascii="Times New Roman" w:cs="Times New Roman" w:eastAsia="Times New Roman" w:hAnsi="Times New Roman"/>
          <w:sz w:val="18"/>
          <w:szCs w:val="18"/>
          <w:color w:val="auto"/>
        </w:rPr>
      </w:pPr>
    </w:p>
    <w:p>
      <w:pPr>
        <w:ind w:left="200" w:right="299" w:firstLine="657"/>
        <w:spacing w:after="0" w:line="250"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60" w:right="279" w:firstLine="645"/>
        <w:spacing w:after="0" w:line="245"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259" w:firstLine="645"/>
        <w:spacing w:after="0" w:line="245"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399" w:firstLine="645"/>
        <w:spacing w:after="0" w:line="250"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60" w:right="379" w:firstLine="645"/>
        <w:spacing w:after="0" w:line="245"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200" w:right="259" w:firstLine="657"/>
        <w:spacing w:after="0" w:line="250" w:lineRule="auto"/>
        <w:tabs>
          <w:tab w:leader="none" w:pos="14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60" w:right="439" w:firstLine="645"/>
        <w:spacing w:after="0" w:line="250"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60" w:right="599" w:firstLine="645"/>
        <w:spacing w:after="0" w:line="266" w:lineRule="auto"/>
        <w:tabs>
          <w:tab w:leader="none" w:pos="215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00"/>
        <w:spacing w:after="0"/>
        <w:tabs>
          <w:tab w:leader="none" w:pos="448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8890</wp:posOffset>
            </wp:positionV>
            <wp:extent cx="25546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Jeffrey W. Albers</w:t>
      </w:r>
    </w:p>
    <w:p>
      <w:pPr>
        <w:ind w:left="478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6" w:name="page97"/>
    <w:bookmarkEnd w:id="9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211" w:lineRule="exact"/>
        <w:rPr>
          <w:rFonts w:ascii="Times New Roman" w:cs="Times New Roman" w:eastAsia="Times New Roman" w:hAnsi="Times New Roman"/>
          <w:sz w:val="18"/>
          <w:szCs w:val="18"/>
          <w:color w:val="auto"/>
        </w:rPr>
      </w:pPr>
    </w:p>
    <w:p>
      <w:pPr>
        <w:ind w:left="200" w:right="299" w:firstLine="657"/>
        <w:spacing w:after="0" w:line="250" w:lineRule="auto"/>
        <w:tabs>
          <w:tab w:leader="none" w:pos="14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60" w:right="279" w:firstLine="645"/>
        <w:spacing w:after="0" w:line="245"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259" w:firstLine="645"/>
        <w:spacing w:after="0" w:line="245"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399" w:firstLine="645"/>
        <w:spacing w:after="0" w:line="250"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60" w:right="379" w:firstLine="645"/>
        <w:spacing w:after="0" w:line="245"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200" w:right="259" w:firstLine="657"/>
        <w:spacing w:after="0" w:line="250" w:lineRule="auto"/>
        <w:tabs>
          <w:tab w:leader="none" w:pos="14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60" w:right="439" w:firstLine="645"/>
        <w:spacing w:after="0" w:line="250"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60" w:right="599" w:firstLine="645"/>
        <w:spacing w:after="0" w:line="266" w:lineRule="auto"/>
        <w:tabs>
          <w:tab w:leader="none" w:pos="21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20"/>
        <w:spacing w:after="0"/>
        <w:tabs>
          <w:tab w:leader="none" w:pos="448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8890</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Michael Landsittel</w:t>
      </w:r>
    </w:p>
    <w:p>
      <w:pPr>
        <w:ind w:left="476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7" w:name="page98"/>
    <w:bookmarkEnd w:id="9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ind w:left="200" w:right="239"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September 30, 2020 as filed with the Securities and Exchange Commission on the date hereof (the “Report”), each of the undersigned officers of the Company hereby certifies, pursuant to 18 U.S.C. Section 1350, that to his knowledge:</w:t>
      </w:r>
    </w:p>
    <w:p>
      <w:pPr>
        <w:spacing w:after="0" w:line="181" w:lineRule="exact"/>
        <w:rPr>
          <w:sz w:val="20"/>
          <w:szCs w:val="20"/>
          <w:color w:val="auto"/>
        </w:rPr>
      </w:pPr>
    </w:p>
    <w:p>
      <w:pPr>
        <w:ind w:left="1500" w:right="259" w:hanging="562"/>
        <w:spacing w:after="0" w:line="266"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1500" w:right="899" w:hanging="562"/>
        <w:spacing w:after="0" w:line="266" w:lineRule="auto"/>
        <w:tabs>
          <w:tab w:leader="none" w:pos="1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5114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Jeffrey W. Albers</w:t>
      </w:r>
    </w:p>
    <w:p>
      <w:pPr>
        <w:ind w:left="484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92"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October 29, 2020</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8890</wp:posOffset>
            </wp:positionV>
            <wp:extent cx="25114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Michael Landsittel</w:t>
      </w:r>
    </w:p>
    <w:p>
      <w:pPr>
        <w:ind w:left="484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lowerRoman"/>
      <w:start w:val="1"/>
    </w:lvl>
  </w:abstractNum>
  <w:abstractNum w:abstractNumId="8">
    <w:nsid w:val="836C40E"/>
    <w:multiLevelType w:val="hybridMultilevel"/>
    <w:lvl w:ilvl="0">
      <w:lvlJc w:val="left"/>
      <w:lvlText w:val="(%1)"/>
      <w:numFmt w:val="decimal"/>
      <w:start w:val="3"/>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amp;"/>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lvl w:ilvl="1">
      <w:lvlJc w:val="left"/>
      <w:lvlText w:val="%2"/>
      <w:numFmt w:val="decimal"/>
      <w:start w:val="104"/>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2020-10-29T15:39:54Z</dcterms:created>
  <dcterms:modified xsi:type="dcterms:W3CDTF">2020-10-29T15:39:54Z</dcterms:modified>
</cp:coreProperties>
</file>