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p>
      <w:pPr>
        <w:spacing w:after="0" w:line="200" w:lineRule="exact"/>
        <w:rPr>
          <w:sz w:val="24"/>
          <w:szCs w:val="24"/>
          <w:color w:val="auto"/>
        </w:rPr>
      </w:pPr>
    </w:p>
    <w:p>
      <w:pPr>
        <w:spacing w:after="0" w:line="22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w:t>
      </w:r>
    </w:p>
    <w:p>
      <w:pPr>
        <w:spacing w:after="0" w:line="29"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001-37359</w:t>
      </w:r>
    </w:p>
    <w:p>
      <w:pPr>
        <w:spacing w:after="0" w:line="23"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26-3632015</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w:t>
      </w:r>
    </w:p>
    <w:p>
      <w:pPr>
        <w:spacing w:after="0" w:line="18" w:lineRule="exact"/>
        <w:rPr>
          <w:sz w:val="24"/>
          <w:szCs w:val="24"/>
          <w:color w:val="auto"/>
        </w:rPr>
      </w:pPr>
    </w:p>
    <w:p>
      <w:pPr>
        <w:jc w:val="center"/>
        <w:ind w:right="1140"/>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3940" w:space="720"/>
            <w:col w:w="3400" w:space="720"/>
            <w:col w:w="2460"/>
          </w:cols>
          <w:pgMar w:left="320" w:top="752"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45 Sidney Street</w:t>
      </w:r>
    </w:p>
    <w:p>
      <w:pPr>
        <w:spacing w:after="0" w:line="2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Cambridge, Massachusetts</w:t>
      </w:r>
    </w:p>
    <w:p>
      <w:pPr>
        <w:spacing w:after="0" w:line="6"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02139</w:t>
      </w:r>
    </w:p>
    <w:p>
      <w:pPr>
        <w:spacing w:after="0" w:line="23"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2" w:right="339" w:bottom="1440" w:gutter="0" w:footer="0" w:header="0"/>
          <w:type w:val="continuous"/>
        </w:sectPr>
      </w:pP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80" w:firstLine="64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960" w:hanging="313"/>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 w:lineRule="exact"/>
        <w:rPr>
          <w:rFonts w:ascii="MS PGothic" w:cs="MS PGothic" w:eastAsia="MS PGothic" w:hAnsi="MS PGothic"/>
          <w:sz w:val="18"/>
          <w:szCs w:val="18"/>
          <w:color w:val="auto"/>
        </w:rPr>
      </w:pPr>
    </w:p>
    <w:p>
      <w:pPr>
        <w:ind w:left="960" w:hanging="313"/>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 w:lineRule="exact"/>
        <w:rPr>
          <w:rFonts w:ascii="MS PGothic" w:cs="MS PGothic" w:eastAsia="MS PGothic" w:hAnsi="MS PGothic"/>
          <w:sz w:val="18"/>
          <w:szCs w:val="18"/>
          <w:color w:val="auto"/>
        </w:rPr>
      </w:pPr>
    </w:p>
    <w:p>
      <w:pPr>
        <w:ind w:left="960" w:hanging="313"/>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 w:lineRule="exact"/>
        <w:rPr>
          <w:rFonts w:ascii="MS PGothic" w:cs="MS PGothic" w:eastAsia="MS PGothic" w:hAnsi="MS PGothic"/>
          <w:sz w:val="18"/>
          <w:szCs w:val="18"/>
          <w:color w:val="auto"/>
        </w:rPr>
      </w:pPr>
    </w:p>
    <w:p>
      <w:pPr>
        <w:ind w:left="960" w:hanging="313"/>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p>
      <w:pPr>
        <w:ind w:right="300" w:firstLine="64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ind w:left="8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ind w:right="300" w:firstLine="6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4"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07"/>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Common stock, par value $0.001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BPMC</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Nasdaq Global Select Market</w:t>
            </w:r>
          </w:p>
        </w:tc>
      </w:tr>
      <w:tr>
        <w:trPr>
          <w:trHeight w:val="207"/>
        </w:trPr>
        <w:tc>
          <w:tcPr>
            <w:tcW w:w="44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667"/>
        </w:trPr>
        <w:tc>
          <w:tcPr>
            <w:tcW w:w="4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2"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4" w:lineRule="exact"/>
        <w:rPr>
          <w:sz w:val="20"/>
          <w:szCs w:val="20"/>
          <w:color w:val="auto"/>
        </w:rPr>
      </w:pPr>
    </w:p>
    <w:p>
      <w:pPr>
        <w:ind w:right="40" w:firstLine="640"/>
        <w:spacing w:after="0" w:line="251" w:lineRule="auto"/>
        <w:rPr>
          <w:sz w:val="20"/>
          <w:szCs w:val="20"/>
          <w:color w:val="auto"/>
        </w:rPr>
      </w:pPr>
      <w:r>
        <w:rPr>
          <w:rFonts w:ascii="Arial" w:cs="Arial" w:eastAsia="Arial" w:hAnsi="Arial"/>
          <w:sz w:val="18"/>
          <w:szCs w:val="18"/>
          <w:color w:val="auto"/>
        </w:rPr>
        <w:t>On November 27, 2021, Blueprint Medicines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Pavonis Merger Subsidiary, Inc., a Delaware corporation and wholly-owned subsidiary of the Company (“</w:t>
      </w:r>
      <w:r>
        <w:rPr>
          <w:rFonts w:ascii="Arial" w:cs="Arial" w:eastAsia="Arial" w:hAnsi="Arial"/>
          <w:sz w:val="18"/>
          <w:szCs w:val="18"/>
          <w:u w:val="single" w:color="auto"/>
          <w:color w:val="auto"/>
        </w:rPr>
        <w:t>Merger Sub</w:t>
      </w:r>
      <w:r>
        <w:rPr>
          <w:rFonts w:ascii="Arial" w:cs="Arial" w:eastAsia="Arial" w:hAnsi="Arial"/>
          <w:sz w:val="18"/>
          <w:szCs w:val="18"/>
          <w:color w:val="auto"/>
        </w:rPr>
        <w:t>”), Lengo Therapeutics, Inc., a Delaware corporation (“</w:t>
      </w:r>
      <w:r>
        <w:rPr>
          <w:rFonts w:ascii="Arial" w:cs="Arial" w:eastAsia="Arial" w:hAnsi="Arial"/>
          <w:sz w:val="18"/>
          <w:szCs w:val="18"/>
          <w:u w:val="single" w:color="auto"/>
          <w:color w:val="auto"/>
        </w:rPr>
        <w:t>Lengo</w:t>
      </w:r>
      <w:r>
        <w:rPr>
          <w:rFonts w:ascii="Arial" w:cs="Arial" w:eastAsia="Arial" w:hAnsi="Arial"/>
          <w:sz w:val="18"/>
          <w:szCs w:val="18"/>
          <w:color w:val="auto"/>
        </w:rPr>
        <w:t>”) and Fortis Advisors LLC, a Delaware limited liability company, as the representative of the Lengo Securityholders (as defined below). The Merger Agreement provides that, upon the terms and subject to the conditions set forth in the Merger Agreement, Merger Sub will merge with and into Lengo, with Lengo continuing as the surviving entity and a wholly-owned subsidiary of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The Boards of Directors of the Company, Lengo, and Merger Sub and the stockholders of Lengo have approved the Merger Agreement and the transactions contemplated thereby.</w:t>
      </w:r>
    </w:p>
    <w:p>
      <w:pPr>
        <w:spacing w:after="0" w:line="193" w:lineRule="exact"/>
        <w:rPr>
          <w:sz w:val="20"/>
          <w:szCs w:val="20"/>
          <w:color w:val="auto"/>
        </w:rPr>
      </w:pPr>
    </w:p>
    <w:p>
      <w:pPr>
        <w:ind w:right="40" w:firstLine="640"/>
        <w:spacing w:after="0" w:line="253" w:lineRule="auto"/>
        <w:rPr>
          <w:sz w:val="20"/>
          <w:szCs w:val="20"/>
          <w:color w:val="auto"/>
        </w:rPr>
      </w:pPr>
      <w:r>
        <w:rPr>
          <w:rFonts w:ascii="Arial" w:cs="Arial" w:eastAsia="Arial" w:hAnsi="Arial"/>
          <w:sz w:val="18"/>
          <w:szCs w:val="18"/>
          <w:color w:val="auto"/>
        </w:rPr>
        <w:t>Subject to the terms and conditions of the Merger Agreement, the Company has agreed to pay upfront merger consideration of $250 million in cash (the “</w:t>
      </w:r>
      <w:r>
        <w:rPr>
          <w:rFonts w:ascii="Arial" w:cs="Arial" w:eastAsia="Arial" w:hAnsi="Arial"/>
          <w:sz w:val="18"/>
          <w:szCs w:val="18"/>
          <w:u w:val="single" w:color="auto"/>
          <w:color w:val="auto"/>
        </w:rPr>
        <w:t>Upfront Merger Consideration</w:t>
      </w:r>
      <w:r>
        <w:rPr>
          <w:rFonts w:ascii="Arial" w:cs="Arial" w:eastAsia="Arial" w:hAnsi="Arial"/>
          <w:sz w:val="18"/>
          <w:szCs w:val="18"/>
          <w:color w:val="auto"/>
        </w:rPr>
        <w:t>”) to Lengo stockholders and optionholders (collectively, the “</w:t>
      </w:r>
      <w:r>
        <w:rPr>
          <w:rFonts w:ascii="Arial" w:cs="Arial" w:eastAsia="Arial" w:hAnsi="Arial"/>
          <w:sz w:val="18"/>
          <w:szCs w:val="18"/>
          <w:u w:val="single" w:color="auto"/>
          <w:color w:val="auto"/>
        </w:rPr>
        <w:t>Lengo Securityholders</w:t>
      </w:r>
      <w:r>
        <w:rPr>
          <w:rFonts w:ascii="Arial" w:cs="Arial" w:eastAsia="Arial" w:hAnsi="Arial"/>
          <w:sz w:val="18"/>
          <w:szCs w:val="18"/>
          <w:color w:val="auto"/>
        </w:rPr>
        <w:t>”). The Merger Agreement also provides that the Company shall pay future contingent cash milestone payments of up to $215 million in the aggregate to the Lengo Securityholders upon the achievement of specified regulatory approval and sales milestones. The Upfront Merger Consideration is subject to customary net indebtedness, transaction expenses, and other adjustments, as set forth in the Merger Agreement.</w:t>
      </w:r>
    </w:p>
    <w:p>
      <w:pPr>
        <w:spacing w:after="0" w:line="190" w:lineRule="exact"/>
        <w:rPr>
          <w:sz w:val="20"/>
          <w:szCs w:val="20"/>
          <w:color w:val="auto"/>
        </w:rPr>
      </w:pPr>
    </w:p>
    <w:p>
      <w:pPr>
        <w:ind w:right="100" w:firstLine="640"/>
        <w:spacing w:after="0" w:line="250" w:lineRule="auto"/>
        <w:rPr>
          <w:sz w:val="20"/>
          <w:szCs w:val="20"/>
          <w:color w:val="auto"/>
        </w:rPr>
      </w:pPr>
      <w:r>
        <w:rPr>
          <w:rFonts w:ascii="Arial" w:cs="Arial" w:eastAsia="Arial" w:hAnsi="Arial"/>
          <w:sz w:val="18"/>
          <w:szCs w:val="18"/>
          <w:color w:val="auto"/>
        </w:rPr>
        <w:t>The Merger Agreement contains customary representations, warranties and covenants of the parties, including, among others, covenants by Lengo with respect to its operations during the period between execution of the Merger Agreement and the closing of the Merger. The Merger Agreement also provides that approximately $25 million of the Upfront Merger Consideration will be placed into a third party escrow account (the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Escrow</w:t>
      </w:r>
      <w:r>
        <w:rPr>
          <w:rFonts w:ascii="Arial" w:cs="Arial" w:eastAsia="Arial" w:hAnsi="Arial"/>
          <w:sz w:val="18"/>
          <w:szCs w:val="18"/>
          <w:color w:val="auto"/>
        </w:rPr>
        <w:t>”) to secure the Lengo Securityholders’ obligations to indemnify the Company for certain matters, including breaches of representations and warranties, covenants included in the Merger Agreement, payments made by the Company to dissenting stockholders, specified tax claims, excess parachute claims, purchase price adjustments, and other customary matters, subject to certain specified limitations, including, among other things, limitations on the period during which the Company may make certain claims for indemnification and limitations on the amounts for which the Lengo Securityholders may be liable.</w:t>
      </w:r>
    </w:p>
    <w:p>
      <w:pPr>
        <w:spacing w:after="0" w:line="196" w:lineRule="exact"/>
        <w:rPr>
          <w:sz w:val="20"/>
          <w:szCs w:val="20"/>
          <w:color w:val="auto"/>
        </w:rPr>
      </w:pPr>
    </w:p>
    <w:p>
      <w:pPr>
        <w:ind w:firstLine="640"/>
        <w:spacing w:after="0" w:line="253" w:lineRule="auto"/>
        <w:rPr>
          <w:sz w:val="20"/>
          <w:szCs w:val="20"/>
          <w:color w:val="auto"/>
        </w:rPr>
      </w:pPr>
      <w:r>
        <w:rPr>
          <w:rFonts w:ascii="Arial" w:cs="Arial" w:eastAsia="Arial" w:hAnsi="Arial"/>
          <w:sz w:val="18"/>
          <w:szCs w:val="18"/>
          <w:color w:val="auto"/>
        </w:rPr>
        <w:t>The closing of the Merger is conditioned upon, among other things, the expiration of the applicable waiting period (and any extension thereof) under the Hart-Scott-Rodino Antitrust Improvements Act of 1976 laws and other customary closing conditions. The Merger Agreement provides for limited termination rights, including, among others, by the mutual consent of the Company and Lengo, upon certain breaches of representations, warranties, covenants or agreements, and in the event the Merger has not been consummated before March 27, 2022, subject to the ability to extend under certain circumstances.</w:t>
      </w:r>
    </w:p>
    <w:p>
      <w:pPr>
        <w:spacing w:after="0" w:line="190" w:lineRule="exact"/>
        <w:rPr>
          <w:sz w:val="20"/>
          <w:szCs w:val="20"/>
          <w:color w:val="auto"/>
        </w:rPr>
      </w:pPr>
    </w:p>
    <w:p>
      <w:pPr>
        <w:ind w:right="120" w:firstLine="640"/>
        <w:spacing w:after="0" w:line="255" w:lineRule="auto"/>
        <w:rPr>
          <w:sz w:val="20"/>
          <w:szCs w:val="20"/>
          <w:color w:val="auto"/>
        </w:rPr>
      </w:pPr>
      <w:r>
        <w:rPr>
          <w:rFonts w:ascii="Arial" w:cs="Arial" w:eastAsia="Arial" w:hAnsi="Arial"/>
          <w:sz w:val="18"/>
          <w:szCs w:val="18"/>
          <w:color w:val="auto"/>
        </w:rPr>
        <w:t>The foregoing description of the Merger Agreement, the Merger and the other transactions contemplated thereby is not complete and is subject to and qualified in its entirety by reference to the Merger Agreement, a copy of which will be filed as an exhibit to the earlier of the Current Report on Form 8-K that the Company will file with the Securities and Exchange Commission following the closing of the Merger and the Company’s next Annual Report on Form 10-K.</w:t>
      </w:r>
    </w:p>
    <w:p>
      <w:pPr>
        <w:spacing w:after="0" w:line="188" w:lineRule="exact"/>
        <w:rPr>
          <w:sz w:val="20"/>
          <w:szCs w:val="20"/>
          <w:color w:val="auto"/>
        </w:rPr>
      </w:pPr>
    </w:p>
    <w:p>
      <w:pPr>
        <w:ind w:right="160" w:firstLine="640"/>
        <w:spacing w:after="0" w:line="266" w:lineRule="auto"/>
        <w:rPr>
          <w:sz w:val="20"/>
          <w:szCs w:val="20"/>
          <w:color w:val="auto"/>
        </w:rPr>
      </w:pPr>
      <w:r>
        <w:rPr>
          <w:rFonts w:ascii="Arial" w:cs="Arial" w:eastAsia="Arial" w:hAnsi="Arial"/>
          <w:sz w:val="17"/>
          <w:szCs w:val="17"/>
          <w:color w:val="auto"/>
        </w:rPr>
        <w:t>The foregoing description of the Merger Agreement has been included to provide investors and security holders with information regarding its terms. It is not intended to provide any other financial information about the Company, Lengo, or their respective subsidiaries and affiliates. The representations, warranties and covenants contained in the Merger Agreement were made only for purposes of that agreement and as of specific dates, were solely for the benefit of the parties to the Merger Agreement, may be subject to limitations agreed upon by the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of these representations, warranties and covenants and should not rely thereon or on any description thereof as characterizations of the actual state of facts or condition of the Company, Lengo,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4" w:lineRule="exact"/>
        <w:rPr>
          <w:sz w:val="20"/>
          <w:szCs w:val="20"/>
          <w:color w:val="auto"/>
        </w:rPr>
      </w:pPr>
    </w:p>
    <w:p>
      <w:pPr>
        <w:ind w:right="420" w:firstLine="640"/>
        <w:spacing w:after="0" w:line="258" w:lineRule="auto"/>
        <w:rPr>
          <w:sz w:val="20"/>
          <w:szCs w:val="20"/>
          <w:color w:val="auto"/>
        </w:rPr>
      </w:pPr>
      <w:r>
        <w:rPr>
          <w:rFonts w:ascii="Arial" w:cs="Arial" w:eastAsia="Arial" w:hAnsi="Arial"/>
          <w:sz w:val="18"/>
          <w:szCs w:val="18"/>
          <w:color w:val="auto"/>
        </w:rPr>
        <w:t>On November 29, 2021 the Company issued a press release announcing the execution of the Merger Agreement. A copy of the press release is furnished as Exhibit 99.1. On November 29, 2021, the Company held an investor presentation regarding the Merger and the execution of the Merger Agreement, a copy of which is furnished as Exhibit 99.2.</w:t>
      </w:r>
    </w:p>
    <w:p>
      <w:pPr>
        <w:spacing w:after="0" w:line="186" w:lineRule="exact"/>
        <w:rPr>
          <w:sz w:val="20"/>
          <w:szCs w:val="20"/>
          <w:color w:val="auto"/>
        </w:rPr>
      </w:pPr>
    </w:p>
    <w:p>
      <w:pPr>
        <w:ind w:firstLine="640"/>
        <w:spacing w:after="0" w:line="258" w:lineRule="auto"/>
        <w:rPr>
          <w:sz w:val="20"/>
          <w:szCs w:val="20"/>
          <w:color w:val="auto"/>
        </w:rPr>
      </w:pPr>
      <w:r>
        <w:rPr>
          <w:rFonts w:ascii="Arial" w:cs="Arial" w:eastAsia="Arial" w:hAnsi="Arial"/>
          <w:sz w:val="18"/>
          <w:szCs w:val="18"/>
          <w:color w:val="auto"/>
        </w:rPr>
        <w:t>The information in this Item 7.01 of this Form 8-K and the Exhibit 99.1 attached hereto shall not be deemed “filed” for purposes of Section 18 of the Exchange Act or otherwise subject to the liabilities of that section, nor shall any of it be deemed incorporated by reference in any filing under the Securities Act of 1933 or the Exchange Act, except as expressly set forth by specific reference in such a filing.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0" w:lineRule="exact"/>
        <w:rPr>
          <w:sz w:val="20"/>
          <w:szCs w:val="20"/>
          <w:color w:val="auto"/>
        </w:rPr>
      </w:pPr>
    </w:p>
    <w:p>
      <w:pPr>
        <w:ind w:right="60" w:firstLine="640"/>
        <w:spacing w:after="0" w:line="284" w:lineRule="auto"/>
        <w:rPr>
          <w:sz w:val="20"/>
          <w:szCs w:val="20"/>
          <w:color w:val="auto"/>
        </w:rPr>
      </w:pPr>
      <w:r>
        <w:rPr>
          <w:rFonts w:ascii="Arial" w:cs="Arial" w:eastAsia="Arial" w:hAnsi="Arial"/>
          <w:sz w:val="16"/>
          <w:szCs w:val="16"/>
          <w:color w:val="auto"/>
        </w:rPr>
        <w:t>This Current Report on Form 8-K forward-looking statements, which are made pursuant to the safe harbor provisions of Section 27A of the Securities Act of 1933, as amended, and Section 21E of the Securities Exchange Act of 1934, as amended, including statements regarding the timing of the consummation of the Merger. These statements are neither promises nor guarantees, and are subject to a variety of risks and uncertainties, many of which are beyond the control of the Company, which could cause actual results to differ materially from those contemplated in these forward-looking statements. In particular, the risks and uncertainties include, among other things, the risk that the conditions to the Merger will not be satisfied and the Merger does not close. For additional disclosure regarding these and other risks faced by the Company, see the disclosures contained in the Company’s Quarterly Report on Form 10-Q for the three months ended September 30, 2021, on file with the Securities and Exchange Commission and the other reports that the Company periodically files with the Securities and Exchange Commission. Actual results may differ materially from those contemplated by these forward-looking statements. These forward looking statements reflect management’s current views and the Company does not undertake to update any of these forward-looking statements to reflect a change in its views or events or circumstances that occur after the date hereof except as required by law.</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(d) Exhibits.</w:t>
            </w: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428"/>
        </w:trPr>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4"/>
                <w:szCs w:val="24"/>
                <w:color w:val="auto"/>
              </w:rPr>
            </w:pPr>
          </w:p>
        </w:tc>
        <w:tc>
          <w:tcPr>
            <w:tcW w:w="10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381"/>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Borders>
              <w:bottom w:val="single" w:sz="8" w:color="0000EE"/>
            </w:tcBorders>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Press Release, dated November 29, 2021.</w:t>
              </w:r>
            </w:hyperlink>
          </w:p>
        </w:tc>
        <w:tc>
          <w:tcPr>
            <w:tcW w:w="7140" w:type="dxa"/>
            <w:vAlign w:val="bottom"/>
            <w:gridSpan w:val="2"/>
          </w:tcPr>
          <w:p>
            <w:pPr>
              <w:spacing w:after="0"/>
              <w:rPr>
                <w:sz w:val="24"/>
                <w:szCs w:val="24"/>
                <w:color w:val="auto"/>
              </w:rPr>
            </w:pPr>
          </w:p>
        </w:tc>
      </w:tr>
      <w:tr>
        <w:trPr>
          <w:trHeight w:val="407"/>
        </w:trPr>
        <w:tc>
          <w:tcPr>
            <w:tcW w:w="320" w:type="dxa"/>
            <w:vAlign w:val="bottom"/>
          </w:tcPr>
          <w:p>
            <w:pPr>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Investor Presentation, dated November 29,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446"/>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 and incorporated as Exhibit 101)</w:t>
            </w:r>
          </w:p>
        </w:tc>
      </w:tr>
      <w:tr>
        <w:trPr>
          <w:trHeight w:val="69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440"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BLUEPRINT MEDICINES CORPORATION</w:t>
            </w:r>
          </w:p>
        </w:tc>
      </w:tr>
      <w:tr>
        <w:trPr>
          <w:trHeight w:val="428"/>
        </w:trPr>
        <w:tc>
          <w:tcPr>
            <w:tcW w:w="3760" w:type="dxa"/>
            <w:vAlign w:val="bottom"/>
          </w:tcPr>
          <w:p>
            <w:pPr>
              <w:ind w:left="60"/>
              <w:spacing w:after="0"/>
              <w:rPr>
                <w:sz w:val="20"/>
                <w:szCs w:val="20"/>
                <w:color w:val="auto"/>
              </w:rPr>
            </w:pPr>
            <w:r>
              <w:rPr>
                <w:rFonts w:ascii="Arial" w:cs="Arial" w:eastAsia="Arial" w:hAnsi="Arial"/>
                <w:sz w:val="18"/>
                <w:szCs w:val="18"/>
                <w:color w:val="auto"/>
              </w:rPr>
              <w:t>Date: November 29, 2021</w:t>
            </w: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By: /s/ Jeffrey W. Albers</w:t>
            </w:r>
          </w:p>
        </w:tc>
      </w:tr>
      <w:tr>
        <w:trPr>
          <w:trHeight w:val="193"/>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Jeffrey W. Albers</w:t>
            </w:r>
          </w:p>
        </w:tc>
      </w:tr>
      <w:tr>
        <w:trPr>
          <w:trHeight w:val="226"/>
        </w:trPr>
        <w:tc>
          <w:tcPr>
            <w:tcW w:w="37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69"/>
        </w:trPr>
        <w:tc>
          <w:tcPr>
            <w:tcW w:w="37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4" w:name="page5"/>
    <w:bookmarkEnd w:id="4"/>
    <w:p>
      <w:pPr>
        <w:ind w:left="10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165735</wp:posOffset>
            </wp:positionV>
            <wp:extent cx="1152525" cy="47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2525" cy="474345"/>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165735</wp:posOffset>
            </wp:positionV>
            <wp:extent cx="889635" cy="406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635"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to Expand Precision Therapy Leadership in Lung Cancer with Acquisition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Lengo Therapeutics</w:t>
      </w:r>
    </w:p>
    <w:p>
      <w:pPr>
        <w:spacing w:after="0" w:line="207" w:lineRule="exact"/>
        <w:rPr>
          <w:sz w:val="20"/>
          <w:szCs w:val="20"/>
          <w:color w:val="auto"/>
        </w:rPr>
      </w:pPr>
    </w:p>
    <w:p>
      <w:pPr>
        <w:ind w:left="340" w:hanging="164"/>
        <w:spacing w:after="0"/>
        <w:tabs>
          <w:tab w:leader="none" w:pos="340" w:val="left"/>
        </w:tabs>
        <w:numPr>
          <w:ilvl w:val="1"/>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Adds LNG-451, a highly selective brain-penetrant precision therapy targeting EGFR exon 20 insertion mutations, to Blueprint Medicines’ lung cancer</w:t>
      </w:r>
    </w:p>
    <w:p>
      <w:pPr>
        <w:spacing w:after="0" w:line="42" w:lineRule="exact"/>
        <w:rPr>
          <w:rFonts w:ascii="Arial" w:cs="Arial" w:eastAsia="Arial" w:hAnsi="Arial"/>
          <w:sz w:val="16"/>
          <w:szCs w:val="16"/>
          <w:i w:val="1"/>
          <w:iCs w:val="1"/>
          <w:color w:val="auto"/>
        </w:rPr>
      </w:pPr>
    </w:p>
    <w:p>
      <w:pPr>
        <w:ind w:left="534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pipeline</w:t>
      </w:r>
    </w:p>
    <w:p>
      <w:pPr>
        <w:spacing w:after="0" w:line="206" w:lineRule="exact"/>
        <w:rPr>
          <w:rFonts w:ascii="Arial" w:cs="Arial" w:eastAsia="Arial" w:hAnsi="Arial"/>
          <w:sz w:val="16"/>
          <w:szCs w:val="16"/>
          <w:i w:val="1"/>
          <w:iCs w:val="1"/>
          <w:color w:val="auto"/>
        </w:rPr>
      </w:pPr>
    </w:p>
    <w:p>
      <w:pPr>
        <w:ind w:left="2700" w:hanging="158"/>
        <w:spacing w:after="0"/>
        <w:tabs>
          <w:tab w:leader="none" w:pos="2700" w:val="left"/>
        </w:tabs>
        <w:numPr>
          <w:ilvl w:val="3"/>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Lengo Therapeutics on track to submit IND to FDA for LNG-451 by the end of 2021</w:t>
      </w:r>
    </w:p>
    <w:p>
      <w:pPr>
        <w:spacing w:after="0" w:line="219" w:lineRule="exact"/>
        <w:rPr>
          <w:rFonts w:ascii="Arial" w:cs="Arial" w:eastAsia="Arial" w:hAnsi="Arial"/>
          <w:sz w:val="18"/>
          <w:szCs w:val="18"/>
          <w:i w:val="1"/>
          <w:iCs w:val="1"/>
          <w:color w:val="auto"/>
        </w:rPr>
      </w:pPr>
    </w:p>
    <w:p>
      <w:pPr>
        <w:ind w:left="280" w:hanging="163"/>
        <w:spacing w:after="0"/>
        <w:tabs>
          <w:tab w:leader="none" w:pos="28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Lengo Therapeutics to be acquired for $250 million in cash plus $215 million in future potential payments based on the achievement of certain approval</w:t>
      </w:r>
    </w:p>
    <w:p>
      <w:pPr>
        <w:spacing w:after="0" w:line="42" w:lineRule="exact"/>
        <w:rPr>
          <w:rFonts w:ascii="Arial" w:cs="Arial" w:eastAsia="Arial" w:hAnsi="Arial"/>
          <w:sz w:val="16"/>
          <w:szCs w:val="16"/>
          <w:i w:val="1"/>
          <w:iCs w:val="1"/>
          <w:color w:val="auto"/>
        </w:rPr>
      </w:pPr>
    </w:p>
    <w:p>
      <w:pPr>
        <w:ind w:left="466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and sales-based milestones</w:t>
      </w:r>
    </w:p>
    <w:p>
      <w:pPr>
        <w:spacing w:after="0" w:line="206" w:lineRule="exact"/>
        <w:rPr>
          <w:rFonts w:ascii="Arial" w:cs="Arial" w:eastAsia="Arial" w:hAnsi="Arial"/>
          <w:sz w:val="16"/>
          <w:szCs w:val="16"/>
          <w:i w:val="1"/>
          <w:iCs w:val="1"/>
          <w:color w:val="auto"/>
        </w:rPr>
      </w:pPr>
    </w:p>
    <w:p>
      <w:pPr>
        <w:ind w:left="2580" w:hanging="158"/>
        <w:spacing w:after="0"/>
        <w:tabs>
          <w:tab w:leader="none" w:pos="2580"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Blueprint Medicines to host investor conference call and webcast today at 8:30 a.m. ET</w:t>
      </w:r>
    </w:p>
    <w:p>
      <w:pPr>
        <w:spacing w:after="0" w:line="2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CAMBRIDGE, Mass. and San Diego, Calif., Nov. 29, 2021 /PRNewswire/ -- Blueprint Medicines Corporation (NASDAQ: BPMC) today announced that the company has entered into a definitive agreement under which it will acquire Lengo Therapeutics, a privately held precision oncology company, for $250 million in cash plus up to $215 million in additional potential payments based on the achievement of certain regulatory approval and sales-based milestones.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acquisition includes Lengo Therapeutics’ lead compound LNG-451, a potential best-in-class oral precision therapy in development for the treatment of non-small cell lung cancer (NSCLC) in patients with EGFR exon 20 insertion mutations. Preclinical data show LNG-451 potently inhibits all common EGFR exon 20 insertion variants with marked selectivity over wild-type EGFR and off-target kinases. In addition, LNG-451 is highly brain-penetrant and has demonstrated compelling activity in a preclinical intracranial disease model.</w:t>
      </w:r>
    </w:p>
    <w:p>
      <w:pPr>
        <w:spacing w:after="0" w:line="188"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Based on these and other preclinical data, Lengo Therapeutics anticipates it will submit an investigational new drug (IND) application for LNG-451 to the U.S. Food and Drug Administration (FDA) in December 2021.</w:t>
      </w:r>
    </w:p>
    <w:p>
      <w:pPr>
        <w:spacing w:after="0" w:line="175"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“Our acquisition of Lengo Therapeutics deepens our commitment to advancing precision oncology therapies and specifically expands our opportunity to transform treatment for patients with EGFR-driven lung cancer,” said Jeff Albers, Chief Executive Officer of Blueprint Medicines. “The Lengo team has done tremendous work in designing a highly selective therapeutic candidate tailored to the needs of patients with EGFR exon 20 lung cancer, including features with the potential to enable treatment or prevention of brain metastases. With our integrated precision therapy research, development and commercial capabilities, Blueprint Medicines is perfectly positioned to carry forward this compound into the clinic and deliver on our goal to meaningfully advance care for NSCLC patients with EGFR exon 20 insertion mutations.”</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a proven track record of developing and delivering precision therapies for patients with significant medical needs and a compelling lung cancer portfolio, Blueprint Medicines is unique in its abilities to quickly progress LNG-451,” said Enoch Kariuki, Chief Executive Officer of Lengo Therapeutics. “From our inception, the Lengo Therapeutics team has focused on generating best-in-class compound profiles, prioritizing those with brain penetration along with high potency and selectivity, like LNG-451. I am incredibly proud of the team for getting us to this point and excited to see the programs continue under Blueprint Medicines’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5" w:name="page6"/>
    <w:bookmarkEnd w:id="5"/>
    <w:p>
      <w:pPr>
        <w:ind w:right="80"/>
        <w:spacing w:after="0" w:line="237" w:lineRule="auto"/>
        <w:rPr>
          <w:sz w:val="20"/>
          <w:szCs w:val="20"/>
          <w:color w:val="auto"/>
        </w:rPr>
      </w:pPr>
      <w:r>
        <w:rPr>
          <w:rFonts w:ascii="Arial" w:cs="Arial" w:eastAsia="Arial" w:hAnsi="Arial"/>
          <w:sz w:val="18"/>
          <w:szCs w:val="18"/>
          <w:color w:val="auto"/>
        </w:rPr>
        <w:t>With the addition of LNG-451, Blueprint Medicines will have three investigational compounds, each with best-in-class potential, that cover the majority of all activating mutations in EGFR, the second most common oncogenic driver in NSCLC.</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Approximately 12 percent of activating EGFR mutations are exon 20 insertions and significant medical need remains for patients harboring these mutations, including new treatment options with improved tolerability, combinability and enhanced brain penetration to treat or prevent brain metastases.</w:t>
      </w:r>
      <w:r>
        <w:rPr>
          <w:rFonts w:ascii="Arial" w:cs="Arial" w:eastAsia="Arial" w:hAnsi="Arial"/>
          <w:sz w:val="29"/>
          <w:szCs w:val="29"/>
          <w:color w:val="auto"/>
          <w:vertAlign w:val="superscript"/>
        </w:rPr>
        <w:t>1</w:t>
      </w:r>
    </w:p>
    <w:p>
      <w:pPr>
        <w:spacing w:after="0" w:line="80" w:lineRule="exact"/>
        <w:rPr>
          <w:sz w:val="20"/>
          <w:szCs w:val="20"/>
          <w:color w:val="auto"/>
        </w:rPr>
      </w:pPr>
    </w:p>
    <w:p>
      <w:pPr>
        <w:ind w:right="200"/>
        <w:spacing w:after="0" w:line="333" w:lineRule="auto"/>
        <w:rPr>
          <w:sz w:val="20"/>
          <w:szCs w:val="20"/>
          <w:color w:val="auto"/>
        </w:rPr>
      </w:pPr>
      <w:r>
        <w:rPr>
          <w:rFonts w:ascii="Arial" w:cs="Arial" w:eastAsia="Arial" w:hAnsi="Arial"/>
          <w:sz w:val="16"/>
          <w:szCs w:val="16"/>
          <w:color w:val="auto"/>
        </w:rPr>
        <w:t>The acquisition also brings additional undisclosed preclinical precision oncology programs and research tools, including a catalog of covalent, highly brain penetrant kinase inhibitors that Blueprint Medicines plans to add to its proprietary compound library to further enable future drug discovery efforts.</w:t>
      </w:r>
    </w:p>
    <w:p>
      <w:pPr>
        <w:spacing w:after="0" w:line="130"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Blueprint Medicines anticipates the acquisition will close in the fourth quarter of 2021, subject to certain conditions, including the expiration of the waiting period under the Hart-Scott-Rodino Antitrust Improvements Act and other customary conditions.</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Goldman Sachs &amp; Co. LLC is acting as financial advisor to Blueprint Medicines and Goodwin Procter LLP is acting as its legal counsel. Centerview Partners LLC is acting as financial advisor to Lengo Therapeutics and Cooley LLP is acting as its legal counsel.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Blueprint Medicines will host a live webcast beginning at 8:30 a.m. ET today to discuss the planned acquisition of Lengo Therapeutics. To access the live call, please dial 844-200-6205 (domestic) or 929-526-1599 (international) and refer to conference ID 936793. A webcast of the conference call will be available under "Events and Presentations" in the Investors &amp; Media section of Blueprint Medicines' website at http://ir.blueprintmedicines.com. The archived webcast will be available on Blueprint Medicines' website approximately two hours after the conference call and will be available for 90 days following the call.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 EGFR Development Program</w:t>
      </w:r>
    </w:p>
    <w:p>
      <w:pPr>
        <w:spacing w:after="0" w:line="224"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Derived from Blueprint Medicines’ proprietary research platform, BLU-945 and BLU-701 are investigational next-generation EGFR non-covalent tyrosine kinase inhibitors. Both treatments are specifically designed to provide comprehensive coverage of the most common activating and on-target resistance mutations, spare wild-type EGFR and other kinases to limit off-target toxicities and enable a range of combination strategies, and treat or prevent central nervous system metastases. BLU-945 is currently being evaluated in the Phase 1/2 SYMPHONY trial in patients with previously treated EGFR-driven NSCLC (</w:t>
      </w:r>
      <w:r>
        <w:rPr>
          <w:rFonts w:ascii="Arial" w:cs="Arial" w:eastAsia="Arial" w:hAnsi="Arial"/>
          <w:sz w:val="16"/>
          <w:szCs w:val="16"/>
          <w:u w:val="single" w:color="auto"/>
          <w:color w:val="auto"/>
        </w:rPr>
        <w:t>NCT04862780</w:t>
      </w:r>
      <w:r>
        <w:rPr>
          <w:rFonts w:ascii="Arial" w:cs="Arial" w:eastAsia="Arial" w:hAnsi="Arial"/>
          <w:sz w:val="16"/>
          <w:szCs w:val="16"/>
          <w:color w:val="auto"/>
        </w:rPr>
        <w:t>). In addition, Blueprint Medicines plans to initiate a Phase 1/2 trial of BLU-701 in the fourth quarter of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Lengo Therapeutics</w:t>
      </w: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Lengo Therapeutics is a biopharmaceutical company committed to developing novel, small molecule precision therapeutics that target driver mutations in oncology. Lengo Therapeutics’ team is comprised of scientists and industry leaders with extensive expertise in kinase biology, covalent drug-target technology, and oncology drug development. The company’s initial focus is on developing inhibitors of protein kinases with mutations known as EGFR exon 20 insertions which are associated with poor prognoses in non-small cell lung cancer and other solid tumors. Lengo Therapeutics is based in San Diego and is backed by Frazier Healthcare Partners and Velosity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Blueprint Medicines</w:t>
      </w:r>
    </w:p>
    <w:p>
      <w:pPr>
        <w:spacing w:after="0" w:line="2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Blueprint Medicines is a global precision therapy company that invents life-changing therapies for people with cancer and hematologic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genomically defined cancers, systemic mastocytosis, and cancer immunotherapy. For more information, visit </w:t>
      </w:r>
      <w:r>
        <w:rPr>
          <w:rFonts w:ascii="Arial" w:cs="Arial" w:eastAsia="Arial" w:hAnsi="Arial"/>
          <w:sz w:val="16"/>
          <w:szCs w:val="16"/>
          <w:u w:val="single" w:color="auto"/>
          <w:color w:val="auto"/>
        </w:rPr>
        <w:t>www.BlueprintMedicines.com</w:t>
      </w:r>
      <w:r>
        <w:rPr>
          <w:rFonts w:ascii="Arial" w:cs="Arial" w:eastAsia="Arial" w:hAnsi="Arial"/>
          <w:sz w:val="16"/>
          <w:szCs w:val="16"/>
          <w:color w:val="auto"/>
        </w:rPr>
        <w:t xml:space="preserve"> and follow us on Twitter (</w:t>
      </w:r>
      <w:r>
        <w:rPr>
          <w:rFonts w:ascii="Arial" w:cs="Arial" w:eastAsia="Arial" w:hAnsi="Arial"/>
          <w:sz w:val="16"/>
          <w:szCs w:val="16"/>
          <w:u w:val="single" w:color="auto"/>
          <w:color w:val="auto"/>
        </w:rPr>
        <w:t>@BlueprintMeds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LinkedIn</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express or implied statements regarding plans, strategies, timelines and expectations for Blueprint Medicines’ current or future approved drugs and drug candidates, including timelines for marketing applications and approvals, the initiation of clinical trials or the results of ongoing and planned clinical trials; Blueprint Medicines’ plans, strategies and timelines to nominate development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timelines and expectations for the proposed acquisition (including future performance and revenue); and Blueprint Medicines’ strategy, goals and anticipated financial performance,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complete the proposed acquisition in a timely manner or at all; the occurrence of any event, change or other circumstances that could give rise to the termination of the proposed acquisition;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545465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Blueprint Medicines Contacts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Sarah Mena Guerrero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 (617) 714-6684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media@blueprintmedicines.com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 (617) 714-6674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ir@blueprintmedicines.com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Lengo Therapeutics Contact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Ha, KKH Advisors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 (917) 291-5744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Kimberly.ha@kkhadvisors.com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1787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360" w:lineRule="exact"/>
        <w:rPr>
          <w:sz w:val="20"/>
          <w:szCs w:val="20"/>
          <w:color w:val="auto"/>
        </w:rPr>
      </w:pPr>
    </w:p>
    <w:p>
      <w:pPr>
        <w:ind w:firstLine="7"/>
        <w:spacing w:after="0" w:line="191" w:lineRule="auto"/>
        <w:tabs>
          <w:tab w:leader="none" w:pos="118"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Riess JW, Gandara DR, Frampton GM, et al. “Diverse EGFR Exon 20 Insertions and Co-Occurring Molecular Alterations Identified by Comprehensive Genomic Profiling of NSCLC”. J Thorac Oncol. 2018;13(10):1560-1568. doi:10.1016/j.jtho.2018.06.019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320" w:top="895" w:right="659" w:bottom="1440" w:gutter="0" w:footer="0" w:header="0"/>
        </w:sectPr>
      </w:pPr>
    </w:p>
    <w:bookmarkStart w:id="8" w:name="page9"/>
    <w:bookmarkEnd w:id="8"/>
    <w:p>
      <w:pPr>
        <w:ind w:left="902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183515</wp:posOffset>
            </wp:positionV>
            <wp:extent cx="7196455" cy="4354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80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4380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63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2021-11-29T06:06:36Z</dcterms:created>
  <dcterms:modified xsi:type="dcterms:W3CDTF">2021-11-29T06:06:36Z</dcterms:modified>
</cp:coreProperties>
</file>