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4"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45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09"/>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0"/>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67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On August 1, 2024, Blueprint Medicines Corporation (the “Company”) announced its financial results for the quarter ended June 30, 2024 and other business highlights. The full text of the press release issued in connection with the announcement is furnished as Exhibit 99.1 to this Current Report on Form 8-K and is incorporated by reference herein.</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2.02 of this Form 8-K shall be deemed to be furnished and not filed: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820" w:type="dxa"/>
            <w:vAlign w:val="bottom"/>
            <w:gridSpan w:val="3"/>
          </w:tcPr>
          <w:p>
            <w:pPr>
              <w:ind w:left="40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4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Press release issued by Blueprint Medicines Corporation on August 1, 2024</w:t>
            </w:r>
          </w:p>
        </w:tc>
      </w:tr>
      <w:tr>
        <w:trPr>
          <w:trHeight w:val="20"/>
        </w:trPr>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40" w:type="dxa"/>
            <w:vAlign w:val="bottom"/>
            <w:shd w:val="clear" w:color="auto" w:fill="0000EE"/>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37"/>
        </w:trPr>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104</w:t>
            </w:r>
          </w:p>
        </w:tc>
        <w:tc>
          <w:tcPr>
            <w:tcW w:w="1100" w:type="dxa"/>
            <w:vAlign w:val="bottom"/>
          </w:tcPr>
          <w:p>
            <w:pPr>
              <w:spacing w:after="0"/>
              <w:rPr>
                <w:sz w:val="20"/>
                <w:szCs w:val="20"/>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incorporated as Exhibit 101)</w:t>
            </w:r>
          </w:p>
        </w:tc>
      </w:tr>
      <w:tr>
        <w:trPr>
          <w:trHeight w:val="675"/>
        </w:trPr>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2024</w:t>
            </w: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Kathryn Haviland</w:t>
            </w:r>
          </w:p>
        </w:tc>
      </w:tr>
      <w:tr>
        <w:trPr>
          <w:trHeight w:val="191"/>
        </w:trPr>
        <w:tc>
          <w:tcPr>
            <w:tcW w:w="36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34"/>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6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Reports Second Quarter 2024 Results and Raises AYVAKIT</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AYVAKYT</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color w:val="auto"/>
        </w:rPr>
        <w:t xml:space="preserve"> (avapritinib) Full Year Revenue Guidance</w:t>
      </w:r>
    </w:p>
    <w:p>
      <w:pPr>
        <w:spacing w:after="0" w:line="137" w:lineRule="exact"/>
        <w:rPr>
          <w:sz w:val="20"/>
          <w:szCs w:val="20"/>
          <w:color w:val="auto"/>
        </w:rPr>
      </w:pPr>
    </w:p>
    <w:p>
      <w:pPr>
        <w:jc w:val="center"/>
        <w:spacing w:after="0" w:line="501" w:lineRule="auto"/>
        <w:rPr>
          <w:sz w:val="20"/>
          <w:szCs w:val="20"/>
          <w:color w:val="auto"/>
        </w:rPr>
      </w:pPr>
      <w:r>
        <w:rPr>
          <w:rFonts w:ascii="Times New Roman" w:cs="Times New Roman" w:eastAsia="Times New Roman" w:hAnsi="Times New Roman"/>
          <w:sz w:val="18"/>
          <w:szCs w:val="18"/>
          <w:i w:val="1"/>
          <w:iCs w:val="1"/>
          <w:color w:val="auto"/>
        </w:rPr>
        <w:t>-- Achieved $114.1 million in AYVAKIT net product revenues in the second quarter 2024 -- -- Raising AYVAKIT net product revenue guidance to $435 million to $450 million for 2024 -- -- Initiated Phase 1 healthy volunteer trial of wild-type KIT inhibitor BLU-808 --</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CAMBRIDGE, Mass., August 1, 2024 – Blueprint Medicines Corporation (Nasdaq: BPMC) today reported financial results, provided a business update for the second quarter ended June 30, 2024, and provided updated financial guidance.</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quarter marks a milestone, as we celebrate one full year since the U.S. approval of AYVAKIT for indolent systemic mastocytosis. We have delivered yet another very strong quarter of revenue as we continue to build this new rare disease market, and we are well on path to achieve more than $2 billion in potential peak sales. In addition, we have invested in our next pillars of growth, building on AYVAKIT as the cornerstone of a mast cell disease franchise. Our wild-type KIT inhibitor BLU-808 has entered a Phase 1 healthy volunteer study and we expect to initiate the registration-enabling HARBOR Part 2 study of our next-generation KIT D816V inhibitor elenestinib in indolent systemic mastocytosis later this year,” said Kate Haviland, Chief Executive Officer of Blueprint Medicines. “With a significant and growing revenue base from AYVAKIT, a next wave of therapies in our pipeline that we believe can address even larger scale patient opportunities, and a financial profile anchored in sustainable topline revenue growth that enables us the flexibility to invest in the next wave of innovation, we are building Blueprint Medicines for long term value.”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2024 Highlights and Recent Progress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Mast cell disorders</w:t>
      </w:r>
    </w:p>
    <w:p>
      <w:pPr>
        <w:spacing w:after="0" w:line="22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AYVAKIT net product revenues of $114.1 million for second quarter of 2024, representing more than 185 percent growth year-over-year.</w:t>
      </w:r>
    </w:p>
    <w:p>
      <w:pPr>
        <w:spacing w:after="0" w:line="27" w:lineRule="exact"/>
        <w:rPr>
          <w:rFonts w:ascii="Times New Roman" w:cs="Times New Roman" w:eastAsia="Times New Roman" w:hAnsi="Times New Roman"/>
          <w:sz w:val="18"/>
          <w:szCs w:val="18"/>
          <w:color w:val="auto"/>
        </w:rPr>
      </w:pPr>
    </w:p>
    <w:p>
      <w:pPr>
        <w:ind w:left="340" w:right="80" w:hanging="332"/>
        <w:spacing w:after="0" w:line="25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clearance of an Investigational New Drug application for BLU-808 by the U.S. Food and Drug Administration and initiated the healthy volunteer study. BLU-808 is a highly selective and potent investigational oral wild-type KIT inhibitor with best-in-class potential, for chronic urticaria and other mast cell disorders.</w:t>
      </w:r>
    </w:p>
    <w:p>
      <w:pPr>
        <w:spacing w:after="0" w:line="1" w:lineRule="exact"/>
        <w:rPr>
          <w:rFonts w:ascii="Times New Roman" w:cs="Times New Roman" w:eastAsia="Times New Roman" w:hAnsi="Times New Roman"/>
          <w:sz w:val="18"/>
          <w:szCs w:val="18"/>
          <w:color w:val="auto"/>
        </w:rPr>
      </w:pPr>
    </w:p>
    <w:p>
      <w:pPr>
        <w:ind w:left="340" w:right="300" w:hanging="332"/>
        <w:spacing w:after="0" w:line="255"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Presented multiple datasets highlighting the long-term safety and durable clinical outcomes of AYVAKIT®/AYVAKYT® (avapritinib) across the spectrum of systemic mastocytosis (SM) at the 2024 European Academy of Allergy and Clinical Immunology (EAACI) and European Hematology Association (EHA) conferences. Read the presentations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Cell cycle inhibition</w:t>
      </w:r>
    </w:p>
    <w:p>
      <w:pPr>
        <w:spacing w:after="0" w:line="229" w:lineRule="exact"/>
        <w:rPr>
          <w:sz w:val="20"/>
          <w:szCs w:val="20"/>
          <w:color w:val="auto"/>
        </w:rPr>
      </w:pPr>
    </w:p>
    <w:p>
      <w:pPr>
        <w:ind w:left="340" w:right="2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Presented data from the Phase 1 VELA study of BLU-222, an oral, potent and selective CDK2 inhibitor, at the 2024 American Society of Clinical Oncology (ASCO) meeting. This is the first positive combination safety data with signals of early clinical activity for a CDK2 inhibitor in combination with an approved CDK4/6 inhibitor, ribociclib, and fulvestrant, in patients with HR+/HER2- breast cancer. Read the presentation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Financial Guidance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Blueprint Medicines now anticipates approximately $435 million to $450 million in global AYVAKIT net product revenues for all approved indications in 2024, an increase from the previous range of $390 million to $410 million. The company continues to expect that full-year operating expenses and cash burn will decline in 2024 as compared to 2023, and that its existing cash, cash equivalents and investments, together with anticipated product revenues, will enable the company to maintain a durable capital position to achieve a self-sustainable financial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Key Upcoming Milestones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plans to achieve the following remaining milestones in the second half of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Mast cell disorders</w:t>
      </w:r>
    </w:p>
    <w:p>
      <w:pPr>
        <w:spacing w:after="0" w:line="27"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registration-enabling Part 2 of the HARBOR trial in indolent systemic mastocytosis (ISM).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Cell cycle inhibition</w:t>
      </w:r>
    </w:p>
    <w:p>
      <w:pPr>
        <w:spacing w:after="0" w:line="27"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strategic business development discussions.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Phase 1 combination dose escalation for BLU-222 by end of year to inform registration plans.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2024 Results</w:t>
      </w:r>
    </w:p>
    <w:p>
      <w:pPr>
        <w:spacing w:after="0" w:line="225" w:lineRule="exact"/>
        <w:rPr>
          <w:sz w:val="20"/>
          <w:szCs w:val="20"/>
          <w:color w:val="auto"/>
        </w:rPr>
      </w:pPr>
    </w:p>
    <w:p>
      <w:pPr>
        <w:ind w:left="340" w:right="180" w:hanging="332"/>
        <w:spacing w:after="0" w:line="274" w:lineRule="auto"/>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Revenues</w:t>
      </w:r>
      <w:r>
        <w:rPr>
          <w:rFonts w:ascii="Times New Roman" w:cs="Times New Roman" w:eastAsia="Times New Roman" w:hAnsi="Times New Roman"/>
          <w:sz w:val="17"/>
          <w:szCs w:val="17"/>
          <w:color w:val="auto"/>
        </w:rPr>
        <w:t>: Revenues were $138.2 million for the second quarter of 2024, including $114.1 million of net product revenues from sales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AYVAKIT/AYVAKYT and $24.0 million in collaboration, license and other revenues. Revenues were $57.6 million in the second quarter of 2023, including $39.9 million of net product revenues from sales of AYVAKIT/AYVAKYT and $17.7 million in collaboration, license and other revenues.</w:t>
      </w:r>
    </w:p>
    <w:p>
      <w:pPr>
        <w:ind w:left="340" w:right="8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Cost of sales was $7.6 million for the second quarter of 2024, as compared to $2.3 million for the second quarter of 2023. The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primarily due to the sale of GAVRETO® (pralsetinib) product to Rigel.</w:t>
      </w:r>
    </w:p>
    <w:p>
      <w:pPr>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Research and development expenses were $84.3 million for the second quarter of 2024, as compared to $110.1 million for the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2023. This decrease was primarily due to operational efficiency across our portfolio as we execute across our top priority programs and the timing of manufacturing of clinical trial materials. Research and development expenses included $12.3 million in stock-based compensation expenses for the second quarter of 2024.</w:t>
      </w:r>
    </w:p>
    <w:p>
      <w:pPr>
        <w:spacing w:after="0" w:line="1" w:lineRule="exact"/>
        <w:rPr>
          <w:rFonts w:ascii="Times New Roman" w:cs="Times New Roman" w:eastAsia="Times New Roman" w:hAnsi="Times New Roman"/>
          <w:sz w:val="18"/>
          <w:szCs w:val="18"/>
          <w:color w:val="auto"/>
        </w:rPr>
      </w:pPr>
    </w:p>
    <w:p>
      <w:pPr>
        <w:jc w:val="both"/>
        <w:ind w:left="340" w:right="200" w:hanging="332"/>
        <w:spacing w:after="0" w:line="265" w:lineRule="auto"/>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SG&amp;A Expenses: </w:t>
      </w:r>
      <w:r>
        <w:rPr>
          <w:rFonts w:ascii="Times New Roman" w:cs="Times New Roman" w:eastAsia="Times New Roman" w:hAnsi="Times New Roman"/>
          <w:sz w:val="17"/>
          <w:szCs w:val="17"/>
          <w:color w:val="auto"/>
        </w:rPr>
        <w:t>Selling, general and administrative expenses were $89.3 million for the second quarter of 2024, as compared to $71.9 million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second quarter of 2023. This increase was primarily due to an increase in activities supporting the commercialization of AYVAKIT/AYVAKYT. Selling, general, and administrative expenses included $15.7 million in stock-based compensation expenses for the second quarter of 2024.</w:t>
      </w: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$50.0 million for the second quarter of 2024, as compared to a net loss of $132.8 million for the second quarter of 2023</w:t>
      </w:r>
      <w:r>
        <w:rPr>
          <w:rFonts w:ascii="Times New Roman" w:cs="Times New Roman" w:eastAsia="Times New Roman" w:hAnsi="Times New Roman"/>
          <w:sz w:val="18"/>
          <w:szCs w:val="18"/>
          <w:b w:val="1"/>
          <w:bCs w:val="1"/>
          <w:color w:val="auto"/>
        </w:rPr>
        <w:t>.</w:t>
      </w:r>
    </w:p>
    <w:p>
      <w:pPr>
        <w:spacing w:after="0" w:line="9" w:lineRule="exact"/>
        <w:rPr>
          <w:rFonts w:ascii="Times New Roman" w:cs="Times New Roman" w:eastAsia="Times New Roman" w:hAnsi="Times New Roman"/>
          <w:sz w:val="18"/>
          <w:szCs w:val="18"/>
          <w:color w:val="auto"/>
        </w:rPr>
      </w:pPr>
    </w:p>
    <w:p>
      <w:pPr>
        <w:ind w:left="340" w:right="140" w:hanging="332"/>
        <w:spacing w:after="0" w:line="253"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June 30, 2024, cash, cash equivalents and investments were $868.5 million, as compared to $767.2 million as of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This increase was primarily due to taking an additional draw under our 2022 debt facility with Sixth Street Partners. Blueprint Medicine’s cash and investments provide a durable capital position which, together with anticipated product revenues, the company believes will enable it to reach a self-sustainable financial profile</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Blueprint Medicines will host a live conference call and webcast at 8:00 a.m. ET today to discuss second quarter 2024 financial results and recent business activities. The conference call may be accessed by dialing 833-470-1428 (domestic) or 404-975-4839 (international), and referring to conference ID 299779. A webcast of the call will also be available under "Events and Presentations" in the Investors &amp; Media section of the Blueprint Medicines website at </w:t>
      </w:r>
      <w:r>
        <w:rPr>
          <w:rFonts w:ascii="Times New Roman" w:cs="Times New Roman" w:eastAsia="Times New Roman" w:hAnsi="Times New Roman"/>
          <w:sz w:val="18"/>
          <w:szCs w:val="18"/>
          <w:u w:val="single" w:color="auto"/>
          <w:color w:val="auto"/>
        </w:rPr>
        <w:t>http://ir.blueprintmedicines.com/</w:t>
      </w:r>
      <w:r>
        <w:rPr>
          <w:rFonts w:ascii="Times New Roman" w:cs="Times New Roman" w:eastAsia="Times New Roman" w:hAnsi="Times New Roman"/>
          <w:sz w:val="18"/>
          <w:szCs w:val="18"/>
          <w:color w:val="auto"/>
        </w:rPr>
        <w:t>. The archived webcast will be available on Blueprint Medicines' website approximately two hours after the conference call and will be available for 30 days following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Upcoming Investor Conferences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Blueprint Medicines will participate in two upcoming investor conferences:</w:t>
      </w:r>
    </w:p>
    <w:p>
      <w:pPr>
        <w:ind w:left="340" w:hanging="332"/>
        <w:spacing w:after="0" w:line="180" w:lineRule="auto"/>
        <w:tabs>
          <w:tab w:leader="none" w:pos="340" w:val="left"/>
        </w:tabs>
        <w:numPr>
          <w:ilvl w:val="0"/>
          <w:numId w:val="7"/>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17"/>
          <w:szCs w:val="17"/>
          <w:b w:val="1"/>
          <w:bCs w:val="1"/>
          <w:color w:val="auto"/>
        </w:rPr>
        <w:t>Morgan Stanley 22</w:t>
      </w:r>
      <w:r>
        <w:rPr>
          <w:rFonts w:ascii="Times New Roman" w:cs="Times New Roman" w:eastAsia="Times New Roman" w:hAnsi="Times New Roman"/>
          <w:sz w:val="27"/>
          <w:szCs w:val="27"/>
          <w:b w:val="1"/>
          <w:bCs w:val="1"/>
          <w:color w:val="auto"/>
          <w:vertAlign w:val="superscript"/>
        </w:rPr>
        <w:t>nd</w:t>
      </w:r>
      <w:r>
        <w:rPr>
          <w:rFonts w:ascii="Times New Roman" w:cs="Times New Roman" w:eastAsia="Times New Roman" w:hAnsi="Times New Roman"/>
          <w:sz w:val="17"/>
          <w:szCs w:val="17"/>
          <w:b w:val="1"/>
          <w:bCs w:val="1"/>
          <w:color w:val="auto"/>
        </w:rPr>
        <w:t xml:space="preserve"> Annual Global Healthcare Conference </w:t>
      </w:r>
      <w:r>
        <w:rPr>
          <w:rFonts w:ascii="Times New Roman" w:cs="Times New Roman" w:eastAsia="Times New Roman" w:hAnsi="Times New Roman"/>
          <w:sz w:val="17"/>
          <w:szCs w:val="17"/>
          <w:color w:val="auto"/>
        </w:rPr>
        <w:t>on Thursday, September 5, 2024 at 1:50 p.m. ET.</w:t>
      </w: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2024 Wells Fargo Healthcare Conference </w:t>
      </w:r>
      <w:r>
        <w:rPr>
          <w:rFonts w:ascii="Times New Roman" w:cs="Times New Roman" w:eastAsia="Times New Roman" w:hAnsi="Times New Roman"/>
          <w:sz w:val="18"/>
          <w:szCs w:val="18"/>
          <w:color w:val="auto"/>
        </w:rPr>
        <w:t>on Thursday, September 5, 2024 at 11:00 a.m. ET.</w:t>
      </w:r>
    </w:p>
    <w:p>
      <w:pPr>
        <w:spacing w:after="0" w:line="205"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 xml:space="preserve">A live webcast of the fireside discussions will be available under "Events and Presentations" in the Investors &amp; Media section of the Blueprint Medicines website at </w:t>
      </w:r>
      <w:r>
        <w:rPr>
          <w:rFonts w:ascii="Times New Roman" w:cs="Times New Roman" w:eastAsia="Times New Roman" w:hAnsi="Times New Roman"/>
          <w:sz w:val="17"/>
          <w:szCs w:val="17"/>
          <w:u w:val="single" w:color="auto"/>
          <w:color w:val="auto"/>
        </w:rPr>
        <w:t>http://ir.blueprintmedicines.com</w:t>
      </w:r>
      <w:r>
        <w:rPr>
          <w:rFonts w:ascii="Times New Roman" w:cs="Times New Roman" w:eastAsia="Times New Roman" w:hAnsi="Times New Roman"/>
          <w:sz w:val="17"/>
          <w:szCs w:val="17"/>
          <w:color w:val="auto"/>
        </w:rPr>
        <w:t>. A replay of the webcasts will be archived on the Blueprint Medicines website for 30 days following the events.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Blueprint Medicines</w:t>
      </w:r>
    </w:p>
    <w:p>
      <w:pPr>
        <w:spacing w:after="0" w:line="22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Blueprint Medicines is a global, fully integrated biopharmaceutical company that invents life-changing medicines. We seek to alleviate human suffering by solving important medical problems in two core focus areas: allergy/inflammation and oncology/hematology. Our approach begins by targeting the root causes of disease, using deep scientific knowledge in our core focus areas and drug discovery expertise across multiple therapeutic modalities. We have a</w:t>
      </w:r>
    </w:p>
    <w:p>
      <w:pPr>
        <w:spacing w:after="0" w:line="1"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track record of success with two approved medicines, including AYVAKIT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/AYVAKYT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(avapritinib) which we are bringing to patients with systemic mastocytosis (SM) in the U.S. and Europe. Leveraging our established research, development, and commercial capability and infrastructure, we now aim to significantly scale our impact by advancing a broad pipeline of programs ranging from early science to advanced clinical trials in mast cell diseases including SM and chronic urticaria, breast cancer and other solid tumors. For more information, visit </w:t>
      </w:r>
      <w:r>
        <w:rPr>
          <w:rFonts w:ascii="Times New Roman" w:cs="Times New Roman" w:eastAsia="Times New Roman" w:hAnsi="Times New Roman"/>
          <w:sz w:val="18"/>
          <w:szCs w:val="18"/>
          <w:u w:val="single" w:color="auto"/>
          <w:color w:val="auto"/>
        </w:rPr>
        <w:t>www.BlueprintMedicines.com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(formerly Twitter; @BlueprintMeds) and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including,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limitation, statements regarding plans, strategies, timelines and expectations for Blueprint Medicines’ operations, including its expectations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 growth and product revenue in 2024; statements regarding our current or future approved drugs and drug candidates and operations,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AYVAKIT’s potential to achieve more than $2 billion in peak sales; plans to initiate registration-enabling Part 2 of the HARBOR trial in ISM, complete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1 combination dose escalation for BLU-222 to inform registration plans and continue strategic business development discussions all in the second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half of 2024; plans to advance our portfolio by targeting additional allergic-inflammatory diseases driven by mast cells; expectations related to the markets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current or future approved drugs and drug candidates, including expectations regarding the size or scale of patient opportunities that our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drugs and drug candidates could address; the potential benefits of any of our current or future approved drugs or drug candidates in treating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patients; statements related to our liquidity and capital position, including expectations that our cash, cash equivalents and investments will provide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durable capital position which, together with anticipated product revenues, will enable us to reach a self-sustainable financial profile; and our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performance, strategy, goals and anticipated milestones, business plans and focus, including expectations regarding our revenue ramp and continued decline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operating expenses and cash burn. The words "aim," "may," "will," "could," "would," "should," "expect," "plan," "anticipate," "intend," "believe,"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 "predict," "project," "potential," "continue," "target" and similar expressions are intended to identify forward-looking statements, although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forward-looking statements contain these identifying words. Any forward-looking statements in this press release are based on management's 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expectations and beliefs and are subject to a number of risks, uncertainties and important factors that may cause actual events or results to differ materially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those expressed or implied by any forward-looking statements contained in this press release, including, without limitation: the risk that the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sale of AYVAKIT/ AYVAKYT or any future approved drugs may be unsuccessful or less successful than anticipated, or that AYVAKIT/ AYVAKYT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not gain market acceptance by physicians, patients, third-party payors and others in the medical community; the risk that the market opportunities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AYVAKIT/ AYVAKYT or our drug candidates are smaller than we estimate or that any approval we obtain may be based on a narrower definition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 population that we anticipate; the risk of delay of any current or planned clinical trials or the development of Blueprint Medicines’ current or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drug candidates; risks related to Blueprint Medicines' ability to successfully demonstrate the safety and efficacy of its drug candidates and gain approval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drug candidates on a timely basis, if at all; preclinical and clinical results for Blueprint Medicines' drug candidates may not support further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drug candidates either as monotherapies or in combination with other agents or may impact the anticipated timing of data or regulatory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submissions; the timing of the initiation of clinical trials and trial cohorts at clinical trial sites and patient enrollment rates may be delayed or slower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anticipated; actions of regulatory agencies may affect our approved drugs or our current or future drug candidates, including affecting the initiation, timing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progress of clinical trials; risks related to Blueprint Medicines' ability to obtain, maintain and enforce patent and other intellectual property protection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 products and current or future drug candidates it is developing; the success of Blueprint Medicines' current and future collaborations, 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arrangements, partnerships or licensing and other arrangements; risks related to our liquidity and financial position, including the risk that we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unable to generate sufficient future product revenues to achieve and maintain a self-sustainable financial profile; and the accuracy of our estimates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expenses and capital requirements. These and other risks and uncertainties are described in greater detail in the section entitled "Risk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Factors" in Blueprint Medicines' filings with the Securities and Exchange Commission (SEC), including Blueprint Medicines' most recent Annual Report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10-K, as supplemented by its most recent Quarterly Report on Form 10-Q and any other filings that Blueprint Medicines has made or may make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 in the future. Any forward-looking statements contained in this press release represent Blueprint Medicines' views only as of the date hereof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not be relied upon as representing its views as of any subsequent date. Except as required by law, Blueprint Medicines explicitly disclaims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Blueprint Medicines, AYVAKIT, AYVAKYT and associated logos are trademarks of Blueprint Medicines Corporation. GAVRETO and associated logos are trademarks of Blueprint Medicines Corporation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Condensed Consolidated Balance Sheet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84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767,171</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(1)</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659,741</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593,470</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1,203,560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1,049,250</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(2)</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11,789</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5,604</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 and revenues (2)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265,533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441,625</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Term loan (2)</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386,914</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238,813</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883,319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918,641</w:t>
            </w:r>
          </w:p>
        </w:tc>
      </w:t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320,241</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130,609</w:t>
            </w:r>
          </w:p>
        </w:tc>
      </w:tr>
    </w:tbl>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 Blueprint Medicines defines working capital as current assets less current liabilities.</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 Includes both current and long-term portions of the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gridSpan w:val="6"/>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9"/>
                <w:szCs w:val="19"/>
                <w:color w:val="auto"/>
              </w:rPr>
            </w:pPr>
          </w:p>
        </w:tc>
        <w:tc>
          <w:tcPr>
            <w:tcW w:w="2520" w:type="dxa"/>
            <w:vAlign w:val="bottom"/>
            <w:gridSpan w:val="7"/>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114,115</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39,876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206,641</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Collaboration and license and other revenue</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24,042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17,694</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27,632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57,570</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operating expenses: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7,593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2,323</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Collaboration loss sharing</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1,234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84,270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110,063</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172,461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222,135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89,339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71,931</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172,896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142,882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185,551</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(6,864)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(3,996)</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(9,815)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extinguishment gain</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173,676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161,292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(132,603)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(261,644)</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190</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(49,994</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(132,793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39,141</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(262,354</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546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income (loss) per share — basic</w:t>
            </w: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0.63</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546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(0.80</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(2.19</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0.61</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54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Weighted-average number of common shares used in net income (loss) per</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 basic</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62,854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60,516</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62,217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Weighted-average number of common shares used in net income (loss) per</w:t>
            </w: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4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—diluted</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62,854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60,516</w:t>
            </w:r>
          </w:p>
        </w:tc>
        <w:tc>
          <w:tcPr>
            <w:tcW w:w="26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64,612</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60,322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Law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617-844-8205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media@blueprintmedicines.com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Jenna Cohen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857-209-3147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2024-08-01T06:37:49Z</dcterms:created>
  <dcterms:modified xsi:type="dcterms:W3CDTF">2024-08-01T06:37:49Z</dcterms:modified>
</cp:coreProperties>
</file>