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5,455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10,909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August 5, 2020 pursuant to Rule 10b5-1 under the Securities Exchange Act of 1934, as amended.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This option was granted on June 25, 2015 and is fully vested as of the date hereof.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-4558665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7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2020-12-15T15:10:34Z</dcterms:created>
  <dcterms:modified xsi:type="dcterms:W3CDTF">2020-12-15T15:10:34Z</dcterms:modified>
</cp:coreProperties>
</file>