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UNITED STATES</w:t>
      </w:r>
    </w:p>
    <w:p>
      <w:pPr>
        <w:jc w:val="center"/>
        <w:ind w:right="-179"/>
        <w:spacing w:after="0" w:line="218" w:lineRule="auto"/>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79"/>
        <w:spacing w:after="0" w:line="211" w:lineRule="auto"/>
        <w:rPr>
          <w:sz w:val="20"/>
          <w:szCs w:val="20"/>
          <w:color w:val="auto"/>
        </w:rPr>
      </w:pPr>
      <w:r>
        <w:rPr>
          <w:rFonts w:ascii="Times New Roman" w:cs="Times New Roman" w:eastAsia="Times New Roman" w:hAnsi="Times New Roman"/>
          <w:sz w:val="14"/>
          <w:szCs w:val="14"/>
          <w:b w:val="1"/>
          <w:bCs w:val="1"/>
          <w:color w:val="auto"/>
        </w:rPr>
        <w:t>Washington, DC 20549</w:t>
      </w: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w:t>
      </w:r>
    </w:p>
    <w:p>
      <w:pPr>
        <w:spacing w:after="0" w:line="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94" w:lineRule="exact"/>
        <w:rPr>
          <w:sz w:val="24"/>
          <w:szCs w:val="24"/>
          <w:color w:val="auto"/>
        </w:rPr>
      </w:pPr>
    </w:p>
    <w:p>
      <w:pPr>
        <w:ind w:left="1200"/>
        <w:spacing w:after="0" w:line="188" w:lineRule="exact"/>
        <w:rPr>
          <w:sz w:val="24"/>
          <w:szCs w:val="24"/>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 the quarterly period-ended June 30, 2017</w:t>
      </w:r>
    </w:p>
    <w:p>
      <w:pPr>
        <w:spacing w:after="0" w:line="1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04" w:lineRule="exact"/>
        <w:rPr>
          <w:sz w:val="24"/>
          <w:szCs w:val="24"/>
          <w:color w:val="auto"/>
        </w:rPr>
      </w:pPr>
    </w:p>
    <w:p>
      <w:pPr>
        <w:ind w:left="1200"/>
        <w:spacing w:after="0"/>
        <w:rPr>
          <w:sz w:val="24"/>
          <w:szCs w:val="2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Commission file number 001-37359</w:t>
      </w: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jc w:val="center"/>
        <w:ind w:right="-179"/>
        <w:spacing w:after="0" w:line="200" w:lineRule="auto"/>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w:t>
      </w:r>
    </w:p>
    <w:p>
      <w:pPr>
        <w:spacing w:after="0" w:line="90"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87"/>
        </w:trPr>
        <w:tc>
          <w:tcPr>
            <w:tcW w:w="1680" w:type="dxa"/>
            <w:vAlign w:val="bottom"/>
          </w:tcPr>
          <w:p>
            <w:pPr>
              <w:jc w:val="center"/>
              <w:spacing w:after="0" w:line="87" w:lineRule="exact"/>
              <w:rPr>
                <w:sz w:val="20"/>
                <w:szCs w:val="20"/>
                <w:color w:val="auto"/>
              </w:rPr>
            </w:pPr>
            <w:r>
              <w:rPr>
                <w:rFonts w:ascii="Times New Roman" w:cs="Times New Roman" w:eastAsia="Times New Roman" w:hAnsi="Times New Roman"/>
                <w:sz w:val="9"/>
                <w:szCs w:val="9"/>
                <w:b w:val="1"/>
                <w:bCs w:val="1"/>
                <w:color w:val="auto"/>
                <w:w w:val="96"/>
              </w:rPr>
              <w:t>(State or Other Jurisdiction of</w:t>
            </w:r>
          </w:p>
        </w:tc>
        <w:tc>
          <w:tcPr>
            <w:tcW w:w="4620" w:type="dxa"/>
            <w:vAlign w:val="bottom"/>
          </w:tcPr>
          <w:p>
            <w:pPr>
              <w:jc w:val="center"/>
              <w:ind w:left="3864"/>
              <w:spacing w:after="0" w:line="87" w:lineRule="exact"/>
              <w:rPr>
                <w:sz w:val="20"/>
                <w:szCs w:val="20"/>
                <w:color w:val="auto"/>
              </w:rPr>
            </w:pPr>
            <w:r>
              <w:rPr>
                <w:rFonts w:ascii="Times New Roman" w:cs="Times New Roman" w:eastAsia="Times New Roman" w:hAnsi="Times New Roman"/>
                <w:sz w:val="9"/>
                <w:szCs w:val="9"/>
                <w:b w:val="1"/>
                <w:bCs w:val="1"/>
                <w:color w:val="auto"/>
                <w:w w:val="95"/>
              </w:rPr>
              <w:t>(I.R.S. Employer</w:t>
            </w:r>
          </w:p>
        </w:tc>
        <w:tc>
          <w:tcPr>
            <w:tcW w:w="0" w:type="dxa"/>
            <w:vAlign w:val="bottom"/>
          </w:tcPr>
          <w:p>
            <w:pPr>
              <w:spacing w:after="0"/>
              <w:rPr>
                <w:sz w:val="1"/>
                <w:szCs w:val="1"/>
                <w:color w:val="auto"/>
              </w:rPr>
            </w:pPr>
          </w:p>
        </w:tc>
      </w:tr>
      <w:tr>
        <w:trPr>
          <w:trHeight w:val="114"/>
        </w:trPr>
        <w:tc>
          <w:tcPr>
            <w:tcW w:w="16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Incorporation or Organization)</w:t>
            </w:r>
          </w:p>
        </w:tc>
        <w:tc>
          <w:tcPr>
            <w:tcW w:w="4620" w:type="dxa"/>
            <w:vAlign w:val="bottom"/>
          </w:tcPr>
          <w:p>
            <w:pPr>
              <w:jc w:val="center"/>
              <w:ind w:left="3864"/>
              <w:spacing w:after="0"/>
              <w:rPr>
                <w:sz w:val="20"/>
                <w:szCs w:val="20"/>
                <w:color w:val="auto"/>
              </w:rPr>
            </w:pPr>
            <w:r>
              <w:rPr>
                <w:rFonts w:ascii="Times New Roman" w:cs="Times New Roman" w:eastAsia="Times New Roman" w:hAnsi="Times New Roman"/>
                <w:sz w:val="9"/>
                <w:szCs w:val="9"/>
                <w:b w:val="1"/>
                <w:bCs w:val="1"/>
                <w:color w:val="auto"/>
                <w:w w:val="99"/>
              </w:rPr>
              <w:t>Identification No.)</w:t>
            </w:r>
          </w:p>
        </w:tc>
        <w:tc>
          <w:tcPr>
            <w:tcW w:w="0" w:type="dxa"/>
            <w:vAlign w:val="bottom"/>
          </w:tcPr>
          <w:p>
            <w:pPr>
              <w:spacing w:after="0"/>
              <w:rPr>
                <w:sz w:val="1"/>
                <w:szCs w:val="1"/>
                <w:color w:val="auto"/>
              </w:rPr>
            </w:pPr>
          </w:p>
        </w:tc>
      </w:tr>
      <w:tr>
        <w:trPr>
          <w:trHeight w:val="202"/>
        </w:trPr>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38 Sidney Street, Suite 200</w:t>
            </w:r>
          </w:p>
        </w:tc>
        <w:tc>
          <w:tcPr>
            <w:tcW w:w="462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41"/>
        </w:trPr>
        <w:tc>
          <w:tcPr>
            <w:tcW w:w="1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4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680" w:type="dxa"/>
            <w:vAlign w:val="bottom"/>
          </w:tcPr>
          <w:p>
            <w:pPr>
              <w:jc w:val="center"/>
              <w:spacing w:after="0" w:line="87" w:lineRule="exact"/>
              <w:rPr>
                <w:sz w:val="20"/>
                <w:szCs w:val="20"/>
                <w:color w:val="auto"/>
              </w:rPr>
            </w:pPr>
            <w:r>
              <w:rPr>
                <w:rFonts w:ascii="Times New Roman" w:cs="Times New Roman" w:eastAsia="Times New Roman" w:hAnsi="Times New Roman"/>
                <w:sz w:val="9"/>
                <w:szCs w:val="9"/>
                <w:b w:val="1"/>
                <w:bCs w:val="1"/>
                <w:color w:val="auto"/>
                <w:w w:val="96"/>
              </w:rPr>
              <w:t>(Address of Principal Executive Offices)</w:t>
            </w:r>
          </w:p>
        </w:tc>
        <w:tc>
          <w:tcPr>
            <w:tcW w:w="4620" w:type="dxa"/>
            <w:vAlign w:val="bottom"/>
          </w:tcPr>
          <w:p>
            <w:pPr>
              <w:jc w:val="center"/>
              <w:ind w:left="3864"/>
              <w:spacing w:after="0" w:line="87" w:lineRule="exact"/>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141"/>
        </w:trPr>
        <w:tc>
          <w:tcPr>
            <w:tcW w:w="1680" w:type="dxa"/>
            <w:vAlign w:val="bottom"/>
          </w:tcPr>
          <w:p>
            <w:pPr>
              <w:spacing w:after="0"/>
              <w:rPr>
                <w:sz w:val="12"/>
                <w:szCs w:val="12"/>
                <w:color w:val="auto"/>
              </w:rPr>
            </w:pPr>
          </w:p>
        </w:tc>
        <w:tc>
          <w:tcPr>
            <w:tcW w:w="4620" w:type="dxa"/>
            <w:vAlign w:val="bottom"/>
          </w:tcPr>
          <w:p>
            <w:pPr>
              <w:jc w:val="right"/>
              <w:ind w:right="2464"/>
              <w:spacing w:after="0" w:line="141" w:lineRule="exact"/>
              <w:rPr>
                <w:sz w:val="20"/>
                <w:szCs w:val="20"/>
                <w:color w:val="auto"/>
              </w:rPr>
            </w:pPr>
            <w:r>
              <w:rPr>
                <w:rFonts w:ascii="Times New Roman" w:cs="Times New Roman" w:eastAsia="Times New Roman" w:hAnsi="Times New Roman"/>
                <w:sz w:val="14"/>
                <w:szCs w:val="14"/>
                <w:b w:val="1"/>
                <w:bCs w:val="1"/>
                <w:color w:val="auto"/>
              </w:rPr>
              <w:t>(617) 374-7580</w:t>
            </w:r>
          </w:p>
        </w:tc>
        <w:tc>
          <w:tcPr>
            <w:tcW w:w="0" w:type="dxa"/>
            <w:vAlign w:val="bottom"/>
          </w:tcPr>
          <w:p>
            <w:pPr>
              <w:spacing w:after="0"/>
              <w:rPr>
                <w:sz w:val="1"/>
                <w:szCs w:val="1"/>
                <w:color w:val="auto"/>
              </w:rPr>
            </w:pPr>
          </w:p>
        </w:tc>
      </w:tr>
      <w:tr>
        <w:trPr>
          <w:trHeight w:val="114"/>
        </w:trPr>
        <w:tc>
          <w:tcPr>
            <w:tcW w:w="1680" w:type="dxa"/>
            <w:vAlign w:val="bottom"/>
          </w:tcPr>
          <w:p>
            <w:pPr>
              <w:spacing w:after="0"/>
              <w:rPr>
                <w:sz w:val="9"/>
                <w:szCs w:val="9"/>
                <w:color w:val="auto"/>
              </w:rPr>
            </w:pPr>
          </w:p>
        </w:tc>
        <w:tc>
          <w:tcPr>
            <w:tcW w:w="4620" w:type="dxa"/>
            <w:vAlign w:val="bottom"/>
          </w:tcPr>
          <w:p>
            <w:pPr>
              <w:jc w:val="center"/>
              <w:ind w:right="1264"/>
              <w:spacing w:after="0"/>
              <w:rPr>
                <w:sz w:val="20"/>
                <w:szCs w:val="20"/>
                <w:color w:val="auto"/>
              </w:rPr>
            </w:pPr>
            <w:r>
              <w:rPr>
                <w:rFonts w:ascii="Times New Roman" w:cs="Times New Roman" w:eastAsia="Times New Roman" w:hAnsi="Times New Roman"/>
                <w:sz w:val="9"/>
                <w:szCs w:val="9"/>
                <w:b w:val="1"/>
                <w:bCs w:val="1"/>
                <w:color w:val="auto"/>
                <w:w w:val="96"/>
              </w:rPr>
              <w:t>(Registrant’s Telephone Number, Including Area Code)</w:t>
            </w: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p>
        </w:tc>
        <w:tc>
          <w:tcPr>
            <w:tcW w:w="4620" w:type="dxa"/>
            <w:vAlign w:val="bottom"/>
          </w:tcPr>
          <w:p>
            <w:pPr>
              <w:jc w:val="center"/>
              <w:ind w:right="1244"/>
              <w:spacing w:after="0"/>
              <w:rPr>
                <w:sz w:val="20"/>
                <w:szCs w:val="20"/>
                <w:color w:val="auto"/>
              </w:rPr>
            </w:pPr>
            <w:r>
              <w:rPr>
                <w:rFonts w:ascii="Times New Roman" w:cs="Times New Roman" w:eastAsia="Times New Roman" w:hAnsi="Times New Roman"/>
                <w:sz w:val="9"/>
                <w:szCs w:val="9"/>
                <w:b w:val="1"/>
                <w:bCs w:val="1"/>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4620" w:type="dxa"/>
            <w:vAlign w:val="bottom"/>
          </w:tcPr>
          <w:p>
            <w:pPr>
              <w:jc w:val="right"/>
              <w:ind w:right="1864"/>
              <w:spacing w:after="0"/>
              <w:rPr>
                <w:sz w:val="20"/>
                <w:szCs w:val="20"/>
                <w:color w:val="auto"/>
              </w:rPr>
            </w:pPr>
            <w:r>
              <w:rPr>
                <w:rFonts w:ascii="Times New Roman" w:cs="Times New Roman" w:eastAsia="Times New Roman" w:hAnsi="Times New Roman"/>
                <w:sz w:val="14"/>
                <w:szCs w:val="14"/>
                <w:b w:val="1"/>
                <w:bCs w:val="1"/>
                <w:color w:val="auto"/>
              </w:rPr>
              <w:t>_____________________________</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80" w:firstLine="334"/>
        <w:spacing w:after="0" w:line="13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w:t>
      </w:r>
    </w:p>
    <w:p>
      <w:pPr>
        <w:spacing w:after="0" w:line="88" w:lineRule="exact"/>
        <w:rPr>
          <w:sz w:val="24"/>
          <w:szCs w:val="24"/>
          <w:color w:val="auto"/>
        </w:rPr>
      </w:pPr>
    </w:p>
    <w:p>
      <w:pPr>
        <w:ind w:firstLine="334"/>
        <w:spacing w:after="0" w:line="13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w:t>
      </w:r>
    </w:p>
    <w:p>
      <w:pPr>
        <w:spacing w:after="0" w:line="98" w:lineRule="exact"/>
        <w:rPr>
          <w:sz w:val="24"/>
          <w:szCs w:val="24"/>
          <w:color w:val="auto"/>
        </w:rPr>
      </w:pPr>
    </w:p>
    <w:p>
      <w:pPr>
        <w:ind w:right="180" w:firstLine="334"/>
        <w:spacing w:after="0" w:line="22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380" w:type="dxa"/>
            <w:vAlign w:val="bottom"/>
          </w:tcPr>
          <w:p>
            <w:pPr>
              <w:spacing w:after="0"/>
              <w:rPr>
                <w:sz w:val="15"/>
                <w:szCs w:val="15"/>
                <w:color w:val="auto"/>
              </w:rPr>
            </w:pP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Accelerated filer</w:t>
            </w:r>
          </w:p>
        </w:tc>
        <w:tc>
          <w:tcPr>
            <w:tcW w:w="480" w:type="dxa"/>
            <w:vAlign w:val="bottom"/>
          </w:tcPr>
          <w:p>
            <w:pPr>
              <w:ind w:left="38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3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(Do not check if a smaller reporting company)</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80" w:type="dxa"/>
            <w:vAlign w:val="bottom"/>
          </w:tcPr>
          <w:p>
            <w:pPr>
              <w:spacing w:after="0"/>
              <w:rPr>
                <w:sz w:val="19"/>
                <w:szCs w:val="19"/>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380" w:type="dxa"/>
            <w:vAlign w:val="bottom"/>
          </w:tcPr>
          <w:p>
            <w:pPr>
              <w:ind w:left="42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43" w:lineRule="exact"/>
        <w:rPr>
          <w:sz w:val="24"/>
          <w:szCs w:val="24"/>
          <w:color w:val="auto"/>
        </w:rPr>
      </w:pPr>
    </w:p>
    <w:p>
      <w:pPr>
        <w:ind w:right="80" w:firstLine="334"/>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2"/>
          <w:szCs w:val="12"/>
          <w:color w:val="auto"/>
        </w:rPr>
        <w:t>☑</w:t>
      </w:r>
    </w:p>
    <w:p>
      <w:pPr>
        <w:spacing w:after="0" w:line="15" w:lineRule="exact"/>
        <w:rPr>
          <w:sz w:val="24"/>
          <w:szCs w:val="24"/>
          <w:color w:val="auto"/>
        </w:rPr>
      </w:pPr>
    </w:p>
    <w:p>
      <w:pPr>
        <w:ind w:left="340" w:right="3440"/>
        <w:spacing w:after="0" w:line="18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Number of shares of the registrant’s common stock, $0.001 par value, outstanding on July 31, 2017: 39,122,349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655955</wp:posOffset>
            </wp:positionV>
            <wp:extent cx="64166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6675" cy="20955"/>
                    </a:xfrm>
                    <a:prstGeom prst="rect">
                      <a:avLst/>
                    </a:prstGeom>
                    <a:noFill/>
                  </pic:spPr>
                </pic:pic>
              </a:graphicData>
            </a:graphic>
          </wp:anchor>
        </w:drawing>
      </w:r>
    </w:p>
    <w:p>
      <w:pPr>
        <w:sectPr>
          <w:pgSz w:w="11900" w:h="16838" w:orient="portrait"/>
          <w:cols w:equalWidth="0" w:num="1">
            <w:col w:w="9920"/>
          </w:cols>
          <w:pgMar w:left="900" w:top="201" w:right="107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320" w:type="dxa"/>
            <w:vAlign w:val="bottom"/>
            <w:gridSpan w:val="11"/>
            <w:vMerge w:val="restart"/>
          </w:tcPr>
          <w:p>
            <w:pPr>
              <w:jc w:val="center"/>
              <w:ind w:right="2780"/>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PART I – FINANCIAL INFORMATION</w:t>
              </w:r>
            </w:hyperlink>
          </w:p>
        </w:tc>
        <w:tc>
          <w:tcPr>
            <w:tcW w:w="5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320" w:type="dxa"/>
            <w:vAlign w:val="bottom"/>
            <w:gridSpan w:val="11"/>
            <w:vMerge w:val="continue"/>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160" w:type="dxa"/>
            <w:vAlign w:val="bottom"/>
            <w:gridSpan w:val="10"/>
          </w:tcPr>
          <w:p>
            <w:pPr>
              <w:spacing w:after="0" w:line="154"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Item 1. Financial Statements (unaudited)</w:t>
              </w:r>
            </w:hyperlink>
          </w:p>
        </w:tc>
        <w:tc>
          <w:tcPr>
            <w:tcW w:w="2540" w:type="dxa"/>
            <w:vAlign w:val="bottom"/>
            <w:tcBorders>
              <w:top w:val="single" w:sz="8" w:color="0000EE"/>
            </w:tcBorders>
            <w:gridSpan w:val="8"/>
          </w:tcPr>
          <w:p>
            <w:pPr>
              <w:spacing w:after="0"/>
              <w:rPr>
                <w:sz w:val="14"/>
                <w:szCs w:val="14"/>
                <w:color w:val="auto"/>
              </w:rPr>
            </w:pPr>
          </w:p>
        </w:tc>
        <w:tc>
          <w:tcPr>
            <w:tcW w:w="2780" w:type="dxa"/>
            <w:vAlign w:val="bottom"/>
            <w:gridSpan w:val="3"/>
          </w:tcPr>
          <w:p>
            <w:pPr>
              <w:spacing w:after="0"/>
              <w:rPr>
                <w:sz w:val="14"/>
                <w:szCs w:val="14"/>
                <w:color w:val="auto"/>
              </w:rPr>
            </w:pP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bottom w:val="single" w:sz="8" w:color="0000EE"/>
            </w:tcBorders>
            <w:gridSpan w:val="13"/>
          </w:tcPr>
          <w:p>
            <w:pPr>
              <w:spacing w:after="0" w:line="143"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Condensed Consolidated Balance Sheets as of June 30, 2017 and December 31, 2016</w:t>
              </w:r>
            </w:hyperlink>
          </w:p>
        </w:tc>
        <w:tc>
          <w:tcPr>
            <w:tcW w:w="2880" w:type="dxa"/>
            <w:vAlign w:val="bottom"/>
            <w:gridSpan w:val="5"/>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gridSpan w:val="18"/>
          </w:tcPr>
          <w:p>
            <w:pPr>
              <w:spacing w:after="0" w:line="143" w:lineRule="exact"/>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Condensed Consolidated Statements of Operations and Comprehensive Loss for the three and six months ended June 30, 2017 and</w:t>
              </w:r>
            </w:hyperlink>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EE"/>
              <w:bottom w:val="single" w:sz="8" w:color="0000EE"/>
            </w:tcBorders>
            <w:gridSpan w:val="2"/>
          </w:tcPr>
          <w:p>
            <w:pPr>
              <w:spacing w:after="0" w:line="121" w:lineRule="exact"/>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2016</w:t>
              </w:r>
            </w:hyperlink>
          </w:p>
        </w:tc>
        <w:tc>
          <w:tcPr>
            <w:tcW w:w="3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20" w:type="dxa"/>
            <w:vAlign w:val="bottom"/>
            <w:tcBorders>
              <w:top w:val="single" w:sz="8" w:color="0000EE"/>
            </w:tcBorders>
          </w:tcPr>
          <w:p>
            <w:pPr>
              <w:spacing w:after="0"/>
              <w:rPr>
                <w:sz w:val="10"/>
                <w:szCs w:val="10"/>
                <w:color w:val="auto"/>
              </w:rPr>
            </w:pPr>
          </w:p>
        </w:tc>
        <w:tc>
          <w:tcPr>
            <w:tcW w:w="1700" w:type="dxa"/>
            <w:vAlign w:val="bottom"/>
            <w:tcBorders>
              <w:top w:val="single" w:sz="8" w:color="0000EE"/>
            </w:tcBorders>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gridSpan w:val="18"/>
          </w:tcPr>
          <w:p>
            <w:pPr>
              <w:spacing w:after="0" w:line="143" w:lineRule="exact"/>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Condensed Consolidated Statements of Cash Flows for the six months ended June 30, 2017 and 2016</w:t>
              </w:r>
            </w:hyperlink>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EE"/>
              <w:bottom w:val="single" w:sz="8" w:color="0000EE"/>
            </w:tcBorders>
            <w:gridSpan w:val="9"/>
          </w:tcPr>
          <w:p>
            <w:pPr>
              <w:spacing w:after="0" w:line="143" w:lineRule="exact"/>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Notes to Condensed Consolidated Financial Statements</w:t>
              </w:r>
            </w:hyperlink>
          </w:p>
        </w:tc>
        <w:tc>
          <w:tcPr>
            <w:tcW w:w="2660" w:type="dxa"/>
            <w:vAlign w:val="bottom"/>
            <w:tcBorders>
              <w:top w:val="single" w:sz="8" w:color="0000EE"/>
            </w:tcBorders>
            <w:gridSpan w:val="7"/>
          </w:tcPr>
          <w:p>
            <w:pPr>
              <w:spacing w:after="0"/>
              <w:rPr>
                <w:sz w:val="13"/>
                <w:szCs w:val="13"/>
                <w:color w:val="auto"/>
              </w:rPr>
            </w:pPr>
          </w:p>
        </w:tc>
        <w:tc>
          <w:tcPr>
            <w:tcW w:w="1960" w:type="dxa"/>
            <w:vAlign w:val="bottom"/>
            <w:gridSpan w:val="2"/>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8480" w:type="dxa"/>
            <w:vAlign w:val="bottom"/>
            <w:gridSpan w:val="21"/>
          </w:tcPr>
          <w:p>
            <w:pPr>
              <w:spacing w:after="0" w:line="143" w:lineRule="exact"/>
              <w:rPr>
                <w:rFonts w:ascii="Times New Roman" w:cs="Times New Roman" w:eastAsia="Times New Roman" w:hAnsi="Times New Roman"/>
                <w:sz w:val="14"/>
                <w:szCs w:val="14"/>
                <w:color w:val="0000EE"/>
              </w:rPr>
            </w:pPr>
            <w:hyperlink w:anchor="page21">
              <w:r>
                <w:rPr>
                  <w:rFonts w:ascii="Times New Roman" w:cs="Times New Roman" w:eastAsia="Times New Roman" w:hAnsi="Times New Roman"/>
                  <w:sz w:val="14"/>
                  <w:szCs w:val="14"/>
                  <w:color w:val="0000EE"/>
                </w:rPr>
                <w:t>Item 2. Management’s Discussion and Analysis of Financial Condition and Results of Operations</w:t>
              </w:r>
            </w:hyperlink>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3960" w:type="dxa"/>
            <w:vAlign w:val="bottom"/>
            <w:tcBorders>
              <w:top w:val="single" w:sz="8" w:color="0000EE"/>
              <w:bottom w:val="single" w:sz="8" w:color="0000EE"/>
            </w:tcBorders>
            <w:gridSpan w:val="14"/>
          </w:tcPr>
          <w:p>
            <w:pPr>
              <w:spacing w:after="0" w:line="143" w:lineRule="exact"/>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3. Quantitative and Qualitative Disclosures About Market Risk</w:t>
              </w:r>
            </w:hyperlink>
          </w:p>
        </w:tc>
        <w:tc>
          <w:tcPr>
            <w:tcW w:w="1680" w:type="dxa"/>
            <w:vAlign w:val="bottom"/>
            <w:tcBorders>
              <w:top w:val="single" w:sz="8" w:color="0000EE"/>
            </w:tcBorders>
            <w:gridSpan w:val="3"/>
          </w:tcPr>
          <w:p>
            <w:pPr>
              <w:spacing w:after="0"/>
              <w:rPr>
                <w:sz w:val="13"/>
                <w:szCs w:val="13"/>
                <w:color w:val="auto"/>
              </w:rPr>
            </w:pPr>
          </w:p>
        </w:tc>
        <w:tc>
          <w:tcPr>
            <w:tcW w:w="2840" w:type="dxa"/>
            <w:vAlign w:val="bottom"/>
            <w:gridSpan w:val="4"/>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line="143" w:lineRule="exact"/>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4.</w:t>
              </w:r>
            </w:hyperlink>
          </w:p>
        </w:tc>
        <w:tc>
          <w:tcPr>
            <w:tcW w:w="8060" w:type="dxa"/>
            <w:vAlign w:val="bottom"/>
            <w:gridSpan w:val="20"/>
          </w:tcPr>
          <w:p>
            <w:pPr>
              <w:ind w:left="20"/>
              <w:spacing w:after="0" w:line="143" w:lineRule="exact"/>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Controls and Procedures</w:t>
              </w:r>
            </w:hyperlink>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0"/>
          </w:tcPr>
          <w:p>
            <w:pPr>
              <w:jc w:val="center"/>
              <w:ind w:right="2900"/>
              <w:spacing w:after="0"/>
              <w:rPr>
                <w:rFonts w:ascii="Times New Roman" w:cs="Times New Roman" w:eastAsia="Times New Roman" w:hAnsi="Times New Roman"/>
                <w:sz w:val="14"/>
                <w:szCs w:val="14"/>
                <w:b w:val="1"/>
                <w:bCs w:val="1"/>
                <w:color w:val="0000EE"/>
              </w:rPr>
            </w:pPr>
            <w:hyperlink w:anchor="page33">
              <w:r>
                <w:rPr>
                  <w:rFonts w:ascii="Times New Roman" w:cs="Times New Roman" w:eastAsia="Times New Roman" w:hAnsi="Times New Roman"/>
                  <w:sz w:val="14"/>
                  <w:szCs w:val="14"/>
                  <w:b w:val="1"/>
                  <w:bCs w:val="1"/>
                  <w:color w:val="0000EE"/>
                </w:rPr>
                <w:t>PART II – 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420" w:type="dxa"/>
            <w:vAlign w:val="bottom"/>
          </w:tcPr>
          <w:p>
            <w:pPr>
              <w:spacing w:after="0" w:line="154" w:lineRule="exact"/>
              <w:rPr>
                <w:rFonts w:ascii="Times New Roman" w:cs="Times New Roman" w:eastAsia="Times New Roman" w:hAnsi="Times New Roman"/>
                <w:sz w:val="14"/>
                <w:szCs w:val="14"/>
                <w:color w:val="0000EE"/>
              </w:rPr>
            </w:pPr>
            <w:hyperlink w:anchor="page33">
              <w:r>
                <w:rPr>
                  <w:rFonts w:ascii="Times New Roman" w:cs="Times New Roman" w:eastAsia="Times New Roman" w:hAnsi="Times New Roman"/>
                  <w:sz w:val="14"/>
                  <w:szCs w:val="14"/>
                  <w:color w:val="0000EE"/>
                </w:rPr>
                <w:t>Item 1.</w:t>
              </w:r>
            </w:hyperlink>
          </w:p>
        </w:tc>
        <w:tc>
          <w:tcPr>
            <w:tcW w:w="2860" w:type="dxa"/>
            <w:vAlign w:val="bottom"/>
            <w:gridSpan w:val="10"/>
          </w:tcPr>
          <w:p>
            <w:pPr>
              <w:ind w:left="20"/>
              <w:spacing w:after="0" w:line="154" w:lineRule="exact"/>
              <w:rPr>
                <w:rFonts w:ascii="Times New Roman" w:cs="Times New Roman" w:eastAsia="Times New Roman" w:hAnsi="Times New Roman"/>
                <w:sz w:val="14"/>
                <w:szCs w:val="14"/>
                <w:color w:val="0000EE"/>
              </w:rPr>
            </w:pPr>
            <w:hyperlink w:anchor="page33">
              <w:r>
                <w:rPr>
                  <w:rFonts w:ascii="Times New Roman" w:cs="Times New Roman" w:eastAsia="Times New Roman" w:hAnsi="Times New Roman"/>
                  <w:sz w:val="14"/>
                  <w:szCs w:val="14"/>
                  <w:color w:val="0000EE"/>
                </w:rPr>
                <w:t>Legal Proceedings</w:t>
              </w:r>
            </w:hyperlink>
          </w:p>
        </w:tc>
        <w:tc>
          <w:tcPr>
            <w:tcW w:w="2300" w:type="dxa"/>
            <w:vAlign w:val="bottom"/>
            <w:tcBorders>
              <w:top w:val="single" w:sz="8" w:color="0000EE"/>
            </w:tcBorders>
            <w:gridSpan w:val="4"/>
          </w:tcPr>
          <w:p>
            <w:pPr>
              <w:spacing w:after="0"/>
              <w:rPr>
                <w:sz w:val="14"/>
                <w:szCs w:val="14"/>
                <w:color w:val="auto"/>
              </w:rPr>
            </w:pPr>
          </w:p>
        </w:tc>
        <w:tc>
          <w:tcPr>
            <w:tcW w:w="2900" w:type="dxa"/>
            <w:vAlign w:val="bottom"/>
            <w:gridSpan w:val="6"/>
          </w:tcPr>
          <w:p>
            <w:pPr>
              <w:spacing w:after="0"/>
              <w:rPr>
                <w:sz w:val="14"/>
                <w:szCs w:val="14"/>
                <w:color w:val="auto"/>
              </w:rPr>
            </w:pPr>
          </w:p>
        </w:tc>
        <w:tc>
          <w:tcPr>
            <w:tcW w:w="5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1520" w:type="dxa"/>
            <w:vAlign w:val="bottom"/>
            <w:tcBorders>
              <w:top w:val="single" w:sz="8" w:color="0000EE"/>
            </w:tcBorders>
            <w:gridSpan w:val="7"/>
          </w:tcPr>
          <w:p>
            <w:pPr>
              <w:spacing w:after="0" w:line="143" w:lineRule="exact"/>
              <w:rPr>
                <w:rFonts w:ascii="Times New Roman" w:cs="Times New Roman" w:eastAsia="Times New Roman" w:hAnsi="Times New Roman"/>
                <w:sz w:val="14"/>
                <w:szCs w:val="14"/>
                <w:color w:val="0000EE"/>
              </w:rPr>
            </w:pPr>
            <w:hyperlink w:anchor="page33">
              <w:r>
                <w:rPr>
                  <w:rFonts w:ascii="Times New Roman" w:cs="Times New Roman" w:eastAsia="Times New Roman" w:hAnsi="Times New Roman"/>
                  <w:sz w:val="14"/>
                  <w:szCs w:val="14"/>
                  <w:color w:val="0000EE"/>
                </w:rPr>
                <w:t>Item 1A. Risk Factors</w:t>
              </w:r>
            </w:hyperlink>
          </w:p>
        </w:tc>
        <w:tc>
          <w:tcPr>
            <w:tcW w:w="6960" w:type="dxa"/>
            <w:vAlign w:val="bottom"/>
            <w:gridSpan w:val="14"/>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Pr>
          <w:p>
            <w:pPr>
              <w:spacing w:after="0" w:line="143"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Item 2.</w:t>
              </w:r>
            </w:hyperlink>
          </w:p>
        </w:tc>
        <w:tc>
          <w:tcPr>
            <w:tcW w:w="8060" w:type="dxa"/>
            <w:vAlign w:val="bottom"/>
            <w:gridSpan w:val="20"/>
          </w:tcPr>
          <w:p>
            <w:pPr>
              <w:ind w:left="20"/>
              <w:spacing w:after="0" w:line="143"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Unregistered Sales of Equity Securities and Use of Proceeds</w:t>
              </w:r>
            </w:hyperlink>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20" w:type="dxa"/>
            <w:vAlign w:val="bottom"/>
            <w:tcBorders>
              <w:top w:val="single" w:sz="8" w:color="0000EE"/>
              <w:bottom w:val="single" w:sz="8" w:color="0000EE"/>
            </w:tcBorders>
          </w:tcPr>
          <w:p>
            <w:pPr>
              <w:spacing w:after="0" w:line="143"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Item 6.</w:t>
              </w:r>
            </w:hyperlink>
          </w:p>
        </w:tc>
        <w:tc>
          <w:tcPr>
            <w:tcW w:w="520" w:type="dxa"/>
            <w:vAlign w:val="bottom"/>
            <w:tcBorders>
              <w:top w:val="single" w:sz="8" w:color="0000EE"/>
              <w:bottom w:val="single" w:sz="8" w:color="0000EE"/>
            </w:tcBorders>
            <w:gridSpan w:val="3"/>
          </w:tcPr>
          <w:p>
            <w:pPr>
              <w:ind w:left="20"/>
              <w:spacing w:after="0" w:line="143"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Exhibits</w:t>
              </w:r>
            </w:hyperlink>
          </w:p>
        </w:tc>
        <w:tc>
          <w:tcPr>
            <w:tcW w:w="3000" w:type="dxa"/>
            <w:vAlign w:val="bottom"/>
            <w:tcBorders>
              <w:top w:val="single" w:sz="8" w:color="0000EE"/>
            </w:tcBorders>
            <w:gridSpan w:val="9"/>
          </w:tcPr>
          <w:p>
            <w:pPr>
              <w:spacing w:after="0"/>
              <w:rPr>
                <w:sz w:val="13"/>
                <w:szCs w:val="13"/>
                <w:color w:val="auto"/>
              </w:rPr>
            </w:pPr>
          </w:p>
        </w:tc>
        <w:tc>
          <w:tcPr>
            <w:tcW w:w="4540" w:type="dxa"/>
            <w:vAlign w:val="bottom"/>
            <w:gridSpan w:val="8"/>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20" w:type="dxa"/>
            <w:vAlign w:val="bottom"/>
            <w:tcBorders>
              <w:bottom w:val="single" w:sz="8" w:color="0000EE"/>
            </w:tcBorders>
            <w:gridSpan w:val="2"/>
          </w:tcPr>
          <w:p>
            <w:pPr>
              <w:spacing w:after="0" w:line="143" w:lineRule="exact"/>
              <w:rPr>
                <w:rFonts w:ascii="Times New Roman" w:cs="Times New Roman" w:eastAsia="Times New Roman" w:hAnsi="Times New Roman"/>
                <w:sz w:val="14"/>
                <w:szCs w:val="14"/>
                <w:color w:val="0000EE"/>
              </w:rPr>
            </w:pPr>
            <w:hyperlink w:anchor="page72">
              <w:r>
                <w:rPr>
                  <w:rFonts w:ascii="Times New Roman" w:cs="Times New Roman" w:eastAsia="Times New Roman" w:hAnsi="Times New Roman"/>
                  <w:sz w:val="14"/>
                  <w:szCs w:val="14"/>
                  <w:color w:val="0000EE"/>
                </w:rPr>
                <w:t>Signatures</w:t>
              </w:r>
            </w:hyperlink>
          </w:p>
        </w:tc>
        <w:tc>
          <w:tcPr>
            <w:tcW w:w="7860" w:type="dxa"/>
            <w:vAlign w:val="bottom"/>
            <w:gridSpan w:val="19"/>
          </w:tcPr>
          <w:p>
            <w:pPr>
              <w:spacing w:after="0"/>
              <w:rPr>
                <w:sz w:val="13"/>
                <w:szCs w:val="13"/>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677"/>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gridSpan w:val="14"/>
          </w:tcPr>
          <w:p>
            <w:pPr>
              <w:ind w:left="400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14" w:right="139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ind w:right="120" w:firstLine="522"/>
        <w:spacing w:after="0" w:line="255" w:lineRule="auto"/>
        <w:rPr>
          <w:sz w:val="20"/>
          <w:szCs w:val="20"/>
          <w:color w:val="auto"/>
        </w:rPr>
      </w:pPr>
      <w:r>
        <w:rPr>
          <w:rFonts w:ascii="Times New Roman" w:cs="Times New Roman" w:eastAsia="Times New Roman" w:hAnsi="Times New Roman"/>
          <w:sz w:val="14"/>
          <w:szCs w:val="14"/>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13" w:lineRule="exact"/>
        <w:rPr>
          <w:sz w:val="20"/>
          <w:szCs w:val="20"/>
          <w:color w:val="auto"/>
        </w:rPr>
      </w:pPr>
    </w:p>
    <w:p>
      <w:pPr>
        <w:ind w:right="140" w:firstLine="522"/>
        <w:spacing w:after="0" w:line="22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forward-looking statements in this Quarterly Report on Form 10-Q include, but are not limited to, statements about:</w:t>
      </w:r>
    </w:p>
    <w:p>
      <w:pPr>
        <w:spacing w:after="0" w:line="131" w:lineRule="exact"/>
        <w:rPr>
          <w:sz w:val="20"/>
          <w:szCs w:val="20"/>
          <w:color w:val="auto"/>
        </w:rPr>
      </w:pPr>
    </w:p>
    <w:p>
      <w:pPr>
        <w:ind w:left="1060" w:right="100" w:hanging="271"/>
        <w:spacing w:after="0" w:line="185" w:lineRule="exact"/>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studies and clinical trials, including our Phase 1 clinical trials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and our research and development programs;</w:t>
      </w:r>
    </w:p>
    <w:p>
      <w:pPr>
        <w:spacing w:after="0" w:line="56"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drug candidates into, and successfully complete, clinical trials;</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commercialization of our drug candidates, if approved;</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drug candidates, if approved;</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strategic plans for our business, drug candidates and technology;</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drug candidates and technology;</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future revenues, capital requirements and our needs for additional financing;</w:t>
      </w:r>
    </w:p>
    <w:p>
      <w:pPr>
        <w:spacing w:after="0" w:line="100" w:lineRule="exact"/>
        <w:rPr>
          <w:rFonts w:ascii="Times New Roman" w:cs="Times New Roman" w:eastAsia="Times New Roman" w:hAnsi="Times New Roman"/>
          <w:sz w:val="14"/>
          <w:szCs w:val="14"/>
          <w:color w:val="auto"/>
        </w:rPr>
      </w:pPr>
    </w:p>
    <w:p>
      <w:pPr>
        <w:ind w:left="1060" w:right="80" w:hanging="271"/>
        <w:spacing w:after="0" w:line="252" w:lineRule="auto"/>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our existing cancer immunotherapy collaboration with F. Hoffmann-La Roche Ltd and Hoffmann-La Roche Inc., as well as our ability to enter into other strategic arrangements;</w:t>
      </w:r>
    </w:p>
    <w:p>
      <w:pPr>
        <w:spacing w:after="0" w:line="64" w:lineRule="exact"/>
        <w:rPr>
          <w:rFonts w:ascii="Times New Roman" w:cs="Times New Roman" w:eastAsia="Times New Roman" w:hAnsi="Times New Roman"/>
          <w:sz w:val="14"/>
          <w:szCs w:val="14"/>
          <w:color w:val="auto"/>
        </w:rPr>
      </w:pPr>
    </w:p>
    <w:p>
      <w:pPr>
        <w:ind w:left="1060" w:right="220" w:hanging="271"/>
        <w:spacing w:after="0" w:line="174" w:lineRule="exact"/>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companion diagnostic tests for our drug candidates, including our companion diagnostic test with Ventana Medical Systems, Inc.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our companion diagnostic test with QIAGEN Manchester Limited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w:t>
      </w:r>
    </w:p>
    <w:p>
      <w:pPr>
        <w:spacing w:after="0" w:line="56"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establish collaborations;</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44" w:lineRule="exact"/>
        <w:rPr>
          <w:sz w:val="20"/>
          <w:szCs w:val="20"/>
          <w:color w:val="auto"/>
        </w:rPr>
      </w:pPr>
    </w:p>
    <w:p>
      <w:pPr>
        <w:ind w:firstLine="522"/>
        <w:spacing w:after="0" w:line="222" w:lineRule="auto"/>
        <w:rPr>
          <w:sz w:val="20"/>
          <w:szCs w:val="20"/>
          <w:color w:val="auto"/>
        </w:rPr>
      </w:pPr>
      <w:r>
        <w:rPr>
          <w:rFonts w:ascii="Times New Roman" w:cs="Times New Roman" w:eastAsia="Times New Roman" w:hAnsi="Times New Roman"/>
          <w:sz w:val="14"/>
          <w:szCs w:val="14"/>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1040" cy="13970"/>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720"/>
        <w:spacing w:after="0" w:line="252" w:lineRule="auto"/>
        <w:rPr>
          <w:sz w:val="20"/>
          <w:szCs w:val="20"/>
          <w:color w:val="auto"/>
        </w:rPr>
      </w:pPr>
      <w:r>
        <w:rPr>
          <w:rFonts w:ascii="Times New Roman" w:cs="Times New Roman" w:eastAsia="Times New Roman" w:hAnsi="Times New Roman"/>
          <w:sz w:val="14"/>
          <w:szCs w:val="14"/>
          <w:color w:val="auto"/>
        </w:rPr>
        <w:t>statements. Our forward-looking statements do not reflect the potential impact of any future acquisitions, mergers, dispositions, joint ventures or investments we may make or enter into.</w:t>
      </w:r>
    </w:p>
    <w:p>
      <w:pPr>
        <w:spacing w:after="0" w:line="119"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28" w:lineRule="exact"/>
        <w:rPr>
          <w:sz w:val="20"/>
          <w:szCs w:val="20"/>
          <w:color w:val="auto"/>
        </w:rPr>
      </w:pPr>
    </w:p>
    <w:p>
      <w:pPr>
        <w:ind w:right="160" w:firstLine="522"/>
        <w:spacing w:after="0" w:line="222" w:lineRule="auto"/>
        <w:rPr>
          <w:sz w:val="20"/>
          <w:szCs w:val="20"/>
          <w:color w:val="auto"/>
        </w:rPr>
      </w:pPr>
      <w:r>
        <w:rPr>
          <w:rFonts w:ascii="Times New Roman" w:cs="Times New Roman" w:eastAsia="Times New Roman" w:hAnsi="Times New Roman"/>
          <w:sz w:val="14"/>
          <w:szCs w:val="14"/>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jc w:val="center"/>
        <w:spacing w:after="0" w:line="210"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line="211"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0" w:type="dxa"/>
            <w:vAlign w:val="bottom"/>
          </w:tcPr>
          <w:p>
            <w:pPr>
              <w:spacing w:after="0"/>
              <w:rPr>
                <w:sz w:val="12"/>
                <w:szCs w:val="12"/>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0" w:type="dxa"/>
            <w:vAlign w:val="bottom"/>
          </w:tcPr>
          <w:p>
            <w:pPr>
              <w:spacing w:after="0"/>
              <w:rPr>
                <w:sz w:val="1"/>
                <w:szCs w:val="1"/>
                <w:color w:val="auto"/>
              </w:rPr>
            </w:pPr>
          </w:p>
        </w:tc>
      </w:tr>
      <w:tr>
        <w:trPr>
          <w:trHeight w:val="131"/>
        </w:trPr>
        <w:tc>
          <w:tcPr>
            <w:tcW w:w="7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3"/>
              <w:spacing w:after="0" w:line="131" w:lineRule="exact"/>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3"/>
              <w:spacing w:after="0" w:line="131" w:lineRule="exact"/>
              <w:rPr>
                <w:sz w:val="20"/>
                <w:szCs w:val="20"/>
                <w:color w:val="auto"/>
              </w:rPr>
            </w:pPr>
            <w:r>
              <w:rPr>
                <w:rFonts w:ascii="Times New Roman" w:cs="Times New Roman" w:eastAsia="Times New Roman" w:hAnsi="Times New Roman"/>
                <w:sz w:val="12"/>
                <w:szCs w:val="12"/>
                <w:b w:val="1"/>
                <w:bCs w:val="1"/>
                <w:color w:val="auto"/>
              </w:rPr>
              <w:t>2016</w:t>
            </w:r>
          </w:p>
        </w:tc>
        <w:tc>
          <w:tcPr>
            <w:tcW w:w="0" w:type="dxa"/>
            <w:vAlign w:val="bottom"/>
          </w:tcPr>
          <w:p>
            <w:pPr>
              <w:spacing w:after="0"/>
              <w:rPr>
                <w:sz w:val="1"/>
                <w:szCs w:val="1"/>
                <w:color w:val="auto"/>
              </w:rPr>
            </w:pPr>
          </w:p>
        </w:tc>
      </w:tr>
      <w:tr>
        <w:trPr>
          <w:trHeight w:val="100"/>
        </w:trPr>
        <w:tc>
          <w:tcPr>
            <w:tcW w:w="72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Assets</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shd w:val="clear" w:color="auto" w:fill="CCEEFF"/>
          </w:tcPr>
          <w:p>
            <w:pPr>
              <w:jc w:val="right"/>
              <w:ind w:right="8"/>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91,346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52,069</w:t>
            </w:r>
          </w:p>
        </w:tc>
        <w:tc>
          <w:tcPr>
            <w:tcW w:w="0" w:type="dxa"/>
            <w:vAlign w:val="bottom"/>
          </w:tcPr>
          <w:p>
            <w:pPr>
              <w:spacing w:after="0"/>
              <w:rPr>
                <w:sz w:val="1"/>
                <w:szCs w:val="1"/>
                <w:color w:val="auto"/>
              </w:rPr>
            </w:pPr>
          </w:p>
        </w:tc>
      </w:tr>
      <w:tr>
        <w:trPr>
          <w:trHeight w:val="109"/>
        </w:trPr>
        <w:tc>
          <w:tcPr>
            <w:tcW w:w="7200" w:type="dxa"/>
            <w:vAlign w:val="bottom"/>
          </w:tcPr>
          <w:p>
            <w:pPr>
              <w:ind w:left="180"/>
              <w:spacing w:after="0" w:line="109" w:lineRule="exact"/>
              <w:rPr>
                <w:sz w:val="20"/>
                <w:szCs w:val="20"/>
                <w:color w:val="auto"/>
              </w:rPr>
            </w:pPr>
            <w:r>
              <w:rPr>
                <w:rFonts w:ascii="Times New Roman" w:cs="Times New Roman" w:eastAsia="Times New Roman" w:hAnsi="Times New Roman"/>
                <w:sz w:val="12"/>
                <w:szCs w:val="12"/>
                <w:color w:val="auto"/>
              </w:rPr>
              <w:t>Investments, available-for-sale</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329,668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162,090</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Unbilled accounts receivable</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3,075</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3,577</w:t>
            </w:r>
          </w:p>
        </w:tc>
        <w:tc>
          <w:tcPr>
            <w:tcW w:w="0" w:type="dxa"/>
            <w:vAlign w:val="bottom"/>
          </w:tcPr>
          <w:p>
            <w:pPr>
              <w:spacing w:after="0"/>
              <w:rPr>
                <w:sz w:val="1"/>
                <w:szCs w:val="1"/>
                <w:color w:val="auto"/>
              </w:rPr>
            </w:pPr>
          </w:p>
        </w:tc>
      </w:tr>
      <w:tr>
        <w:trPr>
          <w:trHeight w:val="109"/>
        </w:trPr>
        <w:tc>
          <w:tcPr>
            <w:tcW w:w="7200" w:type="dxa"/>
            <w:vAlign w:val="bottom"/>
            <w:tcBorders>
              <w:bottom w:val="single" w:sz="8" w:color="CCEEFF"/>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7,239</w:t>
            </w:r>
          </w:p>
        </w:tc>
        <w:tc>
          <w:tcPr>
            <w:tcW w:w="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2,689</w:t>
            </w:r>
          </w:p>
        </w:tc>
        <w:tc>
          <w:tcPr>
            <w:tcW w:w="0" w:type="dxa"/>
            <w:vAlign w:val="bottom"/>
          </w:tcPr>
          <w:p>
            <w:pPr>
              <w:spacing w:after="0"/>
              <w:rPr>
                <w:sz w:val="1"/>
                <w:szCs w:val="1"/>
                <w:color w:val="auto"/>
              </w:rPr>
            </w:pPr>
          </w:p>
        </w:tc>
      </w:tr>
      <w:tr>
        <w:trPr>
          <w:trHeight w:val="100"/>
        </w:trPr>
        <w:tc>
          <w:tcPr>
            <w:tcW w:w="72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Total current assets</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431,328</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220,425</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Investments, available-for-sale</w:t>
            </w:r>
          </w:p>
        </w:tc>
        <w:tc>
          <w:tcPr>
            <w:tcW w:w="120" w:type="dxa"/>
            <w:vAlign w:val="bottom"/>
          </w:tcPr>
          <w:p>
            <w:pPr>
              <w:spacing w:after="0"/>
              <w:rPr>
                <w:sz w:val="9"/>
                <w:szCs w:val="9"/>
                <w:color w:val="auto"/>
              </w:rPr>
            </w:pPr>
          </w:p>
        </w:tc>
        <w:tc>
          <w:tcPr>
            <w:tcW w:w="88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54,059</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Property and equipment, net</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7,774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6,188</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Other assets</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852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856</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Restricted cash</w:t>
            </w:r>
          </w:p>
        </w:tc>
        <w:tc>
          <w:tcPr>
            <w:tcW w:w="12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4,767</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1,267</w:t>
            </w:r>
          </w:p>
        </w:tc>
        <w:tc>
          <w:tcPr>
            <w:tcW w:w="0" w:type="dxa"/>
            <w:vAlign w:val="bottom"/>
          </w:tcPr>
          <w:p>
            <w:pPr>
              <w:spacing w:after="0"/>
              <w:rPr>
                <w:sz w:val="1"/>
                <w:szCs w:val="1"/>
                <w:color w:val="auto"/>
              </w:rPr>
            </w:pPr>
          </w:p>
        </w:tc>
      </w:tr>
      <w:tr>
        <w:trPr>
          <w:trHeight w:val="101"/>
        </w:trPr>
        <w:tc>
          <w:tcPr>
            <w:tcW w:w="7200" w:type="dxa"/>
            <w:vAlign w:val="bottom"/>
            <w:tcBorders>
              <w:bottom w:val="single" w:sz="8" w:color="CCEEFF"/>
            </w:tcBorders>
          </w:tcPr>
          <w:p>
            <w:pPr>
              <w:spacing w:after="0" w:line="100" w:lineRule="exact"/>
              <w:rPr>
                <w:sz w:val="20"/>
                <w:szCs w:val="20"/>
                <w:color w:val="auto"/>
              </w:rPr>
            </w:pPr>
            <w:r>
              <w:rPr>
                <w:rFonts w:ascii="Times New Roman" w:cs="Times New Roman" w:eastAsia="Times New Roman" w:hAnsi="Times New Roman"/>
                <w:sz w:val="10"/>
                <w:szCs w:val="10"/>
                <w:color w:val="auto"/>
              </w:rPr>
              <w:t>Total assets</w:t>
            </w:r>
          </w:p>
        </w:tc>
        <w:tc>
          <w:tcPr>
            <w:tcW w:w="120" w:type="dxa"/>
            <w:vAlign w:val="bottom"/>
            <w:tcBorders>
              <w:bottom w:val="single" w:sz="8" w:color="auto"/>
            </w:tcBorders>
          </w:tcPr>
          <w:p>
            <w:pPr>
              <w:jc w:val="right"/>
              <w:ind w:right="8"/>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444,721</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282,795</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Liabilities and stockholders’ equity</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Current liabilities:</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Accounts payable</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2,581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2,211</w:t>
            </w:r>
          </w:p>
        </w:tc>
        <w:tc>
          <w:tcPr>
            <w:tcW w:w="0" w:type="dxa"/>
            <w:vAlign w:val="bottom"/>
          </w:tcPr>
          <w:p>
            <w:pPr>
              <w:spacing w:after="0"/>
              <w:rPr>
                <w:sz w:val="1"/>
                <w:szCs w:val="1"/>
                <w:color w:val="auto"/>
              </w:rPr>
            </w:pPr>
          </w:p>
        </w:tc>
      </w:tr>
      <w:tr>
        <w:trPr>
          <w:trHeight w:val="109"/>
        </w:trPr>
        <w:tc>
          <w:tcPr>
            <w:tcW w:w="7200" w:type="dxa"/>
            <w:vAlign w:val="bottom"/>
          </w:tcPr>
          <w:p>
            <w:pPr>
              <w:ind w:left="180"/>
              <w:spacing w:after="0" w:line="109" w:lineRule="exact"/>
              <w:rPr>
                <w:sz w:val="20"/>
                <w:szCs w:val="20"/>
                <w:color w:val="auto"/>
              </w:rPr>
            </w:pPr>
            <w:r>
              <w:rPr>
                <w:rFonts w:ascii="Times New Roman" w:cs="Times New Roman" w:eastAsia="Times New Roman" w:hAnsi="Times New Roman"/>
                <w:sz w:val="12"/>
                <w:szCs w:val="12"/>
                <w:color w:val="auto"/>
              </w:rPr>
              <w:t>Accrued expenses</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17,396</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11,746</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Current portion of deferred revenue</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9,296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11,426</w:t>
            </w:r>
          </w:p>
        </w:tc>
        <w:tc>
          <w:tcPr>
            <w:tcW w:w="0" w:type="dxa"/>
            <w:vAlign w:val="bottom"/>
          </w:tcPr>
          <w:p>
            <w:pPr>
              <w:spacing w:after="0"/>
              <w:rPr>
                <w:sz w:val="1"/>
                <w:szCs w:val="1"/>
                <w:color w:val="auto"/>
              </w:rPr>
            </w:pPr>
          </w:p>
        </w:tc>
      </w:tr>
      <w:tr>
        <w:trPr>
          <w:trHeight w:val="109"/>
        </w:trPr>
        <w:tc>
          <w:tcPr>
            <w:tcW w:w="7200" w:type="dxa"/>
            <w:vAlign w:val="bottom"/>
          </w:tcPr>
          <w:p>
            <w:pPr>
              <w:ind w:left="180"/>
              <w:spacing w:after="0" w:line="109" w:lineRule="exact"/>
              <w:rPr>
                <w:sz w:val="20"/>
                <w:szCs w:val="20"/>
                <w:color w:val="auto"/>
              </w:rPr>
            </w:pPr>
            <w:r>
              <w:rPr>
                <w:rFonts w:ascii="Times New Roman" w:cs="Times New Roman" w:eastAsia="Times New Roman" w:hAnsi="Times New Roman"/>
                <w:sz w:val="12"/>
                <w:szCs w:val="12"/>
                <w:color w:val="auto"/>
              </w:rPr>
              <w:t>Current portion of lease incentive obligation</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1,714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578</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Current portion of deferred rent</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9"/>
        </w:trPr>
        <w:tc>
          <w:tcPr>
            <w:tcW w:w="7200" w:type="dxa"/>
            <w:vAlign w:val="bottom"/>
            <w:tcBorders>
              <w:bottom w:val="single" w:sz="8" w:color="CCEEFF"/>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Current portion of term loan payable</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1,979</w:t>
            </w:r>
          </w:p>
        </w:tc>
        <w:tc>
          <w:tcPr>
            <w:tcW w:w="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2,551</w:t>
            </w:r>
          </w:p>
        </w:tc>
        <w:tc>
          <w:tcPr>
            <w:tcW w:w="0" w:type="dxa"/>
            <w:vAlign w:val="bottom"/>
          </w:tcPr>
          <w:p>
            <w:pPr>
              <w:spacing w:after="0"/>
              <w:rPr>
                <w:sz w:val="1"/>
                <w:szCs w:val="1"/>
                <w:color w:val="auto"/>
              </w:rPr>
            </w:pPr>
          </w:p>
        </w:tc>
      </w:tr>
      <w:tr>
        <w:trPr>
          <w:trHeight w:val="100"/>
        </w:trPr>
        <w:tc>
          <w:tcPr>
            <w:tcW w:w="72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Total current liabilities</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32,992</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28,512</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Deferred rent, net of current portion</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1,659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932</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Deferred revenue, net of current portion</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32,109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35,809</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Lease incentive obligation, net of current portion</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3,005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2,792</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Term loan payable, net of current portion</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692</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1,518</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Other long term liabilities</w:t>
            </w:r>
          </w:p>
        </w:tc>
        <w:tc>
          <w:tcPr>
            <w:tcW w:w="1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175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Commitments (Note 10)</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Stockholders’ equity:</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Preferred stock, $0.001 par value; 5,000,000 shares authorized; no shares issued and outstanding</w:t>
            </w:r>
          </w:p>
        </w:tc>
        <w:tc>
          <w:tcPr>
            <w:tcW w:w="12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40"/>
              <w:spacing w:after="0" w:line="10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7"/>
        </w:trPr>
        <w:tc>
          <w:tcPr>
            <w:tcW w:w="72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Common stock, $0.001 par value; 120,000,000 shares authorized; 39,080,152 and 33,125,479 shares issued at June 30, 2017 and December 31, 2016,</w:t>
            </w:r>
          </w:p>
        </w:tc>
        <w:tc>
          <w:tcPr>
            <w:tcW w:w="12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31"/>
        </w:trPr>
        <w:tc>
          <w:tcPr>
            <w:tcW w:w="720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respectively, and 39,080,152 and 33,123,354 shares outstanding at June 30, 2017 and December 31, 2016, respectively</w:t>
            </w: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Additional paid-in capital</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643,223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420,533</w:t>
            </w:r>
          </w:p>
        </w:tc>
        <w:tc>
          <w:tcPr>
            <w:tcW w:w="0" w:type="dxa"/>
            <w:vAlign w:val="bottom"/>
          </w:tcPr>
          <w:p>
            <w:pPr>
              <w:spacing w:after="0"/>
              <w:rPr>
                <w:sz w:val="1"/>
                <w:szCs w:val="1"/>
                <w:color w:val="auto"/>
              </w:rPr>
            </w:pPr>
          </w:p>
        </w:tc>
      </w:tr>
      <w:tr>
        <w:trPr>
          <w:trHeight w:val="109"/>
        </w:trPr>
        <w:tc>
          <w:tcPr>
            <w:tcW w:w="7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120" w:type="dxa"/>
            <w:vAlign w:val="bottom"/>
          </w:tcPr>
          <w:p>
            <w:pPr>
              <w:spacing w:after="0"/>
              <w:rPr>
                <w:sz w:val="9"/>
                <w:szCs w:val="9"/>
                <w:color w:val="auto"/>
              </w:rPr>
            </w:pPr>
          </w:p>
        </w:tc>
        <w:tc>
          <w:tcPr>
            <w:tcW w:w="88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rPr>
              <w:t>(314)</w:t>
            </w:r>
          </w:p>
        </w:tc>
        <w:tc>
          <w:tcPr>
            <w:tcW w:w="8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09"/>
        </w:trPr>
        <w:tc>
          <w:tcPr>
            <w:tcW w:w="7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rPr>
              <w:t>(268,859)</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(207,470)</w:t>
            </w:r>
          </w:p>
        </w:tc>
        <w:tc>
          <w:tcPr>
            <w:tcW w:w="0" w:type="dxa"/>
            <w:vAlign w:val="bottom"/>
          </w:tcPr>
          <w:p>
            <w:pPr>
              <w:spacing w:after="0"/>
              <w:rPr>
                <w:sz w:val="1"/>
                <w:szCs w:val="1"/>
                <w:color w:val="auto"/>
              </w:rPr>
            </w:pPr>
          </w:p>
        </w:tc>
      </w:tr>
      <w:tr>
        <w:trPr>
          <w:trHeight w:val="100"/>
        </w:trPr>
        <w:tc>
          <w:tcPr>
            <w:tcW w:w="7200" w:type="dxa"/>
            <w:vAlign w:val="bottom"/>
            <w:tcBorders>
              <w:bottom w:val="single" w:sz="8" w:color="CCEEFF"/>
            </w:tcBorders>
          </w:tcPr>
          <w:p>
            <w:pPr>
              <w:spacing w:after="0" w:line="100" w:lineRule="exact"/>
              <w:rPr>
                <w:sz w:val="20"/>
                <w:szCs w:val="20"/>
                <w:color w:val="auto"/>
              </w:rPr>
            </w:pPr>
            <w:r>
              <w:rPr>
                <w:rFonts w:ascii="Times New Roman" w:cs="Times New Roman" w:eastAsia="Times New Roman" w:hAnsi="Times New Roman"/>
                <w:sz w:val="10"/>
                <w:szCs w:val="10"/>
                <w:color w:val="auto"/>
              </w:rPr>
              <w:t>Total stockholders’ equity</w:t>
            </w: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374,089</w:t>
            </w:r>
          </w:p>
        </w:tc>
        <w:tc>
          <w:tcPr>
            <w:tcW w:w="2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color w:val="auto"/>
              </w:rPr>
              <w:t>213,078</w:t>
            </w:r>
          </w:p>
        </w:tc>
        <w:tc>
          <w:tcPr>
            <w:tcW w:w="0" w:type="dxa"/>
            <w:vAlign w:val="bottom"/>
          </w:tcPr>
          <w:p>
            <w:pPr>
              <w:spacing w:after="0"/>
              <w:rPr>
                <w:sz w:val="1"/>
                <w:szCs w:val="1"/>
                <w:color w:val="auto"/>
              </w:rPr>
            </w:pPr>
          </w:p>
        </w:tc>
      </w:tr>
      <w:tr>
        <w:trPr>
          <w:trHeight w:val="101"/>
        </w:trPr>
        <w:tc>
          <w:tcPr>
            <w:tcW w:w="720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444,721</w:t>
            </w: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282,795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jc w:val="center"/>
        <w:spacing w:after="0" w:line="210" w:lineRule="auto"/>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jc w:val="center"/>
        <w:spacing w:after="0" w:line="211" w:lineRule="auto"/>
        <w:rPr>
          <w:sz w:val="20"/>
          <w:szCs w:val="20"/>
          <w:color w:val="auto"/>
        </w:rPr>
      </w:pPr>
      <w:r>
        <w:rPr>
          <w:rFonts w:ascii="Times New Roman" w:cs="Times New Roman" w:eastAsia="Times New Roman" w:hAnsi="Times New Roman"/>
          <w:sz w:val="14"/>
          <w:szCs w:val="14"/>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2"/>
                <w:szCs w:val="12"/>
                <w:color w:val="auto"/>
              </w:rPr>
            </w:pPr>
          </w:p>
        </w:tc>
        <w:tc>
          <w:tcPr>
            <w:tcW w:w="1600" w:type="dxa"/>
            <w:vAlign w:val="bottom"/>
            <w:gridSpan w:val="4"/>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8"/>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8"/>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4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1"/>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9"/>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1"/>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9"/>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0" w:type="dxa"/>
            <w:vAlign w:val="bottom"/>
          </w:tcPr>
          <w:p>
            <w:pPr>
              <w:spacing w:after="0"/>
              <w:rPr>
                <w:sz w:val="1"/>
                <w:szCs w:val="1"/>
                <w:color w:val="auto"/>
              </w:rPr>
            </w:pPr>
          </w:p>
        </w:tc>
      </w:tr>
      <w:tr>
        <w:trPr>
          <w:trHeight w:val="132"/>
        </w:trPr>
        <w:tc>
          <w:tcPr>
            <w:tcW w:w="5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Collaboration revenue</w:t>
            </w:r>
          </w:p>
        </w:tc>
        <w:tc>
          <w:tcPr>
            <w:tcW w:w="180" w:type="dxa"/>
            <w:vAlign w:val="bottom"/>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5,890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7,065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11,730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13,921</w:t>
            </w:r>
          </w:p>
        </w:tc>
        <w:tc>
          <w:tcPr>
            <w:tcW w:w="0" w:type="dxa"/>
            <w:vAlign w:val="bottom"/>
          </w:tcPr>
          <w:p>
            <w:pPr>
              <w:spacing w:after="0"/>
              <w:rPr>
                <w:sz w:val="1"/>
                <w:szCs w:val="1"/>
                <w:color w:val="auto"/>
              </w:rPr>
            </w:pPr>
          </w:p>
        </w:tc>
      </w:tr>
      <w:tr>
        <w:trPr>
          <w:trHeight w:val="141"/>
        </w:trPr>
        <w:tc>
          <w:tcPr>
            <w:tcW w:w="54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0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33,271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21,273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61,758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38,908</w:t>
            </w:r>
          </w:p>
        </w:tc>
        <w:tc>
          <w:tcPr>
            <w:tcW w:w="0" w:type="dxa"/>
            <w:vAlign w:val="bottom"/>
          </w:tcPr>
          <w:p>
            <w:pPr>
              <w:spacing w:after="0"/>
              <w:rPr>
                <w:sz w:val="1"/>
                <w:szCs w:val="1"/>
                <w:color w:val="auto"/>
              </w:rPr>
            </w:pPr>
          </w:p>
        </w:tc>
      </w:tr>
      <w:tr>
        <w:trPr>
          <w:trHeight w:val="141"/>
        </w:trPr>
        <w:tc>
          <w:tcPr>
            <w:tcW w:w="5400" w:type="dxa"/>
            <w:vAlign w:val="bottom"/>
            <w:tcBorders>
              <w:bottom w:val="single" w:sz="8" w:color="CCEEFF"/>
            </w:tcBorders>
          </w:tcPr>
          <w:p>
            <w:pPr>
              <w:ind w:left="180"/>
              <w:spacing w:after="0" w:line="141" w:lineRule="exact"/>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6,833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4,688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12,516</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9,334</w:t>
            </w:r>
          </w:p>
        </w:tc>
        <w:tc>
          <w:tcPr>
            <w:tcW w:w="0" w:type="dxa"/>
            <w:vAlign w:val="bottom"/>
          </w:tcPr>
          <w:p>
            <w:pPr>
              <w:spacing w:after="0"/>
              <w:rPr>
                <w:sz w:val="1"/>
                <w:szCs w:val="1"/>
                <w:color w:val="auto"/>
              </w:rPr>
            </w:pPr>
          </w:p>
        </w:tc>
      </w:tr>
      <w:tr>
        <w:trPr>
          <w:trHeight w:val="132"/>
        </w:trPr>
        <w:tc>
          <w:tcPr>
            <w:tcW w:w="5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40,104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25,961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74,274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48,242</w:t>
            </w:r>
          </w:p>
        </w:tc>
        <w:tc>
          <w:tcPr>
            <w:tcW w:w="0" w:type="dxa"/>
            <w:vAlign w:val="bottom"/>
          </w:tcPr>
          <w:p>
            <w:pPr>
              <w:spacing w:after="0"/>
              <w:rPr>
                <w:sz w:val="1"/>
                <w:szCs w:val="1"/>
                <w:color w:val="auto"/>
              </w:rPr>
            </w:pPr>
          </w:p>
        </w:tc>
      </w:tr>
      <w:tr>
        <w:trPr>
          <w:trHeight w:val="141"/>
        </w:trPr>
        <w:tc>
          <w:tcPr>
            <w:tcW w:w="54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0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41"/>
        </w:trPr>
        <w:tc>
          <w:tcPr>
            <w:tcW w:w="54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32"/>
        </w:trPr>
        <w:tc>
          <w:tcPr>
            <w:tcW w:w="5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other income (expense)</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802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1,155</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54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(33,412)</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(18,894)</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(61,389)</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(34,398)</w:t>
            </w:r>
          </w:p>
        </w:tc>
        <w:tc>
          <w:tcPr>
            <w:tcW w:w="0" w:type="dxa"/>
            <w:vAlign w:val="bottom"/>
          </w:tcPr>
          <w:p>
            <w:pPr>
              <w:spacing w:after="0"/>
              <w:rPr>
                <w:sz w:val="1"/>
                <w:szCs w:val="1"/>
                <w:color w:val="auto"/>
              </w:rPr>
            </w:pPr>
          </w:p>
        </w:tc>
      </w:tr>
      <w:tr>
        <w:trPr>
          <w:trHeight w:val="132"/>
        </w:trPr>
        <w:tc>
          <w:tcPr>
            <w:tcW w:w="5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4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Unrealized (loss) gain on investments</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(296)</w:t>
            </w:r>
          </w:p>
        </w:tc>
        <w:tc>
          <w:tcPr>
            <w:tcW w:w="22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top w:val="single" w:sz="8" w:color="auto"/>
              <w:bottom w:val="single" w:sz="8" w:color="auto"/>
            </w:tcBorders>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(33,612)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(18,870)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(61,685)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(34,343)</w:t>
            </w:r>
          </w:p>
        </w:tc>
        <w:tc>
          <w:tcPr>
            <w:tcW w:w="0" w:type="dxa"/>
            <w:vAlign w:val="bottom"/>
          </w:tcPr>
          <w:p>
            <w:pPr>
              <w:spacing w:after="0"/>
              <w:rPr>
                <w:sz w:val="1"/>
                <w:szCs w:val="1"/>
                <w:color w:val="auto"/>
              </w:rPr>
            </w:pPr>
          </w:p>
        </w:tc>
      </w:tr>
      <w:tr>
        <w:trPr>
          <w:trHeight w:val="125"/>
        </w:trPr>
        <w:tc>
          <w:tcPr>
            <w:tcW w:w="5400" w:type="dxa"/>
            <w:vAlign w:val="bottom"/>
            <w:tcBorders>
              <w:bottom w:val="single" w:sz="8" w:color="CCEEFF"/>
            </w:tcBorders>
          </w:tcPr>
          <w:p>
            <w:pPr>
              <w:spacing w:after="0" w:line="123" w:lineRule="exact"/>
              <w:rPr>
                <w:sz w:val="20"/>
                <w:szCs w:val="20"/>
                <w:color w:val="auto"/>
              </w:rPr>
            </w:pPr>
            <w:r>
              <w:rPr>
                <w:rFonts w:ascii="Times New Roman" w:cs="Times New Roman" w:eastAsia="Times New Roman" w:hAnsi="Times New Roman"/>
                <w:sz w:val="14"/>
                <w:szCs w:val="14"/>
                <w:color w:val="auto"/>
              </w:rPr>
              <w:t>Net loss per share applicable to common stockholders — basic and diluted</w:t>
            </w:r>
          </w:p>
        </w:tc>
        <w:tc>
          <w:tcPr>
            <w:tcW w:w="180" w:type="dxa"/>
            <w:vAlign w:val="bottom"/>
            <w:tcBorders>
              <w:bottom w:val="single" w:sz="8" w:color="auto"/>
            </w:tcBorders>
          </w:tcPr>
          <w:p>
            <w:pPr>
              <w:jc w:val="right"/>
              <w:ind w:right="28"/>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(0.86)</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jc w:val="right"/>
              <w:ind w:right="48"/>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(0.70)</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63"/>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jc w:val="right"/>
              <w:ind w:right="68"/>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09"/>
        </w:trPr>
        <w:tc>
          <w:tcPr>
            <w:tcW w:w="54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Weighted-average number of common shares used in net loss per share applicable to</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38,775</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27,170</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35,998</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27,129</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common stockholders — basic and diluted</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18"/>
        </w:trPr>
        <w:tc>
          <w:tcPr>
            <w:tcW w:w="5400" w:type="dxa"/>
            <w:vAlign w:val="bottom"/>
          </w:tcPr>
          <w:p>
            <w:pPr>
              <w:ind w:left="452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5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14" w:right="139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jc w:val="center"/>
        <w:spacing w:after="0" w:line="210"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line="211" w:lineRule="auto"/>
        <w:rPr>
          <w:sz w:val="20"/>
          <w:szCs w:val="20"/>
          <w:color w:val="auto"/>
        </w:rPr>
      </w:pPr>
      <w:r>
        <w:rPr>
          <w:rFonts w:ascii="Times New Roman" w:cs="Times New Roman" w:eastAsia="Times New Roman" w:hAnsi="Times New Roman"/>
          <w:sz w:val="14"/>
          <w:szCs w:val="14"/>
          <w:b w:val="1"/>
          <w:bCs w:val="1"/>
          <w:color w:val="auto"/>
        </w:rPr>
        <w:t>(in thousands)</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left="389"/>
              <w:spacing w:after="0"/>
              <w:rPr>
                <w:sz w:val="20"/>
                <w:szCs w:val="20"/>
                <w:color w:val="auto"/>
              </w:rPr>
            </w:pPr>
            <w:r>
              <w:rPr>
                <w:rFonts w:ascii="Times New Roman" w:cs="Times New Roman" w:eastAsia="Times New Roman" w:hAnsi="Times New Roman"/>
                <w:sz w:val="12"/>
                <w:szCs w:val="12"/>
                <w:b w:val="1"/>
                <w:bCs w:val="1"/>
                <w:color w:val="auto"/>
                <w:w w:val="97"/>
              </w:rPr>
              <w:t>Six Months Ended</w:t>
            </w:r>
          </w:p>
        </w:tc>
        <w:tc>
          <w:tcPr>
            <w:tcW w:w="580" w:type="dxa"/>
            <w:vAlign w:val="bottom"/>
          </w:tcPr>
          <w:p>
            <w:pPr>
              <w:spacing w:after="0"/>
              <w:rPr>
                <w:sz w:val="12"/>
                <w:szCs w:val="12"/>
                <w:color w:val="auto"/>
              </w:rPr>
            </w:pPr>
          </w:p>
        </w:tc>
      </w:tr>
      <w:tr>
        <w:trPr>
          <w:trHeight w:val="131"/>
        </w:trPr>
        <w:tc>
          <w:tcPr>
            <w:tcW w:w="7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center"/>
              <w:ind w:left="349"/>
              <w:spacing w:after="0" w:line="131" w:lineRule="exact"/>
              <w:rPr>
                <w:sz w:val="20"/>
                <w:szCs w:val="20"/>
                <w:color w:val="auto"/>
              </w:rPr>
            </w:pPr>
            <w:r>
              <w:rPr>
                <w:rFonts w:ascii="Times New Roman" w:cs="Times New Roman" w:eastAsia="Times New Roman" w:hAnsi="Times New Roman"/>
                <w:sz w:val="12"/>
                <w:szCs w:val="12"/>
                <w:b w:val="1"/>
                <w:bCs w:val="1"/>
                <w:color w:val="auto"/>
                <w:w w:val="93"/>
              </w:rPr>
              <w:t>June 30,</w:t>
            </w:r>
          </w:p>
        </w:tc>
        <w:tc>
          <w:tcPr>
            <w:tcW w:w="580" w:type="dxa"/>
            <w:vAlign w:val="bottom"/>
            <w:tcBorders>
              <w:bottom w:val="single" w:sz="8" w:color="auto"/>
            </w:tcBorders>
          </w:tcPr>
          <w:p>
            <w:pPr>
              <w:spacing w:after="0"/>
              <w:rPr>
                <w:sz w:val="11"/>
                <w:szCs w:val="11"/>
                <w:color w:val="auto"/>
              </w:rPr>
            </w:pPr>
          </w:p>
        </w:tc>
      </w:tr>
      <w:tr>
        <w:trPr>
          <w:trHeight w:val="100"/>
        </w:trPr>
        <w:tc>
          <w:tcPr>
            <w:tcW w:w="70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09"/>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2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68"/>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32"/>
        </w:trPr>
        <w:tc>
          <w:tcPr>
            <w:tcW w:w="7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1"/>
        </w:trPr>
        <w:tc>
          <w:tcPr>
            <w:tcW w:w="70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(61,389)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(34,398)</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1"/>
        </w:trPr>
        <w:tc>
          <w:tcPr>
            <w:tcW w:w="70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791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782</w:t>
            </w:r>
          </w:p>
        </w:tc>
      </w:tr>
      <w:tr>
        <w:trPr>
          <w:trHeight w:val="141"/>
        </w:trPr>
        <w:tc>
          <w:tcPr>
            <w:tcW w:w="700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Noncash interest expense</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w:t>
            </w:r>
          </w:p>
        </w:tc>
      </w:tr>
      <w:tr>
        <w:trPr>
          <w:trHeight w:val="141"/>
        </w:trPr>
        <w:tc>
          <w:tcPr>
            <w:tcW w:w="70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2,589</w:t>
            </w:r>
          </w:p>
        </w:tc>
      </w:tr>
      <w:tr>
        <w:trPr>
          <w:trHeight w:val="141"/>
        </w:trPr>
        <w:tc>
          <w:tcPr>
            <w:tcW w:w="700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Accretion of premiums and discounts on investments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110</w:t>
            </w:r>
          </w:p>
        </w:tc>
      </w:tr>
      <w:tr>
        <w:trPr>
          <w:trHeight w:val="141"/>
        </w:trPr>
        <w:tc>
          <w:tcPr>
            <w:tcW w:w="70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1"/>
        </w:trPr>
        <w:tc>
          <w:tcPr>
            <w:tcW w:w="70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Unbilled accounts receivable</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502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63</w:t>
            </w:r>
          </w:p>
        </w:tc>
      </w:tr>
      <w:tr>
        <w:trPr>
          <w:trHeight w:val="141"/>
        </w:trPr>
        <w:tc>
          <w:tcPr>
            <w:tcW w:w="70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1,943</w:t>
            </w:r>
          </w:p>
        </w:tc>
      </w:tr>
      <w:tr>
        <w:trPr>
          <w:trHeight w:val="141"/>
        </w:trPr>
        <w:tc>
          <w:tcPr>
            <w:tcW w:w="70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w:t>
            </w:r>
          </w:p>
        </w:tc>
      </w:tr>
      <w:tr>
        <w:trPr>
          <w:trHeight w:val="141"/>
        </w:trPr>
        <w:tc>
          <w:tcPr>
            <w:tcW w:w="70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427</w:t>
            </w:r>
          </w:p>
        </w:tc>
      </w:tr>
      <w:tr>
        <w:trPr>
          <w:trHeight w:val="141"/>
        </w:trPr>
        <w:tc>
          <w:tcPr>
            <w:tcW w:w="70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3,953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2,202</w:t>
            </w:r>
          </w:p>
        </w:tc>
      </w:tr>
      <w:tr>
        <w:trPr>
          <w:trHeight w:val="141"/>
        </w:trPr>
        <w:tc>
          <w:tcPr>
            <w:tcW w:w="70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(5,830)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39,412</w:t>
            </w:r>
          </w:p>
        </w:tc>
      </w:tr>
      <w:tr>
        <w:trPr>
          <w:trHeight w:val="141"/>
        </w:trPr>
        <w:tc>
          <w:tcPr>
            <w:tcW w:w="70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rent</w:t>
            </w: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369</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(237)</w:t>
            </w:r>
          </w:p>
        </w:tc>
      </w:tr>
      <w:tr>
        <w:trPr>
          <w:trHeight w:val="132"/>
        </w:trPr>
        <w:tc>
          <w:tcPr>
            <w:tcW w:w="70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(58,597)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12,918</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1"/>
        </w:trPr>
        <w:tc>
          <w:tcPr>
            <w:tcW w:w="70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(1,814)</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(3,500)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119</w:t>
            </w:r>
          </w:p>
        </w:tc>
      </w:tr>
      <w:tr>
        <w:trPr>
          <w:trHeight w:val="141"/>
        </w:trPr>
        <w:tc>
          <w:tcPr>
            <w:tcW w:w="70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Purchases of investments</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(209,892)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(69,222)</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Maturities of investments</w:t>
            </w:r>
          </w:p>
        </w:tc>
        <w:tc>
          <w:tcPr>
            <w:tcW w:w="14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96,000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6,000</w:t>
            </w:r>
          </w:p>
        </w:tc>
      </w:tr>
      <w:tr>
        <w:trPr>
          <w:trHeight w:val="132"/>
        </w:trPr>
        <w:tc>
          <w:tcPr>
            <w:tcW w:w="700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(117,849)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(64,917)</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1"/>
        </w:trPr>
        <w:tc>
          <w:tcPr>
            <w:tcW w:w="70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Principal payments on loan payable</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(1,417)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(1,667)</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Payment of offering costs</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(716)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70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Proceeds from public offering of common stock, net of commissions and underwriting discounts</w:t>
            </w:r>
          </w:p>
        </w:tc>
        <w:tc>
          <w:tcPr>
            <w:tcW w:w="1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216,200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Proceeds from issuance of common stock, net of repurchases</w:t>
            </w: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1,656</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345</w:t>
            </w:r>
          </w:p>
        </w:tc>
      </w:tr>
      <w:tr>
        <w:trPr>
          <w:trHeight w:val="143"/>
        </w:trPr>
        <w:tc>
          <w:tcPr>
            <w:tcW w:w="70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215,723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(1,322)</w:t>
            </w:r>
          </w:p>
        </w:tc>
      </w:tr>
      <w:tr>
        <w:trPr>
          <w:trHeight w:val="141"/>
        </w:trPr>
        <w:tc>
          <w:tcPr>
            <w:tcW w:w="7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39,277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(53,321)</w:t>
            </w:r>
          </w:p>
        </w:tc>
      </w:tr>
      <w:tr>
        <w:trPr>
          <w:trHeight w:val="141"/>
        </w:trPr>
        <w:tc>
          <w:tcPr>
            <w:tcW w:w="700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52,069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162,707</w:t>
            </w:r>
          </w:p>
        </w:tc>
      </w:tr>
      <w:tr>
        <w:trPr>
          <w:trHeight w:val="152"/>
        </w:trPr>
        <w:tc>
          <w:tcPr>
            <w:tcW w:w="70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91,346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109,386</w:t>
            </w:r>
          </w:p>
        </w:tc>
      </w:tr>
      <w:tr>
        <w:trPr>
          <w:trHeight w:val="123"/>
        </w:trPr>
        <w:tc>
          <w:tcPr>
            <w:tcW w:w="700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61"/>
        </w:trPr>
        <w:tc>
          <w:tcPr>
            <w:tcW w:w="700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Public offering costs incurred but unpaid at period end</w:t>
            </w: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25"/>
        </w:trPr>
        <w:tc>
          <w:tcPr>
            <w:tcW w:w="7000" w:type="dxa"/>
            <w:vAlign w:val="bottom"/>
            <w:tcBorders>
              <w:bottom w:val="single" w:sz="8" w:color="CCEEFF"/>
            </w:tcBorders>
          </w:tcPr>
          <w:p>
            <w:pPr>
              <w:spacing w:after="0" w:line="123" w:lineRule="exact"/>
              <w:rPr>
                <w:sz w:val="20"/>
                <w:szCs w:val="20"/>
                <w:color w:val="auto"/>
              </w:rPr>
            </w:pPr>
            <w:r>
              <w:rPr>
                <w:rFonts w:ascii="Times New Roman" w:cs="Times New Roman" w:eastAsia="Times New Roman" w:hAnsi="Times New Roman"/>
                <w:sz w:val="14"/>
                <w:szCs w:val="14"/>
                <w:color w:val="auto"/>
              </w:rPr>
              <w:t>Property and equipment purchases unpaid at period end</w:t>
            </w:r>
          </w:p>
        </w:tc>
        <w:tc>
          <w:tcPr>
            <w:tcW w:w="14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1,920</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116</w:t>
            </w:r>
          </w:p>
        </w:tc>
      </w:tr>
      <w:tr>
        <w:trPr>
          <w:trHeight w:val="161"/>
        </w:trPr>
        <w:tc>
          <w:tcPr>
            <w:tcW w:w="700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Cash paid for interest</w:t>
            </w: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180</w:t>
            </w:r>
          </w:p>
        </w:tc>
      </w:tr>
      <w:tr>
        <w:trPr>
          <w:trHeight w:val="918"/>
        </w:trPr>
        <w:tc>
          <w:tcPr>
            <w:tcW w:w="7000" w:type="dxa"/>
            <w:vAlign w:val="bottom"/>
          </w:tcPr>
          <w:p>
            <w:pPr>
              <w:ind w:left="452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7"/>
        </w:trPr>
        <w:tc>
          <w:tcPr>
            <w:tcW w:w="7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bl>
    <w:p>
      <w:pPr>
        <w:sectPr>
          <w:pgSz w:w="11900" w:h="16838" w:orient="portrait"/>
          <w:cols w:equalWidth="0" w:num="1">
            <w:col w:w="9100"/>
          </w:cols>
          <w:pgMar w:left="1400" w:top="114" w:right="139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jc w:val="center"/>
        <w:ind w:right="-19"/>
        <w:spacing w:after="0" w:line="210" w:lineRule="auto"/>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Business</w:t>
      </w:r>
    </w:p>
    <w:p>
      <w:pPr>
        <w:spacing w:after="0" w:line="124"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that may provide significant and durable clinical response to patients without adequate treatment options.</w:t>
      </w:r>
    </w:p>
    <w:p>
      <w:pPr>
        <w:spacing w:after="0" w:line="106" w:lineRule="exact"/>
        <w:rPr>
          <w:sz w:val="20"/>
          <w:szCs w:val="20"/>
          <w:color w:val="auto"/>
        </w:rPr>
      </w:pPr>
    </w:p>
    <w:p>
      <w:pPr>
        <w:ind w:firstLine="522"/>
        <w:spacing w:after="0" w:line="149" w:lineRule="exact"/>
        <w:rPr>
          <w:sz w:val="20"/>
          <w:szCs w:val="20"/>
          <w:color w:val="auto"/>
        </w:rPr>
      </w:pPr>
      <w:r>
        <w:rPr>
          <w:rFonts w:ascii="Times New Roman" w:cs="Times New Roman" w:eastAsia="Times New Roman" w:hAnsi="Times New Roman"/>
          <w:sz w:val="14"/>
          <w:szCs w:val="14"/>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license certain of its research and development programs or future commercialization efforts.</w:t>
      </w:r>
    </w:p>
    <w:p>
      <w:pPr>
        <w:spacing w:after="0" w:line="96"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95" w:lineRule="exact"/>
        <w:rPr>
          <w:sz w:val="20"/>
          <w:szCs w:val="20"/>
          <w:color w:val="auto"/>
        </w:rPr>
      </w:pPr>
    </w:p>
    <w:p>
      <w:pPr>
        <w:ind w:right="20" w:firstLine="522"/>
        <w:spacing w:after="0" w:line="228" w:lineRule="auto"/>
        <w:rPr>
          <w:sz w:val="20"/>
          <w:szCs w:val="20"/>
          <w:color w:val="auto"/>
        </w:rPr>
      </w:pPr>
      <w:r>
        <w:rPr>
          <w:rFonts w:ascii="Times New Roman" w:cs="Times New Roman" w:eastAsia="Times New Roman" w:hAnsi="Times New Roman"/>
          <w:sz w:val="14"/>
          <w:szCs w:val="14"/>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payable by the Company.</w:t>
      </w:r>
    </w:p>
    <w:p>
      <w:pPr>
        <w:spacing w:after="0" w:line="106" w:lineRule="exact"/>
        <w:rPr>
          <w:sz w:val="20"/>
          <w:szCs w:val="20"/>
          <w:color w:val="auto"/>
        </w:rPr>
      </w:pPr>
    </w:p>
    <w:p>
      <w:pPr>
        <w:ind w:right="160" w:firstLine="522"/>
        <w:spacing w:after="0" w:line="228" w:lineRule="auto"/>
        <w:rPr>
          <w:sz w:val="20"/>
          <w:szCs w:val="20"/>
          <w:color w:val="auto"/>
        </w:rPr>
      </w:pPr>
      <w:r>
        <w:rPr>
          <w:rFonts w:ascii="Times New Roman" w:cs="Times New Roman" w:eastAsia="Times New Roman" w:hAnsi="Times New Roman"/>
          <w:sz w:val="14"/>
          <w:szCs w:val="14"/>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payable by the Company.</w:t>
      </w:r>
    </w:p>
    <w:p>
      <w:pPr>
        <w:spacing w:after="0" w:line="95" w:lineRule="exact"/>
        <w:rPr>
          <w:sz w:val="20"/>
          <w:szCs w:val="20"/>
          <w:color w:val="auto"/>
        </w:rPr>
      </w:pPr>
    </w:p>
    <w:p>
      <w:pPr>
        <w:ind w:right="360" w:firstLine="522"/>
        <w:spacing w:after="0" w:line="228" w:lineRule="auto"/>
        <w:rPr>
          <w:sz w:val="20"/>
          <w:szCs w:val="20"/>
          <w:color w:val="auto"/>
        </w:rPr>
      </w:pPr>
      <w:r>
        <w:rPr>
          <w:rFonts w:ascii="Times New Roman" w:cs="Times New Roman" w:eastAsia="Times New Roman" w:hAnsi="Times New Roman"/>
          <w:sz w:val="14"/>
          <w:szCs w:val="14"/>
          <w:color w:val="auto"/>
        </w:rPr>
        <w:t>As of June 30, 2017, the Company had cash, cash equivalents and investments of $421.0 million. Based on the Company’s current plans, the Company believes its existing cash, cash equivalents and investments, excluding any potential option fees and milestone payments under its existing collaboration with F. Hoffmann-La Roche Ltd and Hoffmann-La Roche Inc. (collectively, Roche), will be sufficient to enable the Company to fund its operating expenses and capital expenditure requirements into the second half of 2019.</w:t>
      </w:r>
    </w:p>
    <w:p>
      <w:pPr>
        <w:spacing w:after="0" w:line="93" w:lineRule="exact"/>
        <w:rPr>
          <w:sz w:val="20"/>
          <w:szCs w:val="20"/>
          <w:color w:val="auto"/>
        </w:rPr>
      </w:pPr>
    </w:p>
    <w:p>
      <w:pPr>
        <w:ind w:right="3660"/>
        <w:spacing w:after="0" w:line="471" w:lineRule="auto"/>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and Recent Accounting Pronouncements </w:t>
      </w:r>
      <w:r>
        <w:rPr>
          <w:rFonts w:ascii="Times New Roman" w:cs="Times New Roman" w:eastAsia="Times New Roman" w:hAnsi="Times New Roman"/>
          <w:sz w:val="14"/>
          <w:szCs w:val="14"/>
          <w:b w:val="1"/>
          <w:bCs w:val="1"/>
          <w:i w:val="1"/>
          <w:iCs w:val="1"/>
          <w:color w:val="auto"/>
        </w:rPr>
        <w:t>Basis of Presentation</w:t>
      </w:r>
    </w:p>
    <w:p>
      <w:pPr>
        <w:spacing w:after="0" w:line="1" w:lineRule="exact"/>
        <w:rPr>
          <w:sz w:val="20"/>
          <w:szCs w:val="20"/>
          <w:color w:val="auto"/>
        </w:rPr>
      </w:pPr>
    </w:p>
    <w:p>
      <w:pPr>
        <w:ind w:right="40" w:firstLine="522"/>
        <w:spacing w:after="0" w:line="220" w:lineRule="auto"/>
        <w:rPr>
          <w:sz w:val="20"/>
          <w:szCs w:val="20"/>
          <w:color w:val="auto"/>
        </w:rPr>
      </w:pPr>
      <w:r>
        <w:rPr>
          <w:rFonts w:ascii="Times New Roman" w:cs="Times New Roman" w:eastAsia="Times New Roman" w:hAnsi="Times New Roman"/>
          <w:sz w:val="14"/>
          <w:szCs w:val="14"/>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2016 and notes thereto included in the Company’s Annual Report on Form 10-K for the year ended December 31, 2016, filed with the SEC on March 9, 2017.</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The unaudited interim condensed consolidated financial statements have been prepared on the same basis as the audited financial statements and include the accounts of the Company and its wholly-owned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June 30, 2017 and the results of its operations for the three and six months ended June 30, 2017 and 2016 and cash flows for the six months ended June 30, 2017 and 2016. Such adjustments are of a normal and recurring nature. The results for the three and six months ended June 30, 2017 are not necessarily indicative of the results for the year ending December 31, 2017, or for any future period.</w:t>
      </w:r>
    </w:p>
    <w:p>
      <w:pPr>
        <w:spacing w:after="0" w:line="131" w:lineRule="exact"/>
        <w:rPr>
          <w:sz w:val="20"/>
          <w:szCs w:val="20"/>
          <w:color w:val="auto"/>
        </w:rPr>
      </w:pPr>
    </w:p>
    <w:p>
      <w:pPr>
        <w:ind w:right="100" w:firstLine="522"/>
        <w:spacing w:after="0" w:line="252" w:lineRule="auto"/>
        <w:rPr>
          <w:sz w:val="20"/>
          <w:szCs w:val="20"/>
          <w:color w:val="auto"/>
        </w:rPr>
      </w:pPr>
      <w:r>
        <w:rPr>
          <w:rFonts w:ascii="Times New Roman" w:cs="Times New Roman" w:eastAsia="Times New Roman" w:hAnsi="Times New Roman"/>
          <w:sz w:val="14"/>
          <w:szCs w:val="14"/>
          <w:color w:val="auto"/>
        </w:rPr>
        <w:t>On December 13, 2016 and April 4, 2017, the Company closed underwritten public offerings of 5,750,000 shares in each offering. The significant increase in shares outstanding is expected to impact the year-over-year comparability of the Company’s net loss per share calculations.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58" w:lineRule="exact"/>
        <w:rPr>
          <w:sz w:val="20"/>
          <w:szCs w:val="20"/>
          <w:color w:val="auto"/>
        </w:rPr>
      </w:pPr>
    </w:p>
    <w:p>
      <w:pPr>
        <w:ind w:right="80" w:firstLine="522"/>
        <w:spacing w:after="0" w:line="152" w:lineRule="exact"/>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based compensation expense; revenue recognition; accrued expenses; and income taxes.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58" w:lineRule="exact"/>
        <w:rPr>
          <w:sz w:val="20"/>
          <w:szCs w:val="20"/>
          <w:color w:val="auto"/>
        </w:rPr>
      </w:pPr>
    </w:p>
    <w:p>
      <w:pPr>
        <w:jc w:val="both"/>
        <w:ind w:right="220" w:firstLine="522"/>
        <w:spacing w:after="0" w:line="234" w:lineRule="auto"/>
        <w:rPr>
          <w:sz w:val="20"/>
          <w:szCs w:val="20"/>
          <w:color w:val="auto"/>
        </w:rPr>
      </w:pPr>
      <w:r>
        <w:rPr>
          <w:rFonts w:ascii="Times New Roman" w:cs="Times New Roman" w:eastAsia="Times New Roman" w:hAnsi="Times New Roman"/>
          <w:sz w:val="14"/>
          <w:szCs w:val="14"/>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27" w:lineRule="exact"/>
        <w:rPr>
          <w:sz w:val="20"/>
          <w:szCs w:val="20"/>
          <w:color w:val="auto"/>
        </w:rPr>
      </w:pPr>
    </w:p>
    <w:p>
      <w:pPr>
        <w:ind w:right="240" w:firstLine="522"/>
        <w:spacing w:after="0" w:line="234" w:lineRule="auto"/>
        <w:rPr>
          <w:sz w:val="20"/>
          <w:szCs w:val="20"/>
          <w:color w:val="auto"/>
        </w:rPr>
      </w:pPr>
      <w:r>
        <w:rPr>
          <w:rFonts w:ascii="Times New Roman" w:cs="Times New Roman" w:eastAsia="Times New Roman" w:hAnsi="Times New Roman"/>
          <w:sz w:val="14"/>
          <w:szCs w:val="14"/>
          <w:color w:val="auto"/>
        </w:rPr>
        <w:t>There have been no significant changes to the Company’s critical accounting policies discussed in its Annual Report on Form 10-K for the year ended December 31, 2016 related to available-for-sale investments, revenue recognition, accrued research and development expenses and stock-based compensation.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6" w:lineRule="exact"/>
        <w:rPr>
          <w:sz w:val="20"/>
          <w:szCs w:val="20"/>
          <w:color w:val="auto"/>
        </w:rPr>
      </w:pPr>
    </w:p>
    <w:p>
      <w:pPr>
        <w:ind w:right="60" w:firstLine="522"/>
        <w:spacing w:after="0" w:line="236" w:lineRule="auto"/>
        <w:rPr>
          <w:sz w:val="20"/>
          <w:szCs w:val="20"/>
          <w:color w:val="auto"/>
        </w:rPr>
      </w:pPr>
      <w:r>
        <w:rPr>
          <w:rFonts w:ascii="Times New Roman" w:cs="Times New Roman" w:eastAsia="Times New Roman" w:hAnsi="Times New Roman"/>
          <w:sz w:val="14"/>
          <w:szCs w:val="14"/>
          <w:color w:val="auto"/>
        </w:rPr>
        <w:t xml:space="preserve">In May 2014, the FASB issued ASU No. 2014-09,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(ASU 2014-09), which supersedes the revenue recognition requirements in ASC 605-25, </w:t>
      </w:r>
      <w:r>
        <w:rPr>
          <w:rFonts w:ascii="Times New Roman" w:cs="Times New Roman" w:eastAsia="Times New Roman" w:hAnsi="Times New Roman"/>
          <w:sz w:val="14"/>
          <w:szCs w:val="14"/>
          <w:i w:val="1"/>
          <w:iCs w:val="1"/>
          <w:color w:val="auto"/>
        </w:rPr>
        <w:t>Multiple-Element Arrangements</w:t>
      </w:r>
      <w:r>
        <w:rPr>
          <w:rFonts w:ascii="Times New Roman" w:cs="Times New Roman" w:eastAsia="Times New Roman" w:hAnsi="Times New Roman"/>
          <w:sz w:val="14"/>
          <w:szCs w:val="14"/>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currently anticipates adoption of the new standard effective January 1, 2018 under the modified retrospective method. The Company believes there may be a potential impact in the way it recognizes revenue under its agreement with Roche as well as the recognition of milestone revenue prior to achievement. The Company is in the process of determining the impact of the new guidance on its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522"/>
        <w:spacing w:after="0" w:line="217" w:lineRule="auto"/>
        <w:rPr>
          <w:sz w:val="20"/>
          <w:szCs w:val="20"/>
          <w:color w:val="auto"/>
        </w:rPr>
      </w:pPr>
      <w:r>
        <w:rPr>
          <w:rFonts w:ascii="Times New Roman" w:cs="Times New Roman" w:eastAsia="Times New Roman" w:hAnsi="Times New Roman"/>
          <w:sz w:val="14"/>
          <w:szCs w:val="14"/>
          <w:color w:val="auto"/>
        </w:rPr>
        <w:t xml:space="preserve">In March 2016, the FASB issued ASU No. 2016-09,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(ASU No. 2016-09), which amends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The new standard identifies areas for simplification involving several aspects of accounting for share-based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new standard was effective for the Company on January 1, 2017. The Company applied ASU 2016-09 using a modified retrospective approach and adopted the option to recognize gross stock compensation expense with actual forfeitures recognized as they occur. Given that the application of the estimated forfeiture rate prior to January 1, 2017 resulted in an insignificant reduction in stock-based compensation expense, the cumulative-effect adjustment to retained earnings recognized as of January 1, 2017 was not material to the consolidated financial statements. The adoption of ASU 2016-09 also requires all income tax adjustments to be recognized in the consolidated statements of operations. As the increase in net deferred tax assets is fully offset by a corresponding increase to the deferred tax asset valuation allowance, there was no material impact of the adoption of this standard. The amount of deferred tax assets that had not been previously recognized due to the recognition of excess tax benefits is $1.1 million.</w:t>
      </w:r>
    </w:p>
    <w:p>
      <w:pPr>
        <w:spacing w:after="0" w:line="128" w:lineRule="exact"/>
        <w:rPr>
          <w:sz w:val="20"/>
          <w:szCs w:val="20"/>
          <w:color w:val="auto"/>
        </w:rPr>
      </w:pPr>
    </w:p>
    <w:p>
      <w:pPr>
        <w:ind w:firstLine="522"/>
        <w:spacing w:after="0" w:line="221" w:lineRule="auto"/>
        <w:rPr>
          <w:sz w:val="20"/>
          <w:szCs w:val="20"/>
          <w:color w:val="auto"/>
        </w:rPr>
      </w:pPr>
      <w:r>
        <w:rPr>
          <w:rFonts w:ascii="Times New Roman" w:cs="Times New Roman" w:eastAsia="Times New Roman" w:hAnsi="Times New Roman"/>
          <w:sz w:val="14"/>
          <w:szCs w:val="14"/>
          <w:color w:val="auto"/>
        </w:rPr>
        <w:t xml:space="preserve">In February 2016, the FASB issued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26" w:lineRule="exact"/>
        <w:rPr>
          <w:sz w:val="20"/>
          <w:szCs w:val="20"/>
          <w:color w:val="auto"/>
        </w:rPr>
      </w:pPr>
    </w:p>
    <w:p>
      <w:pPr>
        <w:ind w:right="100" w:firstLine="355"/>
        <w:spacing w:after="0" w:line="229" w:lineRule="auto"/>
        <w:rPr>
          <w:sz w:val="20"/>
          <w:szCs w:val="20"/>
          <w:color w:val="auto"/>
        </w:rPr>
      </w:pPr>
      <w:r>
        <w:rPr>
          <w:rFonts w:ascii="Times New Roman" w:cs="Times New Roman" w:eastAsia="Times New Roman" w:hAnsi="Times New Roman"/>
          <w:sz w:val="14"/>
          <w:szCs w:val="14"/>
          <w:color w:val="auto"/>
        </w:rPr>
        <w:t xml:space="preserve">In August 2016, the FASB issued ASU No. 2016-15, </w:t>
      </w:r>
      <w:r>
        <w:rPr>
          <w:rFonts w:ascii="Times New Roman" w:cs="Times New Roman" w:eastAsia="Times New Roman" w:hAnsi="Times New Roman"/>
          <w:sz w:val="14"/>
          <w:szCs w:val="14"/>
          <w:i w:val="1"/>
          <w:iCs w:val="1"/>
          <w:color w:val="auto"/>
        </w:rPr>
        <w:t>Statement of Cash Flows (Topic 230)</w:t>
      </w:r>
      <w:r>
        <w:rPr>
          <w:rFonts w:ascii="Times New Roman" w:cs="Times New Roman" w:eastAsia="Times New Roman" w:hAnsi="Times New Roman"/>
          <w:sz w:val="14"/>
          <w:szCs w:val="14"/>
          <w:color w:val="auto"/>
        </w:rPr>
        <w:t xml:space="preserve"> (ASU No. 2016-15)</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which simplifies certain elements of cash flow classification. The new guidance is intended to reduce diversity in practice in how certain transactions are classified in the statement of cash flows. ASU No. 2016-15 is effective for annual periods beginning after December 15, 2017. The Company is currently evaluating the impact the adoption of ASU No. 2016-15 will have on its consolidated financial statements.</w:t>
      </w:r>
    </w:p>
    <w:p>
      <w:pPr>
        <w:spacing w:after="0" w:line="93" w:lineRule="exact"/>
        <w:rPr>
          <w:sz w:val="20"/>
          <w:szCs w:val="20"/>
          <w:color w:val="auto"/>
        </w:rPr>
      </w:pPr>
    </w:p>
    <w:p>
      <w:pPr>
        <w:ind w:firstLine="355"/>
        <w:spacing w:after="0" w:line="225" w:lineRule="auto"/>
        <w:rPr>
          <w:sz w:val="20"/>
          <w:szCs w:val="20"/>
          <w:color w:val="auto"/>
        </w:rPr>
      </w:pPr>
      <w:r>
        <w:rPr>
          <w:rFonts w:ascii="Times New Roman" w:cs="Times New Roman" w:eastAsia="Times New Roman" w:hAnsi="Times New Roman"/>
          <w:sz w:val="14"/>
          <w:szCs w:val="14"/>
          <w:color w:val="auto"/>
        </w:rPr>
        <w:t xml:space="preserve">In November 2016, the FASB issued ASU No. 2016-18, </w:t>
      </w:r>
      <w:r>
        <w:rPr>
          <w:rFonts w:ascii="Times New Roman" w:cs="Times New Roman" w:eastAsia="Times New Roman" w:hAnsi="Times New Roman"/>
          <w:sz w:val="14"/>
          <w:szCs w:val="14"/>
          <w:i w:val="1"/>
          <w:iCs w:val="1"/>
          <w:color w:val="auto"/>
        </w:rPr>
        <w:t>Restricted Cash</w:t>
      </w:r>
      <w:r>
        <w:rPr>
          <w:rFonts w:ascii="Times New Roman" w:cs="Times New Roman" w:eastAsia="Times New Roman" w:hAnsi="Times New Roman"/>
          <w:sz w:val="14"/>
          <w:szCs w:val="14"/>
          <w:color w:val="auto"/>
        </w:rPr>
        <w:t xml:space="preserve"> (ASU No. 2016-18). The amendments in ASU No. 2016-18 require an entity to reconcile and explain the period-over-period change in total cash, cash equivalents and restricted cash within its statements of cash flows. ASU No. 2016-18 is effective for fiscal years (including interim reporting periods within those years) beginning after December 15, 2017. Early adoption is permitted. A reporting entity must apply the amendments in ASU No. 2016-18 using a full retrospective approach. The Company believes that the adoption of this guidance will not have a significant impact on its consolidated financial statements and related disclosures.</w:t>
      </w:r>
    </w:p>
    <w:p>
      <w:pPr>
        <w:spacing w:after="0" w:line="124" w:lineRule="exact"/>
        <w:rPr>
          <w:sz w:val="20"/>
          <w:szCs w:val="20"/>
          <w:color w:val="auto"/>
        </w:rPr>
      </w:pPr>
    </w:p>
    <w:p>
      <w:pPr>
        <w:ind w:left="160" w:hanging="154"/>
        <w:spacing w:after="0"/>
        <w:tabs>
          <w:tab w:leader="none" w:pos="1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Cash Equivalents and Investments</w:t>
      </w:r>
    </w:p>
    <w:p>
      <w:pPr>
        <w:spacing w:after="0" w:line="104" w:lineRule="exact"/>
        <w:rPr>
          <w:sz w:val="20"/>
          <w:szCs w:val="20"/>
          <w:color w:val="auto"/>
        </w:rPr>
      </w:pPr>
    </w:p>
    <w:p>
      <w:pPr>
        <w:ind w:right="100" w:firstLine="522"/>
        <w:spacing w:after="0"/>
        <w:rPr>
          <w:sz w:val="20"/>
          <w:szCs w:val="20"/>
          <w:color w:val="auto"/>
        </w:rPr>
      </w:pPr>
      <w:r>
        <w:rPr>
          <w:rFonts w:ascii="Times New Roman" w:cs="Times New Roman" w:eastAsia="Times New Roman" w:hAnsi="Times New Roman"/>
          <w:sz w:val="14"/>
          <w:szCs w:val="14"/>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1040" cy="13970"/>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equivalents and investments, available-for-sale, consisted of the following at June 30, 2017 and December 31, 2016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8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 w:type="dxa"/>
            <w:vAlign w:val="bottom"/>
          </w:tcPr>
          <w:p>
            <w:pPr>
              <w:spacing w:after="0"/>
              <w:rPr>
                <w:sz w:val="12"/>
                <w:szCs w:val="12"/>
                <w:color w:val="auto"/>
              </w:rPr>
            </w:pPr>
          </w:p>
        </w:tc>
        <w:tc>
          <w:tcPr>
            <w:tcW w:w="540" w:type="dxa"/>
            <w:vAlign w:val="bottom"/>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139"/>
        </w:trPr>
        <w:tc>
          <w:tcPr>
            <w:tcW w:w="4540" w:type="dxa"/>
            <w:vAlign w:val="bottom"/>
            <w:gridSpan w:val="2"/>
            <w:vMerge w:val="continue"/>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Gain</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100" w:type="dxa"/>
            <w:vAlign w:val="bottom"/>
          </w:tcPr>
          <w:p>
            <w:pPr>
              <w:spacing w:after="0"/>
              <w:rPr>
                <w:sz w:val="12"/>
                <w:szCs w:val="12"/>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32"/>
        </w:trPr>
        <w:tc>
          <w:tcPr>
            <w:tcW w:w="45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Cash equivalents:</w:t>
            </w: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57,397</w:t>
            </w:r>
          </w:p>
        </w:tc>
        <w:tc>
          <w:tcPr>
            <w:tcW w:w="180" w:type="dxa"/>
            <w:vAlign w:val="bottom"/>
          </w:tcPr>
          <w:p>
            <w:pPr>
              <w:spacing w:after="0"/>
              <w:rPr>
                <w:sz w:val="12"/>
                <w:szCs w:val="12"/>
                <w:color w:val="auto"/>
              </w:rPr>
            </w:pP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4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57,397</w:t>
            </w:r>
          </w:p>
        </w:tc>
        <w:tc>
          <w:tcPr>
            <w:tcW w:w="0" w:type="dxa"/>
            <w:vAlign w:val="bottom"/>
          </w:tcPr>
          <w:p>
            <w:pPr>
              <w:spacing w:after="0"/>
              <w:rPr>
                <w:sz w:val="1"/>
                <w:szCs w:val="1"/>
                <w:color w:val="auto"/>
              </w:rPr>
            </w:pPr>
          </w:p>
        </w:tc>
      </w:tr>
      <w:tr>
        <w:trPr>
          <w:trHeight w:val="141"/>
        </w:trPr>
        <w:tc>
          <w:tcPr>
            <w:tcW w:w="454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Government agency securities</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33,949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33,949</w:t>
            </w:r>
          </w:p>
        </w:tc>
        <w:tc>
          <w:tcPr>
            <w:tcW w:w="0" w:type="dxa"/>
            <w:vAlign w:val="bottom"/>
          </w:tcPr>
          <w:p>
            <w:pPr>
              <w:spacing w:after="0"/>
              <w:rPr>
                <w:sz w:val="1"/>
                <w:szCs w:val="1"/>
                <w:color w:val="auto"/>
              </w:rPr>
            </w:pPr>
          </w:p>
        </w:tc>
      </w:tr>
      <w:tr>
        <w:trPr>
          <w:trHeight w:val="141"/>
        </w:trPr>
        <w:tc>
          <w:tcPr>
            <w:tcW w:w="45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U.S. treasury obligations</w:t>
            </w:r>
          </w:p>
        </w:tc>
        <w:tc>
          <w:tcPr>
            <w:tcW w:w="1160" w:type="dxa"/>
            <w:vAlign w:val="bottom"/>
            <w:gridSpan w:val="2"/>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303 Days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317,988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317,674</w:t>
            </w:r>
          </w:p>
        </w:tc>
        <w:tc>
          <w:tcPr>
            <w:tcW w:w="0" w:type="dxa"/>
            <w:vAlign w:val="bottom"/>
          </w:tcPr>
          <w:p>
            <w:pPr>
              <w:spacing w:after="0"/>
              <w:rPr>
                <w:sz w:val="1"/>
                <w:szCs w:val="1"/>
                <w:color w:val="auto"/>
              </w:rPr>
            </w:pPr>
          </w:p>
        </w:tc>
      </w:tr>
      <w:tr>
        <w:trPr>
          <w:trHeight w:val="141"/>
        </w:trPr>
        <w:tc>
          <w:tcPr>
            <w:tcW w:w="454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Government agency securities</w:t>
            </w:r>
          </w:p>
        </w:tc>
        <w:tc>
          <w:tcPr>
            <w:tcW w:w="1160" w:type="dxa"/>
            <w:vAlign w:val="bottom"/>
            <w:gridSpan w:val="2"/>
          </w:tcPr>
          <w:p>
            <w:pPr>
              <w:ind w:left="300"/>
              <w:spacing w:after="0" w:line="141" w:lineRule="exact"/>
              <w:rPr>
                <w:sz w:val="20"/>
                <w:szCs w:val="20"/>
                <w:color w:val="auto"/>
              </w:rPr>
            </w:pPr>
            <w:r>
              <w:rPr>
                <w:rFonts w:ascii="Times New Roman" w:cs="Times New Roman" w:eastAsia="Times New Roman" w:hAnsi="Times New Roman"/>
                <w:sz w:val="14"/>
                <w:szCs w:val="14"/>
                <w:color w:val="auto"/>
              </w:rPr>
              <w:t>91 Days</w:t>
            </w:r>
          </w:p>
        </w:tc>
        <w:tc>
          <w:tcPr>
            <w:tcW w:w="12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11,994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4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11,994</w:t>
            </w:r>
          </w:p>
        </w:tc>
        <w:tc>
          <w:tcPr>
            <w:tcW w:w="0" w:type="dxa"/>
            <w:vAlign w:val="bottom"/>
          </w:tcPr>
          <w:p>
            <w:pPr>
              <w:spacing w:after="0"/>
              <w:rPr>
                <w:sz w:val="1"/>
                <w:szCs w:val="1"/>
                <w:color w:val="auto"/>
              </w:rPr>
            </w:pPr>
          </w:p>
        </w:tc>
      </w:tr>
      <w:tr>
        <w:trPr>
          <w:trHeight w:val="134"/>
        </w:trPr>
        <w:tc>
          <w:tcPr>
            <w:tcW w:w="45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421,328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(314)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421,014</w:t>
            </w:r>
          </w:p>
        </w:tc>
        <w:tc>
          <w:tcPr>
            <w:tcW w:w="0" w:type="dxa"/>
            <w:vAlign w:val="bottom"/>
          </w:tcPr>
          <w:p>
            <w:pPr>
              <w:spacing w:after="0"/>
              <w:rPr>
                <w:sz w:val="1"/>
                <w:szCs w:val="1"/>
                <w:color w:val="auto"/>
              </w:rPr>
            </w:pPr>
          </w:p>
        </w:tc>
      </w:tr>
      <w:tr>
        <w:trPr>
          <w:trHeight w:val="263"/>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22"/>
                <w:szCs w:val="2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80" w:type="dxa"/>
            <w:vAlign w:val="bottom"/>
          </w:tcPr>
          <w:p>
            <w:pPr>
              <w:spacing w:after="0"/>
              <w:rPr>
                <w:sz w:val="22"/>
                <w:szCs w:val="2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8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 w:type="dxa"/>
            <w:vAlign w:val="bottom"/>
          </w:tcPr>
          <w:p>
            <w:pPr>
              <w:spacing w:after="0"/>
              <w:rPr>
                <w:sz w:val="22"/>
                <w:szCs w:val="22"/>
                <w:color w:val="auto"/>
              </w:rPr>
            </w:pPr>
          </w:p>
        </w:tc>
        <w:tc>
          <w:tcPr>
            <w:tcW w:w="540" w:type="dxa"/>
            <w:vAlign w:val="bottom"/>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139"/>
        </w:trPr>
        <w:tc>
          <w:tcPr>
            <w:tcW w:w="4540" w:type="dxa"/>
            <w:vAlign w:val="bottom"/>
            <w:gridSpan w:val="2"/>
            <w:vMerge w:val="continue"/>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Gain</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100" w:type="dxa"/>
            <w:vAlign w:val="bottom"/>
          </w:tcPr>
          <w:p>
            <w:pPr>
              <w:spacing w:after="0"/>
              <w:rPr>
                <w:sz w:val="12"/>
                <w:szCs w:val="12"/>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32"/>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Cash equivalents:</w:t>
            </w:r>
          </w:p>
        </w:tc>
        <w:tc>
          <w:tcPr>
            <w:tcW w:w="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52,069</w:t>
            </w:r>
          </w:p>
        </w:tc>
        <w:tc>
          <w:tcPr>
            <w:tcW w:w="180" w:type="dxa"/>
            <w:vAlign w:val="bottom"/>
          </w:tcPr>
          <w:p>
            <w:pPr>
              <w:spacing w:after="0"/>
              <w:rPr>
                <w:sz w:val="12"/>
                <w:szCs w:val="12"/>
                <w:color w:val="auto"/>
              </w:rPr>
            </w:pP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4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52,069</w:t>
            </w:r>
          </w:p>
        </w:tc>
        <w:tc>
          <w:tcPr>
            <w:tcW w:w="0" w:type="dxa"/>
            <w:vAlign w:val="bottom"/>
          </w:tcPr>
          <w:p>
            <w:pPr>
              <w:spacing w:after="0"/>
              <w:rPr>
                <w:sz w:val="1"/>
                <w:szCs w:val="1"/>
                <w:color w:val="auto"/>
              </w:rPr>
            </w:pPr>
          </w:p>
        </w:tc>
      </w:tr>
      <w:tr>
        <w:trPr>
          <w:trHeight w:val="141"/>
        </w:trPr>
        <w:tc>
          <w:tcPr>
            <w:tcW w:w="45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U.S. treasury obligations</w:t>
            </w:r>
          </w:p>
        </w:tc>
        <w:tc>
          <w:tcPr>
            <w:tcW w:w="116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4"/>
                <w:szCs w:val="14"/>
                <w:color w:val="auto"/>
              </w:rPr>
              <w:t>298 Days</w:t>
            </w:r>
          </w:p>
        </w:tc>
        <w:tc>
          <w:tcPr>
            <w:tcW w:w="12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216,167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460"/>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216,149</w:t>
            </w:r>
          </w:p>
        </w:tc>
        <w:tc>
          <w:tcPr>
            <w:tcW w:w="0" w:type="dxa"/>
            <w:vAlign w:val="bottom"/>
          </w:tcPr>
          <w:p>
            <w:pPr>
              <w:spacing w:after="0"/>
              <w:rPr>
                <w:sz w:val="1"/>
                <w:szCs w:val="1"/>
                <w:color w:val="auto"/>
              </w:rPr>
            </w:pPr>
          </w:p>
        </w:tc>
      </w:tr>
      <w:tr>
        <w:trPr>
          <w:trHeight w:val="134"/>
        </w:trPr>
        <w:tc>
          <w:tcPr>
            <w:tcW w:w="45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268,236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60"/>
              <w:spacing w:after="0" w:line="133"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268,218</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100" w:firstLine="522"/>
        <w:spacing w:after="0" w:line="228" w:lineRule="auto"/>
        <w:rPr>
          <w:sz w:val="20"/>
          <w:szCs w:val="20"/>
          <w:color w:val="auto"/>
        </w:rPr>
      </w:pPr>
      <w:r>
        <w:rPr>
          <w:rFonts w:ascii="Times New Roman" w:cs="Times New Roman" w:eastAsia="Times New Roman" w:hAnsi="Times New Roman"/>
          <w:sz w:val="14"/>
          <w:szCs w:val="14"/>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and six months ended June 30, 2017 and June 30, 2016, there were no realized gains or losses on sales of investments, and no investments were adjusted for other than temporary declines in fair value.</w:t>
      </w:r>
    </w:p>
    <w:p>
      <w:pPr>
        <w:spacing w:after="0" w:line="128"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At June 30, 2017, the Company held 50 securities that were in an unrealized loss position. The aggregate fair value of securities held by the Company in an unrealized loss position for less than twelve months as of June 30, 2017 was $318.4 million,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 temporary impairment as of June 30, 2017</w:t>
      </w:r>
      <w:r>
        <w:rPr>
          <w:rFonts w:ascii="Times New Roman" w:cs="Times New Roman" w:eastAsia="Times New Roman" w:hAnsi="Times New Roman"/>
          <w:sz w:val="8"/>
          <w:szCs w:val="8"/>
          <w:color w:val="auto"/>
        </w:rPr>
        <w:t>.</w:t>
      </w:r>
    </w:p>
    <w:p>
      <w:pPr>
        <w:spacing w:after="0" w:line="144" w:lineRule="exact"/>
        <w:rPr>
          <w:sz w:val="20"/>
          <w:szCs w:val="20"/>
          <w:color w:val="auto"/>
        </w:rPr>
      </w:pPr>
    </w:p>
    <w:p>
      <w:pPr>
        <w:ind w:left="160" w:hanging="154"/>
        <w:spacing w:after="0"/>
        <w:tabs>
          <w:tab w:leader="none" w:pos="1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hierarchy prioritizes the inputs to valuation techniques used to measure fair value into three broad levels as follows:</w:t>
      </w:r>
    </w:p>
    <w:p>
      <w:pPr>
        <w:spacing w:after="0" w:line="100" w:lineRule="exact"/>
        <w:rPr>
          <w:sz w:val="20"/>
          <w:szCs w:val="20"/>
          <w:color w:val="auto"/>
        </w:rPr>
      </w:pPr>
    </w:p>
    <w:p>
      <w:pPr>
        <w:ind w:left="1060" w:hanging="271"/>
        <w:spacing w:after="0"/>
        <w:tabs>
          <w:tab w:leader="none" w:pos="1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(unadjusted) in active markets for identical assets or liabilities.</w:t>
      </w:r>
    </w:p>
    <w:p>
      <w:pPr>
        <w:spacing w:after="0" w:line="100" w:lineRule="exact"/>
        <w:rPr>
          <w:rFonts w:ascii="Times New Roman" w:cs="Times New Roman" w:eastAsia="Times New Roman" w:hAnsi="Times New Roman"/>
          <w:sz w:val="14"/>
          <w:szCs w:val="14"/>
          <w:color w:val="auto"/>
        </w:rPr>
      </w:pPr>
    </w:p>
    <w:p>
      <w:pPr>
        <w:ind w:left="1060" w:right="220" w:hanging="271"/>
        <w:spacing w:after="0" w:line="252" w:lineRule="auto"/>
        <w:tabs>
          <w:tab w:leader="none" w:pos="1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w:t>
      </w:r>
    </w:p>
    <w:p>
      <w:pPr>
        <w:spacing w:after="0" w:line="64" w:lineRule="exact"/>
        <w:rPr>
          <w:rFonts w:ascii="Times New Roman" w:cs="Times New Roman" w:eastAsia="Times New Roman" w:hAnsi="Times New Roman"/>
          <w:sz w:val="14"/>
          <w:szCs w:val="14"/>
          <w:color w:val="auto"/>
        </w:rPr>
      </w:pPr>
    </w:p>
    <w:p>
      <w:pPr>
        <w:ind w:left="1060" w:right="100" w:hanging="271"/>
        <w:spacing w:after="0" w:line="234" w:lineRule="auto"/>
        <w:tabs>
          <w:tab w:leader="none" w:pos="1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measured at fair value as of June 30, 2017 are classified below based on the fair value hierarchy described above: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7"/>
              </w:rPr>
              <w:t>Active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8"/>
              </w:rPr>
              <w:t>Observable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6"/>
              </w:rPr>
              <w:t>Unobservable</w:t>
            </w:r>
          </w:p>
        </w:tc>
        <w:tc>
          <w:tcPr>
            <w:tcW w:w="0" w:type="dxa"/>
            <w:vAlign w:val="bottom"/>
          </w:tcPr>
          <w:p>
            <w:pPr>
              <w:spacing w:after="0"/>
              <w:rPr>
                <w:sz w:val="1"/>
                <w:szCs w:val="1"/>
                <w:color w:val="auto"/>
              </w:rPr>
            </w:pPr>
          </w:p>
        </w:tc>
      </w:tr>
      <w:tr>
        <w:trPr>
          <w:trHeight w:val="10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33"/>
              <w:spacing w:after="0" w:line="109" w:lineRule="exact"/>
              <w:rPr>
                <w:sz w:val="20"/>
                <w:szCs w:val="20"/>
                <w:color w:val="auto"/>
              </w:rPr>
            </w:pPr>
            <w:r>
              <w:rPr>
                <w:rFonts w:ascii="Times New Roman" w:cs="Times New Roman" w:eastAsia="Times New Roman" w:hAnsi="Times New Roman"/>
                <w:sz w:val="12"/>
                <w:szCs w:val="12"/>
                <w:b w:val="1"/>
                <w:bCs w:val="1"/>
                <w:color w:val="auto"/>
                <w:w w:val="96"/>
              </w:rPr>
              <w:t>Markets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jc w:val="center"/>
              <w:ind w:right="33"/>
              <w:spacing w:after="0" w:line="109"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center"/>
              <w:ind w:right="53"/>
              <w:spacing w:after="0" w:line="109"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0" w:type="dxa"/>
            <w:vAlign w:val="bottom"/>
          </w:tcPr>
          <w:p>
            <w:pPr>
              <w:spacing w:after="0"/>
              <w:rPr>
                <w:sz w:val="1"/>
                <w:szCs w:val="1"/>
                <w:color w:val="auto"/>
              </w:rPr>
            </w:pPr>
          </w:p>
        </w:tc>
      </w:tr>
      <w:tr>
        <w:trPr>
          <w:trHeight w:val="131"/>
        </w:trPr>
        <w:tc>
          <w:tcPr>
            <w:tcW w:w="5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2"/>
                <w:szCs w:val="12"/>
                <w:b w:val="1"/>
                <w:bCs w:val="1"/>
                <w:color w:val="auto"/>
                <w:w w:val="97"/>
              </w:rPr>
              <w:t>(Level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ind w:right="33"/>
              <w:spacing w:after="0" w:line="131" w:lineRule="exact"/>
              <w:rPr>
                <w:sz w:val="20"/>
                <w:szCs w:val="20"/>
                <w:color w:val="auto"/>
              </w:rPr>
            </w:pPr>
            <w:r>
              <w:rPr>
                <w:rFonts w:ascii="Times New Roman" w:cs="Times New Roman" w:eastAsia="Times New Roman" w:hAnsi="Times New Roman"/>
                <w:sz w:val="12"/>
                <w:szCs w:val="12"/>
                <w:b w:val="1"/>
                <w:bCs w:val="1"/>
                <w:color w:val="auto"/>
                <w:w w:val="97"/>
              </w:rPr>
              <w:t>(Level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0" w:type="dxa"/>
            <w:vAlign w:val="bottom"/>
          </w:tcPr>
          <w:p>
            <w:pPr>
              <w:spacing w:after="0"/>
              <w:rPr>
                <w:sz w:val="1"/>
                <w:szCs w:val="1"/>
                <w:color w:val="auto"/>
              </w:rPr>
            </w:pPr>
          </w:p>
        </w:tc>
      </w:tr>
      <w:tr>
        <w:trPr>
          <w:trHeight w:val="100"/>
        </w:trPr>
        <w:tc>
          <w:tcPr>
            <w:tcW w:w="5160" w:type="dxa"/>
            <w:vAlign w:val="bottom"/>
            <w:tcBorders>
              <w:top w:val="single" w:sz="8" w:color="auto"/>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Financial Assets</w:t>
            </w: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3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Cash equivalents: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2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57,397</w:t>
            </w:r>
          </w:p>
        </w:tc>
        <w:tc>
          <w:tcPr>
            <w:tcW w:w="24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57,397</w:t>
            </w:r>
          </w:p>
        </w:tc>
        <w:tc>
          <w:tcPr>
            <w:tcW w:w="2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ind w:left="5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532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Government agency securities</w:t>
            </w:r>
          </w:p>
        </w:tc>
        <w:tc>
          <w:tcPr>
            <w:tcW w:w="1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33,949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33,949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2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U.S Treasury obligations</w:t>
            </w:r>
          </w:p>
        </w:tc>
        <w:tc>
          <w:tcPr>
            <w:tcW w:w="1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317,674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317,674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4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5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532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Government agency securities</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11,994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11,994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3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421,014</w:t>
            </w:r>
          </w:p>
        </w:tc>
        <w:tc>
          <w:tcPr>
            <w:tcW w:w="2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421,014</w:t>
            </w:r>
          </w:p>
        </w:tc>
        <w:tc>
          <w:tcPr>
            <w:tcW w:w="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20" w:type="dxa"/>
            <w:vAlign w:val="bottom"/>
            <w:tcBorders>
              <w:bottom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760" w:type="dxa"/>
            <w:vAlign w:val="bottom"/>
            <w:tcBorders>
              <w:bottom w:val="single" w:sz="8" w:color="auto"/>
            </w:tcBorders>
          </w:tcPr>
          <w:p>
            <w:pPr>
              <w:ind w:left="5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measured at fair value as of December 31, 2016 are classified below based on the fair value hierarchy described above: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1"/>
              </w:rPr>
              <w:t>Active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5"/>
              </w:rPr>
              <w:t>Observable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6"/>
              </w:rPr>
              <w:t>Unobservable</w:t>
            </w:r>
          </w:p>
        </w:tc>
        <w:tc>
          <w:tcPr>
            <w:tcW w:w="0" w:type="dxa"/>
            <w:vAlign w:val="bottom"/>
          </w:tcPr>
          <w:p>
            <w:pPr>
              <w:spacing w:after="0"/>
              <w:rPr>
                <w:sz w:val="1"/>
                <w:szCs w:val="1"/>
                <w:color w:val="auto"/>
              </w:rPr>
            </w:pPr>
          </w:p>
        </w:tc>
      </w:tr>
      <w:tr>
        <w:trPr>
          <w:trHeight w:val="109"/>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5"/>
              <w:spacing w:after="0" w:line="109" w:lineRule="exact"/>
              <w:rPr>
                <w:sz w:val="20"/>
                <w:szCs w:val="20"/>
                <w:color w:val="auto"/>
              </w:rPr>
            </w:pPr>
            <w:r>
              <w:rPr>
                <w:rFonts w:ascii="Times New Roman" w:cs="Times New Roman" w:eastAsia="Times New Roman" w:hAnsi="Times New Roman"/>
                <w:sz w:val="12"/>
                <w:szCs w:val="12"/>
                <w:b w:val="1"/>
                <w:bCs w:val="1"/>
                <w:color w:val="auto"/>
                <w:w w:val="96"/>
              </w:rPr>
              <w:t>Markets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ind w:right="53"/>
              <w:spacing w:after="0" w:line="109"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right="73"/>
              <w:spacing w:after="0" w:line="109"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0" w:type="dxa"/>
            <w:vAlign w:val="bottom"/>
          </w:tcPr>
          <w:p>
            <w:pPr>
              <w:spacing w:after="0"/>
              <w:rPr>
                <w:sz w:val="1"/>
                <w:szCs w:val="1"/>
                <w:color w:val="auto"/>
              </w:rPr>
            </w:pPr>
          </w:p>
        </w:tc>
      </w:tr>
      <w:tr>
        <w:trPr>
          <w:trHeight w:val="131"/>
        </w:trPr>
        <w:tc>
          <w:tcPr>
            <w:tcW w:w="5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68"/>
              <w:spacing w:after="0" w:line="131" w:lineRule="exact"/>
              <w:rPr>
                <w:sz w:val="20"/>
                <w:szCs w:val="20"/>
                <w:color w:val="auto"/>
              </w:rPr>
            </w:pPr>
            <w:r>
              <w:rPr>
                <w:rFonts w:ascii="Times New Roman" w:cs="Times New Roman" w:eastAsia="Times New Roman" w:hAnsi="Times New Roman"/>
                <w:sz w:val="12"/>
                <w:szCs w:val="12"/>
                <w:b w:val="1"/>
                <w:bCs w:val="1"/>
                <w:color w:val="auto"/>
              </w:rPr>
              <w:t>2016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2"/>
                <w:szCs w:val="12"/>
                <w:b w:val="1"/>
                <w:bCs w:val="1"/>
                <w:color w:val="auto"/>
                <w:w w:val="93"/>
              </w:rPr>
              <w:t>(Level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2"/>
                <w:szCs w:val="12"/>
                <w:b w:val="1"/>
                <w:bCs w:val="1"/>
                <w:color w:val="auto"/>
                <w:w w:val="97"/>
              </w:rPr>
              <w:t>(Level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2"/>
                <w:szCs w:val="12"/>
                <w:b w:val="1"/>
                <w:bCs w:val="1"/>
                <w:color w:val="auto"/>
                <w:w w:val="93"/>
              </w:rPr>
              <w:t>(Level 3)</w:t>
            </w:r>
          </w:p>
        </w:tc>
        <w:tc>
          <w:tcPr>
            <w:tcW w:w="0" w:type="dxa"/>
            <w:vAlign w:val="bottom"/>
          </w:tcPr>
          <w:p>
            <w:pPr>
              <w:spacing w:after="0"/>
              <w:rPr>
                <w:sz w:val="1"/>
                <w:szCs w:val="1"/>
                <w:color w:val="auto"/>
              </w:rPr>
            </w:pPr>
          </w:p>
        </w:tc>
      </w:tr>
      <w:tr>
        <w:trPr>
          <w:trHeight w:val="100"/>
        </w:trPr>
        <w:tc>
          <w:tcPr>
            <w:tcW w:w="5140" w:type="dxa"/>
            <w:vAlign w:val="bottom"/>
            <w:tcBorders>
              <w:top w:val="single" w:sz="8" w:color="auto"/>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Financial Assets</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Cash equivalents: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8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Money market funds</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52,069</w:t>
            </w:r>
          </w:p>
        </w:tc>
        <w:tc>
          <w:tcPr>
            <w:tcW w:w="2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52,069</w:t>
            </w:r>
          </w:p>
        </w:tc>
        <w:tc>
          <w:tcPr>
            <w:tcW w:w="2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6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5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Investments, available-for-sale: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8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U.S Treasury obligations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216,149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216,149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6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52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268,218</w:t>
            </w:r>
          </w:p>
        </w:tc>
        <w:tc>
          <w:tcPr>
            <w:tcW w:w="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268,218</w:t>
            </w:r>
          </w:p>
        </w:tc>
        <w:tc>
          <w:tcPr>
            <w:tcW w:w="2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4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780" w:type="dxa"/>
            <w:vAlign w:val="bottom"/>
            <w:tcBorders>
              <w:top w:val="single" w:sz="8" w:color="auto"/>
              <w:bottom w:val="single" w:sz="8" w:color="auto"/>
            </w:tcBorders>
          </w:tcPr>
          <w:p>
            <w:pPr>
              <w:ind w:left="6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40" w:firstLine="522"/>
        <w:spacing w:after="0" w:line="234" w:lineRule="auto"/>
        <w:rPr>
          <w:sz w:val="20"/>
          <w:szCs w:val="20"/>
          <w:color w:val="auto"/>
        </w:rPr>
      </w:pPr>
      <w:r>
        <w:rPr>
          <w:rFonts w:ascii="Times New Roman" w:cs="Times New Roman" w:eastAsia="Times New Roman" w:hAnsi="Times New Roman"/>
          <w:sz w:val="14"/>
          <w:szCs w:val="14"/>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Restricted Cash</w:t>
      </w:r>
    </w:p>
    <w:p>
      <w:pPr>
        <w:spacing w:after="0" w:line="156" w:lineRule="exact"/>
        <w:rPr>
          <w:sz w:val="20"/>
          <w:szCs w:val="20"/>
          <w:color w:val="auto"/>
        </w:rPr>
      </w:pPr>
    </w:p>
    <w:p>
      <w:pPr>
        <w:ind w:right="20" w:firstLine="522"/>
        <w:spacing w:after="0" w:line="219" w:lineRule="auto"/>
        <w:rPr>
          <w:sz w:val="20"/>
          <w:szCs w:val="20"/>
          <w:color w:val="auto"/>
        </w:rPr>
      </w:pPr>
      <w:r>
        <w:rPr>
          <w:rFonts w:ascii="Times New Roman" w:cs="Times New Roman" w:eastAsia="Times New Roman" w:hAnsi="Times New Roman"/>
          <w:sz w:val="14"/>
          <w:szCs w:val="14"/>
          <w:color w:val="auto"/>
        </w:rPr>
        <w:t>As of June 30, 2017 and December 31, 2016, $4.8 million and $1.3 million of restricted cash was included in long-term assets on the Company’s balance sheet, respectively. As of June 30, 2017, $1.3 million of the restricted cash is related to a security deposit for the lease agreement for the Company’s current corporate headquarters located at 38 Sidney Street in Cambridge, Massachusetts. On April 28, 2017, the Company entered into a lease agreement (the Lease Agreement) with UP 45/75 Sidney Street, LLC (Landlord) for approximately 99,833 rentable square feet of office and laboratory space located at 45 Sidney Street in Cambridge, Massachusetts which the Company gained control over on June 1, 2017. The initial term of the Lease Agreement will be for a 146 month period, which the Company currently anticipates will commence on October 1, 2017. The Lease Agreement requires the Company to maintain a security deposit with the Landlord in the amount of $3.5 million, which is included in restricted cash of June 30, 2017. The security deposit is subject to reduction by up to $1.0 million during the term of the Lease Agreement, subject to the satisfaction of specified terms and conditions.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Collaborations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Roche</w:t>
      </w:r>
    </w:p>
    <w:p>
      <w:pPr>
        <w:spacing w:after="0" w:line="156" w:lineRule="exact"/>
        <w:rPr>
          <w:sz w:val="20"/>
          <w:szCs w:val="20"/>
          <w:color w:val="auto"/>
        </w:rPr>
      </w:pPr>
    </w:p>
    <w:p>
      <w:pPr>
        <w:ind w:right="40" w:firstLine="522"/>
        <w:spacing w:after="0" w:line="225" w:lineRule="auto"/>
        <w:rPr>
          <w:sz w:val="20"/>
          <w:szCs w:val="20"/>
          <w:color w:val="auto"/>
        </w:rPr>
      </w:pPr>
      <w:r>
        <w:rPr>
          <w:rFonts w:ascii="Times New Roman" w:cs="Times New Roman" w:eastAsia="Times New Roman" w:hAnsi="Times New Roman"/>
          <w:sz w:val="14"/>
          <w:szCs w:val="14"/>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initiated activities for three of the collaboration programs in 2016, and the parties have agreed to work together to use the Company’s novel target discovery engine and proprietary compound library to select targets for up to two additional collaboration programs.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1040" cy="13970"/>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60" w:firstLine="522"/>
        <w:spacing w:after="0" w:line="222" w:lineRule="auto"/>
        <w:rPr>
          <w:sz w:val="20"/>
          <w:szCs w:val="20"/>
          <w:color w:val="auto"/>
        </w:rPr>
      </w:pPr>
      <w:r>
        <w:rPr>
          <w:rFonts w:ascii="Times New Roman" w:cs="Times New Roman" w:eastAsia="Times New Roman" w:hAnsi="Times New Roman"/>
          <w:sz w:val="14"/>
          <w:szCs w:val="14"/>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29" w:lineRule="exact"/>
        <w:rPr>
          <w:sz w:val="20"/>
          <w:szCs w:val="20"/>
          <w:color w:val="auto"/>
        </w:rPr>
      </w:pPr>
    </w:p>
    <w:p>
      <w:pPr>
        <w:ind w:right="40" w:firstLine="522"/>
        <w:spacing w:after="0" w:line="222" w:lineRule="auto"/>
        <w:rPr>
          <w:sz w:val="20"/>
          <w:szCs w:val="20"/>
          <w:color w:val="auto"/>
        </w:rPr>
      </w:pPr>
      <w:r>
        <w:rPr>
          <w:rFonts w:ascii="Times New Roman" w:cs="Times New Roman" w:eastAsia="Times New Roman" w:hAnsi="Times New Roman"/>
          <w:sz w:val="14"/>
          <w:szCs w:val="14"/>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29" w:lineRule="exact"/>
        <w:rPr>
          <w:sz w:val="20"/>
          <w:szCs w:val="20"/>
          <w:color w:val="auto"/>
        </w:rPr>
      </w:pPr>
    </w:p>
    <w:p>
      <w:pPr>
        <w:ind w:firstLine="522"/>
        <w:spacing w:after="0" w:line="217" w:lineRule="auto"/>
        <w:rPr>
          <w:sz w:val="20"/>
          <w:szCs w:val="20"/>
          <w:color w:val="auto"/>
        </w:rPr>
      </w:pPr>
      <w:r>
        <w:rPr>
          <w:rFonts w:ascii="Times New Roman" w:cs="Times New Roman" w:eastAsia="Times New Roman" w:hAnsi="Times New Roman"/>
          <w:sz w:val="14"/>
          <w:szCs w:val="14"/>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33" w:lineRule="exact"/>
        <w:rPr>
          <w:sz w:val="20"/>
          <w:szCs w:val="20"/>
          <w:color w:val="auto"/>
        </w:rPr>
      </w:pPr>
    </w:p>
    <w:p>
      <w:pPr>
        <w:ind w:firstLine="522"/>
        <w:spacing w:after="0" w:line="219" w:lineRule="auto"/>
        <w:rPr>
          <w:sz w:val="20"/>
          <w:szCs w:val="20"/>
          <w:color w:val="auto"/>
        </w:rPr>
      </w:pPr>
      <w:r>
        <w:rPr>
          <w:rFonts w:ascii="Times New Roman" w:cs="Times New Roman" w:eastAsia="Times New Roman" w:hAnsi="Times New Roman"/>
          <w:sz w:val="14"/>
          <w:szCs w:val="14"/>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30" w:lineRule="exact"/>
        <w:rPr>
          <w:sz w:val="20"/>
          <w:szCs w:val="20"/>
          <w:color w:val="auto"/>
        </w:rPr>
      </w:pPr>
    </w:p>
    <w:p>
      <w:pPr>
        <w:ind w:right="120" w:firstLine="522"/>
        <w:spacing w:after="0" w:line="228" w:lineRule="auto"/>
        <w:rPr>
          <w:sz w:val="20"/>
          <w:szCs w:val="20"/>
          <w:color w:val="auto"/>
        </w:rPr>
      </w:pPr>
      <w:r>
        <w:rPr>
          <w:rFonts w:ascii="Times New Roman" w:cs="Times New Roman" w:eastAsia="Times New Roman" w:hAnsi="Times New Roman"/>
          <w:sz w:val="14"/>
          <w:szCs w:val="14"/>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 (iii) providing pre-clinical and clinical supply of collaboration compounds; (iv) participation on a joint research committee (JRC) and joint development committee (JDC); and (v) regulatory responsibilities under Phase 1 clinical trials.</w:t>
      </w:r>
    </w:p>
    <w:p>
      <w:pPr>
        <w:spacing w:after="0" w:line="128" w:lineRule="exact"/>
        <w:rPr>
          <w:sz w:val="20"/>
          <w:szCs w:val="20"/>
          <w:color w:val="auto"/>
        </w:rPr>
      </w:pPr>
    </w:p>
    <w:p>
      <w:pPr>
        <w:ind w:right="20" w:firstLine="522"/>
        <w:spacing w:after="0" w:line="228" w:lineRule="auto"/>
        <w:rPr>
          <w:sz w:val="20"/>
          <w:szCs w:val="20"/>
          <w:color w:val="auto"/>
        </w:rPr>
      </w:pPr>
      <w:r>
        <w:rPr>
          <w:rFonts w:ascii="Times New Roman" w:cs="Times New Roman" w:eastAsia="Times New Roman" w:hAnsi="Times New Roman"/>
          <w:sz w:val="14"/>
          <w:szCs w:val="14"/>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4"/>
          <w:szCs w:val="14"/>
          <w:color w:val="auto"/>
        </w:rPr>
        <w:t>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29" w:lineRule="exact"/>
        <w:rPr>
          <w:sz w:val="20"/>
          <w:szCs w:val="20"/>
          <w:color w:val="auto"/>
        </w:rPr>
      </w:pPr>
    </w:p>
    <w:p>
      <w:pPr>
        <w:ind w:right="160" w:firstLine="522"/>
        <w:spacing w:after="0" w:line="228" w:lineRule="auto"/>
        <w:rPr>
          <w:sz w:val="20"/>
          <w:szCs w:val="20"/>
          <w:color w:val="auto"/>
        </w:rPr>
      </w:pPr>
      <w:r>
        <w:rPr>
          <w:rFonts w:ascii="Times New Roman" w:cs="Times New Roman" w:eastAsia="Times New Roman" w:hAnsi="Times New Roman"/>
          <w:sz w:val="14"/>
          <w:szCs w:val="14"/>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28" w:lineRule="exact"/>
        <w:rPr>
          <w:sz w:val="20"/>
          <w:szCs w:val="20"/>
          <w:color w:val="auto"/>
        </w:rPr>
      </w:pPr>
    </w:p>
    <w:p>
      <w:pPr>
        <w:ind w:right="100" w:firstLine="522"/>
        <w:spacing w:after="0" w:line="218" w:lineRule="auto"/>
        <w:rPr>
          <w:sz w:val="20"/>
          <w:szCs w:val="20"/>
          <w:color w:val="auto"/>
        </w:rPr>
      </w:pPr>
      <w:r>
        <w:rPr>
          <w:rFonts w:ascii="Times New Roman" w:cs="Times New Roman" w:eastAsia="Times New Roman" w:hAnsi="Times New Roman"/>
          <w:sz w:val="14"/>
          <w:szCs w:val="14"/>
          <w:color w:val="auto"/>
        </w:rPr>
        <w:t>The Company evaluated whether the milestones that may be received in connection with the Roche agreement are substantive milestones. Pre-option exercise milestones, of up to $215.0 million,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31" w:lineRule="exact"/>
        <w:rPr>
          <w:sz w:val="20"/>
          <w:szCs w:val="20"/>
          <w:color w:val="auto"/>
        </w:rPr>
      </w:pPr>
    </w:p>
    <w:p>
      <w:pPr>
        <w:ind w:firstLine="522"/>
        <w:spacing w:after="0" w:line="234" w:lineRule="auto"/>
        <w:rPr>
          <w:sz w:val="20"/>
          <w:szCs w:val="20"/>
          <w:color w:val="auto"/>
        </w:rPr>
      </w:pPr>
      <w:r>
        <w:rPr>
          <w:rFonts w:ascii="Times New Roman" w:cs="Times New Roman" w:eastAsia="Times New Roman" w:hAnsi="Times New Roman"/>
          <w:sz w:val="14"/>
          <w:szCs w:val="14"/>
          <w:color w:val="auto"/>
        </w:rPr>
        <w:t>During both the three months ended June 30, 2017 and 2016, the Company recognized revenue under the Roche agreement of $1.4 million, which represents a portion of the $45.0 million upfront payment. During the six months ended June 30, 2017 and 2016, the Company recognized revenue under the Roche agreement of $2.8 million and $1.6 million, respectively, which represents a portion of the $45.0 million upfront payment.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Alexion</w:t>
      </w:r>
    </w:p>
    <w:p>
      <w:pPr>
        <w:spacing w:after="0" w:line="156"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On July 26, 2017, the Company received written notice from Alexion of its election to terminate for convenience the Alexion agreement. In accordance with the Alexion agreement, the termination will become effective on October 24, 2017, which is 90 days following the date of receipt of the notice by the Company. See Note 11 “Subsequent Event.”</w:t>
      </w:r>
    </w:p>
    <w:p>
      <w:pPr>
        <w:spacing w:after="0" w:line="103" w:lineRule="exact"/>
        <w:rPr>
          <w:sz w:val="20"/>
          <w:szCs w:val="20"/>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Under the terms of the Alexion agreement, the Company was responsible for research and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clinical development activities related to any drug</w:t>
      </w:r>
    </w:p>
    <w:p>
      <w:pPr>
        <w:spacing w:after="0"/>
        <w:rPr>
          <w:sz w:val="20"/>
          <w:szCs w:val="20"/>
          <w:color w:val="auto"/>
        </w:rPr>
      </w:pPr>
      <w:r>
        <w:rPr>
          <w:rFonts w:ascii="Times New Roman" w:cs="Times New Roman" w:eastAsia="Times New Roman" w:hAnsi="Times New Roman"/>
          <w:sz w:val="14"/>
          <w:szCs w:val="14"/>
          <w:color w:val="auto"/>
        </w:rPr>
        <w:t>candidates, and Alexion was responsible for all clinical development, manufacturing and commercialization activities related to any drug candidates. In</w:t>
      </w:r>
    </w:p>
    <w:p>
      <w:pPr>
        <w:spacing w:after="0" w:line="210" w:lineRule="auto"/>
        <w:rPr>
          <w:sz w:val="20"/>
          <w:szCs w:val="20"/>
          <w:color w:val="auto"/>
        </w:rPr>
      </w:pPr>
      <w:r>
        <w:rPr>
          <w:rFonts w:ascii="Times New Roman" w:cs="Times New Roman" w:eastAsia="Times New Roman" w:hAnsi="Times New Roman"/>
          <w:sz w:val="14"/>
          <w:szCs w:val="14"/>
          <w:color w:val="auto"/>
        </w:rPr>
        <w:t>addition, Alexion was responsible for funding 100% of the Company’s research and development costs incurred under the research plan, including</w:t>
      </w:r>
    </w:p>
    <w:p>
      <w:pPr>
        <w:spacing w:after="0" w:line="142" w:lineRule="exact"/>
        <w:rPr>
          <w:sz w:val="20"/>
          <w:szCs w:val="20"/>
          <w:color w:val="auto"/>
        </w:rPr>
      </w:pPr>
      <w:r>
        <w:rPr>
          <w:rFonts w:ascii="Times New Roman" w:cs="Times New Roman" w:eastAsia="Times New Roman" w:hAnsi="Times New Roman"/>
          <w:sz w:val="14"/>
          <w:szCs w:val="14"/>
          <w:color w:val="auto"/>
        </w:rPr>
        <w:t>pass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through costs and a negotiated yearly rate per full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equivalent for its employees’ time and their associated overhead expenses. The Company</w:t>
      </w:r>
    </w:p>
    <w:p>
      <w:pPr>
        <w:spacing w:after="0" w:line="142" w:lineRule="exact"/>
        <w:rPr>
          <w:sz w:val="20"/>
          <w:szCs w:val="20"/>
          <w:color w:val="auto"/>
        </w:rPr>
      </w:pPr>
      <w:r>
        <w:rPr>
          <w:rFonts w:ascii="Times New Roman" w:cs="Times New Roman" w:eastAsia="Times New Roman" w:hAnsi="Times New Roman"/>
          <w:sz w:val="14"/>
          <w:szCs w:val="14"/>
          <w:color w:val="auto"/>
        </w:rPr>
        <w:t>received a $15.0 million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refundable upfront payment in March 2015 upon execution of the Alexion agreement and was eligible to receive over</w:t>
      </w:r>
    </w:p>
    <w:p>
      <w:pPr>
        <w:spacing w:after="0" w:line="142" w:lineRule="exact"/>
        <w:rPr>
          <w:sz w:val="20"/>
          <w:szCs w:val="20"/>
          <w:color w:val="auto"/>
        </w:rPr>
      </w:pPr>
      <w:r>
        <w:rPr>
          <w:rFonts w:ascii="Times New Roman" w:cs="Times New Roman" w:eastAsia="Times New Roman" w:hAnsi="Times New Roman"/>
          <w:sz w:val="14"/>
          <w:szCs w:val="14"/>
          <w:color w:val="auto"/>
        </w:rPr>
        <w:t>$250.0 million in payments upon the successful achievement of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specified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clinical, clinical, regulatory and commercial milestones as follows: (i) up</w:t>
      </w:r>
    </w:p>
    <w:p>
      <w:pPr>
        <w:spacing w:after="0" w:line="142" w:lineRule="exact"/>
        <w:rPr>
          <w:sz w:val="20"/>
          <w:szCs w:val="20"/>
          <w:color w:val="auto"/>
        </w:rPr>
      </w:pPr>
      <w:r>
        <w:rPr>
          <w:rFonts w:ascii="Times New Roman" w:cs="Times New Roman" w:eastAsia="Times New Roman" w:hAnsi="Times New Roman"/>
          <w:sz w:val="14"/>
          <w:szCs w:val="14"/>
          <w:color w:val="auto"/>
        </w:rPr>
        <w:t>to $6.0 million in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clinical milestone payments for the first licensed product, (ii) up to $83.0 million and $61.5 million in development milestone</w:t>
      </w:r>
    </w:p>
    <w:p>
      <w:pPr>
        <w:spacing w:after="0" w:line="210" w:lineRule="auto"/>
        <w:rPr>
          <w:sz w:val="20"/>
          <w:szCs w:val="20"/>
          <w:color w:val="auto"/>
        </w:rPr>
      </w:pPr>
      <w:r>
        <w:rPr>
          <w:rFonts w:ascii="Times New Roman" w:cs="Times New Roman" w:eastAsia="Times New Roman" w:hAnsi="Times New Roman"/>
          <w:sz w:val="14"/>
          <w:szCs w:val="14"/>
          <w:color w:val="auto"/>
        </w:rPr>
        <w:t>payments for the first and second licensed products, respectively, and (iii) up to $51.0 million in commercial milestone payments for each of the first and</w:t>
      </w:r>
    </w:p>
    <w:p>
      <w:pPr>
        <w:spacing w:after="0" w:line="211" w:lineRule="auto"/>
        <w:rPr>
          <w:sz w:val="20"/>
          <w:szCs w:val="20"/>
          <w:color w:val="auto"/>
        </w:rPr>
      </w:pPr>
      <w:r>
        <w:rPr>
          <w:rFonts w:ascii="Times New Roman" w:cs="Times New Roman" w:eastAsia="Times New Roman" w:hAnsi="Times New Roman"/>
          <w:sz w:val="14"/>
          <w:szCs w:val="14"/>
          <w:color w:val="auto"/>
        </w:rPr>
        <w:t>second licensed products. Prior to receipt by the Company of the notice of termination, the Company had received an aggregate amount of $3.8 million in</w:t>
      </w:r>
    </w:p>
    <w:p>
      <w:pPr>
        <w:spacing w:after="0" w:line="211" w:lineRule="auto"/>
        <w:rPr>
          <w:sz w:val="20"/>
          <w:szCs w:val="20"/>
          <w:color w:val="auto"/>
        </w:rPr>
      </w:pPr>
      <w:r>
        <w:rPr>
          <w:rFonts w:ascii="Times New Roman" w:cs="Times New Roman" w:eastAsia="Times New Roman" w:hAnsi="Times New Roman"/>
          <w:sz w:val="14"/>
          <w:szCs w:val="14"/>
          <w:color w:val="auto"/>
        </w:rPr>
        <w:t>pre-clinical milestone payments. The Company will not be entitled to receive payment for additional milestones, if any, achieved after the receipt of the</w:t>
      </w:r>
    </w:p>
    <w:p>
      <w:pPr>
        <w:spacing w:after="0"/>
        <w:rPr>
          <w:sz w:val="20"/>
          <w:szCs w:val="20"/>
          <w:color w:val="auto"/>
        </w:rPr>
      </w:pPr>
      <w:r>
        <w:rPr>
          <w:rFonts w:ascii="Times New Roman" w:cs="Times New Roman" w:eastAsia="Times New Roman" w:hAnsi="Times New Roman"/>
          <w:sz w:val="14"/>
          <w:szCs w:val="14"/>
          <w:color w:val="auto"/>
        </w:rPr>
        <w:t>notice of termination of the collaboration. Prior to termination, Alexion was required to pay the Company</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right="20"/>
        <w:spacing w:after="0" w:line="156" w:lineRule="exact"/>
        <w:rPr>
          <w:sz w:val="20"/>
          <w:szCs w:val="20"/>
          <w:color w:val="auto"/>
        </w:rPr>
      </w:pPr>
      <w:r>
        <w:rPr>
          <w:rFonts w:ascii="Times New Roman" w:cs="Times New Roman" w:eastAsia="Times New Roman" w:hAnsi="Times New Roman"/>
          <w:sz w:val="14"/>
          <w:szCs w:val="14"/>
          <w:color w:val="auto"/>
        </w:rPr>
        <w:t>tiered royalties, ranging from mid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single to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double digit percentages, on a country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country and licensed-product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licensed product basis, on worldwide net product sales of licensed products. Prior to termination, the royalty term for each licensed product in each country was the period commencing with first commercial sale of such licensed product in such country and ending on the later of (i) the expiration of the last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26" w:lineRule="exact"/>
        <w:rPr>
          <w:sz w:val="20"/>
          <w:szCs w:val="20"/>
          <w:color w:val="auto"/>
        </w:rPr>
      </w:pPr>
    </w:p>
    <w:p>
      <w:pPr>
        <w:ind w:right="240" w:firstLine="522"/>
        <w:spacing w:after="0" w:line="234" w:lineRule="auto"/>
        <w:rPr>
          <w:sz w:val="20"/>
          <w:szCs w:val="20"/>
          <w:color w:val="auto"/>
        </w:rPr>
      </w:pPr>
      <w:r>
        <w:rPr>
          <w:rFonts w:ascii="Times New Roman" w:cs="Times New Roman" w:eastAsia="Times New Roman" w:hAnsi="Times New Roman"/>
          <w:sz w:val="14"/>
          <w:szCs w:val="14"/>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27" w:lineRule="exact"/>
        <w:rPr>
          <w:sz w:val="20"/>
          <w:szCs w:val="20"/>
          <w:color w:val="auto"/>
        </w:rPr>
      </w:pPr>
    </w:p>
    <w:p>
      <w:pPr>
        <w:ind w:firstLine="522"/>
        <w:spacing w:after="0" w:line="219" w:lineRule="auto"/>
        <w:rPr>
          <w:sz w:val="20"/>
          <w:szCs w:val="20"/>
          <w:color w:val="auto"/>
        </w:rPr>
      </w:pPr>
      <w:r>
        <w:rPr>
          <w:rFonts w:ascii="Times New Roman" w:cs="Times New Roman" w:eastAsia="Times New Roman" w:hAnsi="Times New Roman"/>
          <w:sz w:val="14"/>
          <w:szCs w:val="14"/>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that was anticipated to be completed was the Company’s research and development activities and participation on the JSC and JPT, which were expected to be delivered over the same performance period. The Company was utilizing a proportional performance model to recognize revenue under the Alexion agreement. As a result of the termination of the Alexion agreement, the Company anticipates recognizing the remaining deferred revenue balance related to the revenue recognized under the collaboration utilizing the proportional performance model over the remaining period of involvement.</w:t>
      </w:r>
    </w:p>
    <w:p>
      <w:pPr>
        <w:spacing w:after="0" w:line="130" w:lineRule="exact"/>
        <w:rPr>
          <w:sz w:val="20"/>
          <w:szCs w:val="20"/>
          <w:color w:val="auto"/>
        </w:rPr>
      </w:pPr>
    </w:p>
    <w:p>
      <w:pPr>
        <w:ind w:right="140" w:firstLine="522"/>
        <w:spacing w:after="0" w:line="220" w:lineRule="auto"/>
        <w:rPr>
          <w:sz w:val="20"/>
          <w:szCs w:val="20"/>
          <w:color w:val="auto"/>
        </w:rPr>
      </w:pPr>
      <w:r>
        <w:rPr>
          <w:rFonts w:ascii="Times New Roman" w:cs="Times New Roman" w:eastAsia="Times New Roman" w:hAnsi="Times New Roman"/>
          <w:sz w:val="14"/>
          <w:szCs w:val="14"/>
          <w:color w:val="auto"/>
        </w:rPr>
        <w:t>The Company evaluated whether the milestones that it was eligible to receive in connection with the Alexion agreement were substantive or non-substantive milestones. The Company concluded that the first pre-clinical milestone payment received from Alexion was non-substantive due to the certainty at the date the Alexion agreement was entered into that the milestone event would be achieved. In the second quarter of 2015, the Company achieved the first pre-clinical milestone under the Alexion agreement and received a $1.8 million payment from Alexion. The Company is recognizing revenues from the related milestone payment over the period of performance. As a result of the termination of the Alexion agreement, the Company anticipates recognizing the remaining deferred revenue balance related to the revenue recognized under the collaboration utilizing the proportional performance model over the remaining period of involvement.</w:t>
      </w:r>
    </w:p>
    <w:p>
      <w:pPr>
        <w:spacing w:after="0" w:line="131" w:lineRule="exact"/>
        <w:rPr>
          <w:sz w:val="20"/>
          <w:szCs w:val="20"/>
          <w:color w:val="auto"/>
        </w:rPr>
      </w:pPr>
    </w:p>
    <w:p>
      <w:pPr>
        <w:ind w:right="20" w:firstLine="522"/>
        <w:spacing w:after="0"/>
        <w:rPr>
          <w:sz w:val="20"/>
          <w:szCs w:val="20"/>
          <w:color w:val="auto"/>
        </w:rPr>
      </w:pPr>
      <w:r>
        <w:rPr>
          <w:rFonts w:ascii="Times New Roman" w:cs="Times New Roman" w:eastAsia="Times New Roman" w:hAnsi="Times New Roman"/>
          <w:sz w:val="14"/>
          <w:szCs w:val="14"/>
          <w:color w:val="auto"/>
        </w:rPr>
        <w:t>The remaining non-refundable pre-clinical milestones that the Company was eligible to achieve as a result of the Company’s efforts prior to the notice of termination by Alexion were considered substantive and would have been recognized as revenue upon the achievement of the milestone, assuming all other revenue recognition criteria were met. The Company has recognized and received an aggregate of $2.0 million in substantive milestones through June 30, 2017. Milestones that were expected to be achieved after the period of substantial involvement were not considered substantive because the Company would not contribute effort to the achievement of such milestones. These milestones would have been recognized as revenue upon achievement of the milestone, assuming all other revenue recognition criteria were met, as there would have been no undelivered elements remaining and no continuing performance obligations.</w:t>
      </w:r>
    </w:p>
    <w:p>
      <w:pPr>
        <w:spacing w:after="0" w:line="198" w:lineRule="exact"/>
        <w:rPr>
          <w:sz w:val="20"/>
          <w:szCs w:val="20"/>
          <w:color w:val="auto"/>
        </w:rPr>
      </w:pPr>
    </w:p>
    <w:p>
      <w:pPr>
        <w:ind w:right="20" w:firstLine="522"/>
        <w:spacing w:after="0" w:line="218" w:lineRule="auto"/>
        <w:rPr>
          <w:sz w:val="20"/>
          <w:szCs w:val="20"/>
          <w:color w:val="auto"/>
        </w:rPr>
      </w:pPr>
      <w:r>
        <w:rPr>
          <w:rFonts w:ascii="Times New Roman" w:cs="Times New Roman" w:eastAsia="Times New Roman" w:hAnsi="Times New Roman"/>
          <w:sz w:val="14"/>
          <w:szCs w:val="14"/>
          <w:color w:val="auto"/>
        </w:rPr>
        <w:t>During the three and six months ended June 30, 2017, the Company recognized revenue under the Alexion agreement of $4.5 million and $8.9 million, respectively, which represents $3.1 million and $5.9 million, respectively, of reimbursable research and development costs, as well as a portion of the $15.0 million upfront payment and the $1.75 million non-substantive milestone payment previously received. During the three and six months ended June 30, 2016, the Company recognized revenue under the Alexion agreement of $5.7 million and $12.3 million, respectively, which represents $3.4 million and $7.6 million, respectively, of reimbursable research and development costs, the $0.75 million milestone payment recognized in the six months ended June 30, 2016, which was recognized upon achievement, as well as the net portion of the $15.0 million upfront payment and the $1.75 million non-substantive milestone payment previously received. During the six months ended June 30, 2017, the Company received $6.4 million related to reimbursable research and development costs under the Alexion agreement. As of June 30, 2017, the Company has recorded unbilled accounts receivable of $3.1 million related to reimbursable research and development costs under the Alexion agreement for activities performed during the second quarter of 2017.</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Term Loan</w:t>
      </w:r>
    </w:p>
    <w:p>
      <w:pPr>
        <w:spacing w:after="0" w:line="156" w:lineRule="exact"/>
        <w:rPr>
          <w:sz w:val="20"/>
          <w:szCs w:val="20"/>
          <w:color w:val="auto"/>
        </w:rPr>
      </w:pPr>
    </w:p>
    <w:p>
      <w:pPr>
        <w:ind w:right="60" w:firstLine="522"/>
        <w:spacing w:after="0" w:line="143" w:lineRule="exact"/>
        <w:rPr>
          <w:sz w:val="20"/>
          <w:szCs w:val="20"/>
          <w:color w:val="auto"/>
        </w:rPr>
      </w:pPr>
      <w:r>
        <w:rPr>
          <w:rFonts w:ascii="Times New Roman" w:cs="Times New Roman" w:eastAsia="Times New Roman" w:hAnsi="Times New Roman"/>
          <w:sz w:val="14"/>
          <w:szCs w:val="14"/>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only payments until April 1, 2014, and consecutive monthly payments of principal, plus accrued interest, over the remaining term through March 2017. In June 2014, the Company drew the remaining</w:t>
      </w:r>
    </w:p>
    <w:p>
      <w:pPr>
        <w:spacing w:after="0" w:line="2" w:lineRule="exact"/>
        <w:rPr>
          <w:sz w:val="20"/>
          <w:szCs w:val="20"/>
          <w:color w:val="auto"/>
        </w:rPr>
      </w:pPr>
    </w:p>
    <w:p>
      <w:pPr>
        <w:ind w:right="20"/>
        <w:spacing w:after="0" w:line="146" w:lineRule="exact"/>
        <w:rPr>
          <w:sz w:val="20"/>
          <w:szCs w:val="20"/>
          <w:color w:val="auto"/>
        </w:rPr>
      </w:pPr>
      <w:r>
        <w:rPr>
          <w:rFonts w:ascii="Times New Roman" w:cs="Times New Roman" w:eastAsia="Times New Roman" w:hAnsi="Times New Roman"/>
          <w:sz w:val="14"/>
          <w:szCs w:val="14"/>
          <w:color w:val="auto"/>
        </w:rPr>
        <w:t>$2.0 million advance under the 2013 Term Loan and was required to make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98" w:lineRule="exact"/>
        <w:rPr>
          <w:sz w:val="20"/>
          <w:szCs w:val="20"/>
          <w:color w:val="auto"/>
        </w:rPr>
      </w:pPr>
    </w:p>
    <w:p>
      <w:pPr>
        <w:ind w:right="60" w:firstLine="522"/>
        <w:spacing w:after="0" w:line="157" w:lineRule="exact"/>
        <w:rPr>
          <w:sz w:val="20"/>
          <w:szCs w:val="20"/>
          <w:color w:val="auto"/>
        </w:rPr>
      </w:pPr>
      <w:r>
        <w:rPr>
          <w:rFonts w:ascii="Times New Roman" w:cs="Times New Roman" w:eastAsia="Times New Roman" w:hAnsi="Times New Roman"/>
          <w:sz w:val="14"/>
          <w:szCs w:val="14"/>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 based on scheduled principal payments.</w:t>
      </w:r>
    </w:p>
    <w:p>
      <w:pPr>
        <w:spacing w:after="0" w:line="90"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26" w:lineRule="exact"/>
        <w:rPr>
          <w:sz w:val="20"/>
          <w:szCs w:val="20"/>
          <w:color w:val="auto"/>
        </w:rPr>
      </w:pPr>
    </w:p>
    <w:p>
      <w:pPr>
        <w:ind w:right="80" w:firstLine="522"/>
        <w:spacing w:after="0" w:line="252" w:lineRule="auto"/>
        <w:rPr>
          <w:sz w:val="20"/>
          <w:szCs w:val="20"/>
          <w:color w:val="auto"/>
        </w:rPr>
      </w:pPr>
      <w:r>
        <w:rPr>
          <w:rFonts w:ascii="Times New Roman" w:cs="Times New Roman" w:eastAsia="Times New Roman" w:hAnsi="Times New Roman"/>
          <w:sz w:val="14"/>
          <w:szCs w:val="14"/>
          <w:color w:val="auto"/>
        </w:rPr>
        <w:t>Future minimum payments, which include principal and interest due under each of the 2013 Term Loan and the 2014 Term Loan, are $1.2 million, in the aggregate, for the remainder of 2017 and $1.6 million, in the aggregate, in 2018.</w:t>
      </w:r>
    </w:p>
    <w:p>
      <w:pPr>
        <w:spacing w:after="0" w:line="119" w:lineRule="exact"/>
        <w:rPr>
          <w:sz w:val="20"/>
          <w:szCs w:val="20"/>
          <w:color w:val="auto"/>
        </w:rPr>
      </w:pPr>
    </w:p>
    <w:p>
      <w:pPr>
        <w:ind w:right="120" w:firstLine="522"/>
        <w:spacing w:after="0"/>
        <w:rPr>
          <w:sz w:val="20"/>
          <w:szCs w:val="20"/>
          <w:color w:val="auto"/>
        </w:rPr>
      </w:pPr>
      <w:r>
        <w:rPr>
          <w:rFonts w:ascii="Times New Roman" w:cs="Times New Roman" w:eastAsia="Times New Roman" w:hAnsi="Times New Roman"/>
          <w:sz w:val="14"/>
          <w:szCs w:val="14"/>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w:t>
      </w:r>
    </w:p>
    <w:p>
      <w:pPr>
        <w:spacing w:after="0" w:line="257"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Company recorded a debt discount upon issuance of the warrants, which is being accreted as interest expense over the remaining term of the</w:t>
      </w:r>
    </w:p>
    <w:p>
      <w:pPr>
        <w:spacing w:after="0" w:line="2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4"/>
          <w:szCs w:val="14"/>
          <w:color w:val="auto"/>
        </w:rPr>
        <w:t>loan. The Company recorded interest expense related to the Series A Warrant and the Series B Warrant of less than $0.1 million in the three and six months ended June 30, 2017 and 2016, respectively.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1040" cy="13970"/>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Stock Awards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2015 Stock Option and Incentive Plan</w:t>
      </w:r>
    </w:p>
    <w:p>
      <w:pPr>
        <w:spacing w:after="0" w:line="122" w:lineRule="exact"/>
        <w:rPr>
          <w:sz w:val="20"/>
          <w:szCs w:val="20"/>
          <w:color w:val="auto"/>
        </w:rPr>
      </w:pPr>
    </w:p>
    <w:p>
      <w:pPr>
        <w:ind w:right="20" w:firstLine="522"/>
        <w:spacing w:after="0" w:line="158" w:lineRule="exact"/>
        <w:rPr>
          <w:sz w:val="20"/>
          <w:szCs w:val="20"/>
          <w:color w:val="auto"/>
        </w:rPr>
      </w:pPr>
      <w:r>
        <w:rPr>
          <w:rFonts w:ascii="Times New Roman" w:cs="Times New Roman" w:eastAsia="Times New Roman" w:hAnsi="Times New Roman"/>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Plan was increased by 1,325,019 shares. In addition, the total number of shares reserved for issuance is subject to adjustment in the event of a stock split, stock dividend or other change in our capitalization. At June 30, 2017, there were 1,905,829 shares available for future grant under the 2015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Awards</w:t>
      </w:r>
    </w:p>
    <w:p>
      <w:pPr>
        <w:spacing w:after="0" w:line="135" w:lineRule="exact"/>
        <w:rPr>
          <w:sz w:val="20"/>
          <w:szCs w:val="20"/>
          <w:color w:val="auto"/>
        </w:rPr>
      </w:pPr>
    </w:p>
    <w:p>
      <w:pPr>
        <w:ind w:right="20" w:firstLine="522"/>
        <w:spacing w:after="0" w:line="177" w:lineRule="exact"/>
        <w:rPr>
          <w:sz w:val="20"/>
          <w:szCs w:val="20"/>
          <w:color w:val="auto"/>
        </w:rPr>
      </w:pPr>
      <w:r>
        <w:rPr>
          <w:rFonts w:ascii="Times New Roman" w:cs="Times New Roman" w:eastAsia="Times New Roman" w:hAnsi="Times New Roman"/>
          <w:sz w:val="14"/>
          <w:szCs w:val="14"/>
          <w:color w:val="auto"/>
        </w:rPr>
        <w:t>Options and restricted stock awards granted by the Company generally vest ratably over four years, with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cliff for new employee awards, and are exercisable from the date of grant for a period of ten years.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Company’s unvested restricted stock and related information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5"/>
              </w:rPr>
              <w:t>Weighted-Average</w:t>
            </w:r>
          </w:p>
        </w:tc>
        <w:tc>
          <w:tcPr>
            <w:tcW w:w="0" w:type="dxa"/>
            <w:vAlign w:val="bottom"/>
          </w:tcPr>
          <w:p>
            <w:pPr>
              <w:spacing w:after="0"/>
              <w:rPr>
                <w:sz w:val="1"/>
                <w:szCs w:val="1"/>
                <w:color w:val="auto"/>
              </w:rPr>
            </w:pPr>
          </w:p>
        </w:tc>
      </w:tr>
      <w:tr>
        <w:trPr>
          <w:trHeight w:val="109"/>
        </w:trPr>
        <w:tc>
          <w:tcPr>
            <w:tcW w:w="5280" w:type="dxa"/>
            <w:vAlign w:val="bottom"/>
          </w:tcPr>
          <w:p>
            <w:pPr>
              <w:spacing w:after="0"/>
              <w:rPr>
                <w:sz w:val="9"/>
                <w:szCs w:val="9"/>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jc w:val="center"/>
              <w:ind w:right="55"/>
              <w:spacing w:after="0" w:line="109" w:lineRule="exact"/>
              <w:rPr>
                <w:sz w:val="20"/>
                <w:szCs w:val="20"/>
                <w:color w:val="auto"/>
              </w:rPr>
            </w:pPr>
            <w:r>
              <w:rPr>
                <w:rFonts w:ascii="Times New Roman" w:cs="Times New Roman" w:eastAsia="Times New Roman" w:hAnsi="Times New Roman"/>
                <w:sz w:val="12"/>
                <w:szCs w:val="12"/>
                <w:b w:val="1"/>
                <w:bCs w:val="1"/>
                <w:color w:val="auto"/>
                <w:w w:val="95"/>
              </w:rPr>
              <w:t>Grant Date</w:t>
            </w: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32"/>
        </w:trPr>
        <w:tc>
          <w:tcPr>
            <w:tcW w:w="5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Unvested at December 31, 2016</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2,125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1"/>
        </w:trPr>
        <w:tc>
          <w:tcPr>
            <w:tcW w:w="528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Vested</w:t>
            </w: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(2,125)</w:t>
            </w:r>
          </w:p>
        </w:tc>
        <w:tc>
          <w:tcPr>
            <w:tcW w:w="100" w:type="dxa"/>
            <w:vAlign w:val="bottom"/>
          </w:tcPr>
          <w:p>
            <w:pPr>
              <w:spacing w:after="0"/>
              <w:rPr>
                <w:sz w:val="12"/>
                <w:szCs w:val="12"/>
                <w:color w:val="auto"/>
              </w:rPr>
            </w:pPr>
          </w:p>
        </w:tc>
        <w:tc>
          <w:tcPr>
            <w:tcW w:w="10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1"/>
        </w:trPr>
        <w:tc>
          <w:tcPr>
            <w:tcW w:w="528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Repurchased</w:t>
            </w:r>
          </w:p>
        </w:tc>
        <w:tc>
          <w:tcPr>
            <w:tcW w:w="800" w:type="dxa"/>
            <w:vAlign w:val="bottom"/>
            <w:gridSpan w:val="2"/>
            <w:shd w:val="clear" w:color="auto" w:fill="CCEEFF"/>
          </w:tcPr>
          <w:p>
            <w:pPr>
              <w:jc w:val="right"/>
              <w:ind w:right="1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52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Unvested at June 30, 2017</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right="360" w:firstLine="522"/>
        <w:spacing w:after="0" w:line="234" w:lineRule="auto"/>
        <w:rPr>
          <w:sz w:val="20"/>
          <w:szCs w:val="20"/>
          <w:color w:val="auto"/>
        </w:rPr>
      </w:pPr>
      <w:r>
        <w:rPr>
          <w:rFonts w:ascii="Times New Roman" w:cs="Times New Roman" w:eastAsia="Times New Roman" w:hAnsi="Times New Roman"/>
          <w:sz w:val="14"/>
          <w:szCs w:val="14"/>
          <w:color w:val="auto"/>
        </w:rPr>
        <w:t>The total fair value of restricted stock that vested during the three months ended June 30, 2017 and 2016 was less than $0.1 million and $0.7 million, respectively. The total fair value of restricted stock that vested during the six months ended June 30, 2017 and 2016 was $0.1 million and $1.4 million, respectively.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Company’s stock option activity and related information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Remaining</w:t>
            </w:r>
          </w:p>
        </w:tc>
        <w:tc>
          <w:tcPr>
            <w:tcW w:w="100" w:type="dxa"/>
            <w:vAlign w:val="bottom"/>
          </w:tcPr>
          <w:p>
            <w:pPr>
              <w:spacing w:after="0"/>
              <w:rPr>
                <w:sz w:val="12"/>
                <w:szCs w:val="12"/>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0" w:type="dxa"/>
            <w:vAlign w:val="bottom"/>
          </w:tcPr>
          <w:p>
            <w:pPr>
              <w:spacing w:after="0"/>
              <w:rPr>
                <w:sz w:val="1"/>
                <w:szCs w:val="1"/>
                <w:color w:val="auto"/>
              </w:rPr>
            </w:pPr>
          </w:p>
        </w:tc>
      </w:tr>
      <w:tr>
        <w:trPr>
          <w:trHeight w:val="109"/>
        </w:trPr>
        <w:tc>
          <w:tcPr>
            <w:tcW w:w="2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w w:val="96"/>
              </w:rPr>
              <w:t>Contractual</w:t>
            </w:r>
          </w:p>
        </w:tc>
        <w:tc>
          <w:tcPr>
            <w:tcW w:w="100" w:type="dxa"/>
            <w:vAlign w:val="bottom"/>
          </w:tcPr>
          <w:p>
            <w:pPr>
              <w:spacing w:after="0"/>
              <w:rPr>
                <w:sz w:val="9"/>
                <w:szCs w:val="9"/>
                <w:color w:val="auto"/>
              </w:rPr>
            </w:pPr>
          </w:p>
        </w:tc>
        <w:tc>
          <w:tcPr>
            <w:tcW w:w="860" w:type="dxa"/>
            <w:vAlign w:val="bottom"/>
          </w:tcPr>
          <w:p>
            <w:pPr>
              <w:jc w:val="center"/>
              <w:ind w:right="15"/>
              <w:spacing w:after="0" w:line="109" w:lineRule="exact"/>
              <w:rPr>
                <w:sz w:val="20"/>
                <w:szCs w:val="20"/>
                <w:color w:val="auto"/>
              </w:rPr>
            </w:pPr>
            <w:r>
              <w:rPr>
                <w:rFonts w:ascii="Times New Roman" w:cs="Times New Roman" w:eastAsia="Times New Roman" w:hAnsi="Times New Roman"/>
                <w:sz w:val="12"/>
                <w:szCs w:val="12"/>
                <w:b w:val="1"/>
                <w:bCs w:val="1"/>
                <w:color w:val="auto"/>
                <w:w w:val="95"/>
              </w:rPr>
              <w:t>Intrinsic</w:t>
            </w:r>
          </w:p>
        </w:tc>
        <w:tc>
          <w:tcPr>
            <w:tcW w:w="0" w:type="dxa"/>
            <w:vAlign w:val="bottom"/>
          </w:tcPr>
          <w:p>
            <w:pPr>
              <w:spacing w:after="0"/>
              <w:rPr>
                <w:sz w:val="1"/>
                <w:szCs w:val="1"/>
                <w:color w:val="auto"/>
              </w:rPr>
            </w:pPr>
          </w:p>
        </w:tc>
      </w:tr>
      <w:tr>
        <w:trPr>
          <w:trHeight w:val="109"/>
        </w:trPr>
        <w:tc>
          <w:tcPr>
            <w:tcW w:w="2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9"/>
                <w:szCs w:val="9"/>
                <w:color w:val="auto"/>
              </w:rPr>
            </w:pPr>
          </w:p>
        </w:tc>
        <w:tc>
          <w:tcPr>
            <w:tcW w:w="76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w w:val="96"/>
              </w:rPr>
              <w:t>Life</w:t>
            </w:r>
          </w:p>
        </w:tc>
        <w:tc>
          <w:tcPr>
            <w:tcW w:w="100" w:type="dxa"/>
            <w:vAlign w:val="bottom"/>
          </w:tcPr>
          <w:p>
            <w:pPr>
              <w:spacing w:after="0"/>
              <w:rPr>
                <w:sz w:val="9"/>
                <w:szCs w:val="9"/>
                <w:color w:val="auto"/>
              </w:rPr>
            </w:pPr>
          </w:p>
        </w:tc>
        <w:tc>
          <w:tcPr>
            <w:tcW w:w="860" w:type="dxa"/>
            <w:vAlign w:val="bottom"/>
          </w:tcPr>
          <w:p>
            <w:pPr>
              <w:jc w:val="center"/>
              <w:ind w:right="15"/>
              <w:spacing w:after="0" w:line="109" w:lineRule="exact"/>
              <w:rPr>
                <w:sz w:val="20"/>
                <w:szCs w:val="20"/>
                <w:color w:val="auto"/>
              </w:rPr>
            </w:pPr>
            <w:r>
              <w:rPr>
                <w:rFonts w:ascii="Times New Roman" w:cs="Times New Roman" w:eastAsia="Times New Roman" w:hAnsi="Times New Roman"/>
                <w:sz w:val="12"/>
                <w:szCs w:val="12"/>
                <w:b w:val="1"/>
                <w:bCs w:val="1"/>
                <w:color w:val="auto"/>
                <w:w w:val="95"/>
              </w:rPr>
              <w:t>Value(1)</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9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4"/>
              </w:rPr>
              <w:t>(in Years)</w:t>
            </w:r>
          </w:p>
        </w:tc>
        <w:tc>
          <w:tcPr>
            <w:tcW w:w="100" w:type="dxa"/>
            <w:vAlign w:val="bottom"/>
          </w:tcPr>
          <w:p>
            <w:pPr>
              <w:spacing w:after="0"/>
              <w:rPr>
                <w:sz w:val="11"/>
                <w:szCs w:val="11"/>
                <w:color w:val="auto"/>
              </w:rPr>
            </w:pPr>
          </w:p>
        </w:tc>
        <w:tc>
          <w:tcPr>
            <w:tcW w:w="86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132"/>
        </w:trPr>
        <w:tc>
          <w:tcPr>
            <w:tcW w:w="53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Outstanding at December 31, 2016</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2,622,741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11.67</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8.30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44,025</w:t>
            </w:r>
          </w:p>
        </w:tc>
        <w:tc>
          <w:tcPr>
            <w:tcW w:w="0" w:type="dxa"/>
            <w:vAlign w:val="bottom"/>
          </w:tcPr>
          <w:p>
            <w:pPr>
              <w:spacing w:after="0"/>
              <w:rPr>
                <w:sz w:val="1"/>
                <w:szCs w:val="1"/>
                <w:color w:val="auto"/>
              </w:rPr>
            </w:pPr>
          </w:p>
        </w:tc>
      </w:tr>
      <w:tr>
        <w:trPr>
          <w:trHeight w:val="152"/>
        </w:trPr>
        <w:tc>
          <w:tcPr>
            <w:tcW w:w="534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992,572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37.55</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34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Exercised</w:t>
            </w:r>
          </w:p>
        </w:tc>
        <w:tc>
          <w:tcPr>
            <w:tcW w:w="106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(196,970)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8.54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4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4"/>
                <w:szCs w:val="14"/>
                <w:color w:val="auto"/>
              </w:rPr>
              <w:t>Canceled</w:t>
            </w:r>
          </w:p>
        </w:tc>
        <w:tc>
          <w:tcPr>
            <w:tcW w:w="106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(21,863)</w:t>
            </w:r>
          </w:p>
        </w:tc>
        <w:tc>
          <w:tcPr>
            <w:tcW w:w="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34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Outstanding at June 30, 2017</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3,396,480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19.38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8.45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106,292</w:t>
            </w:r>
          </w:p>
        </w:tc>
        <w:tc>
          <w:tcPr>
            <w:tcW w:w="0" w:type="dxa"/>
            <w:vAlign w:val="bottom"/>
          </w:tcPr>
          <w:p>
            <w:pPr>
              <w:spacing w:after="0"/>
              <w:rPr>
                <w:sz w:val="1"/>
                <w:szCs w:val="1"/>
                <w:color w:val="auto"/>
              </w:rPr>
            </w:pPr>
          </w:p>
        </w:tc>
      </w:tr>
      <w:tr>
        <w:trPr>
          <w:trHeight w:val="125"/>
        </w:trPr>
        <w:tc>
          <w:tcPr>
            <w:tcW w:w="5340" w:type="dxa"/>
            <w:vAlign w:val="bottom"/>
            <w:tcBorders>
              <w:bottom w:val="single" w:sz="8" w:color="CCEEFF"/>
            </w:tcBorders>
            <w:gridSpan w:val="2"/>
          </w:tcPr>
          <w:p>
            <w:pPr>
              <w:spacing w:after="0" w:line="123" w:lineRule="exact"/>
              <w:rPr>
                <w:sz w:val="20"/>
                <w:szCs w:val="20"/>
                <w:color w:val="auto"/>
              </w:rPr>
            </w:pPr>
            <w:r>
              <w:rPr>
                <w:rFonts w:ascii="Times New Roman" w:cs="Times New Roman" w:eastAsia="Times New Roman" w:hAnsi="Times New Roman"/>
                <w:sz w:val="14"/>
                <w:szCs w:val="14"/>
                <w:color w:val="auto"/>
              </w:rPr>
              <w:t>Exercisable at June 30, 2017</w:t>
            </w:r>
          </w:p>
        </w:tc>
        <w:tc>
          <w:tcPr>
            <w:tcW w:w="90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1,183,056</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9.73</w:t>
            </w: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7.73</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48,431</w:t>
            </w:r>
          </w:p>
        </w:tc>
        <w:tc>
          <w:tcPr>
            <w:tcW w:w="0" w:type="dxa"/>
            <w:vAlign w:val="bottom"/>
          </w:tcPr>
          <w:p>
            <w:pPr>
              <w:spacing w:after="0"/>
              <w:rPr>
                <w:sz w:val="1"/>
                <w:szCs w:val="1"/>
                <w:color w:val="auto"/>
              </w:rPr>
            </w:pPr>
          </w:p>
        </w:tc>
      </w:tr>
      <w:tr>
        <w:trPr>
          <w:trHeight w:val="143"/>
        </w:trPr>
        <w:tc>
          <w:tcPr>
            <w:tcW w:w="5340" w:type="dxa"/>
            <w:vAlign w:val="bottom"/>
            <w:tcBorders>
              <w:bottom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Vested and expected to vest at June 30, 2017</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3,396,480</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19.38</w:t>
            </w: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8.45</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106,292</w:t>
            </w:r>
          </w:p>
        </w:tc>
        <w:tc>
          <w:tcPr>
            <w:tcW w:w="0" w:type="dxa"/>
            <w:vAlign w:val="bottom"/>
          </w:tcPr>
          <w:p>
            <w:pPr>
              <w:spacing w:after="0"/>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right="100" w:hanging="254"/>
        <w:spacing w:after="0" w:line="252"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Intrinsic value represents the amount by which the fair market value as of June 30, 2017 of the underlying common stock exceeds the exercise price of the option.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1040" cy="13970"/>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right="420" w:firstLine="522"/>
        <w:spacing w:after="0" w:line="177" w:lineRule="exact"/>
        <w:rPr>
          <w:sz w:val="20"/>
          <w:szCs w:val="20"/>
          <w:color w:val="auto"/>
        </w:rPr>
      </w:pPr>
      <w:r>
        <w:rPr>
          <w:rFonts w:ascii="Times New Roman" w:cs="Times New Roman" w:eastAsia="Times New Roman" w:hAnsi="Times New Roman"/>
          <w:sz w:val="14"/>
          <w:szCs w:val="14"/>
          <w:color w:val="auto"/>
        </w:rPr>
        <w:t>The fair value of stock options is estimated on the grant date using the Black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Scholes option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model based on the following weighted average assumptions: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80" w:type="dxa"/>
            <w:vAlign w:val="bottom"/>
          </w:tcPr>
          <w:p>
            <w:pPr>
              <w:spacing w:after="0"/>
              <w:rPr>
                <w:sz w:val="12"/>
                <w:szCs w:val="12"/>
                <w:color w:val="auto"/>
              </w:rPr>
            </w:pP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120" w:type="dxa"/>
            <w:vAlign w:val="bottom"/>
            <w:gridSpan w:val="4"/>
          </w:tcPr>
          <w:p>
            <w:pPr>
              <w:jc w:val="right"/>
              <w:ind w:right="608"/>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00"/>
        </w:trPr>
        <w:tc>
          <w:tcPr>
            <w:tcW w:w="4880" w:type="dxa"/>
            <w:vAlign w:val="bottom"/>
          </w:tcPr>
          <w:p>
            <w:pPr>
              <w:spacing w:after="0"/>
              <w:rPr>
                <w:sz w:val="8"/>
                <w:szCs w:val="8"/>
                <w:color w:val="auto"/>
              </w:rPr>
            </w:pPr>
          </w:p>
        </w:tc>
        <w:tc>
          <w:tcPr>
            <w:tcW w:w="1100" w:type="dxa"/>
            <w:vAlign w:val="bottom"/>
            <w:tcBorders>
              <w:top w:val="single" w:sz="8" w:color="auto"/>
            </w:tcBorders>
            <w:gridSpan w:val="2"/>
          </w:tcPr>
          <w:p>
            <w:pPr>
              <w:jc w:val="right"/>
              <w:ind w:right="248"/>
              <w:spacing w:after="0" w:line="100" w:lineRule="exact"/>
              <w:rPr>
                <w:sz w:val="20"/>
                <w:szCs w:val="20"/>
                <w:color w:val="auto"/>
              </w:rPr>
            </w:pPr>
            <w:r>
              <w:rPr>
                <w:rFonts w:ascii="Times New Roman" w:cs="Times New Roman" w:eastAsia="Times New Roman" w:hAnsi="Times New Roman"/>
                <w:sz w:val="10"/>
                <w:szCs w:val="10"/>
                <w:b w:val="1"/>
                <w:bCs w:val="1"/>
                <w:color w:val="auto"/>
              </w:rPr>
              <w:t>June 30, 2017</w:t>
            </w:r>
          </w:p>
        </w:tc>
        <w:tc>
          <w:tcPr>
            <w:tcW w:w="880" w:type="dxa"/>
            <w:vAlign w:val="bottom"/>
            <w:tcBorders>
              <w:top w:val="single" w:sz="8" w:color="auto"/>
            </w:tcBorders>
          </w:tcPr>
          <w:p>
            <w:pPr>
              <w:jc w:val="right"/>
              <w:ind w:right="32"/>
              <w:spacing w:after="0" w:line="100" w:lineRule="exact"/>
              <w:rPr>
                <w:sz w:val="20"/>
                <w:szCs w:val="20"/>
                <w:color w:val="auto"/>
              </w:rPr>
            </w:pPr>
            <w:r>
              <w:rPr>
                <w:rFonts w:ascii="Times New Roman" w:cs="Times New Roman" w:eastAsia="Times New Roman" w:hAnsi="Times New Roman"/>
                <w:sz w:val="10"/>
                <w:szCs w:val="10"/>
                <w:b w:val="1"/>
                <w:bCs w:val="1"/>
                <w:color w:val="auto"/>
              </w:rPr>
              <w:t>June 30, 2016</w:t>
            </w:r>
          </w:p>
        </w:tc>
        <w:tc>
          <w:tcPr>
            <w:tcW w:w="120" w:type="dxa"/>
            <w:vAlign w:val="bottom"/>
          </w:tcPr>
          <w:p>
            <w:pPr>
              <w:spacing w:after="0"/>
              <w:rPr>
                <w:sz w:val="8"/>
                <w:szCs w:val="8"/>
                <w:color w:val="auto"/>
              </w:rPr>
            </w:pPr>
          </w:p>
        </w:tc>
        <w:tc>
          <w:tcPr>
            <w:tcW w:w="1100" w:type="dxa"/>
            <w:vAlign w:val="bottom"/>
            <w:tcBorders>
              <w:top w:val="single" w:sz="8" w:color="auto"/>
            </w:tcBorders>
            <w:gridSpan w:val="2"/>
          </w:tcPr>
          <w:p>
            <w:pPr>
              <w:jc w:val="right"/>
              <w:ind w:right="268"/>
              <w:spacing w:after="0" w:line="100" w:lineRule="exact"/>
              <w:rPr>
                <w:sz w:val="20"/>
                <w:szCs w:val="20"/>
                <w:color w:val="auto"/>
              </w:rPr>
            </w:pPr>
            <w:r>
              <w:rPr>
                <w:rFonts w:ascii="Times New Roman" w:cs="Times New Roman" w:eastAsia="Times New Roman" w:hAnsi="Times New Roman"/>
                <w:sz w:val="10"/>
                <w:szCs w:val="10"/>
                <w:b w:val="1"/>
                <w:bCs w:val="1"/>
                <w:color w:val="auto"/>
              </w:rPr>
              <w:t>June 30, 2017</w:t>
            </w:r>
          </w:p>
        </w:tc>
        <w:tc>
          <w:tcPr>
            <w:tcW w:w="860" w:type="dxa"/>
            <w:vAlign w:val="bottom"/>
            <w:tcBorders>
              <w:top w:val="single" w:sz="8" w:color="auto"/>
            </w:tcBorders>
          </w:tcPr>
          <w:p>
            <w:pPr>
              <w:jc w:val="right"/>
              <w:ind w:right="12"/>
              <w:spacing w:after="0" w:line="100" w:lineRule="exact"/>
              <w:rPr>
                <w:sz w:val="20"/>
                <w:szCs w:val="20"/>
                <w:color w:val="auto"/>
              </w:rPr>
            </w:pPr>
            <w:r>
              <w:rPr>
                <w:rFonts w:ascii="Times New Roman" w:cs="Times New Roman" w:eastAsia="Times New Roman" w:hAnsi="Times New Roman"/>
                <w:sz w:val="10"/>
                <w:szCs w:val="10"/>
                <w:b w:val="1"/>
                <w:bCs w:val="1"/>
                <w:color w:val="auto"/>
              </w:rPr>
              <w:t>June 30, 2016</w:t>
            </w:r>
          </w:p>
        </w:tc>
        <w:tc>
          <w:tcPr>
            <w:tcW w:w="160" w:type="dxa"/>
            <w:vAlign w:val="bottom"/>
          </w:tcPr>
          <w:p>
            <w:pPr>
              <w:spacing w:after="0"/>
              <w:rPr>
                <w:sz w:val="8"/>
                <w:szCs w:val="8"/>
                <w:color w:val="auto"/>
              </w:rPr>
            </w:pPr>
          </w:p>
        </w:tc>
      </w:tr>
      <w:tr>
        <w:trPr>
          <w:trHeight w:val="132"/>
        </w:trPr>
        <w:tc>
          <w:tcPr>
            <w:tcW w:w="4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Risk-free interest rate</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1.93</w:t>
            </w:r>
          </w:p>
        </w:tc>
        <w:tc>
          <w:tcPr>
            <w:tcW w:w="240" w:type="dxa"/>
            <w:vAlign w:val="bottom"/>
            <w:tcBorders>
              <w:top w:val="single" w:sz="8" w:color="CCEEFF"/>
            </w:tcBorders>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2.07</w:t>
            </w:r>
          </w:p>
        </w:tc>
        <w:tc>
          <w:tcPr>
            <w:tcW w:w="240" w:type="dxa"/>
            <w:vAlign w:val="bottom"/>
            <w:tcBorders>
              <w:top w:val="single" w:sz="8" w:color="CCEEFF"/>
            </w:tcBorders>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1.55</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r>
      <w:tr>
        <w:trPr>
          <w:trHeight w:val="141"/>
        </w:trPr>
        <w:tc>
          <w:tcPr>
            <w:tcW w:w="48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Expected dividend yield</w:t>
            </w:r>
          </w:p>
        </w:tc>
        <w:tc>
          <w:tcPr>
            <w:tcW w:w="1100" w:type="dxa"/>
            <w:vAlign w:val="bottom"/>
            <w:gridSpan w:val="2"/>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Expected term (years)</w:t>
            </w: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2"/>
                <w:szCs w:val="12"/>
                <w:color w:val="auto"/>
              </w:rPr>
            </w:pPr>
          </w:p>
        </w:tc>
      </w:tr>
      <w:tr>
        <w:trPr>
          <w:trHeight w:val="189"/>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74.64 %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20" w:type="dxa"/>
            <w:vAlign w:val="bottom"/>
          </w:tcPr>
          <w:p>
            <w:pPr>
              <w:spacing w:after="0"/>
              <w:rPr>
                <w:sz w:val="16"/>
                <w:szCs w:val="16"/>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75.23 %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76.52 %</w:t>
            </w:r>
          </w:p>
        </w:tc>
      </w:tr>
    </w:tbl>
    <w:p>
      <w:pPr>
        <w:spacing w:after="0" w:line="45" w:lineRule="exact"/>
        <w:rPr>
          <w:sz w:val="20"/>
          <w:szCs w:val="20"/>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The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grant date fair value of options granted in the three months ended June 30, 2017 and 2016 was $27.78 and $12.22,</w:t>
      </w:r>
    </w:p>
    <w:p>
      <w:pPr>
        <w:spacing w:after="0" w:line="31" w:lineRule="exact"/>
        <w:rPr>
          <w:sz w:val="20"/>
          <w:szCs w:val="20"/>
          <w:color w:val="auto"/>
        </w:rPr>
      </w:pPr>
    </w:p>
    <w:p>
      <w:pPr>
        <w:ind w:right="540"/>
        <w:spacing w:after="0" w:line="147" w:lineRule="exact"/>
        <w:rPr>
          <w:sz w:val="20"/>
          <w:szCs w:val="20"/>
          <w:color w:val="auto"/>
        </w:rPr>
      </w:pPr>
      <w:r>
        <w:rPr>
          <w:rFonts w:ascii="Times New Roman" w:cs="Times New Roman" w:eastAsia="Times New Roman" w:hAnsi="Times New Roman"/>
          <w:sz w:val="14"/>
          <w:szCs w:val="14"/>
          <w:color w:val="auto"/>
        </w:rPr>
        <w:t>respectively. The total intrinsic value of options exercised in the three months ended June 30, 2017 and 2016 was $2.7 million and $0.6 million, respectively. The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grant date fair value of options granted in the six months ended June 30, 2017 and 2016 was $24.91 and $10.61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The total intrinsic value of options exercised in the six months ended June 30, 2017 and 2016 was $6.1 million and $1.0 million, respectively.</w:t>
      </w:r>
    </w:p>
    <w:p>
      <w:pPr>
        <w:spacing w:after="0" w:line="115" w:lineRule="exact"/>
        <w:rPr>
          <w:sz w:val="20"/>
          <w:szCs w:val="20"/>
          <w:color w:val="auto"/>
        </w:rPr>
      </w:pPr>
    </w:p>
    <w:p>
      <w:pPr>
        <w:ind w:right="540" w:firstLine="522"/>
        <w:spacing w:after="0" w:line="177"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recognized for all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awards in the condensed consolidated statements of operations and comprehensive loss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142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31"/>
        </w:trPr>
        <w:tc>
          <w:tcPr>
            <w:tcW w:w="58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3"/>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400"/>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0"/>
        </w:trPr>
        <w:tc>
          <w:tcPr>
            <w:tcW w:w="58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6"/>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2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3"/>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ind w:left="80"/>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3"/>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40" w:type="dxa"/>
            <w:vAlign w:val="bottom"/>
            <w:tcBorders>
              <w:bottom w:val="single" w:sz="8" w:color="CCEEFF"/>
            </w:tcBorders>
          </w:tcPr>
          <w:p>
            <w:pPr>
              <w:spacing w:after="0"/>
              <w:rPr>
                <w:sz w:val="8"/>
                <w:szCs w:val="8"/>
                <w:color w:val="auto"/>
              </w:rPr>
            </w:pPr>
          </w:p>
        </w:tc>
      </w:tr>
      <w:tr>
        <w:trPr>
          <w:trHeight w:val="132"/>
        </w:trPr>
        <w:tc>
          <w:tcPr>
            <w:tcW w:w="5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CEEFF"/>
          </w:tcPr>
          <w:p>
            <w:pPr>
              <w:jc w:val="right"/>
              <w:ind w:right="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1,498</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757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160"/>
              <w:spacing w:after="0" w:line="133" w:lineRule="exact"/>
              <w:rPr>
                <w:sz w:val="20"/>
                <w:szCs w:val="20"/>
                <w:color w:val="auto"/>
              </w:rPr>
            </w:pPr>
            <w:r>
              <w:rPr>
                <w:rFonts w:ascii="Times New Roman" w:cs="Times New Roman" w:eastAsia="Times New Roman" w:hAnsi="Times New Roman"/>
                <w:sz w:val="14"/>
                <w:szCs w:val="14"/>
                <w:color w:val="auto"/>
              </w:rPr>
              <w:t>2,622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1,283</w:t>
            </w:r>
          </w:p>
        </w:tc>
        <w:tc>
          <w:tcPr>
            <w:tcW w:w="40" w:type="dxa"/>
            <w:vAlign w:val="bottom"/>
            <w:shd w:val="clear" w:color="auto" w:fill="CCEEFF"/>
          </w:tcPr>
          <w:p>
            <w:pPr>
              <w:spacing w:after="0"/>
              <w:rPr>
                <w:sz w:val="11"/>
                <w:szCs w:val="11"/>
                <w:color w:val="auto"/>
              </w:rPr>
            </w:pPr>
          </w:p>
        </w:tc>
      </w:tr>
      <w:tr>
        <w:trPr>
          <w:trHeight w:val="141"/>
        </w:trPr>
        <w:tc>
          <w:tcPr>
            <w:tcW w:w="584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1,481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730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color w:val="auto"/>
              </w:rPr>
              <w:t>2,597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1,306</w:t>
            </w:r>
          </w:p>
        </w:tc>
        <w:tc>
          <w:tcPr>
            <w:tcW w:w="40" w:type="dxa"/>
            <w:vAlign w:val="bottom"/>
            <w:tcBorders>
              <w:bottom w:val="single" w:sz="8" w:color="CCEEFF"/>
            </w:tcBorders>
          </w:tcPr>
          <w:p>
            <w:pPr>
              <w:spacing w:after="0"/>
              <w:rPr>
                <w:sz w:val="12"/>
                <w:szCs w:val="12"/>
                <w:color w:val="auto"/>
              </w:rPr>
            </w:pPr>
          </w:p>
        </w:tc>
      </w:tr>
      <w:tr>
        <w:trPr>
          <w:trHeight w:val="134"/>
        </w:trPr>
        <w:tc>
          <w:tcPr>
            <w:tcW w:w="58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160" w:type="dxa"/>
            <w:vAlign w:val="bottom"/>
            <w:tcBorders>
              <w:bottom w:val="single" w:sz="8" w:color="auto"/>
            </w:tcBorders>
            <w:shd w:val="clear" w:color="auto" w:fill="CCEEFF"/>
          </w:tcPr>
          <w:p>
            <w:pPr>
              <w:jc w:val="right"/>
              <w:ind w:right="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2,979</w:t>
            </w: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1,487</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4"/>
                <w:szCs w:val="14"/>
                <w:color w:val="auto"/>
              </w:rPr>
              <w:t>5,219</w:t>
            </w: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2,589</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16" w:lineRule="exact"/>
        <w:rPr>
          <w:sz w:val="20"/>
          <w:szCs w:val="20"/>
          <w:color w:val="auto"/>
        </w:rPr>
      </w:pPr>
    </w:p>
    <w:p>
      <w:pPr>
        <w:ind w:right="140" w:firstLine="522"/>
        <w:spacing w:after="0" w:line="163" w:lineRule="exact"/>
        <w:rPr>
          <w:sz w:val="20"/>
          <w:szCs w:val="20"/>
          <w:color w:val="auto"/>
        </w:rPr>
      </w:pPr>
      <w:r>
        <w:rPr>
          <w:rFonts w:ascii="Times New Roman" w:cs="Times New Roman" w:eastAsia="Times New Roman" w:hAnsi="Times New Roman"/>
          <w:sz w:val="14"/>
          <w:szCs w:val="14"/>
          <w:color w:val="auto"/>
        </w:rPr>
        <w:t>At June 30, 2017, the Company had $35.0 million of total unrecognized compensation cost related to non-vested stock awards, which is expected to be recognized over a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period of 2.65 years. Due to an operating loss, the Company does not record tax benefits associated with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or option exercises. Tax benefit will be recorded when realized.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2015 Employee Stock Purchase Plan</w:t>
      </w:r>
    </w:p>
    <w:p>
      <w:pPr>
        <w:spacing w:after="0" w:line="126" w:lineRule="exact"/>
        <w:rPr>
          <w:sz w:val="20"/>
          <w:szCs w:val="20"/>
          <w:color w:val="auto"/>
        </w:rPr>
      </w:pPr>
    </w:p>
    <w:p>
      <w:pPr>
        <w:ind w:right="20" w:firstLine="522"/>
        <w:spacing w:after="0" w:line="220" w:lineRule="auto"/>
        <w:rPr>
          <w:sz w:val="20"/>
          <w:szCs w:val="20"/>
          <w:color w:val="auto"/>
        </w:rPr>
      </w:pPr>
      <w:r>
        <w:rPr>
          <w:rFonts w:ascii="Times New Roman" w:cs="Times New Roman" w:eastAsia="Times New Roman" w:hAnsi="Times New Roman"/>
          <w:sz w:val="14"/>
          <w:szCs w:val="14"/>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2017, the number of shares reserved for issuance under the 2015 ESPP was increased by 331,254 shares. The Company issued 7,703 shares and 11,426 shares under the ESPP during the six months ended June 30, 2017 and 2016,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Net Loss per Share</w:t>
      </w:r>
    </w:p>
    <w:p>
      <w:pPr>
        <w:spacing w:after="0" w:line="91" w:lineRule="exact"/>
        <w:rPr>
          <w:sz w:val="20"/>
          <w:szCs w:val="20"/>
          <w:color w:val="auto"/>
        </w:rPr>
      </w:pPr>
    </w:p>
    <w:p>
      <w:pPr>
        <w:ind w:right="20" w:firstLine="522"/>
        <w:spacing w:after="0" w:line="161" w:lineRule="exact"/>
        <w:rPr>
          <w:sz w:val="20"/>
          <w:szCs w:val="20"/>
          <w:color w:val="auto"/>
        </w:rPr>
      </w:pPr>
      <w:r>
        <w:rPr>
          <w:rFonts w:ascii="Times New Roman" w:cs="Times New Roman" w:eastAsia="Times New Roman" w:hAnsi="Times New Roman"/>
          <w:sz w:val="14"/>
          <w:szCs w:val="14"/>
          <w:color w:val="auto"/>
        </w:rPr>
        <w:t>Basic net loss per share applicable to common stockholders is calculated by dividing net loss applicable to common stockholders by the weighted average shares outstanding during the period, without consideration for common stock equivalents.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dilutive; therefore, basic and diluted net loss per share applicable to common stockholders were the same for all periods presented as a result of the Company’s net loss.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260"/>
        <w:spacing w:after="0" w:line="174" w:lineRule="exact"/>
        <w:rPr>
          <w:sz w:val="20"/>
          <w:szCs w:val="20"/>
          <w:color w:val="auto"/>
        </w:rPr>
      </w:pPr>
      <w:r>
        <w:rPr>
          <w:rFonts w:ascii="Times New Roman" w:cs="Times New Roman" w:eastAsia="Times New Roman" w:hAnsi="Times New Roman"/>
          <w:sz w:val="14"/>
          <w:szCs w:val="14"/>
          <w:color w:val="auto"/>
        </w:rPr>
        <w:t>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dilutive effect.</w:t>
      </w:r>
    </w:p>
    <w:p>
      <w:pPr>
        <w:spacing w:after="0" w:line="10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2"/>
          <w:szCs w:val="12"/>
          <w:b w:val="1"/>
          <w:bCs w:val="1"/>
          <w:color w:val="auto"/>
        </w:rPr>
        <w:t>Six Months Ended</w:t>
      </w:r>
    </w:p>
    <w:p>
      <w:pPr>
        <w:ind w:left="7880"/>
        <w:spacing w:after="0" w:line="208" w:lineRule="auto"/>
        <w:rPr>
          <w:sz w:val="20"/>
          <w:szCs w:val="20"/>
          <w:color w:val="auto"/>
        </w:rPr>
      </w:pPr>
      <w:r>
        <w:rPr>
          <w:rFonts w:ascii="Times New Roman" w:cs="Times New Roman" w:eastAsia="Times New Roman" w:hAnsi="Times New Roman"/>
          <w:sz w:val="12"/>
          <w:szCs w:val="12"/>
          <w:b w:val="1"/>
          <w:bCs w:val="1"/>
          <w:color w:val="auto"/>
        </w:rPr>
        <w:t>June 30,</w:t>
      </w:r>
    </w:p>
    <w:tbl>
      <w:tblPr>
        <w:tblLayout w:type="fixed"/>
        <w:tblInd w:w="0" w:type="dxa"/>
        <w:tblCellMar>
          <w:top w:w="0" w:type="dxa"/>
          <w:left w:w="0" w:type="dxa"/>
          <w:bottom w:w="0" w:type="dxa"/>
          <w:right w:w="0" w:type="dxa"/>
        </w:tblCellMar>
      </w:tblPr>
      <w:tr>
        <w:trPr>
          <w:trHeight w:val="105"/>
        </w:trPr>
        <w:tc>
          <w:tcPr>
            <w:tcW w:w="7100" w:type="dxa"/>
            <w:vAlign w:val="bottom"/>
            <w:tcBorders>
              <w:bottom w:val="single" w:sz="8" w:color="CCEEFF"/>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251"/>
              <w:spacing w:after="0" w:line="105" w:lineRule="exact"/>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Borders>
              <w:top w:val="single" w:sz="8" w:color="auto"/>
              <w:bottom w:val="single" w:sz="8" w:color="CCEEFF"/>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271"/>
              <w:spacing w:after="0" w:line="105" w:lineRule="exact"/>
              <w:rPr>
                <w:sz w:val="20"/>
                <w:szCs w:val="20"/>
                <w:color w:val="auto"/>
              </w:rPr>
            </w:pPr>
            <w:r>
              <w:rPr>
                <w:rFonts w:ascii="Times New Roman" w:cs="Times New Roman" w:eastAsia="Times New Roman" w:hAnsi="Times New Roman"/>
                <w:sz w:val="12"/>
                <w:szCs w:val="12"/>
                <w:b w:val="1"/>
                <w:bCs w:val="1"/>
                <w:color w:val="auto"/>
              </w:rPr>
              <w:t>2016</w:t>
            </w:r>
          </w:p>
        </w:tc>
      </w:tr>
      <w:tr>
        <w:trPr>
          <w:trHeight w:val="132"/>
        </w:trPr>
        <w:tc>
          <w:tcPr>
            <w:tcW w:w="7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Stock options</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3,396,480</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2,462,926</w:t>
            </w:r>
          </w:p>
        </w:tc>
      </w:tr>
      <w:tr>
        <w:trPr>
          <w:trHeight w:val="141"/>
        </w:trPr>
        <w:tc>
          <w:tcPr>
            <w:tcW w:w="7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Unvested restricted stock</w:t>
            </w:r>
          </w:p>
        </w:tc>
        <w:tc>
          <w:tcPr>
            <w:tcW w:w="110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49,575</w:t>
            </w:r>
          </w:p>
        </w:tc>
      </w:tr>
      <w:tr>
        <w:trPr>
          <w:trHeight w:val="134"/>
        </w:trPr>
        <w:tc>
          <w:tcPr>
            <w:tcW w:w="71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3,396,480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2,512,501</w:t>
            </w:r>
          </w:p>
        </w:tc>
      </w:tr>
    </w:tbl>
    <w:p>
      <w:pPr>
        <w:spacing w:after="0" w:line="148" w:lineRule="exact"/>
        <w:rPr>
          <w:sz w:val="20"/>
          <w:szCs w:val="20"/>
          <w:color w:val="auto"/>
        </w:rPr>
      </w:pPr>
    </w:p>
    <w:p>
      <w:pPr>
        <w:jc w:val="both"/>
        <w:ind w:right="80" w:firstLine="522"/>
        <w:spacing w:after="0" w:line="228" w:lineRule="auto"/>
        <w:rPr>
          <w:sz w:val="20"/>
          <w:szCs w:val="20"/>
          <w:color w:val="auto"/>
        </w:rPr>
      </w:pPr>
      <w:r>
        <w:rPr>
          <w:rFonts w:ascii="Times New Roman" w:cs="Times New Roman" w:eastAsia="Times New Roman" w:hAnsi="Times New Roman"/>
          <w:sz w:val="14"/>
          <w:szCs w:val="14"/>
          <w:color w:val="auto"/>
        </w:rPr>
        <w:t>The weighted average number of common shares used in net loss per share applicable to common stockholders on a basic and diluted basis were 38,774,591 and 27,170,423 for the three months ended June 30, 2017 and 2016, respectively. The weighted average number of common shares used in net loss per share applicable to common stockholders on a basic and diluted basis were 35,997,572 and 27,129,171 for the six months ended June 30, 2017 and 2016,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Commitments</w:t>
      </w:r>
    </w:p>
    <w:p>
      <w:pPr>
        <w:spacing w:after="0" w:line="156" w:lineRule="exact"/>
        <w:rPr>
          <w:sz w:val="20"/>
          <w:szCs w:val="20"/>
          <w:color w:val="auto"/>
        </w:rPr>
      </w:pPr>
    </w:p>
    <w:p>
      <w:pPr>
        <w:ind w:right="80" w:firstLine="522"/>
        <w:spacing w:after="0" w:line="218" w:lineRule="auto"/>
        <w:rPr>
          <w:sz w:val="20"/>
          <w:szCs w:val="20"/>
          <w:color w:val="auto"/>
        </w:rPr>
      </w:pPr>
      <w:r>
        <w:rPr>
          <w:rFonts w:ascii="Times New Roman" w:cs="Times New Roman" w:eastAsia="Times New Roman" w:hAnsi="Times New Roman"/>
          <w:sz w:val="14"/>
          <w:szCs w:val="14"/>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condensed consolidated balance sheet at June 30, 2017,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w:t>
      </w:r>
    </w:p>
    <w:p>
      <w:pPr>
        <w:spacing w:after="0" w:line="98" w:lineRule="exact"/>
        <w:rPr>
          <w:sz w:val="20"/>
          <w:szCs w:val="20"/>
          <w:color w:val="auto"/>
        </w:rPr>
      </w:pPr>
    </w:p>
    <w:p>
      <w:pPr>
        <w:ind w:right="20" w:firstLine="522"/>
        <w:spacing w:after="0" w:line="239" w:lineRule="auto"/>
        <w:rPr>
          <w:sz w:val="20"/>
          <w:szCs w:val="20"/>
          <w:color w:val="auto"/>
        </w:rPr>
      </w:pPr>
      <w:r>
        <w:rPr>
          <w:rFonts w:ascii="Times New Roman" w:cs="Times New Roman" w:eastAsia="Times New Roman" w:hAnsi="Times New Roman"/>
          <w:sz w:val="14"/>
          <w:szCs w:val="14"/>
          <w:color w:val="auto"/>
        </w:rPr>
        <w:t>On April 28, 2017, the Company entered into a lease agreement for approximately 99,833 rentable square feet of office and laboratory space located at 45 Sidney Street in Cambridge, Massachusetts, which the Company gained control over on June 1, 2017. The initial term of the lease agreement will be for a 146 month period, which the Company currently anticipates will commence on October 1, 2017. The lease agreement also provides the Company with an option to extend the lease for two consecutive five-year periods. During the initial term of the lease agreement, the Company has agreed to pay an initial annual base rent of approximately $7.7 million, which rises periodically until it reaches approximately $10.6 million. The Company is recording rent expense on a straight-line basis through the end of the lease term. The Company has recorded deferred rent on the condensed and consolidated balance sheet at June 30, 2017 accordingly. The landlord has also agreed to provide the Company with a tenant improvement allowance of approximately $14.2 million for improvements to be made to the premises. The Company accounts for leasehold improvement incentives as a reduction to rent expense ratably over the lease term. The balance from the leasehold improvement incentives of $1.6 million is included in the lease incentive obligation on the balance sheet as of June 30, 2017. The lease agreements required the Company to pay a security deposit of $3.5 million, which is recorded in restricted cash on the Company’s balance sheet.</w:t>
      </w:r>
    </w:p>
    <w:p>
      <w:pPr>
        <w:spacing w:after="0" w:line="94" w:lineRule="exact"/>
        <w:rPr>
          <w:sz w:val="20"/>
          <w:szCs w:val="20"/>
          <w:color w:val="auto"/>
        </w:rPr>
      </w:pPr>
    </w:p>
    <w:p>
      <w:pPr>
        <w:ind w:right="160" w:firstLine="522"/>
        <w:spacing w:after="0" w:line="252" w:lineRule="auto"/>
        <w:rPr>
          <w:sz w:val="20"/>
          <w:szCs w:val="20"/>
          <w:color w:val="auto"/>
        </w:rPr>
      </w:pPr>
      <w:r>
        <w:rPr>
          <w:rFonts w:ascii="Times New Roman" w:cs="Times New Roman" w:eastAsia="Times New Roman" w:hAnsi="Times New Roman"/>
          <w:sz w:val="14"/>
          <w:szCs w:val="14"/>
          <w:color w:val="auto"/>
        </w:rPr>
        <w:t>For the three months ended June 30, 2017 and 2016, rent expense was $1.1 million and $0.5 million, respectively. For the six months ended June 30, 2017 and 2016, rent expense was $1.6 million and $0.9 million,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w:t>
      </w:r>
    </w:p>
    <w:p>
      <w:pPr>
        <w:spacing w:after="0" w:line="156" w:lineRule="exact"/>
        <w:rPr>
          <w:sz w:val="20"/>
          <w:szCs w:val="20"/>
          <w:color w:val="auto"/>
        </w:rPr>
      </w:pPr>
    </w:p>
    <w:p>
      <w:pPr>
        <w:ind w:right="200" w:firstLine="522"/>
        <w:spacing w:after="0" w:line="234" w:lineRule="auto"/>
        <w:rPr>
          <w:sz w:val="20"/>
          <w:szCs w:val="20"/>
          <w:color w:val="auto"/>
        </w:rPr>
      </w:pPr>
      <w:r>
        <w:rPr>
          <w:rFonts w:ascii="Times New Roman" w:cs="Times New Roman" w:eastAsia="Times New Roman" w:hAnsi="Times New Roman"/>
          <w:sz w:val="14"/>
          <w:szCs w:val="14"/>
          <w:color w:val="auto"/>
        </w:rPr>
        <w:t>On July 26, 2017, the Company received written notice from Alexion of its election to terminate for convenience the Alexion agreement. In accordance with the Alexion agreement, the termination will become effective on October 24, 2017, which is 90 days following the date of receipt of the notice by the Company.</w:t>
      </w:r>
    </w:p>
    <w:p>
      <w:pPr>
        <w:spacing w:after="0" w:line="127"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Under the terms of the Alexion agreement, the Company and Alexion agreed to collaborate to research, develop and commercialize one or more drug candidates targeting the ALK2 kinase for the treatment of fibrodysplasia ossificans progressiva (“FOP”). FOP is a rare genetic disease caused by mutations in the ALK2 gene, ACVR1. 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pass-through costs and a negotiated yearly rate per full-time equivalent for the Company’s employees’ time and their associated overhead expenses.</w:t>
      </w:r>
    </w:p>
    <w:p>
      <w:pPr>
        <w:spacing w:after="0" w:line="165" w:lineRule="exact"/>
        <w:rPr>
          <w:sz w:val="20"/>
          <w:szCs w:val="20"/>
          <w:color w:val="auto"/>
        </w:rPr>
      </w:pPr>
    </w:p>
    <w:p>
      <w:pPr>
        <w:ind w:right="40" w:firstLine="522"/>
        <w:spacing w:after="0" w:line="217" w:lineRule="auto"/>
        <w:rPr>
          <w:sz w:val="20"/>
          <w:szCs w:val="20"/>
          <w:color w:val="auto"/>
        </w:rPr>
      </w:pPr>
      <w:r>
        <w:rPr>
          <w:rFonts w:ascii="Times New Roman" w:cs="Times New Roman" w:eastAsia="Times New Roman" w:hAnsi="Times New Roman"/>
          <w:sz w:val="14"/>
          <w:szCs w:val="14"/>
          <w:color w:val="auto"/>
        </w:rPr>
        <w:t>Effective upon the termination, the Company’s exclusivity obligations under the Alexion agreement will terminate, including without limitation, the Company’s exclusivity obligations with respect to (i) the treatment of FOP, heterotopic ossification or diffuse intrinsic pontine glioma, (ii) ALK2, including both wild type and mutated forms, and (iii) certain molecules related to the foregoing. In addition, the research term and all licenses granted to Alexion will terminate, and certain licenses granted by Alexion to the Company will survive and become perpetual, irrevocable and non-terminable. Alexion will remain responsible for the Company’s non-FTE expenses that were incurred or irrevocably committed up to the date of receipt of the notice of termination by the Company, provided that the Company is obligated to use diligent efforts to mitigate such costs to the extent practicable, and for the Company’s FTE expenses for the three month period following the date of receipt of the notice of termination by the Company for personnel that, despite having used diligent efforts, the Company is not able to reallocate from research plan activities to alternative projects. Prior to receipt by the Company of the notice of termination, the Company had received an aggregate amount of $18.8 million in upfront and milestone payments. The Company will not be entitled to receive payment for milestones, if any, achieved after the receipt of the notice of termination of the collaboration.</w:t>
      </w:r>
    </w:p>
    <w:p>
      <w:pPr>
        <w:spacing w:after="0" w:line="100"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The Company plans to evaluate opportunities to advance the research program that was the subject of the collaboration with Alexion. Under the terms of the Alexion agreement, the Company has the option to elect to negotiate a transition agreement with Alexion, which under the terms of the Alexion agreement, may cover, among other things, the reversion to the Company of all rights to any compounds that were the subject of the collaboration, the payment by the Company of any fees associated with such reversion, the grant by Alexion of licenses to certain patents, know-how and marks controlled by Alexion and the allocation between the parties of certain wind-down and transfer costs and expenses.</w:t>
      </w:r>
    </w:p>
    <w:p>
      <w:pPr>
        <w:spacing w:after="0" w:line="94" w:lineRule="exact"/>
        <w:rPr>
          <w:sz w:val="20"/>
          <w:szCs w:val="20"/>
          <w:color w:val="auto"/>
        </w:rPr>
      </w:pPr>
    </w:p>
    <w:p>
      <w:pPr>
        <w:ind w:right="120" w:firstLine="522"/>
        <w:spacing w:after="0" w:line="234" w:lineRule="auto"/>
        <w:rPr>
          <w:sz w:val="20"/>
          <w:szCs w:val="20"/>
          <w:color w:val="auto"/>
        </w:rPr>
      </w:pPr>
      <w:r>
        <w:rPr>
          <w:rFonts w:ascii="Times New Roman" w:cs="Times New Roman" w:eastAsia="Times New Roman" w:hAnsi="Times New Roman"/>
          <w:sz w:val="14"/>
          <w:szCs w:val="14"/>
          <w:color w:val="auto"/>
        </w:rPr>
        <w:t>As a result of the termination of the Alexion agreement, the Company anticipates recognizing the remaining deferred revenue balance of $3.7 million related to the upfront payment and non-substantive milestone payment previously received under the Alexion collaboration for which revenue was recognized utilizing the proportional performance model over the remaining period of involvement.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65" w:lineRule="exact"/>
        <w:rPr>
          <w:sz w:val="20"/>
          <w:szCs w:val="20"/>
          <w:color w:val="auto"/>
        </w:rPr>
      </w:pPr>
    </w:p>
    <w:p>
      <w:pPr>
        <w:ind w:right="120" w:firstLine="522"/>
        <w:spacing w:after="0" w:line="22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2016, filed with the Securities and Exchange Commission, or the SEC, on March 9, 2017.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6" w:lineRule="exact"/>
        <w:rPr>
          <w:sz w:val="20"/>
          <w:szCs w:val="20"/>
          <w:color w:val="auto"/>
        </w:rPr>
      </w:pPr>
    </w:p>
    <w:p>
      <w:pPr>
        <w:ind w:right="60" w:firstLine="522"/>
        <w:spacing w:after="0"/>
        <w:rPr>
          <w:sz w:val="20"/>
          <w:szCs w:val="20"/>
          <w:color w:val="auto"/>
        </w:rPr>
      </w:pPr>
      <w:r>
        <w:rPr>
          <w:rFonts w:ascii="Times New Roman" w:cs="Times New Roman" w:eastAsia="Times New Roman" w:hAnsi="Times New Roman"/>
          <w:sz w:val="14"/>
          <w:szCs w:val="14"/>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98" w:lineRule="exact"/>
        <w:rPr>
          <w:sz w:val="20"/>
          <w:szCs w:val="20"/>
          <w:color w:val="auto"/>
        </w:rPr>
      </w:pPr>
    </w:p>
    <w:p>
      <w:pPr>
        <w:ind w:firstLine="522"/>
        <w:spacing w:after="0" w:line="229" w:lineRule="auto"/>
        <w:rPr>
          <w:sz w:val="20"/>
          <w:szCs w:val="20"/>
          <w:color w:val="auto"/>
        </w:rPr>
      </w:pPr>
      <w:r>
        <w:rPr>
          <w:rFonts w:ascii="Times New Roman" w:cs="Times New Roman" w:eastAsia="Times New Roman" w:hAnsi="Times New Roman"/>
          <w:sz w:val="14"/>
          <w:szCs w:val="14"/>
          <w:color w:val="auto"/>
        </w:rPr>
        <w:t>Our most advanced drug candidates are BLU-285, BLU-554 and BLU-667. BLU-285 is an orally available, potent and highly selective inhibitor that targets KIT, including Exon 17 mutations, and targets PDGFRα,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reported updated data from our Phase 1 clinical trial for GIST at the 2017 ASCO Annual Meeting in Chicago, IL on June 5, 2017, and we plan to report updated data from our Phase 1 clinical trial for advanced SM in the second half of 2017.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We plan to report updated data from our Phase 1 clinical trial for advanced HCC at the ESMO 2017 Congress in Madrid, Spain on September 10, 2017.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March 2017, we dosed the first patient in our Phase 1 clinical trial for BLU-667 in patients with NSCLC, MTC and other advanced solid tumors, and enrollment is ongoing.</w:t>
      </w:r>
    </w:p>
    <w:p>
      <w:pPr>
        <w:spacing w:after="0" w:line="109" w:lineRule="exact"/>
        <w:rPr>
          <w:sz w:val="20"/>
          <w:szCs w:val="20"/>
          <w:color w:val="auto"/>
        </w:rPr>
      </w:pPr>
    </w:p>
    <w:p>
      <w:pPr>
        <w:ind w:right="80" w:firstLine="522"/>
        <w:spacing w:after="0" w:line="151" w:lineRule="exact"/>
        <w:rPr>
          <w:sz w:val="20"/>
          <w:szCs w:val="20"/>
          <w:color w:val="auto"/>
        </w:rPr>
      </w:pPr>
      <w:r>
        <w:rPr>
          <w:rFonts w:ascii="Times New Roman" w:cs="Times New Roman" w:eastAsia="Times New Roman" w:hAnsi="Times New Roman"/>
          <w:sz w:val="14"/>
          <w:szCs w:val="14"/>
          <w:color w:val="auto"/>
        </w:rPr>
        <w:t>In September 2015, the U.S. Food and Drug Administration, or FDA, granted orphan drug designation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BLU-285 for the treatment of patients with unresectable or metastatic GIST harboring the PDGFRα D842V mutation, and in July 2017, the European Medicines Agency granted orphan drug designation to BLU-285 for the treatment of GIST. We have worldwide development and commercialization rights to BLU-285, BLU-554 and BLU-667.</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firstLine="522"/>
        <w:spacing w:after="0" w:line="222" w:lineRule="auto"/>
        <w:rPr>
          <w:sz w:val="20"/>
          <w:szCs w:val="20"/>
          <w:color w:val="auto"/>
        </w:rPr>
      </w:pPr>
      <w:r>
        <w:rPr>
          <w:rFonts w:ascii="Times New Roman" w:cs="Times New Roman" w:eastAsia="Times New Roman" w:hAnsi="Times New Roman"/>
          <w:sz w:val="14"/>
          <w:szCs w:val="14"/>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 considered to be the driver gene of the disease. Currently, there are no approved therapies for FLC, and surgery is the only available treatment option for some patients, but most patients inevitably progress. We plan to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29" w:lineRule="exact"/>
        <w:rPr>
          <w:sz w:val="20"/>
          <w:szCs w:val="20"/>
          <w:color w:val="auto"/>
        </w:rPr>
      </w:pPr>
    </w:p>
    <w:p>
      <w:pPr>
        <w:ind w:right="100" w:firstLine="522"/>
        <w:spacing w:after="0"/>
        <w:rPr>
          <w:sz w:val="20"/>
          <w:szCs w:val="20"/>
          <w:color w:val="auto"/>
        </w:rPr>
      </w:pPr>
      <w:r>
        <w:rPr>
          <w:rFonts w:ascii="Times New Roman" w:cs="Times New Roman" w:eastAsia="Times New Roman" w:hAnsi="Times New Roman"/>
          <w:sz w:val="14"/>
          <w:szCs w:val="14"/>
          <w:color w:val="auto"/>
        </w:rPr>
        <w:t>In addition to our wholly-owned clinical and pre-clinical programs, we have leveraged our platform to enter into discovery collaborations, including a cancer immunotherapy collaboration with F. Hoffmann-La Roche Ltd and Hoffmann-La Roche Inc., which we refer to collectively as Roche . We also previously entered into a discovery collaboration with Alexion Pharma Holding, or Alexion, targeting the kinase ALK2 for the treatment of fibrodysplasia ossificans progressiva, a rare genetic disease caused by mutations in the ALK2 gene, ACVR1. On July 26, 2017, we received written notice from Alexion of its election to terminate the collaboration for convenience following a strategic review by Alexion of its research and development portfolio. The termination will become effective on October 24, 2017, and we plan to evaluate opportunities to advance the research program that was the subject of the Alexion collaboration.</w:t>
      </w:r>
    </w:p>
    <w:p>
      <w:pPr>
        <w:spacing w:after="0" w:line="198"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including GLP toxicology studies and commencing clinical development activities. We do not have any drugs approved for sale and have not generated any revenue from drug sales.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date, we have financed our operations primarily through public offerings of our common stock, private placements of our convertible preferred</w:t>
      </w:r>
    </w:p>
    <w:p>
      <w:pPr>
        <w:spacing w:after="0" w:line="210" w:lineRule="auto"/>
        <w:rPr>
          <w:sz w:val="20"/>
          <w:szCs w:val="20"/>
          <w:color w:val="auto"/>
        </w:rPr>
      </w:pPr>
      <w:r>
        <w:rPr>
          <w:rFonts w:ascii="Times New Roman" w:cs="Times New Roman" w:eastAsia="Times New Roman" w:hAnsi="Times New Roman"/>
          <w:sz w:val="14"/>
          <w:szCs w:val="14"/>
          <w:color w:val="auto"/>
        </w:rPr>
        <w:t>stock, collaborations and a debt financing. Through June 30, 2017, we have received an aggregate of $731.3 million from such transactions, including</w:t>
      </w:r>
    </w:p>
    <w:p>
      <w:pPr>
        <w:spacing w:after="0" w:line="211" w:lineRule="auto"/>
        <w:rPr>
          <w:sz w:val="20"/>
          <w:szCs w:val="20"/>
          <w:color w:val="auto"/>
        </w:rPr>
      </w:pPr>
      <w:r>
        <w:rPr>
          <w:rFonts w:ascii="Times New Roman" w:cs="Times New Roman" w:eastAsia="Times New Roman" w:hAnsi="Times New Roman"/>
          <w:sz w:val="14"/>
          <w:szCs w:val="14"/>
          <w:color w:val="auto"/>
        </w:rPr>
        <w:t>$542.4 million in aggregate gross proceeds from the sale of common stock in our May 2015 initial public offering, or IPO, and December 2016 and April</w:t>
      </w:r>
    </w:p>
    <w:p>
      <w:pPr>
        <w:spacing w:after="0" w:line="142" w:lineRule="exact"/>
        <w:rPr>
          <w:sz w:val="20"/>
          <w:szCs w:val="20"/>
          <w:color w:val="auto"/>
        </w:rPr>
      </w:pPr>
      <w:r>
        <w:rPr>
          <w:rFonts w:ascii="Times New Roman" w:cs="Times New Roman" w:eastAsia="Times New Roman" w:hAnsi="Times New Roman"/>
          <w:sz w:val="14"/>
          <w:szCs w:val="14"/>
          <w:color w:val="auto"/>
        </w:rPr>
        <w:t>2017 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public offerings, $115.1 million in gross proceeds from the issuance of convertible preferred stock, $18.8 million of upfront and milestone</w:t>
      </w:r>
    </w:p>
    <w:p>
      <w:pPr>
        <w:spacing w:after="0" w:line="211" w:lineRule="auto"/>
        <w:rPr>
          <w:sz w:val="20"/>
          <w:szCs w:val="20"/>
          <w:color w:val="auto"/>
        </w:rPr>
      </w:pPr>
      <w:r>
        <w:rPr>
          <w:rFonts w:ascii="Times New Roman" w:cs="Times New Roman" w:eastAsia="Times New Roman" w:hAnsi="Times New Roman"/>
          <w:sz w:val="14"/>
          <w:szCs w:val="14"/>
          <w:color w:val="auto"/>
        </w:rPr>
        <w:t>payments from Alexion, a $45.0 million upfront payment from Roche and $10.0 million in gross proceeds from the debt financing. As a result of Alexion’s</w:t>
      </w:r>
    </w:p>
    <w:p>
      <w:pPr>
        <w:spacing w:after="0" w:line="211" w:lineRule="auto"/>
        <w:rPr>
          <w:sz w:val="20"/>
          <w:szCs w:val="20"/>
          <w:color w:val="auto"/>
        </w:rPr>
      </w:pPr>
      <w:r>
        <w:rPr>
          <w:rFonts w:ascii="Times New Roman" w:cs="Times New Roman" w:eastAsia="Times New Roman" w:hAnsi="Times New Roman"/>
          <w:sz w:val="14"/>
          <w:szCs w:val="14"/>
          <w:color w:val="auto"/>
        </w:rPr>
        <w:t>decision to discontinue our collaboration, we will not be entitled to receive payment for any additional milestones, if any, achieved after the receipt of the</w:t>
      </w:r>
    </w:p>
    <w:p>
      <w:pPr>
        <w:spacing w:after="0"/>
        <w:rPr>
          <w:sz w:val="20"/>
          <w:szCs w:val="20"/>
          <w:color w:val="auto"/>
        </w:rPr>
      </w:pPr>
      <w:r>
        <w:rPr>
          <w:rFonts w:ascii="Times New Roman" w:cs="Times New Roman" w:eastAsia="Times New Roman" w:hAnsi="Times New Roman"/>
          <w:sz w:val="14"/>
          <w:szCs w:val="14"/>
          <w:color w:val="auto"/>
        </w:rPr>
        <w:t>notice of termination of the collaboration.</w:t>
      </w:r>
    </w:p>
    <w:p>
      <w:pPr>
        <w:spacing w:after="0" w:line="138" w:lineRule="exact"/>
        <w:rPr>
          <w:sz w:val="20"/>
          <w:szCs w:val="20"/>
          <w:color w:val="auto"/>
        </w:rPr>
      </w:pPr>
    </w:p>
    <w:p>
      <w:pPr>
        <w:ind w:right="180" w:firstLine="522"/>
        <w:spacing w:after="0" w:line="228" w:lineRule="auto"/>
        <w:rPr>
          <w:sz w:val="20"/>
          <w:szCs w:val="20"/>
          <w:color w:val="auto"/>
        </w:rPr>
      </w:pPr>
      <w:r>
        <w:rPr>
          <w:rFonts w:ascii="Times New Roman" w:cs="Times New Roman" w:eastAsia="Times New Roman" w:hAnsi="Times New Roman"/>
          <w:sz w:val="14"/>
          <w:szCs w:val="14"/>
          <w:color w:val="auto"/>
        </w:rPr>
        <w:t>Since inception, we have incurred significant operating losses. Our net losses were $61.4 million for the six months ended June 30, 2017 and $72.5 million, $52.8 million and $40.3 million for the years ended December 31, 2016, 2015 and 2014, respectively. As of June 30, 2017, we had an accumulated deficit of $268.9 million. We expect to continue to incur significant expenses and operating losses over the next several years. We anticipate that our expenses will increase significantly in connection with our ongoing activities, particularly as we:</w:t>
      </w:r>
    </w:p>
    <w:p>
      <w:pPr>
        <w:spacing w:after="0" w:line="105" w:lineRule="exact"/>
        <w:rPr>
          <w:sz w:val="20"/>
          <w:szCs w:val="20"/>
          <w:color w:val="auto"/>
        </w:rPr>
      </w:pPr>
    </w:p>
    <w:p>
      <w:pPr>
        <w:ind w:left="780" w:hanging="252"/>
        <w:spacing w:after="0" w:line="161" w:lineRule="exact"/>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planned clinical development activities for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w:t>
      </w:r>
    </w:p>
    <w:p>
      <w:pPr>
        <w:spacing w:after="0" w:line="177" w:lineRule="exact"/>
        <w:rPr>
          <w:rFonts w:ascii="Times New Roman" w:cs="Times New Roman" w:eastAsia="Times New Roman" w:hAnsi="Times New Roman"/>
          <w:sz w:val="14"/>
          <w:szCs w:val="14"/>
          <w:color w:val="auto"/>
        </w:rPr>
      </w:pPr>
    </w:p>
    <w:p>
      <w:pPr>
        <w:ind w:left="780" w:right="280" w:hanging="252"/>
        <w:spacing w:after="0" w:line="252" w:lineRule="auto"/>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additional potential clinical development activities for our lead drug candidates, such as registration clinical trials or indication expansion clinical trials (which may include expansion into earlier lines of therapy or additional diseases);</w:t>
      </w:r>
    </w:p>
    <w:p>
      <w:pPr>
        <w:spacing w:after="0" w:line="118"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produce drug substance and drug product material for use in pre-clinical studies, clinical trials, and for use as commercial supply;</w:t>
      </w:r>
    </w:p>
    <w:p>
      <w:pPr>
        <w:spacing w:after="0" w:line="154"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discover, validate and develop additional drug candidates;</w:t>
      </w:r>
    </w:p>
    <w:p>
      <w:pPr>
        <w:spacing w:after="0" w:line="154"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research and development activities under our collaboration with Roche;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780" w:right="60" w:hanging="252"/>
        <w:spacing w:after="0" w:line="174" w:lineRule="exact"/>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development and commercialization activities for companion diagnostic tests, including our companion diagnostic tests with Ventana Medical Systems, Inc., or Ventana,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with QIAGEN Manchester Limited, or Qiagen, for BLU-285;</w:t>
      </w:r>
    </w:p>
    <w:p>
      <w:pPr>
        <w:spacing w:after="0" w:line="110"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154"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research, development and business personnel;</w:t>
      </w:r>
    </w:p>
    <w:p>
      <w:pPr>
        <w:spacing w:after="0" w:line="154" w:lineRule="exact"/>
        <w:rPr>
          <w:rFonts w:ascii="Times New Roman" w:cs="Times New Roman" w:eastAsia="Times New Roman" w:hAnsi="Times New Roman"/>
          <w:sz w:val="14"/>
          <w:szCs w:val="14"/>
          <w:color w:val="auto"/>
        </w:rPr>
      </w:pPr>
    </w:p>
    <w:p>
      <w:pPr>
        <w:ind w:left="780" w:right="60" w:hanging="252"/>
        <w:spacing w:after="0" w:line="252"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pre-commercial development activities and operations, including additional costs related to new office and laboratory space under the lease agreement that we entered into in April 2017; and</w:t>
      </w:r>
    </w:p>
    <w:p>
      <w:pPr>
        <w:spacing w:after="0" w:line="118"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costs associated with operating as a public company.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our expenses related to our program targeting ALK2 for the treatment of FOP will increase if we elect to advance that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58" w:lineRule="exact"/>
        <w:rPr>
          <w:sz w:val="20"/>
          <w:szCs w:val="20"/>
          <w:color w:val="auto"/>
        </w:rPr>
      </w:pPr>
    </w:p>
    <w:p>
      <w:pPr>
        <w:ind w:right="20" w:firstLine="522"/>
        <w:spacing w:after="0" w:line="239" w:lineRule="auto"/>
        <w:rPr>
          <w:sz w:val="20"/>
          <w:szCs w:val="20"/>
          <w:color w:val="auto"/>
        </w:rPr>
      </w:pPr>
      <w:r>
        <w:rPr>
          <w:rFonts w:ascii="Times New Roman" w:cs="Times New Roman" w:eastAsia="Times New Roman" w:hAnsi="Times New Roman"/>
          <w:sz w:val="14"/>
          <w:szCs w:val="14"/>
          <w:color w:val="auto"/>
        </w:rPr>
        <w:t>To date, we have not generated any revenue from drug sales and do not expect to generate any revenue from the sale of drugs in the near future. Our revenue consists of collaboration revenue under our research, development and commercialization agreement that we entered into with Alexion in March 2015, which we refer to as the Alexion Agreement, and our collaboration and license agreement that we entered into with Roche in March 2016, which we refer to as the Roche agreement, including amounts that are recognized related to upfront payments, milestone payments and amounts due to us for research and development services. In the future, revenue may include additional milestone payments and royalties on any net product sales under the collaboration agreement with Roche. We will not be entitled to receive payment for additional milestones, if any, achieved under the collaboration agreement with Alexion after July 26, 2017, which was the date we received notice of Alexion’s election to terminate the collaboration. Subject to the terms of the Alexion agreement, we will be entitled to receive payments from Alexion for certain research and development services through October 24, 2017, which is the effective date of the termination of the collaboration.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future, we will seek to generate revenue from a combination of drug sales and additional strategic relationships we may enter into.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56" w:lineRule="exact"/>
        <w:rPr>
          <w:sz w:val="20"/>
          <w:szCs w:val="20"/>
          <w:color w:val="auto"/>
        </w:rPr>
      </w:pPr>
    </w:p>
    <w:p>
      <w:pPr>
        <w:ind w:right="240" w:firstLine="522"/>
        <w:spacing w:after="0" w:line="252"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incurred for our research activities, including our drug discovery efforts, and the development of our drug candidates, which include:</w:t>
      </w:r>
    </w:p>
    <w:p>
      <w:pPr>
        <w:spacing w:after="0" w:line="119" w:lineRule="exact"/>
        <w:rPr>
          <w:sz w:val="20"/>
          <w:szCs w:val="20"/>
          <w:color w:val="auto"/>
        </w:rPr>
      </w:pPr>
    </w:p>
    <w:p>
      <w:pPr>
        <w:ind w:left="1060" w:hanging="271"/>
        <w:spacing w:after="0"/>
        <w:tabs>
          <w:tab w:leader="none" w:pos="1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benefits, and stock-based compensation expense;</w:t>
      </w:r>
    </w:p>
    <w:p>
      <w:pPr>
        <w:spacing w:after="0" w:line="154" w:lineRule="exact"/>
        <w:rPr>
          <w:rFonts w:ascii="Times New Roman" w:cs="Times New Roman" w:eastAsia="Times New Roman" w:hAnsi="Times New Roman"/>
          <w:sz w:val="14"/>
          <w:szCs w:val="14"/>
          <w:color w:val="auto"/>
        </w:rPr>
      </w:pPr>
    </w:p>
    <w:p>
      <w:pPr>
        <w:ind w:left="1060" w:hanging="271"/>
        <w:spacing w:after="0" w:line="252" w:lineRule="auto"/>
        <w:tabs>
          <w:tab w:leader="none" w:pos="1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third parties that conduct research and development, pre-clinical activities, clinical activities and manufacturing on our behalf;</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consultants;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lab supplies and acquiring, developing and manufacturing pre-clinical study and clinical trial materials; and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right="100" w:hanging="271"/>
        <w:spacing w:after="0" w:line="252" w:lineRule="auto"/>
        <w:tabs>
          <w:tab w:leader="none" w:pos="1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expenses, which include direct and allocated expenses for rent and maintenance of facilities, insurance, and other operating costs.</w:t>
      </w:r>
    </w:p>
    <w:p>
      <w:pPr>
        <w:spacing w:after="0" w:line="119" w:lineRule="exact"/>
        <w:rPr>
          <w:sz w:val="20"/>
          <w:szCs w:val="20"/>
          <w:color w:val="auto"/>
        </w:rPr>
      </w:pPr>
    </w:p>
    <w:p>
      <w:pPr>
        <w:ind w:right="320" w:firstLine="522"/>
        <w:spacing w:after="0" w:line="234" w:lineRule="auto"/>
        <w:rPr>
          <w:sz w:val="20"/>
          <w:szCs w:val="20"/>
          <w:color w:val="auto"/>
        </w:rPr>
      </w:pPr>
      <w:r>
        <w:rPr>
          <w:rFonts w:ascii="Times New Roman" w:cs="Times New Roman" w:eastAsia="Times New Roman" w:hAnsi="Times New Roman"/>
          <w:sz w:val="14"/>
          <w:szCs w:val="14"/>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27"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28" w:lineRule="exact"/>
        <w:rPr>
          <w:sz w:val="20"/>
          <w:szCs w:val="20"/>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 appropriate safety profile with Investigational New Drug, or IND, application-enabling toxicology studies;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enrollment in, and completion of clinical trials;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marketing approvals from applicable regulatory authorities;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commercial manufacturing capabilities or making arrangements with third-party manufacturers;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regulatory exclusivity for our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commercializing the drug candidates, if and when approved, whether alone or in collaboration with others;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acceptable safety profile of the drugs following approval.</w:t>
      </w:r>
    </w:p>
    <w:p>
      <w:pPr>
        <w:spacing w:after="0" w:line="154" w:lineRule="exact"/>
        <w:rPr>
          <w:sz w:val="20"/>
          <w:szCs w:val="20"/>
          <w:color w:val="auto"/>
        </w:rPr>
      </w:pPr>
    </w:p>
    <w:p>
      <w:pPr>
        <w:ind w:right="200" w:firstLine="522"/>
        <w:spacing w:after="0" w:line="252"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the development of any of our drug candidates would significantly change the costs and timing associated with the development of that drug candidate.</w:t>
      </w:r>
    </w:p>
    <w:p>
      <w:pPr>
        <w:spacing w:after="0" w:line="119" w:lineRule="exact"/>
        <w:rPr>
          <w:sz w:val="20"/>
          <w:szCs w:val="20"/>
          <w:color w:val="auto"/>
        </w:rPr>
      </w:pPr>
    </w:p>
    <w:p>
      <w:pPr>
        <w:ind w:right="160" w:firstLine="522"/>
        <w:spacing w:after="0" w:line="220"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31" w:lineRule="exact"/>
        <w:rPr>
          <w:sz w:val="20"/>
          <w:szCs w:val="20"/>
          <w:color w:val="auto"/>
        </w:rPr>
      </w:pPr>
    </w:p>
    <w:p>
      <w:pPr>
        <w:ind w:right="140" w:firstLine="522"/>
        <w:spacing w:after="0" w:line="228" w:lineRule="auto"/>
        <w:rPr>
          <w:sz w:val="20"/>
          <w:szCs w:val="20"/>
          <w:color w:val="auto"/>
        </w:rPr>
      </w:pPr>
      <w:r>
        <w:rPr>
          <w:rFonts w:ascii="Times New Roman" w:cs="Times New Roman" w:eastAsia="Times New Roman" w:hAnsi="Times New Roman"/>
          <w:sz w:val="14"/>
          <w:szCs w:val="14"/>
          <w:color w:val="auto"/>
        </w:rPr>
        <w:t>A significant portion of our research and development expenses have been external expenses, which we track on a program-by-program basis following nomination of a development candidate. Our internal research and development expenses are primarily personnel-related expenses, including stock-based compensation expense. We do not track our internal research and development expenses on a program-by-program basis as they are deployed across multiple projects under development.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firstLine="522"/>
        <w:spacing w:after="0" w:line="234" w:lineRule="auto"/>
        <w:rPr>
          <w:sz w:val="20"/>
          <w:szCs w:val="20"/>
          <w:color w:val="auto"/>
        </w:rPr>
      </w:pPr>
      <w:r>
        <w:rPr>
          <w:rFonts w:ascii="Times New Roman" w:cs="Times New Roman" w:eastAsia="Times New Roman" w:hAnsi="Times New Roman"/>
          <w:sz w:val="14"/>
          <w:szCs w:val="14"/>
          <w:color w:val="auto"/>
        </w:rPr>
        <w:t>The following table summarizes our external research and development expenses by program for the three and six months ended June 30, 2017 and 2016. Other development and pre-development candidate expenses and unallocated expenses and internal research and development expenses have been classified separately.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80" w:type="dxa"/>
            <w:vAlign w:val="bottom"/>
          </w:tcPr>
          <w:p>
            <w:pPr>
              <w:spacing w:after="0"/>
              <w:rPr>
                <w:sz w:val="12"/>
                <w:szCs w:val="12"/>
                <w:color w:val="auto"/>
              </w:rPr>
            </w:pPr>
          </w:p>
        </w:tc>
        <w:tc>
          <w:tcPr>
            <w:tcW w:w="180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00"/>
        </w:trPr>
        <w:tc>
          <w:tcPr>
            <w:tcW w:w="496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254"/>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50"/>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18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74"/>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70"/>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00"/>
        </w:trPr>
        <w:tc>
          <w:tcPr>
            <w:tcW w:w="4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00" w:type="dxa"/>
            <w:vAlign w:val="bottom"/>
          </w:tcPr>
          <w:p>
            <w:pPr>
              <w:spacing w:after="0"/>
              <w:rPr>
                <w:sz w:val="8"/>
                <w:szCs w:val="8"/>
                <w:color w:val="auto"/>
              </w:rPr>
            </w:pPr>
          </w:p>
        </w:tc>
      </w:tr>
      <w:tr>
        <w:trPr>
          <w:trHeight w:val="141"/>
        </w:trPr>
        <w:tc>
          <w:tcPr>
            <w:tcW w:w="4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BLU-285 external expenses</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10,342</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16,884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4,416</w:t>
            </w:r>
          </w:p>
        </w:tc>
      </w:tr>
      <w:tr>
        <w:trPr>
          <w:trHeight w:val="141"/>
        </w:trPr>
        <w:tc>
          <w:tcPr>
            <w:tcW w:w="4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BLU-554 external expenses</w:t>
            </w:r>
          </w:p>
        </w:tc>
        <w:tc>
          <w:tcPr>
            <w:tcW w:w="16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2,862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3,627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7,762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5,103</w:t>
            </w:r>
          </w:p>
        </w:tc>
      </w:tr>
      <w:tr>
        <w:trPr>
          <w:trHeight w:val="141"/>
        </w:trPr>
        <w:tc>
          <w:tcPr>
            <w:tcW w:w="4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BLU-667 external expenses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2,541</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2,488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4,559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4,353</w:t>
            </w:r>
          </w:p>
        </w:tc>
      </w:tr>
      <w:tr>
        <w:trPr>
          <w:trHeight w:val="141"/>
        </w:trPr>
        <w:tc>
          <w:tcPr>
            <w:tcW w:w="4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external research and development expenses</w:t>
            </w:r>
          </w:p>
        </w:tc>
        <w:tc>
          <w:tcPr>
            <w:tcW w:w="16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10,729</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7,813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19,783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16,139</w:t>
            </w:r>
          </w:p>
        </w:tc>
      </w:tr>
      <w:tr>
        <w:trPr>
          <w:trHeight w:val="141"/>
        </w:trPr>
        <w:tc>
          <w:tcPr>
            <w:tcW w:w="49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Internal research and development expenses</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6,797</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4,570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12,770</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8,897</w:t>
            </w:r>
          </w:p>
        </w:tc>
      </w:tr>
      <w:tr>
        <w:trPr>
          <w:trHeight w:val="134"/>
        </w:trPr>
        <w:tc>
          <w:tcPr>
            <w:tcW w:w="49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Total research and development expenses</w:t>
            </w:r>
          </w:p>
        </w:tc>
        <w:tc>
          <w:tcPr>
            <w:tcW w:w="160" w:type="dxa"/>
            <w:vAlign w:val="bottom"/>
            <w:tcBorders>
              <w:bottom w:val="single" w:sz="8" w:color="auto"/>
            </w:tcBorders>
          </w:tcPr>
          <w:p>
            <w:pPr>
              <w:jc w:val="right"/>
              <w:ind w:right="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33,271</w:t>
            </w:r>
          </w:p>
        </w:tc>
        <w:tc>
          <w:tcPr>
            <w:tcW w:w="180" w:type="dxa"/>
            <w:vAlign w:val="bottom"/>
          </w:tcPr>
          <w:p>
            <w:pPr>
              <w:spacing w:after="0"/>
              <w:rPr>
                <w:sz w:val="11"/>
                <w:szCs w:val="11"/>
                <w:color w:val="auto"/>
              </w:rPr>
            </w:pPr>
          </w:p>
        </w:tc>
        <w:tc>
          <w:tcPr>
            <w:tcW w:w="300" w:type="dxa"/>
            <w:vAlign w:val="bottom"/>
            <w:tcBorders>
              <w:bottom w:val="single" w:sz="8" w:color="auto"/>
            </w:tcBorders>
          </w:tcPr>
          <w:p>
            <w:pPr>
              <w:jc w:val="right"/>
              <w:ind w:right="14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21,273</w:t>
            </w:r>
          </w:p>
        </w:tc>
        <w:tc>
          <w:tcPr>
            <w:tcW w:w="180" w:type="dxa"/>
            <w:vAlign w:val="bottom"/>
          </w:tcPr>
          <w:p>
            <w:pPr>
              <w:spacing w:after="0"/>
              <w:rPr>
                <w:sz w:val="11"/>
                <w:szCs w:val="11"/>
                <w:color w:val="auto"/>
              </w:rPr>
            </w:pPr>
          </w:p>
        </w:tc>
        <w:tc>
          <w:tcPr>
            <w:tcW w:w="180" w:type="dxa"/>
            <w:vAlign w:val="bottom"/>
            <w:tcBorders>
              <w:bottom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61,758</w:t>
            </w:r>
          </w:p>
        </w:tc>
        <w:tc>
          <w:tcPr>
            <w:tcW w:w="180" w:type="dxa"/>
            <w:vAlign w:val="bottom"/>
          </w:tcPr>
          <w:p>
            <w:pPr>
              <w:spacing w:after="0"/>
              <w:rPr>
                <w:sz w:val="11"/>
                <w:szCs w:val="11"/>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38,908</w:t>
            </w:r>
          </w:p>
        </w:tc>
      </w:tr>
    </w:tbl>
    <w:p>
      <w:pPr>
        <w:spacing w:after="0" w:line="148" w:lineRule="exact"/>
        <w:rPr>
          <w:sz w:val="20"/>
          <w:szCs w:val="20"/>
          <w:color w:val="auto"/>
        </w:rPr>
      </w:pPr>
    </w:p>
    <w:p>
      <w:pPr>
        <w:ind w:right="60" w:firstLine="522"/>
        <w:spacing w:after="0" w:line="220" w:lineRule="auto"/>
        <w:rPr>
          <w:sz w:val="20"/>
          <w:szCs w:val="20"/>
          <w:color w:val="auto"/>
        </w:rPr>
      </w:pPr>
      <w:r>
        <w:rPr>
          <w:rFonts w:ascii="Times New Roman" w:cs="Times New Roman" w:eastAsia="Times New Roman" w:hAnsi="Times New Roman"/>
          <w:sz w:val="14"/>
          <w:szCs w:val="14"/>
          <w:color w:val="auto"/>
        </w:rPr>
        <w:t>We expect that our research and development expenses will increase in future periods as we expand our operations and incur additional costs in connection with our existing clinical trials and initiate additional clinical trials. These increases will likely include the costs related to the implementation and expansion of clinical trial sites and related patient enrollment, monitoring, program management, drug product and drug substance manufacturing expenses and development activities for companion diagnostic tests, including our companion diagnostic tests with Ventana and Qiagen. In addition, we expect that our research and development expenses will increase in future periods as we incur additional costs in connection with research and development activities under our existing collaboration agreement with Roche and if we elect to advance our program targeting ALK2 for the treatment of FOP that was the subject of our collaboration with Alexion.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56" w:lineRule="exact"/>
        <w:rPr>
          <w:sz w:val="20"/>
          <w:szCs w:val="20"/>
          <w:color w:val="auto"/>
        </w:rPr>
      </w:pPr>
    </w:p>
    <w:p>
      <w:pPr>
        <w:ind w:right="120" w:firstLine="522"/>
        <w:spacing w:after="0" w:line="225"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other related costs, including stock-based compensation, for personnel in executive, finance, accounting, business development, legal, compliance, human resources and commercial planning functions. Stock-based compensation includes expense associated with stock-based awards issued to non-employees, including directors for non-board related services. Other significant costs include facility costs not otherwise included in research and development expenses, legal fees relating to patent and corporate matters and fees for accounting and consulting services.</w:t>
      </w:r>
    </w:p>
    <w:p>
      <w:pPr>
        <w:spacing w:after="0" w:line="126" w:lineRule="exact"/>
        <w:rPr>
          <w:sz w:val="20"/>
          <w:szCs w:val="20"/>
          <w:color w:val="auto"/>
        </w:rPr>
      </w:pPr>
    </w:p>
    <w:p>
      <w:pPr>
        <w:ind w:right="120" w:firstLine="522"/>
        <w:spacing w:after="0" w:line="220"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These increases will likely include increased costs related to the hiring of additional personnel, legal, auditing and filing fees and general compliance and consulting expenses, among other expenses. 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commencing January 1, 2018. We have incurred and will continue to incur additional costs associated with operating as a public company, including as a result of becoming a large accelerated filer.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income (expense), net consists primarily of income earned on cash equivalents and investments.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56" w:lineRule="exact"/>
        <w:rPr>
          <w:sz w:val="20"/>
          <w:szCs w:val="20"/>
          <w:color w:val="auto"/>
        </w:rPr>
      </w:pPr>
    </w:p>
    <w:p>
      <w:pPr>
        <w:ind w:right="400" w:firstLine="522"/>
        <w:spacing w:after="0" w:line="252" w:lineRule="auto"/>
        <w:rPr>
          <w:sz w:val="20"/>
          <w:szCs w:val="20"/>
          <w:color w:val="auto"/>
        </w:rPr>
      </w:pPr>
      <w:r>
        <w:rPr>
          <w:rFonts w:ascii="Times New Roman" w:cs="Times New Roman" w:eastAsia="Times New Roman" w:hAnsi="Times New Roman"/>
          <w:sz w:val="14"/>
          <w:szCs w:val="14"/>
          <w:color w:val="auto"/>
        </w:rPr>
        <w:t>Interest expense consists primarily of interest expense on amounts outstanding under a loan and security agreement that we entered into with Silicon Valley Bank in May 2013 and amortization of debt discount.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Policies and Estimates</w:t>
      </w:r>
    </w:p>
    <w:p>
      <w:pPr>
        <w:spacing w:after="0" w:line="158" w:lineRule="exact"/>
        <w:rPr>
          <w:sz w:val="20"/>
          <w:szCs w:val="20"/>
          <w:color w:val="auto"/>
        </w:rPr>
      </w:pPr>
    </w:p>
    <w:p>
      <w:pPr>
        <w:ind w:right="380" w:firstLine="522"/>
        <w:spacing w:after="0" w:line="252" w:lineRule="auto"/>
        <w:rPr>
          <w:sz w:val="20"/>
          <w:szCs w:val="20"/>
          <w:color w:val="auto"/>
        </w:rPr>
      </w:pPr>
      <w:r>
        <w:rPr>
          <w:rFonts w:ascii="Times New Roman" w:cs="Times New Roman" w:eastAsia="Times New Roman" w:hAnsi="Times New Roman"/>
          <w:sz w:val="14"/>
          <w:szCs w:val="14"/>
          <w:color w:val="auto"/>
        </w:rPr>
        <w:t>Our critical accounting policies are those policies that require the most significant judgments and estimates in the preparation of our financial statements. Management has determined that our most critical accounting policies 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those relating to revenue recognition, accrued research and development expenses, available-for-sale investments and stock-based compensation.</w:t>
      </w:r>
    </w:p>
    <w:p>
      <w:pPr>
        <w:spacing w:after="0" w:line="154" w:lineRule="exact"/>
        <w:rPr>
          <w:sz w:val="20"/>
          <w:szCs w:val="20"/>
          <w:color w:val="auto"/>
        </w:rPr>
      </w:pPr>
    </w:p>
    <w:p>
      <w:pPr>
        <w:ind w:right="440" w:firstLine="522"/>
        <w:spacing w:after="0" w:line="234" w:lineRule="auto"/>
        <w:rPr>
          <w:sz w:val="20"/>
          <w:szCs w:val="20"/>
          <w:color w:val="auto"/>
        </w:rPr>
      </w:pPr>
      <w:r>
        <w:rPr>
          <w:rFonts w:ascii="Times New Roman" w:cs="Times New Roman" w:eastAsia="Times New Roman" w:hAnsi="Times New Roman"/>
          <w:sz w:val="14"/>
          <w:szCs w:val="14"/>
          <w:color w:val="auto"/>
        </w:rPr>
        <w:t>There have been no significant changes to our critical accounting policies discussed in our Annual Report on Form 10-K for the year ended December 31, 2016 related to available-for-sale investments, revenue recognition, accrued research and development expenses and stock-based compensation.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Three Months Ended June 30, 2017 and 2016</w:t>
      </w:r>
    </w:p>
    <w:p>
      <w:pPr>
        <w:spacing w:after="0" w:line="158" w:lineRule="exact"/>
        <w:rPr>
          <w:sz w:val="20"/>
          <w:szCs w:val="20"/>
          <w:color w:val="auto"/>
        </w:rPr>
      </w:pPr>
    </w:p>
    <w:p>
      <w:pPr>
        <w:ind w:right="160" w:firstLine="522"/>
        <w:spacing w:after="0" w:line="252"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June 30, 2017 and 2016, together with the changes in those items in dollars and as a percentage: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center"/>
              <w:ind w:left="351"/>
              <w:spacing w:after="0" w:line="131"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 Change</w:t>
            </w:r>
          </w:p>
        </w:tc>
        <w:tc>
          <w:tcPr>
            <w:tcW w:w="6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w w:val="95"/>
              </w:rPr>
              <w:t>% Change</w:t>
            </w:r>
          </w:p>
        </w:tc>
        <w:tc>
          <w:tcPr>
            <w:tcW w:w="0" w:type="dxa"/>
            <w:vAlign w:val="bottom"/>
          </w:tcPr>
          <w:p>
            <w:pPr>
              <w:spacing w:after="0"/>
              <w:rPr>
                <w:sz w:val="1"/>
                <w:szCs w:val="1"/>
                <w:color w:val="auto"/>
              </w:rPr>
            </w:pPr>
          </w:p>
        </w:tc>
      </w:tr>
      <w:tr>
        <w:trPr>
          <w:trHeight w:val="100"/>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51"/>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9"/>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1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4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Collaboration revenue</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5,890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7,065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(1,175)</w:t>
            </w:r>
          </w:p>
        </w:tc>
        <w:tc>
          <w:tcPr>
            <w:tcW w:w="6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1"/>
        </w:trPr>
        <w:tc>
          <w:tcPr>
            <w:tcW w:w="34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33,271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21,273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11,998</w:t>
            </w: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tcBorders>
              <w:bottom w:val="single" w:sz="8" w:color="CCEEFF"/>
            </w:tcBorders>
          </w:tcPr>
          <w:p>
            <w:pPr>
              <w:ind w:left="180"/>
              <w:spacing w:after="0" w:line="141"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6,833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4,688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2,145</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40,104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25,961</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14,143</w:t>
            </w:r>
          </w:p>
        </w:tc>
        <w:tc>
          <w:tcPr>
            <w:tcW w:w="1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730</w:t>
            </w: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802</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800</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40,000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w w:val="98"/>
              </w:rPr>
              <w:t>(33,412)</w:t>
            </w:r>
          </w:p>
        </w:tc>
        <w:tc>
          <w:tcPr>
            <w:tcW w:w="160" w:type="dxa"/>
            <w:vAlign w:val="bottom"/>
          </w:tcPr>
          <w:p>
            <w:pPr>
              <w:spacing w:after="0"/>
              <w:rPr>
                <w:sz w:val="12"/>
                <w:szCs w:val="12"/>
                <w:color w:val="auto"/>
              </w:rPr>
            </w:pPr>
          </w:p>
        </w:tc>
        <w:tc>
          <w:tcPr>
            <w:tcW w:w="1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w w:val="98"/>
              </w:rPr>
              <w:t>(18,894)</w:t>
            </w:r>
          </w:p>
        </w:tc>
        <w:tc>
          <w:tcPr>
            <w:tcW w:w="16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(14,518)</w:t>
            </w:r>
          </w:p>
        </w:tc>
        <w:tc>
          <w:tcPr>
            <w:tcW w:w="16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Revenue</w:t>
      </w:r>
    </w:p>
    <w:p>
      <w:pPr>
        <w:spacing w:after="0" w:line="156" w:lineRule="exact"/>
        <w:rPr>
          <w:sz w:val="20"/>
          <w:szCs w:val="20"/>
          <w:color w:val="auto"/>
        </w:rPr>
      </w:pPr>
    </w:p>
    <w:p>
      <w:pPr>
        <w:ind w:firstLine="522"/>
        <w:spacing w:after="0" w:line="216" w:lineRule="auto"/>
        <w:rPr>
          <w:sz w:val="20"/>
          <w:szCs w:val="20"/>
          <w:color w:val="auto"/>
        </w:rPr>
      </w:pPr>
      <w:r>
        <w:rPr>
          <w:rFonts w:ascii="Times New Roman" w:cs="Times New Roman" w:eastAsia="Times New Roman" w:hAnsi="Times New Roman"/>
          <w:sz w:val="14"/>
          <w:szCs w:val="14"/>
          <w:color w:val="auto"/>
        </w:rPr>
        <w:t>Collaboration revenue decreased by $1.2 million from $7.1 million for the three months ended June 30, 2016 to $5.9 million for the three months ended June 30, 2017. Collaboration revenue for the three months ended June 30, 2017 was related to the Alexion and Roche agreements. We recorded collaboration revenue of $4.5 million and $5.7 million under the Alexion agreement for the three months ended June 30, 2017 and 2016, respectively. The decrease in collaboration revenue under the Alexion agreement was primarily related to a decrease in reimbursable research and development activities and a decrease in the recognition of portions of the $15.0 million upfront payment and $1.8 million in milestone payments received from Alexion that are recognized utilizing the proportional performance model. As a result of the termination of the Alexion agreement, we anticipate recognizing the remaining deferred revenue balance of $3.7 million related to the revenue recognized utilizing the proportional performance model over the remaining period of involvement. We also will not be entitled to receive payment for additional milestones, if any, achieved under the collaboration agreement with Alexion after July 26, 2017, which was the date we received notice of Alexion’s election to terminate the collaboration. In addition, subject to the terms of the Alexion agreement, we will be entitled to receive payments from Alexion for certain research and development services through October 24, 2017, which is the effective date of the termination of the collaboration. As a result, we anticipate collaboration revenue related to reimbursable research and development expenses will decrease significantly in future periods. We entered into the Roche agreement in March 2016 and recorded $1.4 million in collaboration revenue under the Roche agreement for the three months ended June 30, 2017 and June 30, 2016.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56" w:lineRule="exact"/>
        <w:rPr>
          <w:sz w:val="20"/>
          <w:szCs w:val="20"/>
          <w:color w:val="auto"/>
        </w:rPr>
      </w:pPr>
    </w:p>
    <w:p>
      <w:pPr>
        <w:ind w:right="140" w:firstLine="522"/>
        <w:spacing w:after="0" w:line="252" w:lineRule="auto"/>
        <w:rPr>
          <w:sz w:val="20"/>
          <w:szCs w:val="20"/>
          <w:color w:val="auto"/>
        </w:rPr>
      </w:pPr>
      <w:r>
        <w:rPr>
          <w:rFonts w:ascii="Times New Roman" w:cs="Times New Roman" w:eastAsia="Times New Roman" w:hAnsi="Times New Roman"/>
          <w:sz w:val="14"/>
          <w:szCs w:val="14"/>
          <w:color w:val="auto"/>
        </w:rPr>
        <w:t>Research and development expense increased by $12.0 million from $21.3 million for the three months ended June 30, 2016 to $33.3 million for the three months ended June 30, 2017. The increase in research and development expense was primarily related to the following:</w:t>
      </w:r>
    </w:p>
    <w:p>
      <w:pPr>
        <w:spacing w:after="0" w:line="119" w:lineRule="exact"/>
        <w:rPr>
          <w:sz w:val="20"/>
          <w:szCs w:val="20"/>
          <w:color w:val="auto"/>
        </w:rPr>
      </w:pPr>
    </w:p>
    <w:p>
      <w:pPr>
        <w:ind w:left="1060" w:hanging="27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$5.1 million in increased expenses associated with clinical manufacturing activities</w:t>
      </w:r>
    </w:p>
    <w:p>
      <w:pPr>
        <w:spacing w:after="0" w:line="200" w:lineRule="exact"/>
        <w:rPr>
          <w:rFonts w:ascii="Times New Roman" w:cs="Times New Roman" w:eastAsia="Times New Roman" w:hAnsi="Times New Roman"/>
          <w:sz w:val="14"/>
          <w:szCs w:val="14"/>
          <w:color w:val="auto"/>
        </w:rPr>
      </w:pPr>
    </w:p>
    <w:p>
      <w:pPr>
        <w:spacing w:after="0" w:line="302" w:lineRule="exact"/>
        <w:rPr>
          <w:rFonts w:ascii="Times New Roman" w:cs="Times New Roman" w:eastAsia="Times New Roman" w:hAnsi="Times New Roman"/>
          <w:sz w:val="14"/>
          <w:szCs w:val="14"/>
          <w:color w:val="auto"/>
        </w:rPr>
      </w:pPr>
    </w:p>
    <w:p>
      <w:pPr>
        <w:ind w:left="4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right="160" w:hanging="271"/>
        <w:spacing w:after="0" w:line="252" w:lineRule="auto"/>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$3.0 million in increased personnel expense primarily due to a 39% increase in headcount and an increase in stock-based compensation expense, which were driven by growth in the clinical and non-clinical organizations; and</w:t>
      </w:r>
    </w:p>
    <w:p>
      <w:pPr>
        <w:spacing w:after="0" w:line="95" w:lineRule="exact"/>
        <w:rPr>
          <w:rFonts w:ascii="Times New Roman" w:cs="Times New Roman" w:eastAsia="Times New Roman" w:hAnsi="Times New Roman"/>
          <w:sz w:val="14"/>
          <w:szCs w:val="14"/>
          <w:color w:val="auto"/>
        </w:rPr>
      </w:pPr>
    </w:p>
    <w:p>
      <w:pPr>
        <w:ind w:left="1060" w:right="380" w:hanging="271"/>
        <w:spacing w:after="0" w:line="185" w:lineRule="exact"/>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$2.6 million in increased expenses for external clinical activities as we advanced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BLU-667, in Phase 1 clinical trials.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56" w:lineRule="exact"/>
        <w:rPr>
          <w:sz w:val="20"/>
          <w:szCs w:val="20"/>
          <w:color w:val="auto"/>
        </w:rPr>
      </w:pPr>
    </w:p>
    <w:p>
      <w:pPr>
        <w:ind w:right="180" w:firstLine="522"/>
        <w:spacing w:after="0" w:line="228" w:lineRule="auto"/>
        <w:rPr>
          <w:sz w:val="20"/>
          <w:szCs w:val="20"/>
          <w:color w:val="auto"/>
        </w:rPr>
      </w:pPr>
      <w:r>
        <w:rPr>
          <w:rFonts w:ascii="Times New Roman" w:cs="Times New Roman" w:eastAsia="Times New Roman" w:hAnsi="Times New Roman"/>
          <w:sz w:val="14"/>
          <w:szCs w:val="14"/>
          <w:color w:val="auto"/>
        </w:rPr>
        <w:t>General and administrative expense increased by $2.1 million from $4.7 million for the three months ended June 30, 2016 to $6.8 million for the three months ended June 30, 2017. The increase in general and administrative expense was primarily related to approximately $1.4 million in increased personnel expenses due to an increase of 32% in general and administrative headcount to support our overall growth as a publicly traded company and an increase in stock-based compensation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56" w:lineRule="exact"/>
        <w:rPr>
          <w:sz w:val="20"/>
          <w:szCs w:val="20"/>
          <w:color w:val="auto"/>
        </w:rPr>
      </w:pPr>
    </w:p>
    <w:p>
      <w:pPr>
        <w:jc w:val="both"/>
        <w:ind w:right="200" w:firstLine="522"/>
        <w:spacing w:after="0" w:line="234" w:lineRule="auto"/>
        <w:rPr>
          <w:sz w:val="20"/>
          <w:szCs w:val="20"/>
          <w:color w:val="auto"/>
        </w:rPr>
      </w:pPr>
      <w:r>
        <w:rPr>
          <w:rFonts w:ascii="Times New Roman" w:cs="Times New Roman" w:eastAsia="Times New Roman" w:hAnsi="Times New Roman"/>
          <w:sz w:val="14"/>
          <w:szCs w:val="14"/>
          <w:color w:val="auto"/>
        </w:rPr>
        <w:t>Other income (expense), net, increased by $0.7 million from $0.1 million of income for the three months ended June 30, 2016 to $0.8 million of income for the three months ended June 30, 2017. The increase in other income (expense), net, was primarily related to an increase in investment income due to higher average investment balances during the three months ended June 30, 2017.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56" w:lineRule="exact"/>
        <w:rPr>
          <w:sz w:val="20"/>
          <w:szCs w:val="20"/>
          <w:color w:val="auto"/>
        </w:rPr>
      </w:pPr>
    </w:p>
    <w:p>
      <w:pPr>
        <w:ind w:right="20" w:firstLine="522"/>
        <w:spacing w:after="0" w:line="228" w:lineRule="auto"/>
        <w:rPr>
          <w:sz w:val="20"/>
          <w:szCs w:val="20"/>
          <w:color w:val="auto"/>
        </w:rPr>
      </w:pPr>
      <w:r>
        <w:rPr>
          <w:rFonts w:ascii="Times New Roman" w:cs="Times New Roman" w:eastAsia="Times New Roman" w:hAnsi="Times New Roman"/>
          <w:sz w:val="14"/>
          <w:szCs w:val="14"/>
          <w:color w:val="auto"/>
        </w:rPr>
        <w:t>Interest expense decreased by less than $0.1 million from $0.1 million for the three months ended June 30, 2016 to less than $0.1 million for the three months ended June 30, 2017. The decrease was primarily related to a decrease in the average outstanding principle balance under the loan and security agreement with Silicon Valley Bank for the three months ended June 30, 2017. We expect that interest expense will continue to decrease in subsequent periods as the principal amount under the loan decreases.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Six Months Ended June 30, 2017 and 2016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5"/>
              </w:rPr>
              <w:t>Dollar Change</w:t>
            </w:r>
          </w:p>
        </w:tc>
        <w:tc>
          <w:tcPr>
            <w:tcW w:w="84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00"/>
        </w:trPr>
        <w:tc>
          <w:tcPr>
            <w:tcW w:w="5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jc w:val="right"/>
              <w:ind w:right="232"/>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40" w:type="dxa"/>
            <w:vAlign w:val="bottom"/>
            <w:tcBorders>
              <w:top w:val="single" w:sz="8" w:color="auto"/>
            </w:tcBorders>
            <w:gridSpan w:val="5"/>
          </w:tcPr>
          <w:p>
            <w:pPr>
              <w:jc w:val="right"/>
              <w:ind w:right="820"/>
              <w:spacing w:after="0" w:line="100"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Collaboration revenue</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11,730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13,921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(2,191)</w:t>
            </w:r>
          </w:p>
        </w:tc>
        <w:tc>
          <w:tcPr>
            <w:tcW w:w="8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1"/>
        </w:trPr>
        <w:tc>
          <w:tcPr>
            <w:tcW w:w="5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4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61,758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38,908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22,850</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40" w:type="dxa"/>
            <w:vAlign w:val="bottom"/>
            <w:tcBorders>
              <w:bottom w:val="single" w:sz="8" w:color="CCEEFF"/>
            </w:tcBorders>
          </w:tcPr>
          <w:p>
            <w:pPr>
              <w:ind w:left="180"/>
              <w:spacing w:after="0" w:line="141" w:lineRule="exact"/>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12,516</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9,334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3,182</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74,274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48,242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26,032</w:t>
            </w: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4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1,094</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570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4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Total other income (expense)</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1,155</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1,232</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1,600</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2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(61,389)</w:t>
            </w:r>
          </w:p>
        </w:tc>
        <w:tc>
          <w:tcPr>
            <w:tcW w:w="140" w:type="dxa"/>
            <w:vAlign w:val="bottom"/>
          </w:tcPr>
          <w:p>
            <w:pPr>
              <w:spacing w:after="0"/>
              <w:rPr>
                <w:sz w:val="11"/>
                <w:szCs w:val="11"/>
                <w:color w:val="auto"/>
              </w:rPr>
            </w:pPr>
          </w:p>
        </w:tc>
        <w:tc>
          <w:tcPr>
            <w:tcW w:w="22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(34,398)</w:t>
            </w:r>
          </w:p>
        </w:tc>
        <w:tc>
          <w:tcPr>
            <w:tcW w:w="140" w:type="dxa"/>
            <w:vAlign w:val="bottom"/>
          </w:tcPr>
          <w:p>
            <w:pPr>
              <w:spacing w:after="0"/>
              <w:rPr>
                <w:sz w:val="11"/>
                <w:szCs w:val="11"/>
                <w:color w:val="auto"/>
              </w:rPr>
            </w:pPr>
          </w:p>
        </w:tc>
        <w:tc>
          <w:tcPr>
            <w:tcW w:w="1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(26,991)</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Revenue</w:t>
      </w:r>
    </w:p>
    <w:p>
      <w:pPr>
        <w:spacing w:after="0" w:line="156" w:lineRule="exact"/>
        <w:rPr>
          <w:sz w:val="20"/>
          <w:szCs w:val="20"/>
          <w:color w:val="auto"/>
        </w:rPr>
      </w:pPr>
    </w:p>
    <w:p>
      <w:pPr>
        <w:ind w:right="240" w:firstLine="522"/>
        <w:spacing w:after="0" w:line="222" w:lineRule="auto"/>
        <w:rPr>
          <w:sz w:val="20"/>
          <w:szCs w:val="20"/>
          <w:color w:val="auto"/>
        </w:rPr>
      </w:pPr>
      <w:r>
        <w:rPr>
          <w:rFonts w:ascii="Times New Roman" w:cs="Times New Roman" w:eastAsia="Times New Roman" w:hAnsi="Times New Roman"/>
          <w:sz w:val="14"/>
          <w:szCs w:val="14"/>
          <w:color w:val="auto"/>
        </w:rPr>
        <w:t>Collaboration revenue decreased by $2.2 million from $13.9 million for the six months ended June 30, 2016 to $11.7 million for the six months ended June 30, 2017. Collaboration revenue for the six months ended June 30, 2017 was related to the Alexion and Roche agreements. We recorded collaboration revenue of $8.9 million and $12.3 million under the Alexion agreement for the six months ended June 30, 2017 and June 30, 2016, respectively. The decrease in collaboration revenue under the Alexion agreement was primarily related to a decrease in reimbursable research and development costs and a decrease in recognition of portions of the $15.0 million upfront payment and $1.8 million in milestone payments received from Alexion that are recognized utilizing the proportional performance model. Also</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contributing to the decrease was the impact of the recognition of a milestone payment upon achievement included in the six months ended June 30, 2016. As a result of the termination of the Alexion agreement, we anticipate recognizing the remaining deferred revenue balance of $3.7 million related to revenue recognized utilizing the proportional performance model over the remaining period of involvement. We also will not be entitled to receive payment for additional milestones, if any, achieved under the collaboration agreement with Alexion after July 26, 2017, which was the date we received notice of Alexion’s election to terminate the collaboration. In addition, subject to the terms of the Alexion agreement, we will be entitled to receive payments from Alexion for certain research and development services through October 24, 2017, which is the effective date of the termination of the collaboration. As a result, we anticipate collaboration revenue related to reimbursable research and development expenses will decrease significantly in future periods. We entered into the Roche agreement in March 2016 and recorded $2.8 million and $1.6 million in collaboration revenue under the Roche agreement for the six months ended June 30, 2017 and June 30, 2016,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56" w:lineRule="exact"/>
        <w:rPr>
          <w:sz w:val="20"/>
          <w:szCs w:val="20"/>
          <w:color w:val="auto"/>
        </w:rPr>
      </w:pPr>
    </w:p>
    <w:p>
      <w:pPr>
        <w:ind w:right="80" w:firstLine="522"/>
        <w:spacing w:after="0" w:line="252" w:lineRule="auto"/>
        <w:rPr>
          <w:sz w:val="20"/>
          <w:szCs w:val="20"/>
          <w:color w:val="auto"/>
        </w:rPr>
      </w:pPr>
      <w:r>
        <w:rPr>
          <w:rFonts w:ascii="Times New Roman" w:cs="Times New Roman" w:eastAsia="Times New Roman" w:hAnsi="Times New Roman"/>
          <w:sz w:val="14"/>
          <w:szCs w:val="14"/>
          <w:color w:val="auto"/>
        </w:rPr>
        <w:t>Research and development expense increased by $22.9 million from $38.9 million for the six months ended June 30, 2016 to $61.8 million for the six months ended June 30, 2017. The increase in research and development expense was primarily related to the following:</w:t>
      </w:r>
    </w:p>
    <w:p>
      <w:pPr>
        <w:spacing w:after="0" w:line="119" w:lineRule="exact"/>
        <w:rPr>
          <w:sz w:val="20"/>
          <w:szCs w:val="20"/>
          <w:color w:val="auto"/>
        </w:rPr>
      </w:pPr>
    </w:p>
    <w:p>
      <w:pPr>
        <w:ind w:left="1060" w:hanging="271"/>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$9.4 million in increased expenses associated with clinical manufacturing activities</w:t>
      </w:r>
    </w:p>
    <w:p>
      <w:pPr>
        <w:spacing w:after="0" w:line="131" w:lineRule="exact"/>
        <w:rPr>
          <w:rFonts w:ascii="Times New Roman" w:cs="Times New Roman" w:eastAsia="Times New Roman" w:hAnsi="Times New Roman"/>
          <w:sz w:val="14"/>
          <w:szCs w:val="14"/>
          <w:color w:val="auto"/>
        </w:rPr>
      </w:pPr>
    </w:p>
    <w:p>
      <w:pPr>
        <w:ind w:left="1060" w:right="380" w:hanging="271"/>
        <w:spacing w:after="0" w:line="185" w:lineRule="exact"/>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$7.6 million in increased expenses for external clinical activities as we advanced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BLU-667, in Phase 1 clinical trials; and</w:t>
      </w:r>
    </w:p>
    <w:p>
      <w:pPr>
        <w:spacing w:after="0" w:line="111" w:lineRule="exact"/>
        <w:rPr>
          <w:rFonts w:ascii="Times New Roman" w:cs="Times New Roman" w:eastAsia="Times New Roman" w:hAnsi="Times New Roman"/>
          <w:sz w:val="14"/>
          <w:szCs w:val="14"/>
          <w:color w:val="auto"/>
        </w:rPr>
      </w:pPr>
    </w:p>
    <w:p>
      <w:pPr>
        <w:ind w:left="1060" w:right="160" w:hanging="271"/>
        <w:spacing w:after="0" w:line="252" w:lineRule="auto"/>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$4.8 million in increased personnel expense primarily due to a 34% increase in headcount and an increase in stock-based compensation expense, which were driven by growth in the clinical and non-clinical organizations.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56" w:lineRule="exact"/>
        <w:rPr>
          <w:sz w:val="20"/>
          <w:szCs w:val="20"/>
          <w:color w:val="auto"/>
        </w:rPr>
      </w:pPr>
    </w:p>
    <w:p>
      <w:pPr>
        <w:ind w:right="20" w:firstLine="522"/>
        <w:spacing w:after="0" w:line="252" w:lineRule="auto"/>
        <w:rPr>
          <w:sz w:val="20"/>
          <w:szCs w:val="20"/>
          <w:color w:val="auto"/>
        </w:rPr>
      </w:pPr>
      <w:r>
        <w:rPr>
          <w:rFonts w:ascii="Times New Roman" w:cs="Times New Roman" w:eastAsia="Times New Roman" w:hAnsi="Times New Roman"/>
          <w:sz w:val="14"/>
          <w:szCs w:val="14"/>
          <w:color w:val="auto"/>
        </w:rPr>
        <w:t>General and administrative expense increased by $3.2 million from $9.3 million for the six months ended June 30, 2016 to $12.5 million for the six months ended June 30, 2017. The increase in general and administrative expense was primarily related to the following:</w:t>
      </w:r>
    </w:p>
    <w:p>
      <w:pPr>
        <w:spacing w:after="0" w:line="119" w:lineRule="exact"/>
        <w:rPr>
          <w:sz w:val="20"/>
          <w:szCs w:val="20"/>
          <w:color w:val="auto"/>
        </w:rPr>
      </w:pPr>
    </w:p>
    <w:p>
      <w:pPr>
        <w:ind w:left="1060" w:right="60" w:hanging="271"/>
        <w:spacing w:after="0" w:line="252" w:lineRule="auto"/>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$2.3 million in increased personnel expenses due to an increase of 29% in general and administrative headcount to support our overall growth as a publicly traded company and an increase in stock-based compensation expense; and</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$0.7 million in increased professional fees including market research and public relations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56" w:lineRule="exact"/>
        <w:rPr>
          <w:sz w:val="20"/>
          <w:szCs w:val="20"/>
          <w:color w:val="auto"/>
        </w:rPr>
      </w:pPr>
    </w:p>
    <w:p>
      <w:pPr>
        <w:jc w:val="both"/>
        <w:ind w:right="320" w:firstLine="522"/>
        <w:spacing w:after="0" w:line="234" w:lineRule="auto"/>
        <w:rPr>
          <w:sz w:val="20"/>
          <w:szCs w:val="20"/>
          <w:color w:val="auto"/>
        </w:rPr>
      </w:pPr>
      <w:r>
        <w:rPr>
          <w:rFonts w:ascii="Times New Roman" w:cs="Times New Roman" w:eastAsia="Times New Roman" w:hAnsi="Times New Roman"/>
          <w:sz w:val="14"/>
          <w:szCs w:val="14"/>
          <w:color w:val="auto"/>
        </w:rPr>
        <w:t>Other income (expense), net, increased by $1.1 million from $0.2 million of income for the six months ended June 30, 2016 to $1.3 million of income for the six months ended June 30, 2017. The increase in other income (expense), net, was primarily related to an increase in investment income during the six months ended June 30, 2017.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56"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Interest expense decreased by $0.1 million from $0.2 million for the six months ended June 30, 2016 to $0.1 million for the six months ended June 30, 2017. The decrease was primarily related to a decrease in the average outstanding principle balance under the loan and security agreement with Silicon Valley Bank for the six months ended June 30, 2017. We expect that interest expense will continue to decrease in subsequent periods as the principal amount under the loan decreases.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date, we have financed our operations primarily through public offerings of our common stock, private placements of our convertible preferred</w:t>
      </w:r>
    </w:p>
    <w:p>
      <w:pPr>
        <w:spacing w:after="0" w:line="210" w:lineRule="auto"/>
        <w:rPr>
          <w:sz w:val="20"/>
          <w:szCs w:val="20"/>
          <w:color w:val="auto"/>
        </w:rPr>
      </w:pPr>
      <w:r>
        <w:rPr>
          <w:rFonts w:ascii="Times New Roman" w:cs="Times New Roman" w:eastAsia="Times New Roman" w:hAnsi="Times New Roman"/>
          <w:sz w:val="14"/>
          <w:szCs w:val="14"/>
          <w:color w:val="auto"/>
        </w:rPr>
        <w:t>stock, collaborations and a debt financing. Through June 30, 2017, we have received an aggregate of $731.3 million from such transactions, including</w:t>
      </w:r>
    </w:p>
    <w:p>
      <w:pPr>
        <w:spacing w:after="0" w:line="211" w:lineRule="auto"/>
        <w:rPr>
          <w:sz w:val="20"/>
          <w:szCs w:val="20"/>
          <w:color w:val="auto"/>
        </w:rPr>
      </w:pPr>
      <w:r>
        <w:rPr>
          <w:rFonts w:ascii="Times New Roman" w:cs="Times New Roman" w:eastAsia="Times New Roman" w:hAnsi="Times New Roman"/>
          <w:sz w:val="14"/>
          <w:szCs w:val="14"/>
          <w:color w:val="auto"/>
        </w:rPr>
        <w:t>$542.4 million in aggregate gross proceeds from the sale of common stock in our IPO and December 2016 and April 2017 follow on public offerings,</w:t>
      </w:r>
    </w:p>
    <w:p>
      <w:pPr>
        <w:spacing w:after="0" w:line="211" w:lineRule="auto"/>
        <w:rPr>
          <w:sz w:val="20"/>
          <w:szCs w:val="20"/>
          <w:color w:val="auto"/>
        </w:rPr>
      </w:pPr>
      <w:r>
        <w:rPr>
          <w:rFonts w:ascii="Times New Roman" w:cs="Times New Roman" w:eastAsia="Times New Roman" w:hAnsi="Times New Roman"/>
          <w:sz w:val="14"/>
          <w:szCs w:val="14"/>
          <w:color w:val="auto"/>
        </w:rPr>
        <w:t>$115.1 million in gross proceeds from the issuance of convertible preferred stock, $18.8 million of upfront and milestone payments from Alexion, a $45.0</w:t>
      </w:r>
    </w:p>
    <w:p>
      <w:pPr>
        <w:spacing w:after="0" w:line="211" w:lineRule="auto"/>
        <w:rPr>
          <w:sz w:val="20"/>
          <w:szCs w:val="20"/>
          <w:color w:val="auto"/>
        </w:rPr>
      </w:pPr>
      <w:r>
        <w:rPr>
          <w:rFonts w:ascii="Times New Roman" w:cs="Times New Roman" w:eastAsia="Times New Roman" w:hAnsi="Times New Roman"/>
          <w:sz w:val="14"/>
          <w:szCs w:val="14"/>
          <w:color w:val="auto"/>
        </w:rPr>
        <w:t>million upfront payment from Roche and $10.0 million in gross proceeds from the debt financing. As a result of Alexion’s decision to discontinue our</w:t>
      </w:r>
    </w:p>
    <w:p>
      <w:pPr>
        <w:spacing w:after="0" w:line="211" w:lineRule="auto"/>
        <w:rPr>
          <w:sz w:val="20"/>
          <w:szCs w:val="20"/>
          <w:color w:val="auto"/>
        </w:rPr>
      </w:pPr>
      <w:r>
        <w:rPr>
          <w:rFonts w:ascii="Times New Roman" w:cs="Times New Roman" w:eastAsia="Times New Roman" w:hAnsi="Times New Roman"/>
          <w:sz w:val="14"/>
          <w:szCs w:val="14"/>
          <w:color w:val="auto"/>
        </w:rPr>
        <w:t>collaboration, we will not be entitled to receive payment for any additional milestones, if any, achieved after the receipt of the notice of termination of the</w:t>
      </w:r>
    </w:p>
    <w:p>
      <w:pPr>
        <w:spacing w:after="0"/>
        <w:rPr>
          <w:sz w:val="20"/>
          <w:szCs w:val="20"/>
          <w:color w:val="auto"/>
        </w:rPr>
      </w:pPr>
      <w:r>
        <w:rPr>
          <w:rFonts w:ascii="Times New Roman" w:cs="Times New Roman" w:eastAsia="Times New Roman" w:hAnsi="Times New Roman"/>
          <w:sz w:val="14"/>
          <w:szCs w:val="14"/>
          <w:color w:val="auto"/>
        </w:rPr>
        <w:t>collaboration.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30, 2017, we had cash, cash equivalents and investments of $421.0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three months ended June 30, 2017 and 2016: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31"/>
        </w:trPr>
        <w:tc>
          <w:tcPr>
            <w:tcW w:w="5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68"/>
              <w:spacing w:after="0" w:line="131" w:lineRule="exact"/>
              <w:rPr>
                <w:sz w:val="20"/>
                <w:szCs w:val="20"/>
                <w:color w:val="auto"/>
              </w:rPr>
            </w:pPr>
            <w:r>
              <w:rPr>
                <w:rFonts w:ascii="Times New Roman" w:cs="Times New Roman" w:eastAsia="Times New Roman" w:hAnsi="Times New Roman"/>
                <w:sz w:val="12"/>
                <w:szCs w:val="12"/>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32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100" w:lineRule="exact"/>
              <w:rPr>
                <w:sz w:val="20"/>
                <w:szCs w:val="20"/>
                <w:color w:val="auto"/>
              </w:rPr>
            </w:pPr>
            <w:r>
              <w:rPr>
                <w:rFonts w:ascii="Times New Roman" w:cs="Times New Roman" w:eastAsia="Times New Roman" w:hAnsi="Times New Roman"/>
                <w:sz w:val="10"/>
                <w:szCs w:val="10"/>
                <w:b w:val="1"/>
                <w:bCs w:val="1"/>
                <w:color w:val="auto"/>
              </w:rPr>
              <w:t>2017</w:t>
            </w:r>
          </w:p>
        </w:tc>
        <w:tc>
          <w:tcPr>
            <w:tcW w:w="2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2"/>
              <w:spacing w:after="0" w:line="100" w:lineRule="exact"/>
              <w:rPr>
                <w:sz w:val="20"/>
                <w:szCs w:val="20"/>
                <w:color w:val="auto"/>
              </w:rPr>
            </w:pPr>
            <w:r>
              <w:rPr>
                <w:rFonts w:ascii="Times New Roman" w:cs="Times New Roman" w:eastAsia="Times New Roman" w:hAnsi="Times New Roman"/>
                <w:sz w:val="10"/>
                <w:szCs w:val="10"/>
                <w:b w:val="1"/>
                <w:bCs w:val="1"/>
                <w:color w:val="auto"/>
              </w:rPr>
              <w:t>2016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(58,597)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12,918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(117,849)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3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215,723</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39,277</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firstLine="522"/>
        <w:spacing w:after="0" w:line="223" w:lineRule="auto"/>
        <w:rPr>
          <w:sz w:val="20"/>
          <w:szCs w:val="20"/>
          <w:color w:val="auto"/>
        </w:rPr>
      </w:pPr>
      <w:r>
        <w:rPr>
          <w:rFonts w:ascii="Times New Roman" w:cs="Times New Roman" w:eastAsia="Times New Roman" w:hAnsi="Times New Roman"/>
          <w:sz w:val="14"/>
          <w:szCs w:val="14"/>
          <w:i w:val="1"/>
          <w:iCs w:val="1"/>
          <w:color w:val="auto"/>
        </w:rPr>
        <w:t>Net Cash (Used in) Provided by Operating Activities</w:t>
      </w:r>
      <w:r>
        <w:rPr>
          <w:rFonts w:ascii="Times New Roman" w:cs="Times New Roman" w:eastAsia="Times New Roman" w:hAnsi="Times New Roman"/>
          <w:sz w:val="14"/>
          <w:szCs w:val="14"/>
          <w:color w:val="auto"/>
        </w:rPr>
        <w:t>. Net cash used in operating activities was $58.6 million during the six months ended June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2017 compared to net cash provided by operating activities of $12.9 million during the six months ended June 30, 2016. The change in net cash used in operating activities was primarily due to changes in deferred revenue related to the timing of the upfront payment from Roche. In the six months ended June 30, 2016, we received a $45.0 million upfront payment from Roche, and in the six months ended June 30, 2017 we did not receive any upfront payments. Further, the change in net cash used by operating activities was related to an increase in net loss of $27.0 million for the six months ended June 30, 2017 as compared to the six months ended June 30, 2016.</w:t>
      </w:r>
    </w:p>
    <w:p>
      <w:pPr>
        <w:spacing w:after="0" w:line="125" w:lineRule="exact"/>
        <w:rPr>
          <w:sz w:val="20"/>
          <w:szCs w:val="20"/>
          <w:color w:val="auto"/>
        </w:rPr>
      </w:pPr>
    </w:p>
    <w:p>
      <w:pPr>
        <w:ind w:firstLine="522"/>
        <w:spacing w:after="0" w:line="223" w:lineRule="auto"/>
        <w:rPr>
          <w:sz w:val="20"/>
          <w:szCs w:val="20"/>
          <w:color w:val="auto"/>
        </w:rPr>
      </w:pPr>
      <w:r>
        <w:rPr>
          <w:rFonts w:ascii="Times New Roman" w:cs="Times New Roman" w:eastAsia="Times New Roman" w:hAnsi="Times New Roman"/>
          <w:sz w:val="14"/>
          <w:szCs w:val="14"/>
          <w:i w:val="1"/>
          <w:iCs w:val="1"/>
          <w:color w:val="auto"/>
        </w:rPr>
        <w:t>Net Cash Used in Investing Activities</w:t>
      </w:r>
      <w:r>
        <w:rPr>
          <w:rFonts w:ascii="Times New Roman" w:cs="Times New Roman" w:eastAsia="Times New Roman" w:hAnsi="Times New Roman"/>
          <w:sz w:val="14"/>
          <w:szCs w:val="14"/>
          <w:color w:val="auto"/>
        </w:rPr>
        <w:t>. Net cash used in investing activities was $117.8 million during the six months ended June 30, 2017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net cash used in investing activities of $64.9 million during the six months ended June 30, 2016. Net cash used in investing activities for the six months ended June 30, 2017 consisted primarily of purchases of investments offset by maturities of investments. We classify these investments as available-for-sale and record them at fair value in the accompanying condensed consolidated balance sheets. Net cash used in investing activities also consisted of a $3.5 million security deposit related to the lease agreement entered into on April 28, 2017. Net cash used in investing activities for three months ended March 31, 2016 consisted primarily of purchases of investments offset by maturities in investments and purchases of property and equipment.</w:t>
      </w:r>
    </w:p>
    <w:p>
      <w:pPr>
        <w:spacing w:after="0" w:line="125" w:lineRule="exact"/>
        <w:rPr>
          <w:sz w:val="20"/>
          <w:szCs w:val="20"/>
          <w:color w:val="auto"/>
        </w:rPr>
      </w:pPr>
    </w:p>
    <w:p>
      <w:pPr>
        <w:ind w:right="80" w:firstLine="522"/>
        <w:spacing w:after="0" w:line="225" w:lineRule="auto"/>
        <w:rPr>
          <w:sz w:val="20"/>
          <w:szCs w:val="20"/>
          <w:color w:val="auto"/>
        </w:rPr>
      </w:pPr>
      <w:r>
        <w:rPr>
          <w:rFonts w:ascii="Times New Roman" w:cs="Times New Roman" w:eastAsia="Times New Roman" w:hAnsi="Times New Roman"/>
          <w:sz w:val="14"/>
          <w:szCs w:val="14"/>
          <w:i w:val="1"/>
          <w:iCs w:val="1"/>
          <w:color w:val="auto"/>
        </w:rPr>
        <w:t>Net Cash Provided by (Used in) Financing Activities</w:t>
      </w:r>
      <w:r>
        <w:rPr>
          <w:rFonts w:ascii="Times New Roman" w:cs="Times New Roman" w:eastAsia="Times New Roman" w:hAnsi="Times New Roman"/>
          <w:sz w:val="14"/>
          <w:szCs w:val="14"/>
          <w:color w:val="auto"/>
        </w:rPr>
        <w:t>. Net cash provided by financing activities was $215.7 million during the six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2017 compared to net cash used in financing activities of $1.3 million during the six months ended June 30, 2016. Net cash provided by financing activities for the six months ended June 30, 2017 was primarily due to $216.2 million in gross proceeds from our April 2017 follow-on underwritten public offering, after deducting underwriting discounts and commissions. Net cash used in financing activities for the six months ended June 30, 2016 was primarily due to principal payments under the loan and security agreement with Silicon Valley Bank.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Borrowings</w:t>
      </w:r>
    </w:p>
    <w:p>
      <w:pPr>
        <w:spacing w:after="0" w:line="156" w:lineRule="exact"/>
        <w:rPr>
          <w:sz w:val="20"/>
          <w:szCs w:val="20"/>
          <w:color w:val="auto"/>
        </w:rPr>
      </w:pPr>
    </w:p>
    <w:p>
      <w:pPr>
        <w:ind w:right="180" w:firstLine="522"/>
        <w:spacing w:after="0" w:line="252" w:lineRule="auto"/>
        <w:rPr>
          <w:sz w:val="20"/>
          <w:szCs w:val="20"/>
          <w:color w:val="auto"/>
        </w:rPr>
      </w:pPr>
      <w:r>
        <w:rPr>
          <w:rFonts w:ascii="Times New Roman" w:cs="Times New Roman" w:eastAsia="Times New Roman" w:hAnsi="Times New Roman"/>
          <w:sz w:val="14"/>
          <w:szCs w:val="14"/>
          <w:color w:val="auto"/>
        </w:rPr>
        <w:t>In May 2013, we entered into the loan and security agreement with Silicon Valley Bank. Under the terms of the loan and security agreement, we borrowed $5.0 million. Loan advances accrue interest at a fixed rate of 2.0% above the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4"/>
          <w:szCs w:val="14"/>
          <w:color w:val="auto"/>
        </w:rPr>
        <w:t>prime rate. In November 2014, we amended the loan and security agreement and borrowed an additional $5.0 million. Each loan advance included an interest only payment period. Through June 30, 2017, we have made principal payments of $7.3 million on the $10.0 million of advances. We are required to pay a fee of 4% of the total loan advances at the end of the term of the loan. There are no financial covenants associated with the loan and security agreement. As of June 30, 2017, we had $2.7 million in outstanding principal under the loan and security agreement.</w:t>
      </w:r>
    </w:p>
    <w:p>
      <w:pPr>
        <w:spacing w:after="0" w:line="128" w:lineRule="exact"/>
        <w:rPr>
          <w:sz w:val="20"/>
          <w:szCs w:val="20"/>
          <w:color w:val="auto"/>
        </w:rPr>
      </w:pPr>
    </w:p>
    <w:p>
      <w:pPr>
        <w:ind w:right="60" w:firstLine="522"/>
        <w:spacing w:after="0" w:line="228" w:lineRule="auto"/>
        <w:rPr>
          <w:sz w:val="20"/>
          <w:szCs w:val="20"/>
          <w:color w:val="auto"/>
        </w:rPr>
      </w:pPr>
      <w:r>
        <w:rPr>
          <w:rFonts w:ascii="Times New Roman" w:cs="Times New Roman" w:eastAsia="Times New Roman" w:hAnsi="Times New Roman"/>
          <w:sz w:val="14"/>
          <w:szCs w:val="14"/>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 term liabilities based on scheduled principal payments.</w:t>
      </w:r>
    </w:p>
    <w:p>
      <w:pPr>
        <w:spacing w:after="0" w:line="128" w:lineRule="exact"/>
        <w:rPr>
          <w:sz w:val="20"/>
          <w:szCs w:val="20"/>
          <w:color w:val="auto"/>
        </w:rPr>
      </w:pPr>
    </w:p>
    <w:p>
      <w:pPr>
        <w:ind w:right="940" w:firstLine="522"/>
        <w:spacing w:after="0" w:line="470" w:lineRule="auto"/>
        <w:rPr>
          <w:sz w:val="20"/>
          <w:szCs w:val="20"/>
          <w:color w:val="auto"/>
        </w:rPr>
      </w:pPr>
      <w:r>
        <w:rPr>
          <w:rFonts w:ascii="Times New Roman" w:cs="Times New Roman" w:eastAsia="Times New Roman" w:hAnsi="Times New Roman"/>
          <w:sz w:val="14"/>
          <w:szCs w:val="14"/>
          <w:color w:val="auto"/>
        </w:rPr>
        <w:t xml:space="preserve">See Note 7, “Term Loan,” in the accompanying notes to our unaudited consolidated financial statements for additional information. </w:t>
      </w:r>
      <w:r>
        <w:rPr>
          <w:rFonts w:ascii="Times New Roman" w:cs="Times New Roman" w:eastAsia="Times New Roman" w:hAnsi="Times New Roman"/>
          <w:sz w:val="14"/>
          <w:szCs w:val="14"/>
          <w:i w:val="1"/>
          <w:iCs w:val="1"/>
          <w:color w:val="auto"/>
        </w:rPr>
        <w:t>Funding Requirements</w:t>
      </w:r>
    </w:p>
    <w:p>
      <w:pPr>
        <w:ind w:right="20" w:firstLine="522"/>
        <w:spacing w:after="0" w:line="220"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31"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As of June 30, 2017, we had cash, cash equivalents and investments of $421.0 million. Based on our current plans, we believe our existing cash, cash equivalents and investments, excluding any potential option fees and milestone payments under our existing collaboration with Roche, will be sufficient to enable us to fund our operating expenses and capital expenditure requirements into the second half of 2019. Our future capital requirements will depend on many factors, including:</w:t>
      </w:r>
    </w:p>
    <w:p>
      <w:pPr>
        <w:spacing w:after="0" w:line="128" w:lineRule="exact"/>
        <w:rPr>
          <w:sz w:val="20"/>
          <w:szCs w:val="20"/>
          <w:color w:val="auto"/>
        </w:rPr>
      </w:pPr>
    </w:p>
    <w:p>
      <w:pPr>
        <w:ind w:left="1060" w:right="500" w:hanging="271"/>
        <w:spacing w:after="0" w:line="252" w:lineRule="auto"/>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drug discovery, pre-clinical development, laboratory testing and clinical trials for our drug candidates;</w:t>
      </w:r>
    </w:p>
    <w:p>
      <w:pPr>
        <w:spacing w:after="0" w:line="64" w:lineRule="exact"/>
        <w:rPr>
          <w:rFonts w:ascii="Times New Roman" w:cs="Times New Roman" w:eastAsia="Times New Roman" w:hAnsi="Times New Roman"/>
          <w:sz w:val="14"/>
          <w:szCs w:val="14"/>
          <w:color w:val="auto"/>
        </w:rPr>
      </w:pPr>
    </w:p>
    <w:p>
      <w:pPr>
        <w:ind w:left="1060" w:right="180" w:hanging="271"/>
        <w:spacing w:after="0" w:line="252" w:lineRule="auto"/>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securing and producing drug substance and drug product material for use in pre-clinical studies, clinical trials and for use as commercial supply;</w:t>
      </w:r>
    </w:p>
    <w:p>
      <w:pPr>
        <w:spacing w:after="0" w:line="6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prioritization and number of our research and development programs;</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collaboration with Roche;</w:t>
      </w:r>
    </w:p>
    <w:p>
      <w:pPr>
        <w:spacing w:after="0" w:line="100" w:lineRule="exact"/>
        <w:rPr>
          <w:rFonts w:ascii="Times New Roman" w:cs="Times New Roman" w:eastAsia="Times New Roman" w:hAnsi="Times New Roman"/>
          <w:sz w:val="14"/>
          <w:szCs w:val="14"/>
          <w:color w:val="auto"/>
        </w:rPr>
      </w:pPr>
    </w:p>
    <w:p>
      <w:pPr>
        <w:ind w:left="1060" w:right="160" w:hanging="271"/>
        <w:spacing w:after="0" w:line="174" w:lineRule="exact"/>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current or future collaborations for companion diagnostic tests, including our companion diagnostic test with Ventana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our companion diagnostic test with Qiagen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w:t>
      </w:r>
    </w:p>
    <w:p>
      <w:pPr>
        <w:spacing w:after="0" w:line="56"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drug candidates;</w:t>
      </w:r>
    </w:p>
    <w:p>
      <w:pPr>
        <w:spacing w:after="0" w:line="100"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additional collaborations on favorable terms, if at all;</w:t>
      </w:r>
    </w:p>
    <w:p>
      <w:pPr>
        <w:spacing w:after="0" w:line="100" w:lineRule="exact"/>
        <w:rPr>
          <w:rFonts w:ascii="Times New Roman" w:cs="Times New Roman" w:eastAsia="Times New Roman" w:hAnsi="Times New Roman"/>
          <w:sz w:val="14"/>
          <w:szCs w:val="14"/>
          <w:color w:val="auto"/>
        </w:rPr>
      </w:pPr>
    </w:p>
    <w:p>
      <w:pPr>
        <w:ind w:left="1060" w:right="120" w:hanging="271"/>
        <w:spacing w:after="0" w:line="252" w:lineRule="auto"/>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milestones or occurrence of other developments that trigger payments under our collaboration agreement with Roche or any collaboration agreements that we may enter into in the future;</w:t>
      </w:r>
    </w:p>
    <w:p>
      <w:pPr>
        <w:spacing w:after="0" w:line="64" w:lineRule="exact"/>
        <w:rPr>
          <w:rFonts w:ascii="Times New Roman" w:cs="Times New Roman" w:eastAsia="Times New Roman" w:hAnsi="Times New Roman"/>
          <w:sz w:val="14"/>
          <w:szCs w:val="14"/>
          <w:color w:val="auto"/>
        </w:rPr>
      </w:pPr>
    </w:p>
    <w:p>
      <w:pPr>
        <w:ind w:left="1060" w:right="660" w:hanging="271"/>
        <w:spacing w:after="0" w:line="252" w:lineRule="auto"/>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obligated to reimburse, or entitled to reimbursement of, clinical trial costs under future collaboration agreements, if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right="40" w:hanging="271"/>
        <w:spacing w:after="0" w:line="252" w:lineRule="auto"/>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6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drug candidates and technologies; and</w:t>
      </w:r>
    </w:p>
    <w:p>
      <w:pPr>
        <w:spacing w:after="0" w:line="100" w:lineRule="exact"/>
        <w:rPr>
          <w:rFonts w:ascii="Times New Roman" w:cs="Times New Roman" w:eastAsia="Times New Roman" w:hAnsi="Times New Roman"/>
          <w:sz w:val="14"/>
          <w:szCs w:val="14"/>
          <w:color w:val="auto"/>
        </w:rPr>
      </w:pPr>
    </w:p>
    <w:p>
      <w:pPr>
        <w:ind w:left="1060" w:right="620" w:hanging="271"/>
        <w:spacing w:after="0" w:line="252" w:lineRule="auto"/>
        <w:tabs>
          <w:tab w:leader="none" w:pos="10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establishing or contracting for sales and marketing capabilities if we obtain regulatory approvals to market our drug candidates.</w:t>
      </w:r>
    </w:p>
    <w:p>
      <w:pPr>
        <w:spacing w:after="0" w:line="119" w:lineRule="exact"/>
        <w:rPr>
          <w:sz w:val="20"/>
          <w:szCs w:val="20"/>
          <w:color w:val="auto"/>
        </w:rPr>
      </w:pPr>
    </w:p>
    <w:p>
      <w:pPr>
        <w:ind w:right="20" w:firstLine="522"/>
        <w:spacing w:after="0" w:line="225" w:lineRule="auto"/>
        <w:rPr>
          <w:sz w:val="20"/>
          <w:szCs w:val="20"/>
          <w:color w:val="auto"/>
        </w:rPr>
      </w:pPr>
      <w:r>
        <w:rPr>
          <w:rFonts w:ascii="Times New Roman" w:cs="Times New Roman" w:eastAsia="Times New Roman" w:hAnsi="Times New Roman"/>
          <w:sz w:val="14"/>
          <w:szCs w:val="14"/>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26" w:lineRule="exact"/>
        <w:rPr>
          <w:sz w:val="20"/>
          <w:szCs w:val="20"/>
          <w:color w:val="auto"/>
        </w:rPr>
      </w:pPr>
    </w:p>
    <w:p>
      <w:pPr>
        <w:ind w:right="240" w:firstLine="522"/>
        <w:spacing w:after="0"/>
        <w:rPr>
          <w:sz w:val="20"/>
          <w:szCs w:val="20"/>
          <w:color w:val="auto"/>
        </w:rPr>
      </w:pPr>
      <w:r>
        <w:rPr>
          <w:rFonts w:ascii="Times New Roman" w:cs="Times New Roman" w:eastAsia="Times New Roman" w:hAnsi="Times New Roman"/>
          <w:sz w:val="14"/>
          <w:szCs w:val="14"/>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collaboration agreement with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98" w:lineRule="exact"/>
        <w:rPr>
          <w:sz w:val="20"/>
          <w:szCs w:val="20"/>
          <w:color w:val="auto"/>
        </w:rPr>
      </w:pPr>
    </w:p>
    <w:p>
      <w:pPr>
        <w:ind w:right="80" w:firstLine="522"/>
        <w:spacing w:after="0"/>
        <w:rPr>
          <w:sz w:val="20"/>
          <w:szCs w:val="20"/>
          <w:color w:val="auto"/>
        </w:rPr>
      </w:pPr>
      <w:r>
        <w:rPr>
          <w:rFonts w:ascii="Times New Roman" w:cs="Times New Roman" w:eastAsia="Times New Roman" w:hAnsi="Times New Roman"/>
          <w:sz w:val="14"/>
          <w:szCs w:val="14"/>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56" w:lineRule="exact"/>
        <w:rPr>
          <w:sz w:val="20"/>
          <w:szCs w:val="20"/>
          <w:color w:val="auto"/>
        </w:rPr>
      </w:pPr>
    </w:p>
    <w:p>
      <w:pPr>
        <w:ind w:firstLine="522"/>
        <w:spacing w:after="0" w:line="230" w:lineRule="auto"/>
        <w:rPr>
          <w:sz w:val="20"/>
          <w:szCs w:val="20"/>
          <w:color w:val="auto"/>
        </w:rPr>
      </w:pPr>
      <w:r>
        <w:rPr>
          <w:rFonts w:ascii="Times New Roman" w:cs="Times New Roman" w:eastAsia="Times New Roman" w:hAnsi="Times New Roman"/>
          <w:sz w:val="14"/>
          <w:szCs w:val="14"/>
          <w:color w:val="auto"/>
        </w:rPr>
        <w:t>On April 28, 2017, we entered into a lease agreement with UP 45/75 Sidney Street, LLC, as the landlord, pursuant to which we will lease approximately 99,833 rentable square feet of office and laboratory space located at 45 Sidney Street, Cambridge, Massachusetts 02139, which we refer to as the new premises, and will relocate our corporate headquarters to the new premises. We gained control over the space on June 1, 2017 and currently anticipate relocating our corporate headquarters in the first quarter of 2018. We currently anticipate that the date on which we will become responsible for paying rent under the lease agreement, or the commencement date, will be October 1, 2017. The initial term of the lease agreement will be for a 146 month period beginning on the commencement date, unless terminated sooner. The lease agreement also provides us with an option to extend the lease agreement for two consecutive five-year periods at the then fair market annual rent, as defined in the lease agreement, as well as a right of first offer with respect to leasing additional space adjacent to the new premises. During the initial term of the lease agreement, our monthly base rent for the new premises will start at approximately $641,000 beginning on the commencement date through the 14 month anniversary of the commencement date. Our monthly base rent will increase by 3.0% on the 14 month anniversary of the commencement date and will increase by an additional 3.0% on an annual basis for the remainder of the initial term up to a maximum monthly base rent of approximately $887,000. Pursuant to the lease agreement, we will also be obligated to pay certain taxes and operating costs associated with the new premises during the term of the lease agreement. The landlord has also agreed to provide us with a tenant improvement allowance of approximately $14.2 million for improvements to be made to the new premises. We will be obligated to maintain a security deposit with the landlord in the amount of $3.5 million, which is subject to reduction by up to $1.0 million during the term of the lease agreement, subject to the satisfaction of specified terms and conditions.</w:t>
      </w:r>
    </w:p>
    <w:p>
      <w:pPr>
        <w:spacing w:after="0" w:line="135" w:lineRule="exact"/>
        <w:rPr>
          <w:sz w:val="20"/>
          <w:szCs w:val="20"/>
          <w:color w:val="auto"/>
        </w:rPr>
      </w:pPr>
    </w:p>
    <w:p>
      <w:pPr>
        <w:ind w:firstLine="522"/>
        <w:spacing w:after="0" w:line="234" w:lineRule="auto"/>
        <w:rPr>
          <w:sz w:val="20"/>
          <w:szCs w:val="20"/>
          <w:color w:val="auto"/>
        </w:rPr>
      </w:pPr>
      <w:r>
        <w:rPr>
          <w:rFonts w:ascii="Times New Roman" w:cs="Times New Roman" w:eastAsia="Times New Roman" w:hAnsi="Times New Roman"/>
          <w:sz w:val="14"/>
          <w:szCs w:val="14"/>
          <w:color w:val="auto"/>
        </w:rPr>
        <w:t>As of June 30, 2017, there have been no other material changes to our contractual obligations and commitments from those described under “Management’s Discussion and Analysis of Financial Condition and Results of Operations” included in the Annual Report on Form 10-K for the year ended December 31, 2016.</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left="3520"/>
        <w:spacing w:after="0" w:line="161" w:lineRule="exact"/>
        <w:rPr>
          <w:sz w:val="20"/>
          <w:szCs w:val="20"/>
          <w:color w:val="auto"/>
        </w:rPr>
      </w:pPr>
      <w:r>
        <w:rPr>
          <w:rFonts w:ascii="Times New Roman" w:cs="Times New Roman" w:eastAsia="Times New Roman" w:hAnsi="Times New Roman"/>
          <w:sz w:val="14"/>
          <w:szCs w:val="14"/>
          <w:b w:val="1"/>
          <w:bCs w:val="1"/>
          <w:color w:val="auto"/>
        </w:rPr>
        <w:t>Off</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Balance Sheet Arrangements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have, during the periods presented, and we do not currently have, any off-balance sheet arrangements, as defined under applicable SEC</w:t>
      </w:r>
    </w:p>
    <w:p>
      <w:pPr>
        <w:spacing w:after="0"/>
        <w:rPr>
          <w:sz w:val="20"/>
          <w:szCs w:val="20"/>
          <w:color w:val="auto"/>
        </w:rPr>
      </w:pPr>
      <w:r>
        <w:rPr>
          <w:rFonts w:ascii="Times New Roman" w:cs="Times New Roman" w:eastAsia="Times New Roman" w:hAnsi="Times New Roman"/>
          <w:sz w:val="14"/>
          <w:szCs w:val="14"/>
          <w:color w:val="auto"/>
        </w:rPr>
        <w:t>rules.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6" w:lineRule="exact"/>
        <w:rPr>
          <w:sz w:val="20"/>
          <w:szCs w:val="20"/>
          <w:color w:val="auto"/>
        </w:rPr>
      </w:pPr>
    </w:p>
    <w:p>
      <w:pPr>
        <w:ind w:right="700" w:firstLine="522"/>
        <w:spacing w:after="0" w:line="252" w:lineRule="auto"/>
        <w:rPr>
          <w:sz w:val="20"/>
          <w:szCs w:val="20"/>
          <w:color w:val="auto"/>
        </w:rPr>
      </w:pPr>
      <w:r>
        <w:rPr>
          <w:rFonts w:ascii="Times New Roman" w:cs="Times New Roman" w:eastAsia="Times New Roman" w:hAnsi="Times New Roman"/>
          <w:sz w:val="14"/>
          <w:szCs w:val="14"/>
          <w:color w:val="auto"/>
        </w:rPr>
        <w:t>As of June 30, 2017, we had cash, cash equivalents and investments of $421.0 million, consisting primarily of money market funds and investments in U.S. treasury obligations and U.S government agency securities.</w:t>
      </w:r>
    </w:p>
    <w:p>
      <w:pPr>
        <w:spacing w:after="0" w:line="119"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6" w:lineRule="exact"/>
        <w:rPr>
          <w:sz w:val="20"/>
          <w:szCs w:val="20"/>
          <w:color w:val="auto"/>
        </w:rPr>
      </w:pPr>
    </w:p>
    <w:p>
      <w:pPr>
        <w:jc w:val="both"/>
        <w:ind w:right="240" w:firstLine="522"/>
        <w:spacing w:after="0" w:line="228" w:lineRule="auto"/>
        <w:rPr>
          <w:sz w:val="20"/>
          <w:szCs w:val="20"/>
          <w:color w:val="auto"/>
        </w:rPr>
      </w:pPr>
      <w:r>
        <w:rPr>
          <w:rFonts w:ascii="Times New Roman" w:cs="Times New Roman" w:eastAsia="Times New Roman" w:hAnsi="Times New Roman"/>
          <w:sz w:val="14"/>
          <w:szCs w:val="14"/>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June 30, 2017 and December 31, 2016, we had minimal liabilities denominated in foreign currencies.</w:t>
      </w:r>
    </w:p>
    <w:p>
      <w:pPr>
        <w:spacing w:after="0" w:line="128" w:lineRule="exact"/>
        <w:rPr>
          <w:sz w:val="20"/>
          <w:szCs w:val="20"/>
          <w:color w:val="auto"/>
        </w:rPr>
      </w:pPr>
    </w:p>
    <w:p>
      <w:pPr>
        <w:jc w:val="both"/>
        <w:ind w:right="260" w:firstLine="522"/>
        <w:spacing w:after="0" w:line="252"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and clinical trial costs. We do not believe that inflation had a material effect on our business, financial condition or results of operations during the three months or six ended June 30, 2017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Evaluation of our Disclosure Controls and Procedures</w:t>
      </w:r>
    </w:p>
    <w:p>
      <w:pPr>
        <w:spacing w:after="0" w:line="156" w:lineRule="exact"/>
        <w:rPr>
          <w:sz w:val="20"/>
          <w:szCs w:val="20"/>
          <w:color w:val="auto"/>
        </w:rPr>
      </w:pPr>
    </w:p>
    <w:p>
      <w:pPr>
        <w:ind w:right="20" w:firstLine="522"/>
        <w:spacing w:after="0"/>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8"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Vice President of Finance (our principal executive officer and principal financial officer, respectively), evaluated the effectiveness of our disclosure controls and procedures as of June 30, 2017. Based upon such evaluation, our Chief Executive Officer and Vice President of Finance have concluded that, as of June 30, 2017, our disclosure controls and procedures were effective at the reasonable assurance level.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56" w:lineRule="exact"/>
        <w:rPr>
          <w:sz w:val="20"/>
          <w:szCs w:val="20"/>
          <w:color w:val="auto"/>
        </w:rPr>
      </w:pPr>
    </w:p>
    <w:p>
      <w:pPr>
        <w:jc w:val="both"/>
        <w:ind w:right="140" w:firstLine="522"/>
        <w:spacing w:after="0" w:line="252"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15d-15(f) under the Exchange Act) occurred during the three months ended June 30, 2017 that has materially affected, or is reasonably likely to materially affect, our internal control over financial reporting.</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not currently a party to any material legal proceedings.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4" w:lineRule="exact"/>
        <w:rPr>
          <w:sz w:val="20"/>
          <w:szCs w:val="20"/>
          <w:color w:val="auto"/>
        </w:rPr>
      </w:pPr>
    </w:p>
    <w:p>
      <w:pPr>
        <w:jc w:val="both"/>
        <w:ind w:right="260" w:firstLine="522"/>
        <w:spacing w:after="0" w:line="225" w:lineRule="auto"/>
        <w:rPr>
          <w:sz w:val="20"/>
          <w:szCs w:val="20"/>
          <w:color w:val="auto"/>
        </w:rPr>
      </w:pPr>
      <w:r>
        <w:rPr>
          <w:rFonts w:ascii="Times New Roman" w:cs="Times New Roman" w:eastAsia="Times New Roman" w:hAnsi="Times New Roman"/>
          <w:sz w:val="14"/>
          <w:szCs w:val="14"/>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Additional Capital</w:t>
      </w:r>
    </w:p>
    <w:p>
      <w:pPr>
        <w:spacing w:after="0" w:line="152"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15" w:lineRule="exact"/>
        <w:rPr>
          <w:sz w:val="20"/>
          <w:szCs w:val="20"/>
          <w:color w:val="auto"/>
        </w:rPr>
      </w:pPr>
    </w:p>
    <w:p>
      <w:pPr>
        <w:ind w:firstLine="522"/>
        <w:spacing w:after="0" w:line="154" w:lineRule="exact"/>
        <w:rPr>
          <w:sz w:val="20"/>
          <w:szCs w:val="20"/>
          <w:color w:val="auto"/>
        </w:rPr>
      </w:pPr>
      <w:r>
        <w:rPr>
          <w:rFonts w:ascii="Times New Roman" w:cs="Times New Roman" w:eastAsia="Times New Roman" w:hAnsi="Times New Roman"/>
          <w:sz w:val="14"/>
          <w:szCs w:val="14"/>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w:t>
      </w:r>
    </w:p>
    <w:p>
      <w:pPr>
        <w:spacing w:after="0" w:line="90" w:lineRule="exact"/>
        <w:rPr>
          <w:sz w:val="20"/>
          <w:szCs w:val="20"/>
          <w:color w:val="auto"/>
        </w:rPr>
      </w:pPr>
    </w:p>
    <w:p>
      <w:pPr>
        <w:ind w:right="80" w:firstLine="522"/>
        <w:spacing w:after="0" w:line="159" w:lineRule="exact"/>
        <w:rPr>
          <w:sz w:val="20"/>
          <w:szCs w:val="20"/>
          <w:color w:val="auto"/>
        </w:rPr>
      </w:pPr>
      <w:r>
        <w:rPr>
          <w:rFonts w:ascii="Times New Roman" w:cs="Times New Roman" w:eastAsia="Times New Roman" w:hAnsi="Times New Roman"/>
          <w:sz w:val="14"/>
          <w:szCs w:val="14"/>
          <w:color w:val="auto"/>
        </w:rPr>
        <w:t>We are currently evaluating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in an ongoing Phase 1 clinical trial for defined subsets of patients with gastrointestinal stromal tumors, or GIST, BLU-285 in an ongoing Phase 1 clinical trial for advanced systemic mastocytosis, or SM,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554 in an ongoing Phase 1 clinical trial in patients with advanced hepatocellular carcinoma, or HCC, and BLU-667 in an ongoing Phase 1 clinical trial in patients with non-small cell lung cancer, or NSCLC, medullary thyroid cancer, or MTC, and other advanced solid tumors.</w:t>
      </w:r>
    </w:p>
    <w:p>
      <w:pPr>
        <w:spacing w:after="0" w:line="127" w:lineRule="exact"/>
        <w:rPr>
          <w:sz w:val="20"/>
          <w:szCs w:val="20"/>
          <w:color w:val="auto"/>
        </w:rPr>
      </w:pPr>
    </w:p>
    <w:p>
      <w:pPr>
        <w:ind w:right="40" w:firstLine="522"/>
        <w:spacing w:after="0" w:line="220" w:lineRule="auto"/>
        <w:rPr>
          <w:sz w:val="20"/>
          <w:szCs w:val="20"/>
          <w:color w:val="auto"/>
        </w:rPr>
      </w:pPr>
      <w:r>
        <w:rPr>
          <w:rFonts w:ascii="Times New Roman" w:cs="Times New Roman" w:eastAsia="Times New Roman" w:hAnsi="Times New Roman"/>
          <w:sz w:val="14"/>
          <w:szCs w:val="14"/>
          <w:color w:val="auto"/>
        </w:rPr>
        <w:t>In September 2015, the U.S. Food and Drug Administration, or FDA, granted orphan drug designation to BLU-554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BLU-285 for the treatment of patients with unresectable or metastatic GIST harboring the PDGFRα D842V mutation, and in July 2017, the European Medicines Agency granted orphan drug designation to BLU-285 for the treatment of GIST. We have never generated any revenue from drug sales. We have not obtained regulatory approvals for any of our drug candidates.</w:t>
      </w:r>
    </w:p>
    <w:p>
      <w:pPr>
        <w:spacing w:after="0" w:line="108" w:lineRule="exact"/>
        <w:rPr>
          <w:sz w:val="20"/>
          <w:szCs w:val="20"/>
          <w:color w:val="auto"/>
        </w:rPr>
      </w:pPr>
    </w:p>
    <w:p>
      <w:pPr>
        <w:ind w:right="60" w:firstLine="522"/>
        <w:spacing w:after="0" w:line="153" w:lineRule="exact"/>
        <w:rPr>
          <w:sz w:val="20"/>
          <w:szCs w:val="20"/>
          <w:color w:val="auto"/>
        </w:rPr>
      </w:pPr>
      <w:r>
        <w:rPr>
          <w:rFonts w:ascii="Times New Roman" w:cs="Times New Roman" w:eastAsia="Times New Roman" w:hAnsi="Times New Roman"/>
          <w:sz w:val="14"/>
          <w:szCs w:val="14"/>
          <w:color w:val="auto"/>
        </w:rPr>
        <w:t>We have not yet demonstrated our ability to successfully complete any clinical trials, including large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28" w:lineRule="exact"/>
        <w:rPr>
          <w:sz w:val="20"/>
          <w:szCs w:val="20"/>
          <w:color w:val="auto"/>
        </w:rPr>
      </w:pPr>
    </w:p>
    <w:p>
      <w:pPr>
        <w:ind w:right="280" w:firstLine="522"/>
        <w:spacing w:after="0" w:line="234" w:lineRule="auto"/>
        <w:rPr>
          <w:sz w:val="20"/>
          <w:szCs w:val="20"/>
          <w:color w:val="auto"/>
        </w:rPr>
      </w:pPr>
      <w:r>
        <w:rPr>
          <w:rFonts w:ascii="Times New Roman" w:cs="Times New Roman" w:eastAsia="Times New Roman" w:hAnsi="Times New Roman"/>
          <w:sz w:val="14"/>
          <w:szCs w:val="14"/>
          <w:color w:val="auto"/>
        </w:rPr>
        <w:t>Since inception, we have focused substantially all of our efforts and financial resources on developing our proprietary compound library, novel target discovery engine and initial drug candidates. To date, we have financed our operations primarily through public offerings of our common stock, private placements of our convertible preferred</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collaborations and a debt financing. Through June 30, 2017, we have received an aggregate of $731.3 million from such transactions, including</w:t>
      </w:r>
    </w:p>
    <w:p>
      <w:pPr>
        <w:ind w:right="100"/>
        <w:spacing w:after="0" w:line="147" w:lineRule="exact"/>
        <w:rPr>
          <w:sz w:val="20"/>
          <w:szCs w:val="20"/>
          <w:color w:val="auto"/>
        </w:rPr>
      </w:pPr>
      <w:r>
        <w:rPr>
          <w:rFonts w:ascii="Times New Roman" w:cs="Times New Roman" w:eastAsia="Times New Roman" w:hAnsi="Times New Roman"/>
          <w:sz w:val="14"/>
          <w:szCs w:val="14"/>
          <w:color w:val="auto"/>
        </w:rPr>
        <w:t>$542.4 million in aggregate gross proceeds from the sale of common stock in our May 2015 initial public offering, or IPO, and December 2016 and April 2017 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public offerings, $115.1 million in gross proceeds from the issuance of convertible preferred stock, $18.8 million of upfront and milestone payments from Alexion Pharma Holding, or Alexion, a $45.0 million upfront payment from F. Hoffmann-La Roche Ltd and Hoffmann-La Roche Inc., which we refer to collectively as Roche, and $10.0 million in gross proceeds from the debt financing. As a result of Alexion’s decision to discontinue our collaboration, we will not be entitled to receive payment for any additional milestones, if any, achieved after July 26, 2017, which is the date we received notice from Alexion of its termination of the collaboration.</w:t>
      </w:r>
    </w:p>
    <w:p>
      <w:pPr>
        <w:spacing w:after="0" w:line="129" w:lineRule="exact"/>
        <w:rPr>
          <w:sz w:val="20"/>
          <w:szCs w:val="20"/>
          <w:color w:val="auto"/>
        </w:rPr>
      </w:pPr>
    </w:p>
    <w:p>
      <w:pPr>
        <w:ind w:firstLine="522"/>
        <w:spacing w:after="0" w:line="145" w:lineRule="exact"/>
        <w:rPr>
          <w:sz w:val="20"/>
          <w:szCs w:val="20"/>
          <w:color w:val="auto"/>
        </w:rPr>
      </w:pPr>
      <w:r>
        <w:rPr>
          <w:rFonts w:ascii="Times New Roman" w:cs="Times New Roman" w:eastAsia="Times New Roman" w:hAnsi="Times New Roman"/>
          <w:sz w:val="14"/>
          <w:szCs w:val="14"/>
          <w:color w:val="auto"/>
        </w:rPr>
        <w:t>Since inception, we have incurred significant operating losses. Our net losses were $61.4 million for the six months ended June 30, 2017 and $72.5 million, $52.8 million and $40.3 million for the years ended December 31, 2016, 2015 and 2014, respectively. As of June 30, 2017, we had an accumulated deficit of $268.9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09" w:lineRule="exact"/>
        <w:rPr>
          <w:sz w:val="20"/>
          <w:szCs w:val="20"/>
          <w:color w:val="auto"/>
        </w:rPr>
      </w:pPr>
    </w:p>
    <w:p>
      <w:pPr>
        <w:ind w:right="120" w:firstLine="522"/>
        <w:spacing w:after="0" w:line="159" w:lineRule="exact"/>
        <w:rPr>
          <w:sz w:val="20"/>
          <w:szCs w:val="20"/>
          <w:color w:val="auto"/>
        </w:rPr>
      </w:pPr>
      <w:r>
        <w:rPr>
          <w:rFonts w:ascii="Times New Roman" w:cs="Times New Roman" w:eastAsia="Times New Roman" w:hAnsi="Times New Roman"/>
          <w:sz w:val="14"/>
          <w:szCs w:val="14"/>
          <w:color w:val="auto"/>
        </w:rPr>
        <w:t>To date, we have not generated any revenue from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and we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or one of our other drug candidates. Our ability to generate revenue depends on a number of factors, including, but not limited to, our ability to:</w:t>
      </w:r>
    </w:p>
    <w:p>
      <w:pPr>
        <w:spacing w:after="0" w:line="127" w:lineRule="exact"/>
        <w:rPr>
          <w:sz w:val="20"/>
          <w:szCs w:val="20"/>
          <w:color w:val="auto"/>
        </w:rPr>
      </w:pPr>
    </w:p>
    <w:p>
      <w:pPr>
        <w:ind w:left="1060" w:hanging="271"/>
        <w:spacing w:after="0"/>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successfully complete clinical trials that meet their clinical endpoints;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successfully complete all safety studies required to obtain U.S. and foreign marketing approval for our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line="252" w:lineRule="auto"/>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commercial manufacturing capabilities or make arrangements with third-party manufacturers for clinical supply and commercial manufacturing;</w:t>
      </w:r>
    </w:p>
    <w:p>
      <w:pPr>
        <w:spacing w:after="0" w:line="118" w:lineRule="exact"/>
        <w:rPr>
          <w:rFonts w:ascii="Times New Roman" w:cs="Times New Roman" w:eastAsia="Times New Roman" w:hAnsi="Times New Roman"/>
          <w:sz w:val="14"/>
          <w:szCs w:val="14"/>
          <w:color w:val="auto"/>
        </w:rPr>
      </w:pPr>
    </w:p>
    <w:p>
      <w:pPr>
        <w:ind w:left="1060" w:right="120" w:hanging="271"/>
        <w:spacing w:after="0" w:line="246" w:lineRule="auto"/>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commercialize our drug candidates, if approved, by developing a sales force or entering into additional collaborations with third parties; and</w:t>
      </w:r>
    </w:p>
    <w:p>
      <w:pPr>
        <w:spacing w:after="0" w:line="268" w:lineRule="exact"/>
        <w:rPr>
          <w:rFonts w:ascii="Times New Roman" w:cs="Times New Roman" w:eastAsia="Times New Roman" w:hAnsi="Times New Roman"/>
          <w:sz w:val="14"/>
          <w:szCs w:val="14"/>
          <w:color w:val="auto"/>
        </w:rPr>
      </w:pPr>
    </w:p>
    <w:p>
      <w:pPr>
        <w:ind w:left="1060" w:hanging="271"/>
        <w:spacing w:after="0" w:line="161" w:lineRule="exact"/>
        <w:tabs>
          <w:tab w:leader="none" w:pos="10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market acceptance of our drug candidates in the medical community and with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w:t>
      </w:r>
    </w:p>
    <w:p>
      <w:pPr>
        <w:spacing w:after="0" w:line="178" w:lineRule="exact"/>
        <w:rPr>
          <w:sz w:val="20"/>
          <w:szCs w:val="20"/>
          <w:color w:val="auto"/>
        </w:rPr>
      </w:pPr>
    </w:p>
    <w:p>
      <w:pPr>
        <w:ind w:right="20" w:firstLine="522"/>
        <w:spacing w:after="0" w:line="228" w:lineRule="auto"/>
        <w:rPr>
          <w:sz w:val="20"/>
          <w:szCs w:val="20"/>
          <w:color w:val="auto"/>
        </w:rPr>
      </w:pPr>
      <w:r>
        <w:rPr>
          <w:rFonts w:ascii="Times New Roman" w:cs="Times New Roman" w:eastAsia="Times New Roman" w:hAnsi="Times New Roman"/>
          <w:sz w:val="14"/>
          <w:szCs w:val="14"/>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91" w:lineRule="exact"/>
        <w:rPr>
          <w:sz w:val="20"/>
          <w:szCs w:val="20"/>
          <w:color w:val="auto"/>
        </w:rPr>
      </w:pPr>
    </w:p>
    <w:p>
      <w:pPr>
        <w:ind w:right="20" w:firstLine="522"/>
        <w:spacing w:after="0" w:line="161" w:lineRule="exact"/>
        <w:rPr>
          <w:sz w:val="20"/>
          <w:szCs w:val="20"/>
          <w:color w:val="auto"/>
        </w:rPr>
      </w:pPr>
      <w:r>
        <w:rPr>
          <w:rFonts w:ascii="Times New Roman" w:cs="Times New Roman" w:eastAsia="Times New Roman" w:hAnsi="Times New Roman"/>
          <w:sz w:val="14"/>
          <w:szCs w:val="14"/>
          <w:color w:val="auto"/>
        </w:rPr>
        <w:t>The development of pharmaceuticals is capital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intensive. We are currently advancing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Roche or other collaborators. We may also need to raise additional funds sooner if 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3"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As of June 30, 2017, we had cash, cash equivalents and investments of $421.0 million. Based on our current plans, we believe our existing cash, cash equivalents and investments, excluding any potential option fees and milestone payments under our existing collaboration with Roche, will be sufficient to enable us to fund our operating expenses and capital expenditure requirements into the second half of 2019. Our future capital requirements will depend on and could increase significantly as a result of many factors, including:</w:t>
      </w:r>
    </w:p>
    <w:p>
      <w:pPr>
        <w:spacing w:after="0" w:line="128" w:lineRule="exact"/>
        <w:rPr>
          <w:sz w:val="20"/>
          <w:szCs w:val="20"/>
          <w:color w:val="auto"/>
        </w:rPr>
      </w:pPr>
    </w:p>
    <w:p>
      <w:pPr>
        <w:ind w:left="1060" w:right="50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drug discovery, pre-clinical development, laboratory testing and clinical trials for our drug candidates;</w:t>
      </w:r>
    </w:p>
    <w:p>
      <w:pPr>
        <w:spacing w:after="0" w:line="118" w:lineRule="exact"/>
        <w:rPr>
          <w:rFonts w:ascii="Times New Roman" w:cs="Times New Roman" w:eastAsia="Times New Roman" w:hAnsi="Times New Roman"/>
          <w:sz w:val="14"/>
          <w:szCs w:val="14"/>
          <w:color w:val="auto"/>
        </w:rPr>
      </w:pPr>
    </w:p>
    <w:p>
      <w:pPr>
        <w:ind w:left="1060" w:right="18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securing and producing drug substance and drug product material for use in pre-clinical studies, clinical trials and for use as commercial supply;</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prioritization and number of our research and development programs;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collaboration with Roche;</w:t>
      </w:r>
    </w:p>
    <w:p>
      <w:pPr>
        <w:spacing w:after="0" w:line="154" w:lineRule="exact"/>
        <w:rPr>
          <w:rFonts w:ascii="Times New Roman" w:cs="Times New Roman" w:eastAsia="Times New Roman" w:hAnsi="Times New Roman"/>
          <w:sz w:val="14"/>
          <w:szCs w:val="14"/>
          <w:color w:val="auto"/>
        </w:rPr>
      </w:pPr>
    </w:p>
    <w:p>
      <w:pPr>
        <w:ind w:left="1060" w:right="160" w:hanging="271"/>
        <w:spacing w:after="0" w:line="163" w:lineRule="exact"/>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current or future collaborations for companion diagnostic tests, including our companion diagnostic test with Ventana Medical Systems, Inc., or Ventana,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our companion diagnostic test with QIAGEN Manchester Limited, or Qiagen,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w:t>
      </w:r>
    </w:p>
    <w:p>
      <w:pPr>
        <w:spacing w:after="0" w:line="11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additional collaborations on favorable terms, if at all;</w:t>
      </w:r>
    </w:p>
    <w:p>
      <w:pPr>
        <w:spacing w:after="0" w:line="154" w:lineRule="exact"/>
        <w:rPr>
          <w:rFonts w:ascii="Times New Roman" w:cs="Times New Roman" w:eastAsia="Times New Roman" w:hAnsi="Times New Roman"/>
          <w:sz w:val="14"/>
          <w:szCs w:val="14"/>
          <w:color w:val="auto"/>
        </w:rPr>
      </w:pPr>
    </w:p>
    <w:p>
      <w:pPr>
        <w:ind w:left="1060" w:right="12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milestones or occurrence of other developments that trigger payments under our collaboration agreement with Roche or any collaboration agreements that we may enter into in the future;</w:t>
      </w:r>
    </w:p>
    <w:p>
      <w:pPr>
        <w:spacing w:after="0" w:line="118" w:lineRule="exact"/>
        <w:rPr>
          <w:rFonts w:ascii="Times New Roman" w:cs="Times New Roman" w:eastAsia="Times New Roman" w:hAnsi="Times New Roman"/>
          <w:sz w:val="14"/>
          <w:szCs w:val="14"/>
          <w:color w:val="auto"/>
        </w:rPr>
      </w:pPr>
    </w:p>
    <w:p>
      <w:pPr>
        <w:ind w:left="1060" w:right="66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obligated to reimburse, or entitled to reimbursement of, clinical trial costs under future collaboration agreements, if any;</w:t>
      </w:r>
    </w:p>
    <w:p>
      <w:pPr>
        <w:spacing w:after="0" w:line="118" w:lineRule="exact"/>
        <w:rPr>
          <w:rFonts w:ascii="Times New Roman" w:cs="Times New Roman" w:eastAsia="Times New Roman" w:hAnsi="Times New Roman"/>
          <w:sz w:val="14"/>
          <w:szCs w:val="14"/>
          <w:color w:val="auto"/>
        </w:rPr>
      </w:pPr>
    </w:p>
    <w:p>
      <w:pPr>
        <w:ind w:left="1060" w:right="6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drug candidates and technologies; and</w:t>
      </w:r>
    </w:p>
    <w:p>
      <w:pPr>
        <w:spacing w:after="0" w:line="154" w:lineRule="exact"/>
        <w:rPr>
          <w:rFonts w:ascii="Times New Roman" w:cs="Times New Roman" w:eastAsia="Times New Roman" w:hAnsi="Times New Roman"/>
          <w:sz w:val="14"/>
          <w:szCs w:val="14"/>
          <w:color w:val="auto"/>
        </w:rPr>
      </w:pPr>
    </w:p>
    <w:p>
      <w:pPr>
        <w:ind w:left="1060" w:right="640" w:hanging="271"/>
        <w:spacing w:after="0" w:line="252" w:lineRule="auto"/>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establishing or contracting for sales and marketing capabilities if we obtain regulatory approvals to market our drug candidates.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firstLine="522"/>
        <w:spacing w:after="0" w:line="156" w:lineRule="exact"/>
        <w:rPr>
          <w:sz w:val="20"/>
          <w:szCs w:val="20"/>
          <w:color w:val="auto"/>
        </w:rPr>
      </w:pPr>
      <w:r>
        <w:rPr>
          <w:rFonts w:ascii="Times New Roman" w:cs="Times New Roman" w:eastAsia="Times New Roman" w:hAnsi="Times New Roman"/>
          <w:sz w:val="14"/>
          <w:szCs w:val="14"/>
          <w:color w:val="auto"/>
        </w:rPr>
        <w:t>Identifying potential drug candidates and conducting pre-clinical development and testing and clinical trials is a time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03" w:lineRule="exact"/>
        <w:rPr>
          <w:sz w:val="20"/>
          <w:szCs w:val="20"/>
          <w:color w:val="auto"/>
        </w:rPr>
      </w:pPr>
    </w:p>
    <w:p>
      <w:pPr>
        <w:ind w:firstLine="522"/>
        <w:spacing w:after="0" w:line="148" w:lineRule="exact"/>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30" w:lineRule="exact"/>
        <w:rPr>
          <w:sz w:val="20"/>
          <w:szCs w:val="20"/>
          <w:color w:val="auto"/>
        </w:rPr>
      </w:pPr>
    </w:p>
    <w:p>
      <w:pPr>
        <w:ind w:firstLine="522"/>
        <w:spacing w:after="0" w:line="234" w:lineRule="auto"/>
        <w:rPr>
          <w:sz w:val="20"/>
          <w:szCs w:val="20"/>
          <w:color w:val="auto"/>
        </w:rPr>
      </w:pPr>
      <w:r>
        <w:rPr>
          <w:rFonts w:ascii="Times New Roman" w:cs="Times New Roman" w:eastAsia="Times New Roman" w:hAnsi="Times New Roman"/>
          <w:sz w:val="14"/>
          <w:szCs w:val="14"/>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technologies or drug candidates.</w:t>
      </w:r>
    </w:p>
    <w:p>
      <w:pPr>
        <w:spacing w:after="0" w:line="115" w:lineRule="exact"/>
        <w:rPr>
          <w:sz w:val="20"/>
          <w:szCs w:val="20"/>
          <w:color w:val="auto"/>
        </w:rPr>
      </w:pPr>
    </w:p>
    <w:p>
      <w:pPr>
        <w:ind w:right="160" w:firstLine="522"/>
        <w:spacing w:after="0" w:line="219" w:lineRule="auto"/>
        <w:rPr>
          <w:sz w:val="20"/>
          <w:szCs w:val="20"/>
          <w:color w:val="auto"/>
        </w:rPr>
      </w:pPr>
      <w:r>
        <w:rPr>
          <w:rFonts w:ascii="Times New Roman" w:cs="Times New Roman" w:eastAsia="Times New Roman" w:hAnsi="Times New Roman"/>
          <w:sz w:val="14"/>
          <w:szCs w:val="14"/>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Roche,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30" w:lineRule="exact"/>
        <w:rPr>
          <w:sz w:val="20"/>
          <w:szCs w:val="20"/>
          <w:color w:val="auto"/>
        </w:rPr>
      </w:pPr>
    </w:p>
    <w:p>
      <w:pPr>
        <w:ind w:right="40" w:firstLine="522"/>
        <w:spacing w:after="0" w:line="225" w:lineRule="auto"/>
        <w:rPr>
          <w:sz w:val="20"/>
          <w:szCs w:val="20"/>
          <w:color w:val="auto"/>
        </w:rPr>
      </w:pPr>
      <w:r>
        <w:rPr>
          <w:rFonts w:ascii="Times New Roman" w:cs="Times New Roman" w:eastAsia="Times New Roman" w:hAnsi="Times New Roman"/>
          <w:sz w:val="14"/>
          <w:szCs w:val="14"/>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Risks Related to Drug Development and Regulatory Approval</w:t>
      </w:r>
    </w:p>
    <w:p>
      <w:pPr>
        <w:spacing w:after="0" w:line="133" w:lineRule="exact"/>
        <w:rPr>
          <w:sz w:val="20"/>
          <w:szCs w:val="20"/>
          <w:color w:val="auto"/>
        </w:rPr>
      </w:pPr>
    </w:p>
    <w:p>
      <w:pPr>
        <w:ind w:right="79"/>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We are very early in our development efforts with only three drug candidates, BLU</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285, BLU</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554 and BLU</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667,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-341630</wp:posOffset>
            </wp:positionV>
            <wp:extent cx="565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15" cy="3683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-341630</wp:posOffset>
            </wp:positionV>
            <wp:extent cx="56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15" cy="3683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-341630</wp:posOffset>
            </wp:positionV>
            <wp:extent cx="56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15" cy="36830"/>
                    </a:xfrm>
                    <a:prstGeom prst="rect">
                      <a:avLst/>
                    </a:prstGeom>
                    <a:noFill/>
                  </pic:spPr>
                </pic:pic>
              </a:graphicData>
            </a:graphic>
          </wp:anchor>
        </w:drawing>
      </w:r>
    </w:p>
    <w:p>
      <w:pPr>
        <w:spacing w:after="0" w:line="84" w:lineRule="exact"/>
        <w:rPr>
          <w:sz w:val="20"/>
          <w:szCs w:val="20"/>
          <w:color w:val="auto"/>
        </w:rPr>
      </w:pPr>
    </w:p>
    <w:p>
      <w:pPr>
        <w:ind w:right="19" w:firstLine="522"/>
        <w:spacing w:after="0" w:line="155" w:lineRule="exact"/>
        <w:rPr>
          <w:sz w:val="20"/>
          <w:szCs w:val="20"/>
          <w:color w:val="auto"/>
        </w:rPr>
      </w:pPr>
      <w:r>
        <w:rPr>
          <w:rFonts w:ascii="Times New Roman" w:cs="Times New Roman" w:eastAsia="Times New Roman" w:hAnsi="Times New Roman"/>
          <w:sz w:val="14"/>
          <w:szCs w:val="14"/>
          <w:color w:val="auto"/>
        </w:rPr>
        <w:t>We are very early in our development efforts with only three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554 and BLU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Ventana to develop and commercialize a companion diagnostic test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that we expect to use to identify HCC patients with aberrantly active FGFR4 signaling as indicated by FGF19 overexpression and Qiagen to develop and commercialize a companion diagnostic test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that we expect to use to identify GIST patients with the PDGFRα D842V mutation. Companion diagnostic tests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12" w:lineRule="exact"/>
        <w:rPr>
          <w:sz w:val="20"/>
          <w:szCs w:val="20"/>
          <w:color w:val="auto"/>
        </w:rPr>
      </w:pPr>
    </w:p>
    <w:p>
      <w:pPr>
        <w:ind w:left="1060" w:right="399" w:hanging="271"/>
        <w:spacing w:after="0" w:line="185" w:lineRule="exact"/>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enrollment in, and completion of, clinical trials, including our current Phase 1 clinical trials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w:t>
      </w:r>
    </w:p>
    <w:p>
      <w:pPr>
        <w:spacing w:after="0" w:line="11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pre-clinical studies for our other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Investigational New Drug applications for future clinical trials for our other drug candidates;</w:t>
      </w:r>
    </w:p>
    <w:p>
      <w:pPr>
        <w:spacing w:after="0" w:line="154" w:lineRule="exact"/>
        <w:rPr>
          <w:rFonts w:ascii="Times New Roman" w:cs="Times New Roman" w:eastAsia="Times New Roman" w:hAnsi="Times New Roman"/>
          <w:sz w:val="14"/>
          <w:szCs w:val="14"/>
          <w:color w:val="auto"/>
        </w:rPr>
      </w:pPr>
    </w:p>
    <w:p>
      <w:pPr>
        <w:ind w:left="1060" w:right="159" w:hanging="271"/>
        <w:spacing w:after="0" w:line="157" w:lineRule="exact"/>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development of any companion diagnostic tests for use with our drug candidates, including the development of a companion diagnostic test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for identifying HCC patients with FGF19 signaling and BLU-285 for identifying GIST patients with the PDGFRα D842V mutation;</w:t>
      </w:r>
    </w:p>
    <w:p>
      <w:pPr>
        <w:spacing w:after="0" w:line="127"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w:t>
      </w:r>
    </w:p>
    <w:p>
      <w:pPr>
        <w:spacing w:after="0" w:line="154" w:lineRule="exact"/>
        <w:rPr>
          <w:rFonts w:ascii="Times New Roman" w:cs="Times New Roman" w:eastAsia="Times New Roman" w:hAnsi="Times New Roman"/>
          <w:sz w:val="14"/>
          <w:szCs w:val="14"/>
          <w:color w:val="auto"/>
        </w:rPr>
      </w:pPr>
    </w:p>
    <w:p>
      <w:pPr>
        <w:ind w:left="1060" w:right="419" w:hanging="271"/>
        <w:spacing w:after="0" w:line="252" w:lineRule="auto"/>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commercial manufacturing capabilities or making arrangements with third-party manufacturers for clinical supply and commercial manufacturing;</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or regulatory exclusivity for our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commercial sales of our drug candidates, if and when approved, whether alone or in collaboration with others;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the drug candidates, if and when approved, by patients, the medical community and third-party payors;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14" w:right="1440"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hanging="27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healthcare coverage and adequate reimbursement;</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enforcing and defending intellectual property rights and claims;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 continued acceptable safety profile of the drug candidates following approval.</w:t>
      </w:r>
    </w:p>
    <w:p>
      <w:pPr>
        <w:spacing w:after="0" w:line="154" w:lineRule="exact"/>
        <w:rPr>
          <w:sz w:val="20"/>
          <w:szCs w:val="20"/>
          <w:color w:val="auto"/>
        </w:rPr>
      </w:pPr>
    </w:p>
    <w:p>
      <w:pPr>
        <w:ind w:right="40" w:firstLine="522"/>
        <w:spacing w:after="0" w:line="234" w:lineRule="auto"/>
        <w:rPr>
          <w:sz w:val="20"/>
          <w:szCs w:val="20"/>
          <w:color w:val="auto"/>
        </w:rPr>
      </w:pPr>
      <w:r>
        <w:rPr>
          <w:rFonts w:ascii="Times New Roman" w:cs="Times New Roman" w:eastAsia="Times New Roman" w:hAnsi="Times New Roman"/>
          <w:sz w:val="14"/>
          <w:szCs w:val="14"/>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2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15" w:lineRule="exact"/>
        <w:rPr>
          <w:sz w:val="20"/>
          <w:szCs w:val="20"/>
          <w:color w:val="auto"/>
        </w:rPr>
      </w:pPr>
    </w:p>
    <w:p>
      <w:pPr>
        <w:ind w:right="100" w:firstLine="522"/>
        <w:spacing w:after="0" w:line="225" w:lineRule="auto"/>
        <w:rPr>
          <w:sz w:val="20"/>
          <w:szCs w:val="20"/>
          <w:color w:val="auto"/>
        </w:rPr>
      </w:pPr>
      <w:r>
        <w:rPr>
          <w:rFonts w:ascii="Times New Roman" w:cs="Times New Roman" w:eastAsia="Times New Roman" w:hAnsi="Times New Roman"/>
          <w:sz w:val="14"/>
          <w:szCs w:val="14"/>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91" w:lineRule="exact"/>
        <w:rPr>
          <w:sz w:val="20"/>
          <w:szCs w:val="20"/>
          <w:color w:val="auto"/>
        </w:rPr>
      </w:pPr>
    </w:p>
    <w:p>
      <w:pPr>
        <w:ind w:firstLine="522"/>
        <w:spacing w:after="0" w:line="149" w:lineRule="exact"/>
        <w:rPr>
          <w:sz w:val="20"/>
          <w:szCs w:val="20"/>
          <w:color w:val="auto"/>
        </w:rPr>
      </w:pPr>
      <w:r>
        <w:rPr>
          <w:rFonts w:ascii="Times New Roman" w:cs="Times New Roman" w:eastAsia="Times New Roman" w:hAnsi="Times New Roman"/>
          <w:sz w:val="14"/>
          <w:szCs w:val="14"/>
          <w:color w:val="auto"/>
        </w:rPr>
        <w:t>Each of our lead drug candidates,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95" w:lineRule="exact"/>
        <w:rPr>
          <w:sz w:val="20"/>
          <w:szCs w:val="20"/>
          <w:color w:val="auto"/>
        </w:rPr>
      </w:pPr>
    </w:p>
    <w:p>
      <w:pPr>
        <w:ind w:right="180" w:firstLine="522"/>
        <w:spacing w:after="0" w:line="166" w:lineRule="exact"/>
        <w:rPr>
          <w:sz w:val="20"/>
          <w:szCs w:val="20"/>
          <w:color w:val="auto"/>
        </w:rPr>
      </w:pPr>
      <w:r>
        <w:rPr>
          <w:rFonts w:ascii="Times New Roman" w:cs="Times New Roman" w:eastAsia="Times New Roman" w:hAnsi="Times New Roman"/>
          <w:sz w:val="14"/>
          <w:szCs w:val="14"/>
          <w:color w:val="auto"/>
        </w:rPr>
        <w:t>We are currently evaluating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in an ongoing Phase 1 clinical trial for defined subsets of patients with GIST, BLU-285 in an ongoing Phase 1 clinical trial for advanced SM,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in an ongoing Phase 1 clinical trial in patients with advanced HCC and BLU-667 in an ongoing Phase 1 clinical trial in patients with NSCLC, MTC and other advanced solid tumors.</w:t>
      </w:r>
    </w:p>
    <w:p>
      <w:pPr>
        <w:spacing w:after="0" w:line="127" w:lineRule="exact"/>
        <w:rPr>
          <w:sz w:val="20"/>
          <w:szCs w:val="20"/>
          <w:color w:val="auto"/>
        </w:rPr>
      </w:pPr>
    </w:p>
    <w:p>
      <w:pPr>
        <w:ind w:right="60" w:firstLine="522"/>
        <w:spacing w:after="0" w:line="153" w:lineRule="exact"/>
        <w:rPr>
          <w:sz w:val="20"/>
          <w:szCs w:val="20"/>
          <w:color w:val="auto"/>
        </w:rPr>
      </w:pPr>
      <w:r>
        <w:rPr>
          <w:rFonts w:ascii="Times New Roman" w:cs="Times New Roman" w:eastAsia="Times New Roman" w:hAnsi="Times New Roman"/>
          <w:sz w:val="14"/>
          <w:szCs w:val="14"/>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and our other drug candidates. We do not know whether any of our clinical trials for our lead drug candidates will be completed on schedule, if at all.</w:t>
      </w:r>
    </w:p>
    <w:p>
      <w:pPr>
        <w:spacing w:after="0" w:line="106" w:lineRule="exact"/>
        <w:rPr>
          <w:sz w:val="20"/>
          <w:szCs w:val="20"/>
          <w:color w:val="auto"/>
        </w:rPr>
      </w:pPr>
    </w:p>
    <w:p>
      <w:pPr>
        <w:ind w:right="320" w:firstLine="522"/>
        <w:spacing w:after="0" w:line="234" w:lineRule="auto"/>
        <w:rPr>
          <w:sz w:val="20"/>
          <w:szCs w:val="20"/>
          <w:color w:val="auto"/>
        </w:rPr>
      </w:pPr>
      <w:r>
        <w:rPr>
          <w:rFonts w:ascii="Times New Roman" w:cs="Times New Roman" w:eastAsia="Times New Roman" w:hAnsi="Times New Roman"/>
          <w:sz w:val="14"/>
          <w:szCs w:val="14"/>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17" w:lineRule="exact"/>
        <w:rPr>
          <w:sz w:val="20"/>
          <w:szCs w:val="20"/>
          <w:color w:val="auto"/>
        </w:rPr>
      </w:pPr>
    </w:p>
    <w:p>
      <w:pPr>
        <w:ind w:left="1060" w:right="120" w:hanging="271"/>
        <w:spacing w:after="0" w:line="252" w:lineRule="auto"/>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or IRBs, or ethics committees may not authorize us or our investigators to commence a clinical trial or conduct a clinical trial at a prospective trial site;</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right="40" w:hanging="271"/>
        <w:spacing w:after="0" w:line="234"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16" w:lineRule="exact"/>
        <w:rPr>
          <w:rFonts w:ascii="Times New Roman" w:cs="Times New Roman" w:eastAsia="Times New Roman" w:hAnsi="Times New Roman"/>
          <w:sz w:val="14"/>
          <w:szCs w:val="14"/>
          <w:color w:val="auto"/>
        </w:rPr>
      </w:pPr>
    </w:p>
    <w:p>
      <w:pPr>
        <w:ind w:left="1060" w:right="220" w:hanging="271"/>
        <w:spacing w:after="0" w:line="252"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07" w:lineRule="exact"/>
        <w:rPr>
          <w:rFonts w:ascii="Times New Roman" w:cs="Times New Roman" w:eastAsia="Times New Roman" w:hAnsi="Times New Roman"/>
          <w:sz w:val="14"/>
          <w:szCs w:val="14"/>
          <w:color w:val="auto"/>
        </w:rPr>
      </w:pPr>
    </w:p>
    <w:p>
      <w:pPr>
        <w:ind w:left="1060" w:hanging="271"/>
        <w:spacing w:after="0" w:line="234"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16" w:lineRule="exact"/>
        <w:rPr>
          <w:rFonts w:ascii="Times New Roman" w:cs="Times New Roman" w:eastAsia="Times New Roman" w:hAnsi="Times New Roman"/>
          <w:sz w:val="14"/>
          <w:szCs w:val="14"/>
          <w:color w:val="auto"/>
        </w:rPr>
      </w:pPr>
    </w:p>
    <w:p>
      <w:pPr>
        <w:ind w:left="1060" w:right="60" w:hanging="271"/>
        <w:spacing w:after="0" w:line="234"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16" w:lineRule="exact"/>
        <w:rPr>
          <w:rFonts w:ascii="Times New Roman" w:cs="Times New Roman" w:eastAsia="Times New Roman" w:hAnsi="Times New Roman"/>
          <w:sz w:val="14"/>
          <w:szCs w:val="14"/>
          <w:color w:val="auto"/>
        </w:rPr>
      </w:pPr>
    </w:p>
    <w:p>
      <w:pPr>
        <w:ind w:left="1060" w:right="20" w:hanging="271"/>
        <w:spacing w:after="0" w:line="234"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16"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drug candidates may be greater than we anticipate;</w:t>
      </w:r>
    </w:p>
    <w:p>
      <w:pPr>
        <w:spacing w:after="0" w:line="143" w:lineRule="exact"/>
        <w:rPr>
          <w:rFonts w:ascii="Times New Roman" w:cs="Times New Roman" w:eastAsia="Times New Roman" w:hAnsi="Times New Roman"/>
          <w:sz w:val="14"/>
          <w:szCs w:val="14"/>
          <w:color w:val="auto"/>
        </w:rPr>
      </w:pPr>
    </w:p>
    <w:p>
      <w:pPr>
        <w:ind w:left="1060" w:right="620" w:hanging="271"/>
        <w:spacing w:after="0" w:line="252"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drug candidates or other materials necessary to conduct clinical trials of our drug candidates may be insufficient or inadequate;</w:t>
      </w:r>
    </w:p>
    <w:p>
      <w:pPr>
        <w:spacing w:after="0" w:line="107" w:lineRule="exact"/>
        <w:rPr>
          <w:rFonts w:ascii="Times New Roman" w:cs="Times New Roman" w:eastAsia="Times New Roman" w:hAnsi="Times New Roman"/>
          <w:sz w:val="14"/>
          <w:szCs w:val="14"/>
          <w:color w:val="auto"/>
        </w:rPr>
      </w:pPr>
    </w:p>
    <w:p>
      <w:pPr>
        <w:ind w:left="1060" w:right="220" w:hanging="271"/>
        <w:spacing w:after="0" w:line="234"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16" w:lineRule="exact"/>
        <w:rPr>
          <w:rFonts w:ascii="Times New Roman" w:cs="Times New Roman" w:eastAsia="Times New Roman" w:hAnsi="Times New Roman"/>
          <w:sz w:val="14"/>
          <w:szCs w:val="14"/>
          <w:color w:val="auto"/>
        </w:rPr>
      </w:pPr>
    </w:p>
    <w:p>
      <w:pPr>
        <w:ind w:left="1060" w:right="300" w:hanging="271"/>
        <w:spacing w:after="0" w:line="252"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regulatory authorities may require us to submit additional data or impose other requirements before permitting us to initiate a clinical trial.</w:t>
      </w:r>
    </w:p>
    <w:p>
      <w:pPr>
        <w:spacing w:after="0" w:line="108"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48" w:lineRule="exact"/>
        <w:rPr>
          <w:sz w:val="20"/>
          <w:szCs w:val="20"/>
          <w:color w:val="auto"/>
        </w:rPr>
      </w:pPr>
    </w:p>
    <w:p>
      <w:pPr>
        <w:ind w:right="80" w:firstLine="522"/>
        <w:spacing w:after="0" w:line="234"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06" w:lineRule="exact"/>
        <w:rPr>
          <w:sz w:val="20"/>
          <w:szCs w:val="20"/>
          <w:color w:val="auto"/>
        </w:rPr>
      </w:pPr>
    </w:p>
    <w:p>
      <w:pPr>
        <w:ind w:left="1060" w:hanging="27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drug candidates;</w:t>
      </w:r>
    </w:p>
    <w:p>
      <w:pPr>
        <w:spacing w:after="0" w:line="143"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obtain marketing approval at all;</w:t>
      </w:r>
    </w:p>
    <w:p>
      <w:pPr>
        <w:spacing w:after="0" w:line="143"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hanging="27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post-marketing testing requirements; or</w:t>
      </w:r>
    </w:p>
    <w:p>
      <w:pPr>
        <w:spacing w:after="0" w:line="143"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drug removed from the market after obtaining marketing approval.</w:t>
      </w:r>
    </w:p>
    <w:p>
      <w:pPr>
        <w:spacing w:after="0" w:line="144" w:lineRule="exact"/>
        <w:rPr>
          <w:sz w:val="20"/>
          <w:szCs w:val="20"/>
          <w:color w:val="auto"/>
        </w:rPr>
      </w:pPr>
    </w:p>
    <w:p>
      <w:pPr>
        <w:ind w:right="40" w:firstLine="522"/>
        <w:spacing w:after="0" w:line="225" w:lineRule="auto"/>
        <w:rPr>
          <w:sz w:val="20"/>
          <w:szCs w:val="20"/>
          <w:color w:val="auto"/>
        </w:rPr>
      </w:pPr>
      <w:r>
        <w:rPr>
          <w:rFonts w:ascii="Times New Roman" w:cs="Times New Roman" w:eastAsia="Times New Roman" w:hAnsi="Times New Roman"/>
          <w:sz w:val="14"/>
          <w:szCs w:val="14"/>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12"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choose not to develop a potential drug candidate, or we may suspend or terminate one or more discovery programs or pre-clinical drug candidates or programs.</w:t>
      </w:r>
    </w:p>
    <w:p>
      <w:pPr>
        <w:spacing w:after="0" w:line="115"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For example, we have determined to suspend our discovery program for inhibitors of neurotrophic tyrosine receptor kinase, or NTRK, and predicted NTRK resistant mutants.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15"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Patient enrollment may be affected by other factors including:</w:t>
      </w:r>
    </w:p>
    <w:p>
      <w:pPr>
        <w:spacing w:after="0" w:line="154" w:lineRule="exact"/>
        <w:rPr>
          <w:sz w:val="20"/>
          <w:szCs w:val="20"/>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target patient population;</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eligibility criteria for the clinical trial;</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an appropriate genomic screening test;</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risks and benefits of the drug candidate under study;</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to facilitate timely enrollment in clinical trials;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referral practices of physicians;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and availability of clinical trial sites for prospective patients.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27" w:lineRule="exact"/>
        <w:rPr>
          <w:sz w:val="20"/>
          <w:szCs w:val="20"/>
          <w:color w:val="auto"/>
        </w:rPr>
      </w:pPr>
    </w:p>
    <w:p>
      <w:pPr>
        <w:ind w:firstLine="522"/>
        <w:spacing w:after="0" w:line="145" w:lineRule="exact"/>
        <w:rPr>
          <w:sz w:val="20"/>
          <w:szCs w:val="20"/>
          <w:color w:val="auto"/>
        </w:rPr>
      </w:pPr>
      <w:r>
        <w:rPr>
          <w:rFonts w:ascii="Times New Roman" w:cs="Times New Roman" w:eastAsia="Times New Roman" w:hAnsi="Times New Roman"/>
          <w:sz w:val="14"/>
          <w:szCs w:val="14"/>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Ventana to develop and commercialize a companion diagnostic test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in order to identify HCC patients with aberrantly active FGFR4 signaling as indicated by FGF19 overexpression and with Qiagen to develop and commercialize a companion diagnostic test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285 in order to identify GIST patients with the PDGFRα D842V mutation. We may engage third parties to develop companion diagnostic tests for use in some of our other current or future clinical trials. However, Ventana, Qiagen or other third parties may not be successful in developing such companion diagnostic tests,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2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27" w:lineRule="exact"/>
        <w:rPr>
          <w:sz w:val="20"/>
          <w:szCs w:val="20"/>
          <w:color w:val="auto"/>
        </w:rPr>
      </w:pPr>
    </w:p>
    <w:p>
      <w:pPr>
        <w:ind w:right="20" w:firstLine="522"/>
        <w:spacing w:after="0" w:line="145" w:lineRule="exact"/>
        <w:rPr>
          <w:sz w:val="20"/>
          <w:szCs w:val="20"/>
          <w:color w:val="auto"/>
        </w:rPr>
      </w:pPr>
      <w:r>
        <w:rPr>
          <w:rFonts w:ascii="Times New Roman" w:cs="Times New Roman" w:eastAsia="Times New Roman" w:hAnsi="Times New Roman"/>
          <w:sz w:val="14"/>
          <w:szCs w:val="14"/>
          <w:color w:val="auto"/>
        </w:rPr>
        <w:t>Our drug candidates and any related companion diagnostic tests, including the companion diagnostic tests that we are developing with Ventana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in order to identify HCC patients with aberrantly active FGFR4 signaling as indicated by FGF19 overexpression and with Qiagen for BLU-285 in order to identify GIST patients with the PDGFRα D842V mutation,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with Ventana for BLU-554 and with Qiagen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32" w:lineRule="exact"/>
        <w:rPr>
          <w:sz w:val="20"/>
          <w:szCs w:val="20"/>
          <w:color w:val="auto"/>
        </w:rPr>
      </w:pPr>
    </w:p>
    <w:p>
      <w:pPr>
        <w:ind w:right="200" w:firstLine="522"/>
        <w:spacing w:after="0" w:line="234" w:lineRule="auto"/>
        <w:rPr>
          <w:sz w:val="20"/>
          <w:szCs w:val="20"/>
          <w:color w:val="auto"/>
        </w:rPr>
      </w:pPr>
      <w:r>
        <w:rPr>
          <w:rFonts w:ascii="Times New Roman" w:cs="Times New Roman" w:eastAsia="Times New Roman" w:hAnsi="Times New Roman"/>
          <w:sz w:val="14"/>
          <w:szCs w:val="14"/>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40"/>
        <w:spacing w:after="0" w:line="151" w:lineRule="exact"/>
        <w:rPr>
          <w:sz w:val="20"/>
          <w:szCs w:val="20"/>
          <w:color w:val="auto"/>
        </w:rPr>
      </w:pPr>
      <w:r>
        <w:rPr>
          <w:rFonts w:ascii="Times New Roman" w:cs="Times New Roman" w:eastAsia="Times New Roman" w:hAnsi="Times New Roman"/>
          <w:sz w:val="14"/>
          <w:szCs w:val="14"/>
          <w:color w:val="auto"/>
        </w:rPr>
        <w:t>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26" w:lineRule="exact"/>
        <w:rPr>
          <w:sz w:val="20"/>
          <w:szCs w:val="20"/>
          <w:color w:val="auto"/>
        </w:rPr>
      </w:pPr>
    </w:p>
    <w:p>
      <w:pPr>
        <w:ind w:left="1060" w:hanging="271"/>
        <w:spacing w:after="0"/>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the design or implementation of our clinical trials;</w:t>
      </w:r>
    </w:p>
    <w:p>
      <w:pPr>
        <w:spacing w:after="0" w:line="154" w:lineRule="exact"/>
        <w:rPr>
          <w:rFonts w:ascii="Times New Roman" w:cs="Times New Roman" w:eastAsia="Times New Roman" w:hAnsi="Times New Roman"/>
          <w:sz w:val="14"/>
          <w:szCs w:val="14"/>
          <w:color w:val="auto"/>
        </w:rPr>
      </w:pPr>
    </w:p>
    <w:p>
      <w:pPr>
        <w:ind w:left="1060" w:right="10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18" w:lineRule="exact"/>
        <w:rPr>
          <w:rFonts w:ascii="Times New Roman" w:cs="Times New Roman" w:eastAsia="Times New Roman" w:hAnsi="Times New Roman"/>
          <w:sz w:val="14"/>
          <w:szCs w:val="14"/>
          <w:color w:val="auto"/>
        </w:rPr>
      </w:pPr>
    </w:p>
    <w:p>
      <w:pPr>
        <w:ind w:left="1060" w:right="48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approval;</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drug candidate’s clinical and other benefits outweigh its safety risks;</w:t>
      </w:r>
    </w:p>
    <w:p>
      <w:pPr>
        <w:spacing w:after="0" w:line="154" w:lineRule="exact"/>
        <w:rPr>
          <w:rFonts w:ascii="Times New Roman" w:cs="Times New Roman" w:eastAsia="Times New Roman" w:hAnsi="Times New Roman"/>
          <w:sz w:val="14"/>
          <w:szCs w:val="14"/>
          <w:color w:val="auto"/>
        </w:rPr>
      </w:pPr>
    </w:p>
    <w:p>
      <w:pPr>
        <w:ind w:left="1060" w:right="28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our interpretation of data from pre-clinical studies or clinical trials;</w:t>
      </w:r>
    </w:p>
    <w:p>
      <w:pPr>
        <w:spacing w:after="0" w:line="118" w:lineRule="exact"/>
        <w:rPr>
          <w:rFonts w:ascii="Times New Roman" w:cs="Times New Roman" w:eastAsia="Times New Roman" w:hAnsi="Times New Roman"/>
          <w:sz w:val="14"/>
          <w:szCs w:val="14"/>
          <w:color w:val="auto"/>
        </w:rPr>
      </w:pPr>
    </w:p>
    <w:p>
      <w:pPr>
        <w:ind w:left="1060" w:right="64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drug candidates may not be sufficient to support the submission of an NDA or other submission or to obtain regulatory approval in the United States or elsewhere;</w:t>
      </w:r>
    </w:p>
    <w:p>
      <w:pPr>
        <w:spacing w:after="0" w:line="118" w:lineRule="exact"/>
        <w:rPr>
          <w:rFonts w:ascii="Times New Roman" w:cs="Times New Roman" w:eastAsia="Times New Roman" w:hAnsi="Times New Roman"/>
          <w:sz w:val="14"/>
          <w:szCs w:val="14"/>
          <w:color w:val="auto"/>
        </w:rPr>
      </w:pPr>
    </w:p>
    <w:p>
      <w:pPr>
        <w:ind w:left="1060" w:right="58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fail to approve the manufacturing processes or facilities of third-party manufacturers with which we contract for clinical and commercial supplies; and</w:t>
      </w:r>
    </w:p>
    <w:p>
      <w:pPr>
        <w:spacing w:after="0" w:line="118" w:lineRule="exact"/>
        <w:rPr>
          <w:rFonts w:ascii="Times New Roman" w:cs="Times New Roman" w:eastAsia="Times New Roman" w:hAnsi="Times New Roman"/>
          <w:sz w:val="14"/>
          <w:szCs w:val="14"/>
          <w:color w:val="auto"/>
        </w:rPr>
      </w:pPr>
    </w:p>
    <w:p>
      <w:pPr>
        <w:ind w:left="1060" w:right="480" w:hanging="271"/>
        <w:spacing w:after="0" w:line="252" w:lineRule="auto"/>
        <w:tabs>
          <w:tab w:leader="none" w:pos="10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19" w:lineRule="exact"/>
        <w:rPr>
          <w:sz w:val="20"/>
          <w:szCs w:val="20"/>
          <w:color w:val="auto"/>
        </w:rPr>
      </w:pPr>
    </w:p>
    <w:p>
      <w:pPr>
        <w:ind w:firstLine="522"/>
        <w:spacing w:after="0" w:line="151" w:lineRule="exact"/>
        <w:rPr>
          <w:sz w:val="20"/>
          <w:szCs w:val="20"/>
          <w:color w:val="auto"/>
        </w:rPr>
      </w:pPr>
      <w:r>
        <w:rPr>
          <w:rFonts w:ascii="Times New Roman" w:cs="Times New Roman" w:eastAsia="Times New Roman" w:hAnsi="Times New Roman"/>
          <w:sz w:val="14"/>
          <w:szCs w:val="14"/>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26" w:lineRule="exact"/>
        <w:rPr>
          <w:sz w:val="20"/>
          <w:szCs w:val="20"/>
          <w:color w:val="auto"/>
        </w:rPr>
      </w:pPr>
    </w:p>
    <w:p>
      <w:pPr>
        <w:ind w:right="240" w:firstLine="522"/>
        <w:spacing w:after="0" w:line="252" w:lineRule="auto"/>
        <w:rPr>
          <w:sz w:val="20"/>
          <w:szCs w:val="20"/>
          <w:color w:val="auto"/>
        </w:rPr>
      </w:pPr>
      <w:r>
        <w:rPr>
          <w:rFonts w:ascii="Times New Roman" w:cs="Times New Roman" w:eastAsia="Times New Roman" w:hAnsi="Times New Roman"/>
          <w:sz w:val="14"/>
          <w:szCs w:val="14"/>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15"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15"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right="160"/>
        <w:spacing w:after="0" w:line="166" w:lineRule="exact"/>
        <w:rPr>
          <w:sz w:val="20"/>
          <w:szCs w:val="20"/>
          <w:color w:val="auto"/>
        </w:rPr>
      </w:pPr>
      <w:r>
        <w:rPr>
          <w:rFonts w:ascii="Times New Roman" w:cs="Times New Roman" w:eastAsia="Times New Roman" w:hAnsi="Times New Roman"/>
          <w:sz w:val="14"/>
          <w:szCs w:val="14"/>
          <w:color w:val="auto"/>
        </w:rPr>
        <w:t>cease further development of or deny approval of our drug candidates for any or all targeted indications. The drug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03" w:lineRule="exact"/>
        <w:rPr>
          <w:sz w:val="20"/>
          <w:szCs w:val="20"/>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Further, our drug candidates could cause undesirable side effects in clinical trials related to 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target toxicity. For example, the FGF19/FGFR4</w:t>
      </w:r>
    </w:p>
    <w:p>
      <w:pPr>
        <w:spacing w:after="0"/>
        <w:rPr>
          <w:sz w:val="20"/>
          <w:szCs w:val="20"/>
          <w:color w:val="auto"/>
        </w:rPr>
      </w:pPr>
      <w:r>
        <w:rPr>
          <w:rFonts w:ascii="Times New Roman" w:cs="Times New Roman" w:eastAsia="Times New Roman" w:hAnsi="Times New Roman"/>
          <w:sz w:val="14"/>
          <w:szCs w:val="14"/>
          <w:color w:val="auto"/>
        </w:rPr>
        <w:t>signaling axis has been shown to play a role in the regulation of de novo bile acid synthesis. Modulation of this signaling axis by treatment with a small</w:t>
      </w:r>
    </w:p>
    <w:p>
      <w:pPr>
        <w:spacing w:after="0" w:line="141" w:lineRule="exact"/>
        <w:rPr>
          <w:sz w:val="20"/>
          <w:szCs w:val="20"/>
          <w:color w:val="auto"/>
        </w:rPr>
      </w:pPr>
      <w:r>
        <w:rPr>
          <w:rFonts w:ascii="Times New Roman" w:cs="Times New Roman" w:eastAsia="Times New Roman" w:hAnsi="Times New Roman"/>
          <w:sz w:val="14"/>
          <w:szCs w:val="14"/>
          <w:color w:val="auto"/>
        </w:rPr>
        <w:t>molecule FGFR4 inhibitor could lead to the clinical symptoms that were observed with administration of an FGF19 antibody. If 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target toxicity is</w:t>
      </w:r>
    </w:p>
    <w:p>
      <w:pPr>
        <w:spacing w:after="0" w:line="211" w:lineRule="auto"/>
        <w:rPr>
          <w:sz w:val="20"/>
          <w:szCs w:val="20"/>
          <w:color w:val="auto"/>
        </w:rPr>
      </w:pPr>
      <w:r>
        <w:rPr>
          <w:rFonts w:ascii="Times New Roman" w:cs="Times New Roman" w:eastAsia="Times New Roman" w:hAnsi="Times New Roman"/>
          <w:sz w:val="14"/>
          <w:szCs w:val="14"/>
          <w:color w:val="auto"/>
        </w:rPr>
        <w:t>observed, or if our drug candidates have characteristics that are unexpected, we may need to abandon their development or limit development to more</w:t>
      </w:r>
    </w:p>
    <w:p>
      <w:pPr>
        <w:spacing w:after="0" w:line="211" w:lineRule="auto"/>
        <w:rPr>
          <w:sz w:val="20"/>
          <w:szCs w:val="20"/>
          <w:color w:val="auto"/>
        </w:rPr>
      </w:pPr>
      <w:r>
        <w:rPr>
          <w:rFonts w:ascii="Times New Roman" w:cs="Times New Roman" w:eastAsia="Times New Roman" w:hAnsi="Times New Roman"/>
          <w:sz w:val="14"/>
          <w:szCs w:val="14"/>
          <w:color w:val="auto"/>
        </w:rPr>
        <w:t>narrow uses or subpopulations in which the undesirable side effects or other characteristics are less prevalent, less severe or more acceptable from a</w:t>
      </w:r>
    </w:p>
    <w:p>
      <w:pPr>
        <w:spacing w:after="0" w:line="142" w:lineRule="exact"/>
        <w:rPr>
          <w:sz w:val="20"/>
          <w:szCs w:val="20"/>
          <w:color w:val="auto"/>
        </w:rPr>
      </w:pPr>
      <w:r>
        <w:rPr>
          <w:rFonts w:ascii="Times New Roman" w:cs="Times New Roman" w:eastAsia="Times New Roman" w:hAnsi="Times New Roman"/>
          <w:sz w:val="14"/>
          <w:szCs w:val="14"/>
          <w:color w:val="auto"/>
        </w:rPr>
        <w:t>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benefit perspective. Many compounds that initially showed promise in early stage testing for treating cancer have later been found to cause side effects</w:t>
      </w:r>
    </w:p>
    <w:p>
      <w:pPr>
        <w:spacing w:after="0"/>
        <w:rPr>
          <w:sz w:val="20"/>
          <w:szCs w:val="20"/>
          <w:color w:val="auto"/>
        </w:rPr>
      </w:pPr>
      <w:r>
        <w:rPr>
          <w:rFonts w:ascii="Times New Roman" w:cs="Times New Roman" w:eastAsia="Times New Roman" w:hAnsi="Times New Roman"/>
          <w:sz w:val="14"/>
          <w:szCs w:val="14"/>
          <w:color w:val="auto"/>
        </w:rPr>
        <w:t>that prevented further development of the compound.</w:t>
      </w:r>
    </w:p>
    <w:p>
      <w:pPr>
        <w:spacing w:after="0" w:line="138"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28" w:lineRule="exact"/>
        <w:rPr>
          <w:sz w:val="20"/>
          <w:szCs w:val="20"/>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limit their approval of such drug candidates;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a “boxed” warning or a contraindication;</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such side effects for distribution to patients;</w:t>
      </w:r>
    </w:p>
    <w:p>
      <w:pPr>
        <w:spacing w:after="0" w:line="154" w:lineRule="exact"/>
        <w:rPr>
          <w:rFonts w:ascii="Times New Roman" w:cs="Times New Roman" w:eastAsia="Times New Roman" w:hAnsi="Times New Roman"/>
          <w:sz w:val="14"/>
          <w:szCs w:val="14"/>
          <w:color w:val="auto"/>
        </w:rPr>
      </w:pPr>
    </w:p>
    <w:p>
      <w:pPr>
        <w:ind w:left="1060" w:right="180" w:hanging="271"/>
        <w:spacing w:after="0" w:line="252" w:lineRule="auto"/>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such drug candidates are distributed or administered, conduct additional clinical trials or change the labeling of the drug candidates;</w:t>
      </w:r>
    </w:p>
    <w:p>
      <w:pPr>
        <w:spacing w:after="0" w:line="118" w:lineRule="exact"/>
        <w:rPr>
          <w:rFonts w:ascii="Times New Roman" w:cs="Times New Roman" w:eastAsia="Times New Roman" w:hAnsi="Times New Roman"/>
          <w:sz w:val="14"/>
          <w:szCs w:val="14"/>
          <w:color w:val="auto"/>
        </w:rPr>
      </w:pPr>
    </w:p>
    <w:p>
      <w:pPr>
        <w:ind w:left="1060" w:right="400" w:hanging="271"/>
        <w:spacing w:after="0" w:line="234" w:lineRule="auto"/>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27"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regulatory investigations and government enforcement actions;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decide to remove such drug candidates from the marketplace;</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injury caused to individuals exposed to or taking our drug candidates;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54" w:lineRule="exact"/>
        <w:rPr>
          <w:sz w:val="20"/>
          <w:szCs w:val="20"/>
          <w:color w:val="auto"/>
        </w:rPr>
      </w:pPr>
    </w:p>
    <w:p>
      <w:pPr>
        <w:ind w:right="60" w:firstLine="522"/>
        <w:spacing w:after="0" w:line="234" w:lineRule="auto"/>
        <w:rPr>
          <w:sz w:val="20"/>
          <w:szCs w:val="20"/>
          <w:color w:val="auto"/>
        </w:rPr>
      </w:pPr>
      <w:r>
        <w:rPr>
          <w:rFonts w:ascii="Times New Roman" w:cs="Times New Roman" w:eastAsia="Times New Roman" w:hAnsi="Times New Roman"/>
          <w:sz w:val="14"/>
          <w:szCs w:val="14"/>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by the FDA for our drug candidates, including BLU-285 for the treatment of patients with unresectable or metastatic GIST harboring the PDGFRα D842V mutation, may not lead to a faster development or regulatory review or approval process, and it does not increase the likelihood that our drug candidates will receive marketing approval.</w:t>
      </w:r>
    </w:p>
    <w:p>
      <w:pPr>
        <w:spacing w:after="0" w:line="127" w:lineRule="exact"/>
        <w:rPr>
          <w:sz w:val="20"/>
          <w:szCs w:val="20"/>
          <w:color w:val="auto"/>
        </w:rPr>
      </w:pPr>
    </w:p>
    <w:p>
      <w:pPr>
        <w:ind w:firstLine="522"/>
        <w:spacing w:after="0" w:line="161" w:lineRule="exact"/>
        <w:rPr>
          <w:sz w:val="20"/>
          <w:szCs w:val="20"/>
          <w:color w:val="auto"/>
        </w:rPr>
      </w:pPr>
      <w:r>
        <w:rPr>
          <w:rFonts w:ascii="Times New Roman" w:cs="Times New Roman" w:eastAsia="Times New Roman" w:hAnsi="Times New Roman"/>
          <w:sz w:val="14"/>
          <w:szCs w:val="14"/>
          <w:color w:val="auto"/>
        </w:rPr>
        <w:t>In June 2017, the FDA granted breakthrough therapy designation to BLU-285 for the treatment of patients with unresectable or metastatic GIST harboring the PDGFRα D842V mutation.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8"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may not actually lead to a faster development or regulatory review or approval process.</w:t>
      </w:r>
    </w:p>
    <w:p>
      <w:pPr>
        <w:spacing w:after="0" w:line="135" w:lineRule="exact"/>
        <w:rPr>
          <w:sz w:val="20"/>
          <w:szCs w:val="20"/>
          <w:color w:val="auto"/>
        </w:rPr>
      </w:pPr>
    </w:p>
    <w:p>
      <w:pPr>
        <w:ind w:right="40" w:firstLine="522"/>
        <w:spacing w:after="0" w:line="161" w:lineRule="exact"/>
        <w:rPr>
          <w:sz w:val="20"/>
          <w:szCs w:val="20"/>
          <w:color w:val="auto"/>
        </w:rPr>
      </w:pPr>
      <w:r>
        <w:rPr>
          <w:rFonts w:ascii="Times New Roman" w:cs="Times New Roman" w:eastAsia="Times New Roman" w:hAnsi="Times New Roman"/>
          <w:sz w:val="14"/>
          <w:szCs w:val="14"/>
          <w:color w:val="auto"/>
        </w:rPr>
        <w:t>In October 2016, the FDA granted fast track designation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20" w:lineRule="exact"/>
        <w:rPr>
          <w:sz w:val="20"/>
          <w:szCs w:val="20"/>
          <w:color w:val="auto"/>
        </w:rPr>
      </w:pPr>
    </w:p>
    <w:p>
      <w:pPr>
        <w:ind w:right="220"/>
        <w:spacing w:after="0" w:line="166" w:lineRule="exact"/>
        <w:rPr>
          <w:sz w:val="20"/>
          <w:szCs w:val="20"/>
          <w:color w:val="auto"/>
        </w:rPr>
      </w:pPr>
      <w:r>
        <w:rPr>
          <w:rFonts w:ascii="Times New Roman" w:cs="Times New Roman" w:eastAsia="Times New Roman" w:hAnsi="Times New Roman"/>
          <w:sz w:val="14"/>
          <w:szCs w:val="14"/>
          <w:b w:val="1"/>
          <w:bCs w:val="1"/>
          <w:i w:val="1"/>
          <w:iCs w:val="1"/>
          <w:color w:val="auto"/>
        </w:rPr>
        <w:t>While we have received orphan drug designation for two of our lead drug candidates, BLU</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285 and BLU</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-252095</wp:posOffset>
            </wp:positionV>
            <wp:extent cx="56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15" cy="3683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-252095</wp:posOffset>
            </wp:positionV>
            <wp:extent cx="56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15" cy="36830"/>
                    </a:xfrm>
                    <a:prstGeom prst="rect">
                      <a:avLst/>
                    </a:prstGeom>
                    <a:noFill/>
                  </pic:spPr>
                </pic:pic>
              </a:graphicData>
            </a:graphic>
          </wp:anchor>
        </w:drawing>
      </w:r>
    </w:p>
    <w:p>
      <w:pPr>
        <w:spacing w:after="0" w:line="83" w:lineRule="exact"/>
        <w:rPr>
          <w:sz w:val="20"/>
          <w:szCs w:val="20"/>
          <w:color w:val="auto"/>
        </w:rPr>
      </w:pPr>
    </w:p>
    <w:p>
      <w:pPr>
        <w:ind w:firstLine="522"/>
        <w:spacing w:after="0" w:line="151" w:lineRule="exact"/>
        <w:rPr>
          <w:sz w:val="20"/>
          <w:szCs w:val="20"/>
          <w:color w:val="auto"/>
        </w:rPr>
      </w:pPr>
      <w:r>
        <w:rPr>
          <w:rFonts w:ascii="Times New Roman" w:cs="Times New Roman" w:eastAsia="Times New Roman" w:hAnsi="Times New Roman"/>
          <w:sz w:val="14"/>
          <w:szCs w:val="14"/>
          <w:color w:val="auto"/>
        </w:rPr>
        <w:t>In September 2015, the FDA granted orphan drug designation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554 for the treatment of HCC, and in January 2016, the FDA granted orphan drug designation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for the treatment of GIST and SM. In addition, in July 2017, the European Medicines Agency granted orphan drug designation to BLU-285 for the treatment of GIST.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fee waivers.</w:t>
      </w:r>
    </w:p>
    <w:p>
      <w:pPr>
        <w:spacing w:after="0" w:line="111" w:lineRule="exact"/>
        <w:rPr>
          <w:sz w:val="20"/>
          <w:szCs w:val="20"/>
          <w:color w:val="auto"/>
        </w:rPr>
      </w:pPr>
    </w:p>
    <w:p>
      <w:pPr>
        <w:ind w:firstLine="522"/>
        <w:spacing w:after="0" w:line="147" w:lineRule="exact"/>
        <w:rPr>
          <w:sz w:val="20"/>
          <w:szCs w:val="20"/>
          <w:color w:val="auto"/>
        </w:rPr>
      </w:pPr>
      <w:r>
        <w:rPr>
          <w:rFonts w:ascii="Times New Roman" w:cs="Times New Roman" w:eastAsia="Times New Roman" w:hAnsi="Times New Roman"/>
          <w:sz w:val="14"/>
          <w:szCs w:val="14"/>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30" w:lineRule="exact"/>
        <w:rPr>
          <w:sz w:val="20"/>
          <w:szCs w:val="20"/>
          <w:color w:val="auto"/>
        </w:rPr>
      </w:pPr>
    </w:p>
    <w:p>
      <w:pPr>
        <w:ind w:right="160" w:firstLine="522"/>
        <w:spacing w:after="0" w:line="225" w:lineRule="auto"/>
        <w:rPr>
          <w:sz w:val="20"/>
          <w:szCs w:val="20"/>
          <w:color w:val="auto"/>
        </w:rPr>
      </w:pPr>
      <w:r>
        <w:rPr>
          <w:rFonts w:ascii="Times New Roman" w:cs="Times New Roman" w:eastAsia="Times New Roman" w:hAnsi="Times New Roman"/>
          <w:sz w:val="14"/>
          <w:szCs w:val="14"/>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26" w:lineRule="exact"/>
        <w:rPr>
          <w:sz w:val="20"/>
          <w:szCs w:val="20"/>
          <w:color w:val="auto"/>
        </w:rPr>
      </w:pPr>
    </w:p>
    <w:p>
      <w:pPr>
        <w:ind w:right="100" w:firstLine="522"/>
        <w:spacing w:after="0" w:line="146" w:lineRule="exact"/>
        <w:rPr>
          <w:sz w:val="20"/>
          <w:szCs w:val="20"/>
          <w:color w:val="auto"/>
        </w:rPr>
      </w:pPr>
      <w:r>
        <w:rPr>
          <w:rFonts w:ascii="Times New Roman" w:cs="Times New Roman" w:eastAsia="Times New Roman" w:hAnsi="Times New Roman"/>
          <w:sz w:val="14"/>
          <w:szCs w:val="14"/>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for the treatment of HCC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for the treatment of GIST and SM, we may never receive such designations. Even if we receive orphan drug designation for any of our drug candidates, there is no guarantee that we will enjoy the benefits of those designations.</w:t>
      </w:r>
    </w:p>
    <w:p>
      <w:pPr>
        <w:spacing w:after="0" w:line="1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the FDA or a comparable foreign regulatory authority approves any of our drug candidates, the manufacturing processes, labeling, packaging,</w:t>
      </w:r>
    </w:p>
    <w:p>
      <w:pPr>
        <w:spacing w:after="0" w:line="210" w:lineRule="auto"/>
        <w:rPr>
          <w:sz w:val="20"/>
          <w:szCs w:val="20"/>
          <w:color w:val="auto"/>
        </w:rPr>
      </w:pPr>
      <w:r>
        <w:rPr>
          <w:rFonts w:ascii="Times New Roman" w:cs="Times New Roman" w:eastAsia="Times New Roman" w:hAnsi="Times New Roman"/>
          <w:sz w:val="14"/>
          <w:szCs w:val="14"/>
          <w:color w:val="auto"/>
        </w:rPr>
        <w:t>distribution, adverse event reporting, storage, advertising, promotion and recordkeeping for the drug will be subject to extensive and ongoing regulatory</w:t>
      </w:r>
    </w:p>
    <w:p>
      <w:pPr>
        <w:spacing w:after="0" w:line="142" w:lineRule="exact"/>
        <w:rPr>
          <w:sz w:val="20"/>
          <w:szCs w:val="20"/>
          <w:color w:val="auto"/>
        </w:rPr>
      </w:pPr>
      <w:r>
        <w:rPr>
          <w:rFonts w:ascii="Times New Roman" w:cs="Times New Roman" w:eastAsia="Times New Roman" w:hAnsi="Times New Roman"/>
          <w:sz w:val="14"/>
          <w:szCs w:val="14"/>
          <w:color w:val="auto"/>
        </w:rPr>
        <w:t>requirements. These requirements include submissions of safety and other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marketing information and reports, registration, as well as continued</w:t>
      </w:r>
    </w:p>
    <w:p>
      <w:pPr>
        <w:spacing w:after="0" w:line="211" w:lineRule="auto"/>
        <w:rPr>
          <w:sz w:val="20"/>
          <w:szCs w:val="20"/>
          <w:color w:val="auto"/>
        </w:rPr>
      </w:pPr>
      <w:r>
        <w:rPr>
          <w:rFonts w:ascii="Times New Roman" w:cs="Times New Roman" w:eastAsia="Times New Roman" w:hAnsi="Times New Roman"/>
          <w:sz w:val="14"/>
          <w:szCs w:val="14"/>
          <w:color w:val="auto"/>
        </w:rPr>
        <w:t>compliance with current Good Manufacturing Practices, or cGMPs, and Good Clinical Practices, or GCPs, for any clinical trials that we conduct</w:t>
      </w:r>
    </w:p>
    <w:p>
      <w:pPr>
        <w:spacing w:after="0" w:line="142" w:lineRule="exact"/>
        <w:rPr>
          <w:sz w:val="20"/>
          <w:szCs w:val="20"/>
          <w:color w:val="auto"/>
        </w:rPr>
      </w:pPr>
      <w:r>
        <w:rPr>
          <w:rFonts w:ascii="Times New Roman" w:cs="Times New Roman" w:eastAsia="Times New Roman" w:hAnsi="Times New Roman"/>
          <w:sz w:val="14"/>
          <w:szCs w:val="14"/>
          <w:color w:val="auto"/>
        </w:rPr>
        <w:t>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approval. Any regulatory approvals that we receive for our drug candidates may also be subject to limitations on the approved indicated uses for which</w:t>
      </w:r>
    </w:p>
    <w:p>
      <w:pPr>
        <w:spacing w:after="0" w:line="142" w:lineRule="exact"/>
        <w:rPr>
          <w:sz w:val="20"/>
          <w:szCs w:val="20"/>
          <w:color w:val="auto"/>
        </w:rPr>
      </w:pPr>
      <w:r>
        <w:rPr>
          <w:rFonts w:ascii="Times New Roman" w:cs="Times New Roman" w:eastAsia="Times New Roman" w:hAnsi="Times New Roman"/>
          <w:sz w:val="14"/>
          <w:szCs w:val="14"/>
          <w:color w:val="auto"/>
        </w:rPr>
        <w:t>the drug may be marketed or to the conditions of approval, or contain requirements for potentially costly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marketing testing, including Phase 4 clinical</w:t>
      </w:r>
    </w:p>
    <w:p>
      <w:pPr>
        <w:spacing w:after="0" w:line="210" w:lineRule="auto"/>
        <w:rPr>
          <w:sz w:val="20"/>
          <w:szCs w:val="20"/>
          <w:color w:val="auto"/>
        </w:rPr>
      </w:pPr>
      <w:r>
        <w:rPr>
          <w:rFonts w:ascii="Times New Roman" w:cs="Times New Roman" w:eastAsia="Times New Roman" w:hAnsi="Times New Roman"/>
          <w:sz w:val="14"/>
          <w:szCs w:val="14"/>
          <w:color w:val="auto"/>
        </w:rPr>
        <w:t>trials, and surveillance to monitor the safety and efficacy of the drug. Later discovery of previously unknown problems with a drug, including adverse</w:t>
      </w:r>
    </w:p>
    <w:p>
      <w:pPr>
        <w:spacing w:after="0" w:line="142" w:lineRule="exact"/>
        <w:rPr>
          <w:sz w:val="20"/>
          <w:szCs w:val="20"/>
          <w:color w:val="auto"/>
        </w:rPr>
      </w:pPr>
      <w:r>
        <w:rPr>
          <w:rFonts w:ascii="Times New Roman" w:cs="Times New Roman" w:eastAsia="Times New Roman" w:hAnsi="Times New Roman"/>
          <w:sz w:val="14"/>
          <w:szCs w:val="14"/>
          <w:color w:val="auto"/>
        </w:rPr>
        <w:t>events of unanticipated severity or frequency, or with our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manufacturers or manufacturing processes, or failure to comply with regulatory</w:t>
      </w:r>
    </w:p>
    <w:p>
      <w:pPr>
        <w:spacing w:after="0"/>
        <w:rPr>
          <w:sz w:val="20"/>
          <w:szCs w:val="20"/>
          <w:color w:val="auto"/>
        </w:rPr>
      </w:pPr>
      <w:r>
        <w:rPr>
          <w:rFonts w:ascii="Times New Roman" w:cs="Times New Roman" w:eastAsia="Times New Roman" w:hAnsi="Times New Roman"/>
          <w:sz w:val="14"/>
          <w:szCs w:val="14"/>
          <w:color w:val="auto"/>
        </w:rPr>
        <w:t>requirements, may result in, among other things:</w:t>
      </w:r>
    </w:p>
    <w:p>
      <w:pPr>
        <w:spacing w:after="0" w:line="138" w:lineRule="exact"/>
        <w:rPr>
          <w:sz w:val="20"/>
          <w:szCs w:val="20"/>
          <w:color w:val="auto"/>
        </w:rPr>
      </w:pPr>
    </w:p>
    <w:p>
      <w:pPr>
        <w:ind w:left="1060" w:hanging="271"/>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drug, withdrawal of the drug from the market, or voluntary drug recalls;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right="160" w:hanging="271"/>
        <w:spacing w:after="0" w:line="252" w:lineRule="auto"/>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marketing approvals;</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seizure or detention, or refusal to permit the import or export of drugs;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54"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use and expand our discovery platform to build a pipeline of drug candidates.</w:t>
      </w:r>
    </w:p>
    <w:p>
      <w:pPr>
        <w:spacing w:after="0" w:line="158" w:lineRule="exact"/>
        <w:rPr>
          <w:sz w:val="20"/>
          <w:szCs w:val="20"/>
          <w:color w:val="auto"/>
        </w:rPr>
      </w:pPr>
    </w:p>
    <w:p>
      <w:pPr>
        <w:ind w:right="20" w:firstLine="522"/>
        <w:spacing w:after="0" w:line="220" w:lineRule="auto"/>
        <w:rPr>
          <w:sz w:val="20"/>
          <w:szCs w:val="20"/>
          <w:color w:val="auto"/>
        </w:rPr>
      </w:pPr>
      <w:r>
        <w:rPr>
          <w:rFonts w:ascii="Times New Roman" w:cs="Times New Roman" w:eastAsia="Times New Roman" w:hAnsi="Times New Roman"/>
          <w:sz w:val="14"/>
          <w:szCs w:val="14"/>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15" w:lineRule="exact"/>
        <w:rPr>
          <w:sz w:val="20"/>
          <w:szCs w:val="20"/>
          <w:color w:val="auto"/>
        </w:rPr>
      </w:pPr>
    </w:p>
    <w:p>
      <w:pPr>
        <w:ind w:right="40" w:firstLine="522"/>
        <w:spacing w:after="0" w:line="220"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Commercialization</w:t>
      </w:r>
    </w:p>
    <w:p>
      <w:pPr>
        <w:spacing w:after="0" w:line="15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27" w:lineRule="exact"/>
        <w:rPr>
          <w:sz w:val="20"/>
          <w:szCs w:val="20"/>
          <w:color w:val="auto"/>
        </w:rPr>
      </w:pPr>
    </w:p>
    <w:p>
      <w:pPr>
        <w:ind w:right="40" w:firstLine="522"/>
        <w:spacing w:after="0" w:line="216" w:lineRule="auto"/>
        <w:rPr>
          <w:sz w:val="20"/>
          <w:szCs w:val="20"/>
          <w:color w:val="auto"/>
        </w:rPr>
      </w:pPr>
      <w:r>
        <w:rPr>
          <w:rFonts w:ascii="Times New Roman" w:cs="Times New Roman" w:eastAsia="Times New Roman" w:hAnsi="Times New Roman"/>
          <w:sz w:val="14"/>
          <w:szCs w:val="14"/>
          <w:color w:val="auto"/>
        </w:rPr>
        <w:t>The precise incidence and prevalence for SM, GIST, HCC and RET-driven NSCLC and MTC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 (i) 4,100 patients with advanced forms of SM, including smoldering SM, who have the KIT D816V mutation;</w:t>
      </w:r>
    </w:p>
    <w:p>
      <w:pPr>
        <w:spacing w:after="0" w:line="2" w:lineRule="exact"/>
        <w:rPr>
          <w:sz w:val="20"/>
          <w:szCs w:val="20"/>
          <w:color w:val="auto"/>
        </w:rPr>
      </w:pPr>
    </w:p>
    <w:p>
      <w:pPr>
        <w:ind w:firstLine="6"/>
        <w:spacing w:after="0" w:line="210" w:lineRule="auto"/>
        <w:tabs>
          <w:tab w:leader="none" w:pos="2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patients with PDGFRα D842V-driven GIST; (iii) 6,300 second line and third line patients with GIST who have a KIT Exon 17 mutation; (iv) 18,900 first line and approximately 8,000 second line HCC patients with aberrantly active FGFR4 signaling, as indicated by FGF19 overexpression; and</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patients with RET-driven NSCLC and approximately 600 patients with RET-driven MTC.</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right="40" w:firstLine="522"/>
        <w:spacing w:after="0" w:line="153" w:lineRule="exact"/>
        <w:rPr>
          <w:sz w:val="20"/>
          <w:szCs w:val="20"/>
          <w:color w:val="auto"/>
        </w:rPr>
      </w:pPr>
      <w:r>
        <w:rPr>
          <w:rFonts w:ascii="Times New Roman" w:cs="Times New Roman" w:eastAsia="Times New Roman" w:hAnsi="Times New Roman"/>
          <w:sz w:val="14"/>
          <w:szCs w:val="14"/>
          <w:color w:val="auto"/>
        </w:rPr>
        <w:t>The total addressable market opportunity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for the treatment of patients with SM and GIST,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for the treatment of patients with HCC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for the treatment of patients with NSCLC and MTC will ultimately depend upon, among other things, the diagnosis criteria included in the final label for each of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which may result in others discovering, developing or commercializing drugs before or more successfully than we do.</w:t>
      </w:r>
    </w:p>
    <w:p>
      <w:pPr>
        <w:spacing w:after="0" w:line="158" w:lineRule="exact"/>
        <w:rPr>
          <w:sz w:val="20"/>
          <w:szCs w:val="20"/>
          <w:color w:val="auto"/>
        </w:rPr>
      </w:pPr>
    </w:p>
    <w:p>
      <w:pPr>
        <w:ind w:right="80" w:firstLine="522"/>
        <w:spacing w:after="0"/>
        <w:rPr>
          <w:sz w:val="20"/>
          <w:szCs w:val="20"/>
          <w:color w:val="auto"/>
        </w:rPr>
      </w:pPr>
      <w:r>
        <w:rPr>
          <w:rFonts w:ascii="Times New Roman" w:cs="Times New Roman" w:eastAsia="Times New Roman" w:hAnsi="Times New Roman"/>
          <w:sz w:val="14"/>
          <w:szCs w:val="14"/>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firstLine="522"/>
        <w:spacing w:after="0" w:line="145" w:lineRule="exact"/>
        <w:rPr>
          <w:sz w:val="20"/>
          <w:szCs w:val="20"/>
          <w:color w:val="auto"/>
        </w:rPr>
      </w:pPr>
      <w:r>
        <w:rPr>
          <w:rFonts w:ascii="Times New Roman" w:cs="Times New Roman" w:eastAsia="Times New Roman" w:hAnsi="Times New Roman"/>
          <w:sz w:val="14"/>
          <w:szCs w:val="14"/>
          <w:color w:val="auto"/>
        </w:rPr>
        <w:t>Specifically, there are a large number of companies developing or marketing treatments for cancer, including many major pharmaceutical and biotechnology companies. If BLU-285 receives marketing approval for advanced SM, it will face competition from Novartis AG’s midostaurin, a multi-kinase inhibitor with KIT D816V inhibitory activity that was approved in April 2017 by the FDA for the treatment of advanced SM. In addition, if BLU-285 receives marketing approval for advanced SM, GIST and/or for GIST patients with the PDGFRα D842V mutation, it may face competition from other drug candidates in development for these indications, including drug 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 Further, if BLU-554 receives marketing approval for HCC patients with aberrantly active FGFR4 signaling, as indicated by FGF19 overexpression, it will face competition from sorafenib and regorafenib, the only approved systemic medical therapies for HCC. In addition, BLU-554 may face competition from other drug candidates in development by AstraZeneca plc, Bayer AG, Bristol-Myers Squibb Company,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Eisai Inc., Exelixis, Inc., GlaxoSmithKline plc, Ignyta, Inc., Loxo Oncology, Inc., Mirati Therapeutics, Inc., Novartis AG, Pfizer Inc. and Roche.</w:t>
      </w:r>
    </w:p>
    <w:p>
      <w:pPr>
        <w:spacing w:after="0" w:line="135" w:lineRule="exact"/>
        <w:rPr>
          <w:sz w:val="20"/>
          <w:szCs w:val="20"/>
          <w:color w:val="auto"/>
        </w:rPr>
      </w:pPr>
    </w:p>
    <w:p>
      <w:pPr>
        <w:ind w:right="180" w:firstLine="522"/>
        <w:spacing w:after="0" w:line="220" w:lineRule="auto"/>
        <w:rPr>
          <w:sz w:val="20"/>
          <w:szCs w:val="20"/>
          <w:color w:val="auto"/>
        </w:rPr>
      </w:pPr>
      <w:r>
        <w:rPr>
          <w:rFonts w:ascii="Times New Roman" w:cs="Times New Roman" w:eastAsia="Times New Roman" w:hAnsi="Times New Roman"/>
          <w:sz w:val="14"/>
          <w:szCs w:val="14"/>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1" w:lineRule="exact"/>
        <w:rPr>
          <w:sz w:val="20"/>
          <w:szCs w:val="20"/>
          <w:color w:val="auto"/>
        </w:rPr>
      </w:pPr>
    </w:p>
    <w:p>
      <w:pPr>
        <w:ind w:right="120" w:firstLine="522"/>
        <w:spacing w:after="0" w:line="234"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4"/>
          <w:szCs w:val="14"/>
          <w:color w:val="auto"/>
        </w:rPr>
        <w:t>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could limit commercialization of any drug candidates that we may develop.</w:t>
      </w:r>
    </w:p>
    <w:p>
      <w:pPr>
        <w:spacing w:after="0" w:line="115" w:lineRule="exact"/>
        <w:rPr>
          <w:sz w:val="20"/>
          <w:szCs w:val="20"/>
          <w:color w:val="auto"/>
        </w:rPr>
      </w:pPr>
    </w:p>
    <w:p>
      <w:pPr>
        <w:ind w:firstLine="522"/>
        <w:spacing w:after="0" w:line="234" w:lineRule="auto"/>
        <w:rPr>
          <w:sz w:val="20"/>
          <w:szCs w:val="20"/>
          <w:color w:val="auto"/>
        </w:rPr>
      </w:pPr>
      <w:r>
        <w:rPr>
          <w:rFonts w:ascii="Times New Roman" w:cs="Times New Roman" w:eastAsia="Times New Roman" w:hAnsi="Times New Roman"/>
          <w:sz w:val="14"/>
          <w:szCs w:val="14"/>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27" w:lineRule="exact"/>
        <w:rPr>
          <w:sz w:val="20"/>
          <w:szCs w:val="20"/>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drug candidates that we may develop;</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the related litigation;</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drug candidates that we may develop.</w:t>
      </w:r>
    </w:p>
    <w:p>
      <w:pPr>
        <w:spacing w:after="0" w:line="154"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25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or our collaborators, including Ventana and Qiagen, are unable to successfully develop and commercialize companion diagnostic tests for our drug candidates, or experience significant delays in doing so we may not realize the full commercial potential of our drug candidates.</w:t>
      </w:r>
    </w:p>
    <w:p>
      <w:pPr>
        <w:spacing w:after="0" w:line="115" w:lineRule="exact"/>
        <w:rPr>
          <w:sz w:val="20"/>
          <w:szCs w:val="20"/>
          <w:color w:val="auto"/>
        </w:rPr>
      </w:pPr>
    </w:p>
    <w:p>
      <w:pPr>
        <w:ind w:firstLine="522"/>
        <w:spacing w:after="0" w:line="145" w:lineRule="exact"/>
        <w:rPr>
          <w:sz w:val="20"/>
          <w:szCs w:val="20"/>
          <w:color w:val="auto"/>
        </w:rPr>
      </w:pPr>
      <w:r>
        <w:rPr>
          <w:rFonts w:ascii="Times New Roman" w:cs="Times New Roman" w:eastAsia="Times New Roman" w:hAnsi="Times New Roman"/>
          <w:sz w:val="14"/>
          <w:szCs w:val="14"/>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Ventana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in order to identify HCC patients with aberrantly active FGFR4 signaling as indicated by FGF19 overexpression and with Qiagen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in order to identify GIST patients with the PDGFRα D842V mutation.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expect to rely on Ventana and Qiagen to design, manufacture, obtain regulatory approval for and commercialize the companion diagnostic tests for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respectively, and we expect to rely in whole or in part on other third parties to design, manufacture, obtain regulatory approval for and commercialize any other companion diagnostic tests for our drug candidates. We and our collaborators, including Ventana and Qiagen, may encounter difficulties in</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4"/>
          <w:szCs w:val="14"/>
          <w:color w:val="auto"/>
        </w:rPr>
        <w:t>developing and obtaining approval for the companion diagnostic tests, including issues relating to selectivity/specificity, analytical validation, reproducibility, or clinical validation. In addition, our collaborators for any companion diagnostic test that we may seek to develop, our collaborators, including Ventana and Qiagen:</w:t>
      </w:r>
    </w:p>
    <w:p>
      <w:pPr>
        <w:spacing w:after="0" w:line="127" w:lineRule="exact"/>
        <w:rPr>
          <w:sz w:val="20"/>
          <w:szCs w:val="20"/>
          <w:color w:val="auto"/>
        </w:rPr>
      </w:pPr>
    </w:p>
    <w:p>
      <w:pPr>
        <w:ind w:left="1060" w:hanging="27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perform their respective obligations as expected or as required under our agreements with them;</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pursue commercialization of a companion diagnostic test even if it receives any required regulatory approvals;</w:t>
      </w:r>
    </w:p>
    <w:p>
      <w:pPr>
        <w:spacing w:after="0" w:line="154" w:lineRule="exact"/>
        <w:rPr>
          <w:rFonts w:ascii="Times New Roman" w:cs="Times New Roman" w:eastAsia="Times New Roman" w:hAnsi="Times New Roman"/>
          <w:sz w:val="14"/>
          <w:szCs w:val="14"/>
          <w:color w:val="auto"/>
        </w:rPr>
      </w:pPr>
    </w:p>
    <w:p>
      <w:pPr>
        <w:ind w:left="1060" w:right="120" w:hanging="271"/>
        <w:spacing w:after="0" w:line="252" w:lineRule="auto"/>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commit sufficient resources to the marketing and distribution of the a companion diagnostic test;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terminate their relationship with us.</w:t>
      </w:r>
    </w:p>
    <w:p>
      <w:pPr>
        <w:spacing w:after="0" w:line="154" w:lineRule="exact"/>
        <w:rPr>
          <w:sz w:val="20"/>
          <w:szCs w:val="20"/>
          <w:color w:val="auto"/>
        </w:rPr>
      </w:pPr>
    </w:p>
    <w:p>
      <w:pPr>
        <w:ind w:right="20" w:firstLine="522"/>
        <w:spacing w:after="0" w:line="234" w:lineRule="auto"/>
        <w:rPr>
          <w:sz w:val="20"/>
          <w:szCs w:val="20"/>
          <w:color w:val="auto"/>
        </w:rPr>
      </w:pPr>
      <w:r>
        <w:rPr>
          <w:rFonts w:ascii="Times New Roman" w:cs="Times New Roman" w:eastAsia="Times New Roman" w:hAnsi="Times New Roman"/>
          <w:sz w:val="14"/>
          <w:szCs w:val="14"/>
          <w:color w:val="auto"/>
        </w:rPr>
        <w:t>Any delay or failure by us or our collaborators, including Ventana and Qiagen, to develop or obtain regulatory approval of the companion diagnostic tests could delay or prevent approval of our drug candidates. If we, or any third parties that we engage to assist us, including Ventana and Qiagen, are unable to successfully develop and commercialize companion diagnostic tests for our drug candidates, or experience delays in doing so:</w:t>
      </w:r>
    </w:p>
    <w:p>
      <w:pPr>
        <w:spacing w:after="0" w:line="127" w:lineRule="exact"/>
        <w:rPr>
          <w:sz w:val="20"/>
          <w:szCs w:val="20"/>
          <w:color w:val="auto"/>
        </w:rPr>
      </w:pPr>
    </w:p>
    <w:p>
      <w:pPr>
        <w:ind w:left="1060" w:right="180" w:hanging="271"/>
        <w:spacing w:after="0" w:line="252"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our drug candidates may be adversely affected if we are unable to appropriately select patients for enrollment in our clinical trials;</w:t>
      </w:r>
    </w:p>
    <w:p>
      <w:pPr>
        <w:spacing w:after="0" w:line="116" w:lineRule="exact"/>
        <w:rPr>
          <w:rFonts w:ascii="Times New Roman" w:cs="Times New Roman" w:eastAsia="Times New Roman" w:hAnsi="Times New Roman"/>
          <w:sz w:val="14"/>
          <w:szCs w:val="14"/>
          <w:color w:val="auto"/>
        </w:rPr>
      </w:pPr>
    </w:p>
    <w:p>
      <w:pPr>
        <w:ind w:left="1060" w:right="220" w:hanging="271"/>
        <w:spacing w:after="0" w:line="255"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drug candidates may not receive marketing approval if safe and effective use of a therapeutic drug candidate depends on an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diagnostic; and</w:t>
      </w:r>
    </w:p>
    <w:p>
      <w:pPr>
        <w:spacing w:after="0" w:line="116" w:lineRule="exact"/>
        <w:rPr>
          <w:rFonts w:ascii="Times New Roman" w:cs="Times New Roman" w:eastAsia="Times New Roman" w:hAnsi="Times New Roman"/>
          <w:sz w:val="14"/>
          <w:szCs w:val="14"/>
          <w:color w:val="auto"/>
        </w:rPr>
      </w:pPr>
    </w:p>
    <w:p>
      <w:pPr>
        <w:ind w:left="1060" w:right="160" w:hanging="271"/>
        <w:spacing w:after="0" w:line="252"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 result, our business would be harmed, possibly materially.</w:t>
      </w:r>
    </w:p>
    <w:p>
      <w:pPr>
        <w:spacing w:after="0" w:line="154" w:lineRule="exact"/>
        <w:rPr>
          <w:sz w:val="20"/>
          <w:szCs w:val="20"/>
          <w:color w:val="auto"/>
        </w:rPr>
      </w:pPr>
    </w:p>
    <w:p>
      <w:pPr>
        <w:ind w:firstLine="522"/>
        <w:spacing w:after="0" w:line="219" w:lineRule="auto"/>
        <w:rPr>
          <w:sz w:val="20"/>
          <w:szCs w:val="20"/>
          <w:color w:val="auto"/>
        </w:rPr>
      </w:pPr>
      <w:r>
        <w:rPr>
          <w:rFonts w:ascii="Times New Roman" w:cs="Times New Roman" w:eastAsia="Times New Roman" w:hAnsi="Times New Roman"/>
          <w:sz w:val="14"/>
          <w:szCs w:val="14"/>
          <w:color w:val="auto"/>
        </w:rPr>
        <w:t>In addition, third party collaborators, including Ventana and Qiagen,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15" w:lineRule="exact"/>
        <w:rPr>
          <w:sz w:val="20"/>
          <w:szCs w:val="20"/>
          <w:color w:val="auto"/>
        </w:rPr>
      </w:pPr>
    </w:p>
    <w:p>
      <w:pPr>
        <w:ind w:right="160" w:firstLine="522"/>
        <w:spacing w:after="0" w:line="228" w:lineRule="auto"/>
        <w:rPr>
          <w:sz w:val="20"/>
          <w:szCs w:val="20"/>
          <w:color w:val="auto"/>
        </w:rPr>
      </w:pPr>
      <w:r>
        <w:rPr>
          <w:rFonts w:ascii="Times New Roman" w:cs="Times New Roman" w:eastAsia="Times New Roman" w:hAnsi="Times New Roman"/>
          <w:sz w:val="14"/>
          <w:szCs w:val="14"/>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27" w:lineRule="exact"/>
        <w:rPr>
          <w:sz w:val="20"/>
          <w:szCs w:val="20"/>
          <w:color w:val="auto"/>
        </w:rPr>
      </w:pPr>
    </w:p>
    <w:p>
      <w:pPr>
        <w:ind w:right="80" w:firstLine="522"/>
        <w:spacing w:after="0" w:line="218" w:lineRule="auto"/>
        <w:rPr>
          <w:sz w:val="20"/>
          <w:szCs w:val="20"/>
          <w:color w:val="auto"/>
        </w:rPr>
      </w:pPr>
      <w:r>
        <w:rPr>
          <w:rFonts w:ascii="Times New Roman" w:cs="Times New Roman" w:eastAsia="Times New Roman" w:hAnsi="Times New Roman"/>
          <w:sz w:val="14"/>
          <w:szCs w:val="14"/>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31" w:lineRule="exact"/>
        <w:rPr>
          <w:sz w:val="20"/>
          <w:szCs w:val="20"/>
          <w:color w:val="auto"/>
        </w:rPr>
      </w:pPr>
    </w:p>
    <w:p>
      <w:pPr>
        <w:ind w:right="60" w:firstLine="522"/>
        <w:spacing w:after="0" w:line="239" w:lineRule="auto"/>
        <w:rPr>
          <w:sz w:val="20"/>
          <w:szCs w:val="20"/>
          <w:color w:val="auto"/>
        </w:rPr>
      </w:pPr>
      <w:r>
        <w:rPr>
          <w:rFonts w:ascii="Times New Roman" w:cs="Times New Roman" w:eastAsia="Times New Roman" w:hAnsi="Times New Roman"/>
          <w:sz w:val="14"/>
          <w:szCs w:val="14"/>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legislative reform measures may have a material adverse effect on our business and results of operations.</w:t>
      </w:r>
    </w:p>
    <w:p>
      <w:pPr>
        <w:spacing w:after="0" w:line="158" w:lineRule="exact"/>
        <w:rPr>
          <w:sz w:val="20"/>
          <w:szCs w:val="20"/>
          <w:color w:val="auto"/>
        </w:rPr>
      </w:pPr>
    </w:p>
    <w:p>
      <w:pPr>
        <w:ind w:right="20" w:firstLine="522"/>
        <w:spacing w:after="0"/>
        <w:rPr>
          <w:sz w:val="20"/>
          <w:szCs w:val="20"/>
          <w:color w:val="auto"/>
        </w:rPr>
      </w:pPr>
      <w:r>
        <w:rPr>
          <w:rFonts w:ascii="Times New Roman" w:cs="Times New Roman" w:eastAsia="Times New Roman" w:hAnsi="Times New Roman"/>
          <w:sz w:val="14"/>
          <w:szCs w:val="14"/>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39" w:lineRule="exact"/>
        <w:rPr>
          <w:sz w:val="20"/>
          <w:szCs w:val="20"/>
          <w:color w:val="auto"/>
        </w:rPr>
      </w:pPr>
    </w:p>
    <w:p>
      <w:pPr>
        <w:ind w:firstLine="522"/>
        <w:spacing w:after="0" w:line="222"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4"/>
          <w:szCs w:val="14"/>
          <w:color w:val="auto"/>
        </w:rPr>
        <w:t>action is taken. On January 2, 2013, the American Taxpayer Relief Act of 2012 was signed into law, which, among other things, further reduced Medicare payments to several types of providers.</w:t>
      </w:r>
    </w:p>
    <w:p>
      <w:pPr>
        <w:spacing w:after="0" w:line="119"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31"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In addition, on May 4, 2017, the U.S. House of Representatives passed the American Health Care Act, and the Senate is currently debating legislation, which would repeal certain aspects of the Affordable Care Act. It is uncertain whether any legislation will be enacted, and if it is, what impact it will have on the availability and cost of healthcare. We plan to continue to evaluate the effect that the Affordable Care Act and its possible repeal and replacement may have on our business.</w:t>
      </w:r>
    </w:p>
    <w:p>
      <w:pPr>
        <w:spacing w:after="0" w:line="131" w:lineRule="exact"/>
        <w:rPr>
          <w:sz w:val="20"/>
          <w:szCs w:val="20"/>
          <w:color w:val="auto"/>
        </w:rPr>
      </w:pPr>
    </w:p>
    <w:p>
      <w:pPr>
        <w:ind w:right="260" w:firstLine="522"/>
        <w:spacing w:after="0" w:line="225" w:lineRule="auto"/>
        <w:rPr>
          <w:sz w:val="20"/>
          <w:szCs w:val="20"/>
          <w:color w:val="auto"/>
        </w:rPr>
      </w:pPr>
      <w:r>
        <w:rPr>
          <w:rFonts w:ascii="Times New Roman" w:cs="Times New Roman" w:eastAsia="Times New Roman" w:hAnsi="Times New Roman"/>
          <w:sz w:val="14"/>
          <w:szCs w:val="14"/>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26" w:lineRule="exact"/>
        <w:rPr>
          <w:sz w:val="20"/>
          <w:szCs w:val="20"/>
          <w:color w:val="auto"/>
        </w:rPr>
      </w:pPr>
    </w:p>
    <w:p>
      <w:pPr>
        <w:ind w:right="100" w:firstLine="522"/>
        <w:spacing w:after="0" w:line="228" w:lineRule="auto"/>
        <w:rPr>
          <w:sz w:val="20"/>
          <w:szCs w:val="20"/>
          <w:color w:val="auto"/>
        </w:rPr>
      </w:pPr>
      <w:r>
        <w:rPr>
          <w:rFonts w:ascii="Times New Roman" w:cs="Times New Roman" w:eastAsia="Times New Roman" w:hAnsi="Times New Roman"/>
          <w:sz w:val="14"/>
          <w:szCs w:val="14"/>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2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27" w:lineRule="exact"/>
        <w:rPr>
          <w:sz w:val="20"/>
          <w:szCs w:val="20"/>
          <w:color w:val="auto"/>
        </w:rPr>
      </w:pPr>
    </w:p>
    <w:p>
      <w:pPr>
        <w:ind w:right="60" w:firstLine="522"/>
        <w:spacing w:after="0" w:line="161" w:lineRule="exact"/>
        <w:rPr>
          <w:sz w:val="20"/>
          <w:szCs w:val="20"/>
          <w:color w:val="auto"/>
        </w:rPr>
      </w:pPr>
      <w:r>
        <w:rPr>
          <w:rFonts w:ascii="Times New Roman" w:cs="Times New Roman" w:eastAsia="Times New Roman" w:hAnsi="Times New Roman"/>
          <w:sz w:val="14"/>
          <w:szCs w:val="14"/>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237"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drug candidates on our own include:</w:t>
      </w:r>
    </w:p>
    <w:p>
      <w:pPr>
        <w:spacing w:after="0" w:line="154" w:lineRule="exact"/>
        <w:rPr>
          <w:sz w:val="20"/>
          <w:szCs w:val="20"/>
          <w:color w:val="auto"/>
        </w:rPr>
      </w:pPr>
    </w:p>
    <w:p>
      <w:pPr>
        <w:ind w:left="1060" w:hanging="27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adequate numbers of effective sales and marketing personnel;</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or persuade adequate numbers of physicians to prescribe any future drugs;</w:t>
      </w:r>
    </w:p>
    <w:p>
      <w:pPr>
        <w:spacing w:after="0" w:line="154" w:lineRule="exact"/>
        <w:rPr>
          <w:rFonts w:ascii="Times New Roman" w:cs="Times New Roman" w:eastAsia="Times New Roman" w:hAnsi="Times New Roman"/>
          <w:sz w:val="14"/>
          <w:szCs w:val="14"/>
          <w:color w:val="auto"/>
        </w:rPr>
      </w:pPr>
    </w:p>
    <w:p>
      <w:pPr>
        <w:ind w:left="1060" w:right="140" w:hanging="271"/>
        <w:spacing w:after="0" w:line="252"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drugs to be offered by sales personnel, which may put us at a competitive disadvantage relative to companies with more extensive product lines; and</w:t>
      </w:r>
    </w:p>
    <w:p>
      <w:pPr>
        <w:spacing w:after="0" w:line="118"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54"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94"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27" w:lineRule="exact"/>
        <w:rPr>
          <w:sz w:val="20"/>
          <w:szCs w:val="20"/>
          <w:color w:val="auto"/>
        </w:rPr>
      </w:pPr>
    </w:p>
    <w:p>
      <w:pPr>
        <w:ind w:right="40" w:firstLine="522"/>
        <w:spacing w:after="0"/>
        <w:rPr>
          <w:sz w:val="20"/>
          <w:szCs w:val="20"/>
          <w:color w:val="auto"/>
        </w:rPr>
      </w:pPr>
      <w:r>
        <w:rPr>
          <w:rFonts w:ascii="Times New Roman" w:cs="Times New Roman" w:eastAsia="Times New Roman" w:hAnsi="Times New Roman"/>
          <w:sz w:val="14"/>
          <w:szCs w:val="14"/>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98" w:lineRule="exact"/>
        <w:rPr>
          <w:sz w:val="20"/>
          <w:szCs w:val="20"/>
          <w:color w:val="auto"/>
        </w:rPr>
      </w:pPr>
    </w:p>
    <w:p>
      <w:pPr>
        <w:ind w:left="780" w:right="20" w:hanging="252"/>
        <w:spacing w:after="0" w:line="225" w:lineRule="auto"/>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26" w:lineRule="exact"/>
        <w:rPr>
          <w:rFonts w:ascii="Times New Roman" w:cs="Times New Roman" w:eastAsia="Times New Roman" w:hAnsi="Times New Roman"/>
          <w:sz w:val="14"/>
          <w:szCs w:val="14"/>
          <w:color w:val="auto"/>
        </w:rPr>
      </w:pPr>
    </w:p>
    <w:p>
      <w:pPr>
        <w:ind w:left="780" w:right="40" w:hanging="252"/>
        <w:spacing w:after="0" w:line="225" w:lineRule="auto"/>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26" w:lineRule="exact"/>
        <w:rPr>
          <w:rFonts w:ascii="Times New Roman" w:cs="Times New Roman" w:eastAsia="Times New Roman" w:hAnsi="Times New Roman"/>
          <w:sz w:val="14"/>
          <w:szCs w:val="14"/>
          <w:color w:val="auto"/>
        </w:rPr>
      </w:pPr>
    </w:p>
    <w:p>
      <w:pPr>
        <w:ind w:left="780" w:right="20" w:hanging="252"/>
        <w:spacing w:after="0" w:line="234" w:lineRule="auto"/>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780" w:right="420"/>
        <w:spacing w:after="0" w:line="252" w:lineRule="auto"/>
        <w:rPr>
          <w:sz w:val="20"/>
          <w:szCs w:val="20"/>
          <w:color w:val="auto"/>
        </w:rPr>
      </w:pPr>
      <w:r>
        <w:rPr>
          <w:rFonts w:ascii="Times New Roman" w:cs="Times New Roman" w:eastAsia="Times New Roman" w:hAnsi="Times New Roman"/>
          <w:sz w:val="14"/>
          <w:szCs w:val="14"/>
          <w:color w:val="auto"/>
        </w:rPr>
        <w:t>Kickback Statute, a person or entity does not need to have actual knowledge of the statute or specific intent to violate it in order to have committed a violation;</w:t>
      </w:r>
    </w:p>
    <w:p>
      <w:pPr>
        <w:spacing w:after="0" w:line="119" w:lineRule="exact"/>
        <w:rPr>
          <w:sz w:val="20"/>
          <w:szCs w:val="20"/>
          <w:color w:val="auto"/>
        </w:rPr>
      </w:pPr>
    </w:p>
    <w:p>
      <w:pPr>
        <w:ind w:left="780" w:hanging="252"/>
        <w:spacing w:after="0" w:line="228" w:lineRule="auto"/>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27" w:lineRule="exact"/>
        <w:rPr>
          <w:rFonts w:ascii="Times New Roman" w:cs="Times New Roman" w:eastAsia="Times New Roman" w:hAnsi="Times New Roman"/>
          <w:sz w:val="14"/>
          <w:szCs w:val="14"/>
          <w:color w:val="auto"/>
        </w:rPr>
      </w:pPr>
    </w:p>
    <w:p>
      <w:pPr>
        <w:ind w:left="780" w:right="140" w:hanging="252"/>
        <w:spacing w:after="0" w:line="225" w:lineRule="auto"/>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26" w:lineRule="exact"/>
        <w:rPr>
          <w:rFonts w:ascii="Times New Roman" w:cs="Times New Roman" w:eastAsia="Times New Roman" w:hAnsi="Times New Roman"/>
          <w:sz w:val="14"/>
          <w:szCs w:val="14"/>
          <w:color w:val="auto"/>
        </w:rPr>
      </w:pPr>
    </w:p>
    <w:p>
      <w:pPr>
        <w:ind w:left="780" w:right="60" w:hanging="252"/>
        <w:spacing w:after="0" w:line="220" w:lineRule="auto"/>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31" w:lineRule="exact"/>
        <w:rPr>
          <w:sz w:val="20"/>
          <w:szCs w:val="20"/>
          <w:color w:val="auto"/>
        </w:rPr>
      </w:pPr>
    </w:p>
    <w:p>
      <w:pPr>
        <w:ind w:right="40" w:firstLine="522"/>
        <w:spacing w:after="0" w:line="219" w:lineRule="auto"/>
        <w:rPr>
          <w:sz w:val="20"/>
          <w:szCs w:val="20"/>
          <w:color w:val="auto"/>
        </w:rPr>
      </w:pPr>
      <w:r>
        <w:rPr>
          <w:rFonts w:ascii="Times New Roman" w:cs="Times New Roman" w:eastAsia="Times New Roman" w:hAnsi="Times New Roman"/>
          <w:sz w:val="14"/>
          <w:szCs w:val="14"/>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2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in part, on our ability to penetrate foreign markets, where we would be subject to additional regulatory burdens and other risks and uncertainties.</w:t>
      </w:r>
    </w:p>
    <w:p>
      <w:pPr>
        <w:spacing w:after="0" w:line="115"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31" w:lineRule="exact"/>
        <w:rPr>
          <w:sz w:val="20"/>
          <w:szCs w:val="20"/>
          <w:color w:val="auto"/>
        </w:rPr>
      </w:pPr>
    </w:p>
    <w:p>
      <w:pPr>
        <w:ind w:left="1060" w:hanging="271"/>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ability to obtain reimbursement for our drug candidates in foreign markets;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directly control commercial activities because we are relying on third parties;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of complying with complex and changing foreign regulatory, tax, accounting and legal requirements;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medical practices and customs in foreign countries affecting acceptance in the marketplace;</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or export licensing requirements;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accounts receivable collection times;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lead times for shipping;</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language barriers for technical training;</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of intellectual property rights in some foreign countries;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additional potentially relevant third-party intellectual property rights;</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and</w:t>
      </w:r>
    </w:p>
    <w:p>
      <w:pPr>
        <w:spacing w:after="0" w:line="121"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interpretation of contractual provisions governed by foreign laws in the event of a contract dispute.</w:t>
      </w:r>
    </w:p>
    <w:p>
      <w:pPr>
        <w:spacing w:after="0" w:line="122" w:lineRule="exact"/>
        <w:rPr>
          <w:sz w:val="20"/>
          <w:szCs w:val="20"/>
          <w:color w:val="auto"/>
        </w:rPr>
      </w:pPr>
    </w:p>
    <w:p>
      <w:pPr>
        <w:ind w:right="620" w:firstLine="522"/>
        <w:spacing w:after="0" w:line="252" w:lineRule="auto"/>
        <w:rPr>
          <w:sz w:val="20"/>
          <w:szCs w:val="20"/>
          <w:color w:val="auto"/>
        </w:rPr>
      </w:pPr>
      <w:r>
        <w:rPr>
          <w:rFonts w:ascii="Times New Roman" w:cs="Times New Roman" w:eastAsia="Times New Roman" w:hAnsi="Times New Roman"/>
          <w:sz w:val="14"/>
          <w:szCs w:val="14"/>
          <w:color w:val="auto"/>
        </w:rPr>
        <w:t>Foreign sales of our drug candidates could also be adversely affected by the imposition of governmental controls, political and economic instability, trade restrictions and changes in tariffs.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Governments outside the United States tend to impose strict price controls, which may adversely affect our revenues, if any.</w:t>
      </w:r>
    </w:p>
    <w:p>
      <w:pPr>
        <w:spacing w:after="0" w:line="158" w:lineRule="exact"/>
        <w:rPr>
          <w:sz w:val="20"/>
          <w:szCs w:val="20"/>
          <w:color w:val="auto"/>
        </w:rPr>
      </w:pPr>
    </w:p>
    <w:p>
      <w:pPr>
        <w:ind w:right="20" w:firstLine="522"/>
        <w:spacing w:after="0" w:line="217" w:lineRule="auto"/>
        <w:rPr>
          <w:sz w:val="20"/>
          <w:szCs w:val="20"/>
          <w:color w:val="auto"/>
        </w:rPr>
      </w:pPr>
      <w:r>
        <w:rPr>
          <w:rFonts w:ascii="Times New Roman" w:cs="Times New Roman" w:eastAsia="Times New Roman" w:hAnsi="Times New Roman"/>
          <w:sz w:val="14"/>
          <w:szCs w:val="14"/>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15" w:lineRule="exact"/>
        <w:rPr>
          <w:sz w:val="20"/>
          <w:szCs w:val="20"/>
          <w:color w:val="auto"/>
        </w:rPr>
      </w:pPr>
    </w:p>
    <w:p>
      <w:pPr>
        <w:ind w:right="40" w:firstLine="522"/>
        <w:spacing w:after="0" w:line="222"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9"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15" w:lineRule="exact"/>
        <w:rPr>
          <w:sz w:val="20"/>
          <w:szCs w:val="20"/>
          <w:color w:val="auto"/>
        </w:rPr>
      </w:pPr>
    </w:p>
    <w:p>
      <w:pPr>
        <w:ind w:right="40" w:firstLine="522"/>
        <w:spacing w:after="0" w:line="234" w:lineRule="auto"/>
        <w:rPr>
          <w:sz w:val="20"/>
          <w:szCs w:val="20"/>
          <w:color w:val="auto"/>
        </w:rPr>
      </w:pPr>
      <w:r>
        <w:rPr>
          <w:rFonts w:ascii="Times New Roman" w:cs="Times New Roman" w:eastAsia="Times New Roman" w:hAnsi="Times New Roman"/>
          <w:sz w:val="14"/>
          <w:szCs w:val="14"/>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27" w:lineRule="exact"/>
        <w:rPr>
          <w:sz w:val="20"/>
          <w:szCs w:val="20"/>
          <w:color w:val="auto"/>
        </w:rPr>
      </w:pPr>
    </w:p>
    <w:p>
      <w:pPr>
        <w:ind w:firstLine="522"/>
        <w:spacing w:after="0" w:line="218"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31" w:lineRule="exact"/>
        <w:rPr>
          <w:sz w:val="20"/>
          <w:szCs w:val="20"/>
          <w:color w:val="auto"/>
        </w:rPr>
      </w:pPr>
    </w:p>
    <w:p>
      <w:pPr>
        <w:jc w:val="both"/>
        <w:ind w:right="360" w:firstLine="522"/>
        <w:spacing w:after="0" w:line="234" w:lineRule="auto"/>
        <w:rPr>
          <w:sz w:val="20"/>
          <w:szCs w:val="20"/>
          <w:color w:val="auto"/>
        </w:rPr>
      </w:pPr>
      <w:r>
        <w:rPr>
          <w:rFonts w:ascii="Times New Roman" w:cs="Times New Roman" w:eastAsia="Times New Roman" w:hAnsi="Times New Roman"/>
          <w:sz w:val="14"/>
          <w:szCs w:val="14"/>
          <w:color w:val="auto"/>
        </w:rPr>
        <w:t>We may also be restricted under our collaboration agreement with Roche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27" w:lineRule="exact"/>
        <w:rPr>
          <w:sz w:val="20"/>
          <w:szCs w:val="20"/>
          <w:color w:val="auto"/>
        </w:rPr>
      </w:pPr>
    </w:p>
    <w:p>
      <w:pPr>
        <w:ind w:right="20" w:firstLine="522"/>
        <w:spacing w:after="0" w:line="222" w:lineRule="auto"/>
        <w:rPr>
          <w:sz w:val="20"/>
          <w:szCs w:val="20"/>
          <w:color w:val="auto"/>
        </w:rPr>
      </w:pPr>
      <w:r>
        <w:rPr>
          <w:rFonts w:ascii="Times New Roman" w:cs="Times New Roman" w:eastAsia="Times New Roman" w:hAnsi="Times New Roman"/>
          <w:sz w:val="14"/>
          <w:szCs w:val="14"/>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29" w:lineRule="exact"/>
        <w:rPr>
          <w:sz w:val="20"/>
          <w:szCs w:val="20"/>
          <w:color w:val="auto"/>
        </w:rPr>
      </w:pPr>
    </w:p>
    <w:p>
      <w:pPr>
        <w:ind w:right="40" w:firstLine="522"/>
        <w:spacing w:after="0" w:line="217" w:lineRule="auto"/>
        <w:rPr>
          <w:sz w:val="20"/>
          <w:szCs w:val="20"/>
          <w:color w:val="auto"/>
        </w:rPr>
      </w:pPr>
      <w:r>
        <w:rPr>
          <w:rFonts w:ascii="Times New Roman" w:cs="Times New Roman" w:eastAsia="Times New Roman" w:hAnsi="Times New Roman"/>
          <w:sz w:val="14"/>
          <w:szCs w:val="14"/>
          <w:color w:val="auto"/>
        </w:rPr>
        <w:t>In addition, our collaboration with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on July 26, 2017, we received written notice from Alexion of its election to terminate our rare genetic disease collaboration for convenience following a strategic review by Alexion of its research and development portfolio. The termination will become effective on October 24, 2017, and we plan to evaluate opportunities to advance the research program that was the subject of the Alexion collaboration. Any termination or expiration of a current or future collaboration agreement could adversely affect us financially or harm our business reputation.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27" w:lineRule="exact"/>
        <w:rPr>
          <w:sz w:val="20"/>
          <w:szCs w:val="20"/>
          <w:color w:val="auto"/>
        </w:rPr>
      </w:pPr>
    </w:p>
    <w:p>
      <w:pPr>
        <w:ind w:right="80" w:firstLine="522"/>
        <w:spacing w:after="0" w:line="222" w:lineRule="auto"/>
        <w:rPr>
          <w:sz w:val="20"/>
          <w:szCs w:val="20"/>
          <w:color w:val="auto"/>
        </w:rPr>
      </w:pPr>
      <w:r>
        <w:rPr>
          <w:rFonts w:ascii="Times New Roman" w:cs="Times New Roman" w:eastAsia="Times New Roman" w:hAnsi="Times New Roman"/>
          <w:sz w:val="14"/>
          <w:szCs w:val="14"/>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29" w:lineRule="exact"/>
        <w:rPr>
          <w:sz w:val="20"/>
          <w:szCs w:val="20"/>
          <w:color w:val="auto"/>
        </w:rPr>
      </w:pPr>
    </w:p>
    <w:p>
      <w:pPr>
        <w:ind w:firstLine="522"/>
        <w:spacing w:after="0" w:line="236" w:lineRule="auto"/>
        <w:rPr>
          <w:sz w:val="20"/>
          <w:szCs w:val="20"/>
          <w:color w:val="auto"/>
        </w:rPr>
      </w:pPr>
      <w:r>
        <w:rPr>
          <w:rFonts w:ascii="Times New Roman" w:cs="Times New Roman" w:eastAsia="Times New Roman" w:hAnsi="Times New Roman"/>
          <w:sz w:val="14"/>
          <w:szCs w:val="14"/>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30" w:lineRule="exact"/>
        <w:rPr>
          <w:sz w:val="20"/>
          <w:szCs w:val="20"/>
          <w:color w:val="auto"/>
        </w:rPr>
      </w:pPr>
    </w:p>
    <w:p>
      <w:pPr>
        <w:ind w:right="140" w:firstLine="522"/>
        <w:spacing w:after="0" w:line="225" w:lineRule="auto"/>
        <w:rPr>
          <w:sz w:val="20"/>
          <w:szCs w:val="20"/>
          <w:color w:val="auto"/>
        </w:rPr>
      </w:pPr>
      <w:r>
        <w:rPr>
          <w:rFonts w:ascii="Times New Roman" w:cs="Times New Roman" w:eastAsia="Times New Roman" w:hAnsi="Times New Roman"/>
          <w:sz w:val="14"/>
          <w:szCs w:val="14"/>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26" w:lineRule="exact"/>
        <w:rPr>
          <w:sz w:val="20"/>
          <w:szCs w:val="20"/>
          <w:color w:val="auto"/>
        </w:rPr>
      </w:pPr>
    </w:p>
    <w:p>
      <w:pPr>
        <w:ind w:left="1060" w:hanging="27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staffing difficulties;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comply with contractual obligations;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regulatory compliance issues;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changes in priorities or become financially distressed; or</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relationships with other entities, some of which may be our competitors.</w:t>
      </w:r>
    </w:p>
    <w:p>
      <w:pPr>
        <w:spacing w:after="0" w:line="154" w:lineRule="exact"/>
        <w:rPr>
          <w:sz w:val="20"/>
          <w:szCs w:val="20"/>
          <w:color w:val="auto"/>
        </w:rPr>
      </w:pPr>
    </w:p>
    <w:p>
      <w:pPr>
        <w:ind w:right="60" w:firstLine="522"/>
        <w:spacing w:after="0" w:line="222" w:lineRule="auto"/>
        <w:rPr>
          <w:sz w:val="20"/>
          <w:szCs w:val="20"/>
          <w:color w:val="auto"/>
        </w:rPr>
      </w:pPr>
      <w:r>
        <w:rPr>
          <w:rFonts w:ascii="Times New Roman" w:cs="Times New Roman" w:eastAsia="Times New Roman" w:hAnsi="Times New Roman"/>
          <w:sz w:val="14"/>
          <w:szCs w:val="14"/>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140" w:firstLine="522"/>
        <w:spacing w:after="0" w:line="222" w:lineRule="auto"/>
        <w:rPr>
          <w:sz w:val="20"/>
          <w:szCs w:val="20"/>
          <w:color w:val="auto"/>
        </w:rPr>
      </w:pPr>
      <w:r>
        <w:rPr>
          <w:rFonts w:ascii="Times New Roman" w:cs="Times New Roman" w:eastAsia="Times New Roman" w:hAnsi="Times New Roman"/>
          <w:sz w:val="14"/>
          <w:szCs w:val="14"/>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25"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27" w:lineRule="exact"/>
        <w:rPr>
          <w:sz w:val="20"/>
          <w:szCs w:val="20"/>
          <w:color w:val="auto"/>
        </w:rPr>
      </w:pPr>
    </w:p>
    <w:p>
      <w:pPr>
        <w:ind w:right="80" w:firstLine="522"/>
        <w:spacing w:after="0" w:line="225" w:lineRule="auto"/>
        <w:rPr>
          <w:sz w:val="20"/>
          <w:szCs w:val="20"/>
          <w:color w:val="auto"/>
        </w:rPr>
      </w:pPr>
      <w:r>
        <w:rPr>
          <w:rFonts w:ascii="Times New Roman" w:cs="Times New Roman" w:eastAsia="Times New Roman" w:hAnsi="Times New Roman"/>
          <w:sz w:val="14"/>
          <w:szCs w:val="14"/>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26" w:lineRule="exact"/>
        <w:rPr>
          <w:sz w:val="20"/>
          <w:szCs w:val="20"/>
          <w:color w:val="auto"/>
        </w:rPr>
      </w:pPr>
    </w:p>
    <w:p>
      <w:pPr>
        <w:ind w:firstLine="522"/>
        <w:spacing w:after="0" w:line="236" w:lineRule="auto"/>
        <w:rPr>
          <w:sz w:val="20"/>
          <w:szCs w:val="20"/>
          <w:color w:val="auto"/>
        </w:rPr>
      </w:pPr>
      <w:r>
        <w:rPr>
          <w:rFonts w:ascii="Times New Roman" w:cs="Times New Roman" w:eastAsia="Times New Roman" w:hAnsi="Times New Roman"/>
          <w:sz w:val="14"/>
          <w:szCs w:val="14"/>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30" w:lineRule="exact"/>
        <w:rPr>
          <w:sz w:val="20"/>
          <w:szCs w:val="20"/>
          <w:color w:val="auto"/>
        </w:rPr>
      </w:pPr>
    </w:p>
    <w:p>
      <w:pPr>
        <w:ind w:right="160" w:firstLine="522"/>
        <w:spacing w:after="0" w:line="228" w:lineRule="auto"/>
        <w:rPr>
          <w:sz w:val="20"/>
          <w:szCs w:val="20"/>
          <w:color w:val="auto"/>
        </w:rPr>
      </w:pPr>
      <w:r>
        <w:rPr>
          <w:rFonts w:ascii="Times New Roman" w:cs="Times New Roman" w:eastAsia="Times New Roman" w:hAnsi="Times New Roman"/>
          <w:sz w:val="14"/>
          <w:szCs w:val="14"/>
          <w:color w:val="auto"/>
        </w:rPr>
        <w:t>We do not have any long-term supply agreements with our contract manufacturers, and we purchase our required drug supply, including the drug product and drug substance used in our lead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28" w:lineRule="exact"/>
        <w:rPr>
          <w:sz w:val="20"/>
          <w:szCs w:val="20"/>
          <w:color w:val="auto"/>
        </w:rPr>
      </w:pPr>
    </w:p>
    <w:p>
      <w:pPr>
        <w:ind w:left="1060" w:hanging="27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third party for regulatory compliance and quality assurance;</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the manufacturing agreement by the third party;</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agreement by the third party at a time that is costly or inconvenient for us.</w:t>
      </w:r>
    </w:p>
    <w:p>
      <w:pPr>
        <w:spacing w:after="0" w:line="154" w:lineRule="exact"/>
        <w:rPr>
          <w:sz w:val="20"/>
          <w:szCs w:val="20"/>
          <w:color w:val="auto"/>
        </w:rPr>
      </w:pPr>
    </w:p>
    <w:p>
      <w:pPr>
        <w:ind w:right="100" w:firstLine="522"/>
        <w:spacing w:after="0" w:line="252" w:lineRule="auto"/>
        <w:rPr>
          <w:sz w:val="20"/>
          <w:szCs w:val="20"/>
          <w:color w:val="auto"/>
        </w:rPr>
      </w:pPr>
      <w:r>
        <w:rPr>
          <w:rFonts w:ascii="Times New Roman" w:cs="Times New Roman" w:eastAsia="Times New Roman" w:hAnsi="Times New Roman"/>
          <w:sz w:val="14"/>
          <w:szCs w:val="14"/>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28" w:lineRule="exact"/>
        <w:rPr>
          <w:sz w:val="20"/>
          <w:szCs w:val="20"/>
          <w:color w:val="auto"/>
        </w:rPr>
      </w:pPr>
    </w:p>
    <w:p>
      <w:pPr>
        <w:ind w:right="60" w:firstLine="522"/>
        <w:spacing w:after="0" w:line="234" w:lineRule="auto"/>
        <w:rPr>
          <w:sz w:val="20"/>
          <w:szCs w:val="20"/>
          <w:color w:val="auto"/>
        </w:rPr>
      </w:pPr>
      <w:r>
        <w:rPr>
          <w:rFonts w:ascii="Times New Roman" w:cs="Times New Roman" w:eastAsia="Times New Roman" w:hAnsi="Times New Roman"/>
          <w:sz w:val="14"/>
          <w:szCs w:val="14"/>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third parties upon whom we rely for the supply of the active pharmaceutical ingredient, or API, drug product and drug substance used in our lead drug candidates are our sole source of supply, and the loss of any of these suppliers could significantly harm our business.</w:t>
      </w:r>
    </w:p>
    <w:p>
      <w:pPr>
        <w:spacing w:after="0" w:line="115" w:lineRule="exact"/>
        <w:rPr>
          <w:sz w:val="20"/>
          <w:szCs w:val="20"/>
          <w:color w:val="auto"/>
        </w:rPr>
      </w:pPr>
    </w:p>
    <w:p>
      <w:pPr>
        <w:ind w:right="40" w:firstLine="522"/>
        <w:spacing w:after="0" w:line="220" w:lineRule="auto"/>
        <w:rPr>
          <w:sz w:val="20"/>
          <w:szCs w:val="20"/>
          <w:color w:val="auto"/>
        </w:rPr>
      </w:pPr>
      <w:r>
        <w:rPr>
          <w:rFonts w:ascii="Times New Roman" w:cs="Times New Roman" w:eastAsia="Times New Roman" w:hAnsi="Times New Roman"/>
          <w:sz w:val="14"/>
          <w:szCs w:val="14"/>
          <w:color w:val="auto"/>
        </w:rPr>
        <w:t>The API, drug product and drug substance used in our lead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lead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31" w:lineRule="exact"/>
        <w:rPr>
          <w:sz w:val="20"/>
          <w:szCs w:val="20"/>
          <w:color w:val="auto"/>
        </w:rPr>
      </w:pPr>
    </w:p>
    <w:p>
      <w:pPr>
        <w:ind w:right="160" w:firstLine="522"/>
        <w:spacing w:after="0" w:line="222" w:lineRule="auto"/>
        <w:rPr>
          <w:sz w:val="20"/>
          <w:szCs w:val="20"/>
          <w:color w:val="auto"/>
        </w:rPr>
      </w:pPr>
      <w:r>
        <w:rPr>
          <w:rFonts w:ascii="Times New Roman" w:cs="Times New Roman" w:eastAsia="Times New Roman" w:hAnsi="Times New Roman"/>
          <w:sz w:val="14"/>
          <w:szCs w:val="14"/>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29" w:lineRule="exact"/>
        <w:rPr>
          <w:sz w:val="20"/>
          <w:szCs w:val="20"/>
          <w:color w:val="auto"/>
        </w:rPr>
      </w:pPr>
    </w:p>
    <w:p>
      <w:pPr>
        <w:ind w:right="20" w:firstLine="522"/>
        <w:spacing w:after="0" w:line="222" w:lineRule="auto"/>
        <w:rPr>
          <w:sz w:val="20"/>
          <w:szCs w:val="20"/>
          <w:color w:val="auto"/>
        </w:rPr>
      </w:pPr>
      <w:r>
        <w:rPr>
          <w:rFonts w:ascii="Times New Roman" w:cs="Times New Roman" w:eastAsia="Times New Roman" w:hAnsi="Times New Roman"/>
          <w:sz w:val="14"/>
          <w:szCs w:val="14"/>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52"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27" w:lineRule="exact"/>
        <w:rPr>
          <w:sz w:val="20"/>
          <w:szCs w:val="20"/>
          <w:color w:val="auto"/>
        </w:rPr>
      </w:pPr>
    </w:p>
    <w:p>
      <w:pPr>
        <w:ind w:right="80" w:firstLine="522"/>
        <w:spacing w:after="0" w:line="149" w:lineRule="exact"/>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554 and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667,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393" w:lineRule="exact"/>
        <w:rPr>
          <w:sz w:val="20"/>
          <w:szCs w:val="20"/>
          <w:color w:val="auto"/>
        </w:rPr>
      </w:pPr>
    </w:p>
    <w:p>
      <w:pPr>
        <w:ind w:right="40" w:firstLine="522"/>
        <w:spacing w:after="0" w:line="159" w:lineRule="exact"/>
        <w:rPr>
          <w:sz w:val="20"/>
          <w:szCs w:val="20"/>
          <w:color w:val="auto"/>
        </w:rPr>
      </w:pPr>
      <w:r>
        <w:rPr>
          <w:rFonts w:ascii="Times New Roman" w:cs="Times New Roman" w:eastAsia="Times New Roman" w:hAnsi="Times New Roman"/>
          <w:sz w:val="14"/>
          <w:szCs w:val="14"/>
          <w:color w:val="auto"/>
        </w:rPr>
        <w:t>We own patents and patent applications that relate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and BLU-667 as composition of matter. We also own applications relating to composition of matter for KIT inhibitors with multiple compound families, composition of matter for FGFR4 inhibitors with multiple compound families and composition of matter for inhibitors of RET, including predicted RET resistant mutants, with multiple compound families, as well as methods of use for these novel compounds. The issued patent directed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composition of matter has a statutory expiration date in 2034, the issued patent directed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composition of matter has a statutory expiration date in 2034.</w:t>
      </w:r>
    </w:p>
    <w:p>
      <w:pPr>
        <w:spacing w:after="0" w:line="113" w:lineRule="exact"/>
        <w:rPr>
          <w:sz w:val="20"/>
          <w:szCs w:val="20"/>
          <w:color w:val="auto"/>
        </w:rPr>
      </w:pPr>
    </w:p>
    <w:p>
      <w:pPr>
        <w:ind w:firstLine="522"/>
        <w:spacing w:after="0" w:line="149" w:lineRule="exact"/>
        <w:rPr>
          <w:sz w:val="20"/>
          <w:szCs w:val="20"/>
          <w:color w:val="auto"/>
        </w:rPr>
      </w:pPr>
      <w:r>
        <w:rPr>
          <w:rFonts w:ascii="Times New Roman" w:cs="Times New Roman" w:eastAsia="Times New Roman" w:hAnsi="Times New Roman"/>
          <w:sz w:val="14"/>
          <w:szCs w:val="14"/>
          <w:color w:val="auto"/>
        </w:rPr>
        <w:t>As of July 31, 2017, we owned three issued U.S. patents, six pending U.S. non-provisional patent applications, one pending U.S. provisional patent application, 28 foreign patent applications in a number of jurisdictions, including Australia, Argentina, Brazil, Bolivia, Canada, China, the European Union, Hong Kong, Israel, India, Iraq, Japan, Lebanon, Mexico, New Zealand, Pakistan, Paraguay, Philippines, Russia, Singapore, South Africa, South Korea, Taiwan, Uruguay and Venezuela, and one pending Patent Cooperation Treaty, or PCT, patent application directed to our KIT program, including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Any U.S. or ex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patents issuing from the pending applications covering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 will have a statutory expiration date of October 2034. Patent term adjustments or patent term extensions could result in later expiration dates.</w:t>
      </w:r>
    </w:p>
    <w:p>
      <w:pPr>
        <w:spacing w:after="0" w:line="129" w:lineRule="exact"/>
        <w:rPr>
          <w:sz w:val="20"/>
          <w:szCs w:val="20"/>
          <w:color w:val="auto"/>
        </w:rPr>
      </w:pPr>
    </w:p>
    <w:p>
      <w:pPr>
        <w:ind w:right="20" w:firstLine="522"/>
        <w:spacing w:after="0" w:line="149" w:lineRule="exact"/>
        <w:rPr>
          <w:sz w:val="20"/>
          <w:szCs w:val="20"/>
          <w:color w:val="auto"/>
        </w:rPr>
      </w:pPr>
      <w:r>
        <w:rPr>
          <w:rFonts w:ascii="Times New Roman" w:cs="Times New Roman" w:eastAsia="Times New Roman" w:hAnsi="Times New Roman"/>
          <w:sz w:val="14"/>
          <w:szCs w:val="14"/>
          <w:color w:val="auto"/>
        </w:rPr>
        <w:t>As of July 31, 2017, we owned five issued U.S. patents, three pending U.S. non-provisional patent applications, three pending U.S. provisional patent applications, one issued foreign patent and 44 pending foreign patent applications in a number of jurisdictions, including Argentina, Australia, Bolivia, Brazil, Canada, China, Egypt, the European Union, Hong Kong, Israel, India, Indonesia, Iraq, Japan, South Korea, Lebanon, Mexico New Zealand, Pakistan, Paraguay, Philippines, Russia, Singapore, South Africa, Taiwan, Thailand, Uruguay and Venezuela, directed to our FGFR4 program, including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Any U.S. or ex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patent issuing from the pending applications covering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will have a statutory expiration date of July 2033, December 2033, October 2034 or September 2037. Patent term adjustments or patent term extensions could result in later expiration dates.</w:t>
      </w:r>
    </w:p>
    <w:p>
      <w:pPr>
        <w:spacing w:after="0" w:line="129" w:lineRule="exact"/>
        <w:rPr>
          <w:sz w:val="20"/>
          <w:szCs w:val="20"/>
          <w:color w:val="auto"/>
        </w:rPr>
      </w:pPr>
    </w:p>
    <w:p>
      <w:pPr>
        <w:ind w:firstLine="522"/>
        <w:spacing w:after="0" w:line="234" w:lineRule="auto"/>
        <w:rPr>
          <w:sz w:val="20"/>
          <w:szCs w:val="20"/>
          <w:color w:val="auto"/>
        </w:rPr>
      </w:pPr>
      <w:r>
        <w:rPr>
          <w:rFonts w:ascii="Times New Roman" w:cs="Times New Roman" w:eastAsia="Times New Roman" w:hAnsi="Times New Roman"/>
          <w:sz w:val="14"/>
          <w:szCs w:val="14"/>
          <w:color w:val="auto"/>
        </w:rPr>
        <w:t>As of July 31, 2017, we owned four pending U.S. non-provisional patent applications, five pending PCT applications, six pending foreign patent applications filed in Argentina, Lebanon, Uruguay and Taiwan, and one pending U.S. provisional patent applications directed to our RET program, which, if issued, will have statutory expiration dates of 2036 or 2037. Patent term adjustments or patent term extensions could result in later expiration dates.</w:t>
      </w:r>
    </w:p>
    <w:p>
      <w:pPr>
        <w:spacing w:after="0" w:line="127" w:lineRule="exact"/>
        <w:rPr>
          <w:sz w:val="20"/>
          <w:szCs w:val="20"/>
          <w:color w:val="auto"/>
        </w:rPr>
      </w:pPr>
    </w:p>
    <w:p>
      <w:pPr>
        <w:ind w:right="40" w:firstLine="522"/>
        <w:spacing w:after="0" w:line="234" w:lineRule="auto"/>
        <w:rPr>
          <w:sz w:val="20"/>
          <w:szCs w:val="20"/>
          <w:color w:val="auto"/>
        </w:rPr>
      </w:pPr>
      <w:r>
        <w:rPr>
          <w:rFonts w:ascii="Times New Roman" w:cs="Times New Roman" w:eastAsia="Times New Roman" w:hAnsi="Times New Roman"/>
          <w:sz w:val="14"/>
          <w:szCs w:val="14"/>
          <w:color w:val="auto"/>
        </w:rPr>
        <w:t>The intellectual property portfolio directed to our platform includes patent applications directed to novel gene fusions and the uses of these fusions for detecting and treating conditions implicated with these fusions. As of July 31, 2017, we owned ten U.S. patent applications and ten European Union patent applications directed to this technology, which, if issued, will have statutory expiration dates ranging from 2034 to 2035.</w:t>
      </w:r>
    </w:p>
    <w:p>
      <w:pPr>
        <w:spacing w:after="0" w:line="127" w:lineRule="exact"/>
        <w:rPr>
          <w:sz w:val="20"/>
          <w:szCs w:val="20"/>
          <w:color w:val="auto"/>
        </w:rPr>
      </w:pPr>
    </w:p>
    <w:p>
      <w:pPr>
        <w:ind w:right="220" w:firstLine="522"/>
        <w:spacing w:after="0" w:line="252" w:lineRule="auto"/>
        <w:rPr>
          <w:sz w:val="20"/>
          <w:szCs w:val="20"/>
          <w:color w:val="auto"/>
        </w:rPr>
      </w:pPr>
      <w:r>
        <w:rPr>
          <w:rFonts w:ascii="Times New Roman" w:cs="Times New Roman" w:eastAsia="Times New Roman" w:hAnsi="Times New Roman"/>
          <w:sz w:val="14"/>
          <w:szCs w:val="14"/>
          <w:color w:val="auto"/>
        </w:rPr>
        <w:t>The patent position of biotechnology and pharmaceutical companies generally is highly uncertain, involves complex legal and factual questions and has in recent years been the subject of much litigation.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degree of patent protection we require to successfully commercialize our drug candidates may be unavailable or severely limited in some cases</w:t>
      </w:r>
    </w:p>
    <w:p>
      <w:pPr>
        <w:spacing w:after="0" w:line="210" w:lineRule="auto"/>
        <w:rPr>
          <w:sz w:val="20"/>
          <w:szCs w:val="20"/>
          <w:color w:val="auto"/>
        </w:rPr>
      </w:pPr>
      <w:r>
        <w:rPr>
          <w:rFonts w:ascii="Times New Roman" w:cs="Times New Roman" w:eastAsia="Times New Roman" w:hAnsi="Times New Roman"/>
          <w:sz w:val="14"/>
          <w:szCs w:val="14"/>
          <w:color w:val="auto"/>
        </w:rPr>
        <w:t>and may not adequately protect our rights or permit us to gain or keep any competitive advantage. We cannot provide any assurances that any of our patents</w:t>
      </w:r>
    </w:p>
    <w:p>
      <w:pPr>
        <w:spacing w:after="0" w:line="142" w:lineRule="exact"/>
        <w:rPr>
          <w:sz w:val="20"/>
          <w:szCs w:val="20"/>
          <w:color w:val="auto"/>
        </w:rPr>
      </w:pPr>
      <w:r>
        <w:rPr>
          <w:rFonts w:ascii="Times New Roman" w:cs="Times New Roman" w:eastAsia="Times New Roman" w:hAnsi="Times New Roman"/>
          <w:sz w:val="14"/>
          <w:szCs w:val="14"/>
          <w:color w:val="auto"/>
        </w:rPr>
        <w:t>have, or that any of our pending patent applications that mature into issued patents will include, claims with a scope sufficient to protect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285,</w:t>
      </w:r>
    </w:p>
    <w:p>
      <w:pPr>
        <w:spacing w:after="0" w:line="142" w:lineRule="exact"/>
        <w:rPr>
          <w:sz w:val="20"/>
          <w:szCs w:val="20"/>
          <w:color w:val="auto"/>
        </w:rPr>
      </w:pPr>
      <w:r>
        <w:rPr>
          <w:rFonts w:ascii="Times New Roman" w:cs="Times New Roman" w:eastAsia="Times New Roman" w:hAnsi="Times New Roman"/>
          <w:sz w:val="14"/>
          <w:szCs w:val="14"/>
          <w:color w:val="auto"/>
        </w:rPr>
        <w:t>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BLU-667 or our other drug candidates. In addition, the laws of foreign countries may not protect our rights to the same extent as the laws of the</w:t>
      </w:r>
    </w:p>
    <w:p>
      <w:pPr>
        <w:spacing w:after="0" w:line="211" w:lineRule="auto"/>
        <w:rPr>
          <w:sz w:val="20"/>
          <w:szCs w:val="20"/>
          <w:color w:val="auto"/>
        </w:rPr>
      </w:pPr>
      <w:r>
        <w:rPr>
          <w:rFonts w:ascii="Times New Roman" w:cs="Times New Roman" w:eastAsia="Times New Roman" w:hAnsi="Times New Roman"/>
          <w:sz w:val="14"/>
          <w:szCs w:val="14"/>
          <w:color w:val="auto"/>
        </w:rPr>
        <w:t>United States. Furthermore, patents have a limited lifespan. In the United States, the natural expiration of a patent is generally twenty years after it is filed.</w:t>
      </w:r>
    </w:p>
    <w:p>
      <w:pPr>
        <w:spacing w:after="0" w:line="211" w:lineRule="auto"/>
        <w:rPr>
          <w:sz w:val="20"/>
          <w:szCs w:val="20"/>
          <w:color w:val="auto"/>
        </w:rPr>
      </w:pPr>
      <w:r>
        <w:rPr>
          <w:rFonts w:ascii="Times New Roman" w:cs="Times New Roman" w:eastAsia="Times New Roman" w:hAnsi="Times New Roman"/>
          <w:sz w:val="14"/>
          <w:szCs w:val="14"/>
          <w:color w:val="auto"/>
        </w:rPr>
        <w:t>Various extensions may be available; however, the life of a patent, and the protection it affords, is limited. Given the amount of time required for the</w:t>
      </w:r>
    </w:p>
    <w:p>
      <w:pPr>
        <w:spacing w:after="0" w:line="210" w:lineRule="auto"/>
        <w:rPr>
          <w:sz w:val="20"/>
          <w:szCs w:val="20"/>
          <w:color w:val="auto"/>
        </w:rPr>
      </w:pPr>
      <w:r>
        <w:rPr>
          <w:rFonts w:ascii="Times New Roman" w:cs="Times New Roman" w:eastAsia="Times New Roman" w:hAnsi="Times New Roman"/>
          <w:sz w:val="14"/>
          <w:szCs w:val="14"/>
          <w:color w:val="auto"/>
        </w:rPr>
        <w:t>development, testing and regulatory review of new drug candidates, patents protecting such candidates might expire before or shortly after such candidates</w:t>
      </w:r>
    </w:p>
    <w:p>
      <w:pPr>
        <w:spacing w:after="0" w:line="211" w:lineRule="auto"/>
        <w:rPr>
          <w:sz w:val="20"/>
          <w:szCs w:val="20"/>
          <w:color w:val="auto"/>
        </w:rPr>
      </w:pPr>
      <w:r>
        <w:rPr>
          <w:rFonts w:ascii="Times New Roman" w:cs="Times New Roman" w:eastAsia="Times New Roman" w:hAnsi="Times New Roman"/>
          <w:sz w:val="14"/>
          <w:szCs w:val="14"/>
          <w:color w:val="auto"/>
        </w:rPr>
        <w:t>are commercialized. As a result, our owned patent portfolio may not provide us with adequate and continuing patent protection sufficient to exclude others</w:t>
      </w:r>
    </w:p>
    <w:p>
      <w:pPr>
        <w:spacing w:after="0"/>
        <w:rPr>
          <w:sz w:val="20"/>
          <w:szCs w:val="20"/>
          <w:color w:val="auto"/>
        </w:rPr>
      </w:pPr>
      <w:r>
        <w:rPr>
          <w:rFonts w:ascii="Times New Roman" w:cs="Times New Roman" w:eastAsia="Times New Roman" w:hAnsi="Times New Roman"/>
          <w:sz w:val="14"/>
          <w:szCs w:val="14"/>
          <w:color w:val="auto"/>
        </w:rPr>
        <w:t>from commercializing drugs similar or identical to our drug candidates, including generic versions of such drugs.</w:t>
      </w:r>
    </w:p>
    <w:p>
      <w:pPr>
        <w:spacing w:after="0" w:line="138" w:lineRule="exact"/>
        <w:rPr>
          <w:sz w:val="20"/>
          <w:szCs w:val="20"/>
          <w:color w:val="auto"/>
        </w:rPr>
      </w:pPr>
    </w:p>
    <w:p>
      <w:pPr>
        <w:ind w:right="160" w:firstLine="522"/>
        <w:spacing w:after="0" w:line="228" w:lineRule="auto"/>
        <w:rPr>
          <w:sz w:val="20"/>
          <w:szCs w:val="20"/>
          <w:color w:val="auto"/>
        </w:rPr>
      </w:pPr>
      <w:r>
        <w:rPr>
          <w:rFonts w:ascii="Times New Roman" w:cs="Times New Roman" w:eastAsia="Times New Roman" w:hAnsi="Times New Roman"/>
          <w:sz w:val="14"/>
          <w:szCs w:val="14"/>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40"/>
        <w:spacing w:after="0" w:line="161" w:lineRule="exact"/>
        <w:rPr>
          <w:sz w:val="20"/>
          <w:szCs w:val="20"/>
          <w:color w:val="auto"/>
        </w:rPr>
      </w:pPr>
      <w:r>
        <w:rPr>
          <w:rFonts w:ascii="Times New Roman" w:cs="Times New Roman" w:eastAsia="Times New Roman" w:hAnsi="Times New Roman"/>
          <w:sz w:val="14"/>
          <w:szCs w:val="14"/>
          <w:color w:val="auto"/>
        </w:rPr>
        <w:t>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cover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If the claims of this third-party patent are asserted against us, we do not believe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or our proposed activities related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39" w:lineRule="exact"/>
        <w:rPr>
          <w:sz w:val="20"/>
          <w:szCs w:val="20"/>
          <w:color w:val="auto"/>
        </w:rPr>
      </w:pPr>
    </w:p>
    <w:p>
      <w:pPr>
        <w:ind w:right="60" w:firstLine="522"/>
        <w:spacing w:after="0"/>
        <w:rPr>
          <w:sz w:val="20"/>
          <w:szCs w:val="20"/>
          <w:color w:val="auto"/>
        </w:rPr>
      </w:pPr>
      <w:r>
        <w:rPr>
          <w:rFonts w:ascii="Times New Roman" w:cs="Times New Roman" w:eastAsia="Times New Roman" w:hAnsi="Times New Roman"/>
          <w:sz w:val="14"/>
          <w:szCs w:val="14"/>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8" w:lineRule="exact"/>
        <w:rPr>
          <w:sz w:val="20"/>
          <w:szCs w:val="20"/>
          <w:color w:val="auto"/>
        </w:rPr>
      </w:pPr>
    </w:p>
    <w:p>
      <w:pPr>
        <w:ind w:firstLine="522"/>
        <w:spacing w:after="0" w:line="217" w:lineRule="auto"/>
        <w:rPr>
          <w:sz w:val="20"/>
          <w:szCs w:val="20"/>
          <w:color w:val="auto"/>
        </w:rPr>
      </w:pPr>
      <w:r>
        <w:rPr>
          <w:rFonts w:ascii="Times New Roman" w:cs="Times New Roman" w:eastAsia="Times New Roman" w:hAnsi="Times New Roman"/>
          <w:sz w:val="14"/>
          <w:szCs w:val="14"/>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28" w:lineRule="exact"/>
        <w:rPr>
          <w:sz w:val="20"/>
          <w:szCs w:val="20"/>
          <w:color w:val="auto"/>
        </w:rPr>
      </w:pPr>
    </w:p>
    <w:p>
      <w:pPr>
        <w:ind w:right="80" w:firstLine="522"/>
        <w:spacing w:after="0"/>
        <w:rPr>
          <w:sz w:val="20"/>
          <w:szCs w:val="20"/>
          <w:color w:val="auto"/>
        </w:rPr>
      </w:pPr>
      <w:r>
        <w:rPr>
          <w:rFonts w:ascii="Times New Roman" w:cs="Times New Roman" w:eastAsia="Times New Roman" w:hAnsi="Times New Roman"/>
          <w:sz w:val="14"/>
          <w:szCs w:val="14"/>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18" w:lineRule="exact"/>
        <w:rPr>
          <w:sz w:val="20"/>
          <w:szCs w:val="20"/>
          <w:color w:val="auto"/>
        </w:rPr>
      </w:pPr>
    </w:p>
    <w:p>
      <w:pPr>
        <w:ind w:right="180" w:firstLine="522"/>
        <w:spacing w:after="0" w:line="222" w:lineRule="auto"/>
        <w:rPr>
          <w:sz w:val="20"/>
          <w:szCs w:val="20"/>
          <w:color w:val="auto"/>
        </w:rPr>
      </w:pPr>
      <w:r>
        <w:rPr>
          <w:rFonts w:ascii="Times New Roman" w:cs="Times New Roman" w:eastAsia="Times New Roman" w:hAnsi="Times New Roman"/>
          <w:sz w:val="14"/>
          <w:szCs w:val="14"/>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firstLine="522"/>
        <w:spacing w:after="0" w:line="222" w:lineRule="auto"/>
        <w:rPr>
          <w:sz w:val="20"/>
          <w:szCs w:val="20"/>
          <w:color w:val="auto"/>
        </w:rPr>
      </w:pPr>
      <w:r>
        <w:rPr>
          <w:rFonts w:ascii="Times New Roman" w:cs="Times New Roman" w:eastAsia="Times New Roman" w:hAnsi="Times New Roman"/>
          <w:sz w:val="14"/>
          <w:szCs w:val="14"/>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15" w:lineRule="exact"/>
        <w:rPr>
          <w:sz w:val="20"/>
          <w:szCs w:val="20"/>
          <w:color w:val="auto"/>
        </w:rPr>
      </w:pPr>
    </w:p>
    <w:p>
      <w:pPr>
        <w:ind w:firstLine="522"/>
        <w:spacing w:after="0" w:line="145" w:lineRule="exact"/>
        <w:rPr>
          <w:sz w:val="20"/>
          <w:szCs w:val="20"/>
          <w:color w:val="auto"/>
        </w:rPr>
      </w:pPr>
      <w:r>
        <w:rPr>
          <w:rFonts w:ascii="Times New Roman" w:cs="Times New Roman" w:eastAsia="Times New Roman" w:hAnsi="Times New Roman"/>
          <w:sz w:val="14"/>
          <w:szCs w:val="14"/>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owned by a third party that has generic composition of matter claims that cover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554. If the claims of this third-party patent are asserted against us, we do not believe BLU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or our proposed activities related to BLU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35" w:lineRule="exact"/>
        <w:rPr>
          <w:sz w:val="20"/>
          <w:szCs w:val="20"/>
          <w:color w:val="auto"/>
        </w:rPr>
      </w:pPr>
    </w:p>
    <w:p>
      <w:pPr>
        <w:ind w:right="20" w:firstLine="522"/>
        <w:spacing w:after="0" w:line="220" w:lineRule="auto"/>
        <w:rPr>
          <w:sz w:val="20"/>
          <w:szCs w:val="20"/>
          <w:color w:val="auto"/>
        </w:rPr>
      </w:pPr>
      <w:r>
        <w:rPr>
          <w:rFonts w:ascii="Times New Roman" w:cs="Times New Roman" w:eastAsia="Times New Roman" w:hAnsi="Times New Roman"/>
          <w:sz w:val="14"/>
          <w:szCs w:val="14"/>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31" w:lineRule="exact"/>
        <w:rPr>
          <w:sz w:val="20"/>
          <w:szCs w:val="20"/>
          <w:color w:val="auto"/>
        </w:rPr>
      </w:pPr>
    </w:p>
    <w:p>
      <w:pPr>
        <w:ind w:right="100" w:firstLine="522"/>
        <w:spacing w:after="0" w:line="220" w:lineRule="auto"/>
        <w:rPr>
          <w:sz w:val="20"/>
          <w:szCs w:val="20"/>
          <w:color w:val="auto"/>
        </w:rPr>
      </w:pPr>
      <w:r>
        <w:rPr>
          <w:rFonts w:ascii="Times New Roman" w:cs="Times New Roman" w:eastAsia="Times New Roman" w:hAnsi="Times New Roman"/>
          <w:sz w:val="14"/>
          <w:szCs w:val="14"/>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and other intellectual property rights, which could be expensive, time-consuming and unsuccessful.</w:t>
      </w:r>
    </w:p>
    <w:p>
      <w:pPr>
        <w:spacing w:after="0" w:line="115" w:lineRule="exact"/>
        <w:rPr>
          <w:sz w:val="20"/>
          <w:szCs w:val="20"/>
          <w:color w:val="auto"/>
        </w:rPr>
      </w:pPr>
    </w:p>
    <w:p>
      <w:pPr>
        <w:ind w:right="80" w:firstLine="522"/>
        <w:spacing w:after="0" w:line="252" w:lineRule="auto"/>
        <w:rPr>
          <w:sz w:val="20"/>
          <w:szCs w:val="20"/>
          <w:color w:val="auto"/>
        </w:rPr>
      </w:pPr>
      <w:r>
        <w:rPr>
          <w:rFonts w:ascii="Times New Roman" w:cs="Times New Roman" w:eastAsia="Times New Roman" w:hAnsi="Times New Roman"/>
          <w:sz w:val="14"/>
          <w:szCs w:val="14"/>
          <w:color w:val="auto"/>
        </w:rPr>
        <w:t>Competitors and other third parties may infringe, misappropriate or otherwise violate our patents and other intellectual property rights. To counter infringement or unauthorized use, we may be required to file infringement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4"/>
          <w:szCs w:val="14"/>
          <w:color w:val="auto"/>
        </w:rPr>
        <w:t>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33"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158" w:lineRule="exact"/>
        <w:rPr>
          <w:sz w:val="20"/>
          <w:szCs w:val="20"/>
          <w:color w:val="auto"/>
        </w:rPr>
      </w:pPr>
    </w:p>
    <w:p>
      <w:pPr>
        <w:ind w:right="40" w:firstLine="522"/>
        <w:spacing w:after="0" w:line="220" w:lineRule="auto"/>
        <w:rPr>
          <w:sz w:val="20"/>
          <w:szCs w:val="20"/>
          <w:color w:val="auto"/>
        </w:rPr>
      </w:pPr>
      <w:r>
        <w:rPr>
          <w:rFonts w:ascii="Times New Roman" w:cs="Times New Roman" w:eastAsia="Times New Roman" w:hAnsi="Times New Roman"/>
          <w:sz w:val="14"/>
          <w:szCs w:val="14"/>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31" w:lineRule="exact"/>
        <w:rPr>
          <w:sz w:val="20"/>
          <w:szCs w:val="20"/>
          <w:color w:val="auto"/>
        </w:rPr>
      </w:pPr>
    </w:p>
    <w:p>
      <w:pPr>
        <w:ind w:right="40" w:firstLine="522"/>
        <w:spacing w:after="0" w:line="225" w:lineRule="auto"/>
        <w:rPr>
          <w:sz w:val="20"/>
          <w:szCs w:val="20"/>
          <w:color w:val="auto"/>
        </w:rPr>
      </w:pPr>
      <w:r>
        <w:rPr>
          <w:rFonts w:ascii="Times New Roman" w:cs="Times New Roman" w:eastAsia="Times New Roman" w:hAnsi="Times New Roman"/>
          <w:sz w:val="14"/>
          <w:szCs w:val="14"/>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22"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7"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4"/>
          <w:szCs w:val="14"/>
          <w:color w:val="auto"/>
        </w:rPr>
        <w:t>procedures, we may not be able to stop a competitor from marketing drugs that are the same as or similar to our drug candidates, which would have a material adverse effect on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effectively enforce our intellectual property rights throughout the world.</w:t>
      </w:r>
    </w:p>
    <w:p>
      <w:pPr>
        <w:spacing w:after="0" w:line="158" w:lineRule="exact"/>
        <w:rPr>
          <w:sz w:val="20"/>
          <w:szCs w:val="20"/>
          <w:color w:val="auto"/>
        </w:rPr>
      </w:pPr>
    </w:p>
    <w:p>
      <w:pPr>
        <w:ind w:firstLine="522"/>
        <w:spacing w:after="0" w:line="216" w:lineRule="auto"/>
        <w:rPr>
          <w:sz w:val="20"/>
          <w:szCs w:val="20"/>
          <w:color w:val="auto"/>
        </w:rPr>
      </w:pPr>
      <w:r>
        <w:rPr>
          <w:rFonts w:ascii="Times New Roman" w:cs="Times New Roman" w:eastAsia="Times New Roman" w:hAnsi="Times New Roman"/>
          <w:sz w:val="14"/>
          <w:szCs w:val="14"/>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32" w:lineRule="exact"/>
        <w:rPr>
          <w:sz w:val="20"/>
          <w:szCs w:val="20"/>
          <w:color w:val="auto"/>
        </w:rPr>
      </w:pPr>
    </w:p>
    <w:p>
      <w:pPr>
        <w:ind w:right="120" w:firstLine="522"/>
        <w:spacing w:after="0" w:line="228" w:lineRule="auto"/>
        <w:rPr>
          <w:sz w:val="20"/>
          <w:szCs w:val="20"/>
          <w:color w:val="auto"/>
        </w:rPr>
      </w:pPr>
      <w:r>
        <w:rPr>
          <w:rFonts w:ascii="Times New Roman" w:cs="Times New Roman" w:eastAsia="Times New Roman" w:hAnsi="Times New Roman"/>
          <w:sz w:val="14"/>
          <w:szCs w:val="14"/>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2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15" w:lineRule="exact"/>
        <w:rPr>
          <w:sz w:val="20"/>
          <w:szCs w:val="20"/>
          <w:color w:val="auto"/>
        </w:rPr>
      </w:pPr>
    </w:p>
    <w:p>
      <w:pPr>
        <w:ind w:firstLine="522"/>
        <w:spacing w:after="0" w:line="217"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33" w:lineRule="exact"/>
        <w:rPr>
          <w:sz w:val="20"/>
          <w:szCs w:val="20"/>
          <w:color w:val="auto"/>
        </w:rPr>
      </w:pPr>
    </w:p>
    <w:p>
      <w:pPr>
        <w:ind w:right="220" w:firstLine="522"/>
        <w:spacing w:after="0" w:line="222" w:lineRule="auto"/>
        <w:rPr>
          <w:sz w:val="20"/>
          <w:szCs w:val="20"/>
          <w:color w:val="auto"/>
        </w:rPr>
      </w:pPr>
      <w:r>
        <w:rPr>
          <w:rFonts w:ascii="Times New Roman" w:cs="Times New Roman" w:eastAsia="Times New Roman" w:hAnsi="Times New Roman"/>
          <w:sz w:val="14"/>
          <w:szCs w:val="14"/>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may be harmed.</w:t>
      </w:r>
    </w:p>
    <w:p>
      <w:pPr>
        <w:spacing w:after="0" w:line="158" w:lineRule="exact"/>
        <w:rPr>
          <w:sz w:val="20"/>
          <w:szCs w:val="20"/>
          <w:color w:val="auto"/>
        </w:rPr>
      </w:pPr>
    </w:p>
    <w:p>
      <w:pPr>
        <w:ind w:firstLine="522"/>
        <w:spacing w:after="0" w:line="217" w:lineRule="auto"/>
        <w:rPr>
          <w:sz w:val="20"/>
          <w:szCs w:val="20"/>
          <w:color w:val="auto"/>
        </w:rPr>
      </w:pPr>
      <w:r>
        <w:rPr>
          <w:rFonts w:ascii="Times New Roman" w:cs="Times New Roman" w:eastAsia="Times New Roman" w:hAnsi="Times New Roman"/>
          <w:sz w:val="14"/>
          <w:szCs w:val="14"/>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28" w:lineRule="exact"/>
        <w:rPr>
          <w:sz w:val="20"/>
          <w:szCs w:val="20"/>
          <w:color w:val="auto"/>
        </w:rPr>
      </w:pPr>
    </w:p>
    <w:p>
      <w:pPr>
        <w:ind w:right="60" w:firstLine="522"/>
        <w:spacing w:after="0" w:line="222" w:lineRule="auto"/>
        <w:rPr>
          <w:sz w:val="20"/>
          <w:szCs w:val="20"/>
          <w:color w:val="auto"/>
        </w:rPr>
      </w:pPr>
      <w:r>
        <w:rPr>
          <w:rFonts w:ascii="Times New Roman" w:cs="Times New Roman" w:eastAsia="Times New Roman" w:hAnsi="Times New Roman"/>
          <w:sz w:val="14"/>
          <w:szCs w:val="14"/>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15" w:lineRule="exact"/>
        <w:rPr>
          <w:sz w:val="20"/>
          <w:szCs w:val="20"/>
          <w:color w:val="auto"/>
        </w:rPr>
      </w:pPr>
    </w:p>
    <w:p>
      <w:pPr>
        <w:ind w:right="100" w:firstLine="522"/>
        <w:spacing w:after="0" w:line="216" w:lineRule="auto"/>
        <w:rPr>
          <w:sz w:val="20"/>
          <w:szCs w:val="20"/>
          <w:color w:val="auto"/>
        </w:rPr>
      </w:pPr>
      <w:r>
        <w:rPr>
          <w:rFonts w:ascii="Times New Roman" w:cs="Times New Roman" w:eastAsia="Times New Roman" w:hAnsi="Times New Roman"/>
          <w:sz w:val="14"/>
          <w:szCs w:val="14"/>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27" w:lineRule="exact"/>
        <w:rPr>
          <w:sz w:val="20"/>
          <w:szCs w:val="20"/>
          <w:color w:val="auto"/>
        </w:rPr>
      </w:pPr>
    </w:p>
    <w:p>
      <w:pPr>
        <w:ind w:right="1560" w:firstLine="1557"/>
        <w:spacing w:after="0" w:line="471" w:lineRule="auto"/>
        <w:rPr>
          <w:sz w:val="20"/>
          <w:szCs w:val="20"/>
          <w:color w:val="auto"/>
        </w:rPr>
      </w:pPr>
      <w:r>
        <w:rPr>
          <w:rFonts w:ascii="Times New Roman" w:cs="Times New Roman" w:eastAsia="Times New Roman" w:hAnsi="Times New Roman"/>
          <w:sz w:val="14"/>
          <w:szCs w:val="14"/>
          <w:b w:val="1"/>
          <w:bCs w:val="1"/>
          <w:color w:val="auto"/>
        </w:rPr>
        <w:t xml:space="preserve">Risks Related to Employee Matters, Managing Growth and Other Risks Related to Our Business </w:t>
      </w: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60" w:firstLine="522"/>
        <w:spacing w:after="0" w:line="252" w:lineRule="auto"/>
        <w:rPr>
          <w:sz w:val="20"/>
          <w:szCs w:val="20"/>
          <w:color w:val="auto"/>
        </w:rPr>
      </w:pPr>
      <w:r>
        <w:rPr>
          <w:rFonts w:ascii="Times New Roman" w:cs="Times New Roman" w:eastAsia="Times New Roman" w:hAnsi="Times New Roman"/>
          <w:sz w:val="14"/>
          <w:szCs w:val="14"/>
          <w:color w:val="auto"/>
        </w:rPr>
        <w:t>We are highly dependent on the research and development, clinical, business development, financial and legal expertise of Jeffrey W. Albers, our President and Chief Executive Officer, Anthony L. Boral, our Chief Medical Officer,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4"/>
          <w:szCs w:val="14"/>
          <w:color w:val="auto"/>
        </w:rPr>
        <w:t>Marion Dorsch, our Chief Scientific Officer, Kathryn Haviland, our Chief Business Officer, Michael Landsittel, our Vice President of Finance, and Tracey McCain, our Chief Legal Officer,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31"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will need to develop and expand our company, and we may encounter difficulties in managing this development and expansion, which could disrupt our operations.</w:t>
      </w:r>
    </w:p>
    <w:p>
      <w:pPr>
        <w:spacing w:after="0" w:line="115" w:lineRule="exact"/>
        <w:rPr>
          <w:sz w:val="20"/>
          <w:szCs w:val="20"/>
          <w:color w:val="auto"/>
        </w:rPr>
      </w:pPr>
    </w:p>
    <w:p>
      <w:pPr>
        <w:ind w:right="20" w:firstLine="522"/>
        <w:spacing w:after="0" w:line="234" w:lineRule="auto"/>
        <w:rPr>
          <w:sz w:val="20"/>
          <w:szCs w:val="20"/>
          <w:color w:val="auto"/>
        </w:rPr>
      </w:pPr>
      <w:r>
        <w:rPr>
          <w:rFonts w:ascii="Times New Roman" w:cs="Times New Roman" w:eastAsia="Times New Roman" w:hAnsi="Times New Roman"/>
          <w:sz w:val="14"/>
          <w:szCs w:val="14"/>
          <w:color w:val="auto"/>
        </w:rPr>
        <w:t>As of July 31, 2017, we had 123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In April 2017, we entered into a lease agreement new office and laboratory space located at 45 Sidney Street, Cambridge, Massachusetts 02139, and we currently anticipate relocating our corporate headquarters to the new premises in the first quarter of 2018. The physical expansion of our operations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or results of operations.</w:t>
      </w:r>
    </w:p>
    <w:p>
      <w:pPr>
        <w:spacing w:after="0" w:line="158"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in relation to the United Kingdom’s future relationship with the European Union. Any of the foregoing could harm our business and we cannot anticipate all of the ways in which the current economic climate and financial market conditions could adversely impact our business.</w:t>
      </w:r>
    </w:p>
    <w:p>
      <w:pPr>
        <w:spacing w:after="0" w:line="11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15" w:lineRule="exact"/>
        <w:rPr>
          <w:sz w:val="20"/>
          <w:szCs w:val="20"/>
          <w:color w:val="auto"/>
        </w:rPr>
      </w:pPr>
    </w:p>
    <w:p>
      <w:pPr>
        <w:ind w:right="140" w:firstLine="522"/>
        <w:spacing w:after="0"/>
        <w:rPr>
          <w:sz w:val="20"/>
          <w:szCs w:val="20"/>
          <w:color w:val="auto"/>
        </w:rPr>
      </w:pPr>
      <w:r>
        <w:rPr>
          <w:rFonts w:ascii="Times New Roman" w:cs="Times New Roman" w:eastAsia="Times New Roman" w:hAnsi="Times New Roman"/>
          <w:sz w:val="14"/>
          <w:szCs w:val="14"/>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15" w:lineRule="exact"/>
        <w:rPr>
          <w:sz w:val="20"/>
          <w:szCs w:val="20"/>
          <w:color w:val="auto"/>
        </w:rPr>
      </w:pPr>
    </w:p>
    <w:p>
      <w:pPr>
        <w:ind w:right="60" w:firstLine="522"/>
        <w:spacing w:after="0" w:line="220" w:lineRule="auto"/>
        <w:rPr>
          <w:sz w:val="20"/>
          <w:szCs w:val="20"/>
          <w:color w:val="auto"/>
        </w:rPr>
      </w:pPr>
      <w:r>
        <w:rPr>
          <w:rFonts w:ascii="Times New Roman" w:cs="Times New Roman" w:eastAsia="Times New Roman" w:hAnsi="Times New Roman"/>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15" w:lineRule="exact"/>
        <w:rPr>
          <w:sz w:val="20"/>
          <w:szCs w:val="20"/>
          <w:color w:val="auto"/>
        </w:rPr>
      </w:pPr>
    </w:p>
    <w:p>
      <w:pPr>
        <w:ind w:firstLine="522"/>
        <w:spacing w:after="0" w:line="228" w:lineRule="auto"/>
        <w:rPr>
          <w:sz w:val="20"/>
          <w:szCs w:val="20"/>
          <w:color w:val="auto"/>
        </w:rPr>
      </w:pPr>
      <w:r>
        <w:rPr>
          <w:rFonts w:ascii="Times New Roman" w:cs="Times New Roman" w:eastAsia="Times New Roman" w:hAnsi="Times New Roman"/>
          <w:sz w:val="14"/>
          <w:szCs w:val="14"/>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acquire businesses or drugs, or form strategic alliances, in the future, and we may not realize the benefits of such acquisitions.</w:t>
      </w:r>
    </w:p>
    <w:p>
      <w:pPr>
        <w:spacing w:after="0" w:line="158" w:lineRule="exact"/>
        <w:rPr>
          <w:sz w:val="20"/>
          <w:szCs w:val="20"/>
          <w:color w:val="auto"/>
        </w:rPr>
      </w:pPr>
    </w:p>
    <w:p>
      <w:pPr>
        <w:ind w:right="80" w:firstLine="522"/>
        <w:spacing w:after="0"/>
        <w:rPr>
          <w:sz w:val="20"/>
          <w:szCs w:val="20"/>
          <w:color w:val="auto"/>
        </w:rPr>
      </w:pPr>
      <w:r>
        <w:rPr>
          <w:rFonts w:ascii="Times New Roman" w:cs="Times New Roman" w:eastAsia="Times New Roman" w:hAnsi="Times New Roman"/>
          <w:sz w:val="14"/>
          <w:szCs w:val="14"/>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adverse legislative or regulatory tax changes that could negatively impact our financial condition.</w:t>
      </w:r>
    </w:p>
    <w:p>
      <w:pPr>
        <w:spacing w:after="0" w:line="158"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in the future be volatile and fluctuate substantially.</w:t>
      </w:r>
    </w:p>
    <w:p>
      <w:pPr>
        <w:spacing w:after="0" w:line="158" w:lineRule="exact"/>
        <w:rPr>
          <w:sz w:val="20"/>
          <w:szCs w:val="20"/>
          <w:color w:val="auto"/>
        </w:rPr>
      </w:pPr>
    </w:p>
    <w:p>
      <w:pPr>
        <w:ind w:firstLine="522"/>
        <w:spacing w:after="0" w:line="225" w:lineRule="auto"/>
        <w:rPr>
          <w:sz w:val="20"/>
          <w:szCs w:val="20"/>
          <w:color w:val="auto"/>
        </w:rPr>
      </w:pPr>
      <w:r>
        <w:rPr>
          <w:rFonts w:ascii="Times New Roman" w:cs="Times New Roman" w:eastAsia="Times New Roman" w:hAnsi="Times New Roman"/>
          <w:sz w:val="14"/>
          <w:szCs w:val="14"/>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$56.81 and a low price of $13.04 per share for the period beginning on April 30, 2015, our first day of trading on The NASDAQ Global Select Market, through July 31, 2017. As a result of this volatility, our stockholders could incur substantial losses. In addition, the market price for our common stock may be influenced by many factors, including:</w:t>
      </w:r>
    </w:p>
    <w:p>
      <w:pPr>
        <w:spacing w:after="0" w:line="126" w:lineRule="exact"/>
        <w:rPr>
          <w:sz w:val="20"/>
          <w:szCs w:val="20"/>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drugs or technologies;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of our drug candidates or those of our competitors;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drug candidates or clinical development programs;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drug candidates or drugs;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6" w:lineRule="exact"/>
        <w:rPr>
          <w:sz w:val="20"/>
          <w:szCs w:val="20"/>
          <w:color w:val="auto"/>
        </w:rPr>
      </w:pPr>
    </w:p>
    <w:p>
      <w:pPr>
        <w:ind w:left="1060" w:hanging="27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154" w:lineRule="exact"/>
        <w:rPr>
          <w:sz w:val="20"/>
          <w:szCs w:val="20"/>
          <w:color w:val="auto"/>
        </w:rPr>
      </w:pPr>
    </w:p>
    <w:p>
      <w:pPr>
        <w:ind w:right="60" w:firstLine="522"/>
        <w:spacing w:after="0" w:line="225" w:lineRule="auto"/>
        <w:rPr>
          <w:sz w:val="20"/>
          <w:szCs w:val="20"/>
          <w:color w:val="auto"/>
        </w:rPr>
      </w:pPr>
      <w:r>
        <w:rPr>
          <w:rFonts w:ascii="Times New Roman" w:cs="Times New Roman" w:eastAsia="Times New Roman" w:hAnsi="Times New Roman"/>
          <w:sz w:val="14"/>
          <w:szCs w:val="14"/>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be sustained, and investors may not be able to resell their shares at or above the price they paid.</w:t>
      </w:r>
    </w:p>
    <w:p>
      <w:pPr>
        <w:spacing w:after="0" w:line="158" w:lineRule="exact"/>
        <w:rPr>
          <w:sz w:val="20"/>
          <w:szCs w:val="20"/>
          <w:color w:val="auto"/>
        </w:rPr>
      </w:pPr>
    </w:p>
    <w:p>
      <w:pPr>
        <w:ind w:right="80" w:firstLine="522"/>
        <w:spacing w:after="0" w:line="228" w:lineRule="auto"/>
        <w:rPr>
          <w:sz w:val="20"/>
          <w:szCs w:val="20"/>
          <w:color w:val="auto"/>
        </w:rPr>
      </w:pPr>
      <w:r>
        <w:rPr>
          <w:rFonts w:ascii="Times New Roman" w:cs="Times New Roman" w:eastAsia="Times New Roman" w:hAnsi="Times New Roman"/>
          <w:sz w:val="14"/>
          <w:szCs w:val="14"/>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15" w:lineRule="exact"/>
        <w:rPr>
          <w:sz w:val="20"/>
          <w:szCs w:val="20"/>
          <w:color w:val="auto"/>
        </w:rPr>
      </w:pPr>
    </w:p>
    <w:p>
      <w:pPr>
        <w:ind w:right="80" w:firstLine="522"/>
        <w:spacing w:after="0" w:line="225" w:lineRule="auto"/>
        <w:rPr>
          <w:sz w:val="20"/>
          <w:szCs w:val="20"/>
          <w:color w:val="auto"/>
        </w:rPr>
      </w:pPr>
      <w:r>
        <w:rPr>
          <w:rFonts w:ascii="Times New Roman" w:cs="Times New Roman" w:eastAsia="Times New Roman" w:hAnsi="Times New Roman"/>
          <w:sz w:val="14"/>
          <w:szCs w:val="14"/>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15" w:lineRule="exact"/>
        <w:rPr>
          <w:sz w:val="20"/>
          <w:szCs w:val="20"/>
          <w:color w:val="auto"/>
        </w:rPr>
      </w:pPr>
    </w:p>
    <w:p>
      <w:pPr>
        <w:ind w:right="40" w:firstLine="522"/>
        <w:spacing w:after="0" w:line="222" w:lineRule="auto"/>
        <w:rPr>
          <w:sz w:val="20"/>
          <w:szCs w:val="20"/>
          <w:color w:val="auto"/>
        </w:rPr>
      </w:pPr>
      <w:r>
        <w:rPr>
          <w:rFonts w:ascii="Times New Roman" w:cs="Times New Roman" w:eastAsia="Times New Roman" w:hAnsi="Times New Roman"/>
          <w:sz w:val="14"/>
          <w:szCs w:val="14"/>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29" w:lineRule="exact"/>
        <w:rPr>
          <w:sz w:val="20"/>
          <w:szCs w:val="20"/>
          <w:color w:val="auto"/>
        </w:rPr>
      </w:pPr>
    </w:p>
    <w:p>
      <w:pPr>
        <w:ind w:left="1060" w:hanging="27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deferring or preventing a change of control of us;</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impeding a merger, consolidation, takeover or other business combination involving us; or</w:t>
      </w:r>
    </w:p>
    <w:p>
      <w:pPr>
        <w:spacing w:after="0" w:line="154" w:lineRule="exact"/>
        <w:rPr>
          <w:rFonts w:ascii="Times New Roman" w:cs="Times New Roman" w:eastAsia="Times New Roman" w:hAnsi="Times New Roman"/>
          <w:sz w:val="14"/>
          <w:szCs w:val="14"/>
          <w:color w:val="auto"/>
        </w:rPr>
      </w:pPr>
    </w:p>
    <w:p>
      <w:pPr>
        <w:ind w:left="1060" w:hanging="27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discouraging a potential acquirer from making a tender offer or otherwise attempting to obtain control of us.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15" w:lineRule="exact"/>
        <w:rPr>
          <w:sz w:val="20"/>
          <w:szCs w:val="20"/>
          <w:color w:val="auto"/>
        </w:rPr>
      </w:pPr>
    </w:p>
    <w:p>
      <w:pPr>
        <w:ind w:firstLine="522"/>
        <w:spacing w:after="0"/>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5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15" w:lineRule="exact"/>
        <w:rPr>
          <w:sz w:val="20"/>
          <w:szCs w:val="20"/>
          <w:color w:val="auto"/>
        </w:rPr>
      </w:pPr>
    </w:p>
    <w:p>
      <w:pPr>
        <w:ind w:firstLine="522"/>
        <w:spacing w:after="0" w:line="219" w:lineRule="auto"/>
        <w:rPr>
          <w:sz w:val="20"/>
          <w:szCs w:val="20"/>
          <w:color w:val="auto"/>
        </w:rPr>
      </w:pPr>
      <w:r>
        <w:rPr>
          <w:rFonts w:ascii="Times New Roman" w:cs="Times New Roman" w:eastAsia="Times New Roman" w:hAnsi="Times New Roman"/>
          <w:sz w:val="14"/>
          <w:szCs w:val="14"/>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Commencing January 1, 2018, we will no longer be an “emerging growth company,” and the reduced disclosure requirements applicable to emerging growth companies will no longer apply to us.</w:t>
      </w:r>
    </w:p>
    <w:p>
      <w:pPr>
        <w:spacing w:after="0" w:line="115" w:lineRule="exact"/>
        <w:rPr>
          <w:sz w:val="20"/>
          <w:szCs w:val="20"/>
          <w:color w:val="auto"/>
        </w:rPr>
      </w:pPr>
    </w:p>
    <w:p>
      <w:pPr>
        <w:ind w:right="20" w:firstLine="522"/>
        <w:spacing w:after="0" w:line="228" w:lineRule="auto"/>
        <w:rPr>
          <w:sz w:val="20"/>
          <w:szCs w:val="20"/>
          <w:color w:val="auto"/>
        </w:rPr>
      </w:pPr>
      <w:r>
        <w:rPr>
          <w:rFonts w:ascii="Times New Roman" w:cs="Times New Roman" w:eastAsia="Times New Roman" w:hAnsi="Times New Roman"/>
          <w:sz w:val="14"/>
          <w:szCs w:val="14"/>
          <w:color w:val="auto"/>
        </w:rPr>
        <w:t>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commencing January 1, 2018. As a large accelerated filer, we will be subject to certain disclosure requirements that are applicable to other public companies that have not been applicable to us as an emerging growth company. These requirements include:</w:t>
      </w:r>
    </w:p>
    <w:p>
      <w:pPr>
        <w:spacing w:after="0" w:line="128" w:lineRule="exact"/>
        <w:rPr>
          <w:sz w:val="20"/>
          <w:szCs w:val="20"/>
          <w:color w:val="auto"/>
        </w:rPr>
      </w:pPr>
    </w:p>
    <w:p>
      <w:pPr>
        <w:ind w:left="1320" w:hanging="270"/>
        <w:spacing w:after="0"/>
        <w:tabs>
          <w:tab w:leader="none" w:pos="1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auditor attestation requirements in the assessment of our internal control over financial reporting;</w:t>
      </w:r>
    </w:p>
    <w:p>
      <w:pPr>
        <w:spacing w:after="0" w:line="154" w:lineRule="exact"/>
        <w:rPr>
          <w:rFonts w:ascii="Times New Roman" w:cs="Times New Roman" w:eastAsia="Times New Roman" w:hAnsi="Times New Roman"/>
          <w:sz w:val="14"/>
          <w:szCs w:val="14"/>
          <w:color w:val="auto"/>
        </w:rPr>
      </w:pPr>
    </w:p>
    <w:p>
      <w:pPr>
        <w:ind w:left="1320" w:right="280" w:hanging="270"/>
        <w:spacing w:after="0" w:line="234" w:lineRule="auto"/>
        <w:tabs>
          <w:tab w:leader="none" w:pos="1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7" w:lineRule="exact"/>
        <w:rPr>
          <w:rFonts w:ascii="Times New Roman" w:cs="Times New Roman" w:eastAsia="Times New Roman" w:hAnsi="Times New Roman"/>
          <w:sz w:val="14"/>
          <w:szCs w:val="14"/>
          <w:color w:val="auto"/>
        </w:rPr>
      </w:pPr>
    </w:p>
    <w:p>
      <w:pPr>
        <w:ind w:left="1320" w:hanging="270"/>
        <w:spacing w:after="0"/>
        <w:tabs>
          <w:tab w:leader="none" w:pos="1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disclosure obligations regarding executive compensation; and</w:t>
      </w:r>
    </w:p>
    <w:p>
      <w:pPr>
        <w:spacing w:after="0" w:line="154" w:lineRule="exact"/>
        <w:rPr>
          <w:rFonts w:ascii="Times New Roman" w:cs="Times New Roman" w:eastAsia="Times New Roman" w:hAnsi="Times New Roman"/>
          <w:sz w:val="14"/>
          <w:szCs w:val="14"/>
          <w:color w:val="auto"/>
        </w:rPr>
      </w:pPr>
    </w:p>
    <w:p>
      <w:pPr>
        <w:ind w:left="1320" w:right="40" w:hanging="270"/>
        <w:spacing w:after="0" w:line="252" w:lineRule="auto"/>
        <w:tabs>
          <w:tab w:leader="none" w:pos="1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requirements of holding a nonbinding advisory vote on executive compensation and stockholder approval of any golden parachute payments not previously approved.</w:t>
      </w:r>
    </w:p>
    <w:p>
      <w:pPr>
        <w:spacing w:after="0" w:line="119" w:lineRule="exact"/>
        <w:rPr>
          <w:sz w:val="20"/>
          <w:szCs w:val="20"/>
          <w:color w:val="auto"/>
        </w:rPr>
      </w:pPr>
    </w:p>
    <w:p>
      <w:pPr>
        <w:ind w:right="380" w:firstLine="522"/>
        <w:spacing w:after="0" w:line="252" w:lineRule="auto"/>
        <w:rPr>
          <w:sz w:val="20"/>
          <w:szCs w:val="20"/>
          <w:color w:val="auto"/>
        </w:rPr>
      </w:pPr>
      <w:r>
        <w:rPr>
          <w:rFonts w:ascii="Times New Roman" w:cs="Times New Roman" w:eastAsia="Times New Roman" w:hAnsi="Times New Roman"/>
          <w:sz w:val="14"/>
          <w:szCs w:val="14"/>
          <w:color w:val="auto"/>
        </w:rPr>
        <w:t>In addition, we will no longer be able to take advantage of transition periods for complying with new or revised accounting standards that are available to emerging growth companies.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15" w:lineRule="exact"/>
        <w:rPr>
          <w:sz w:val="20"/>
          <w:szCs w:val="20"/>
          <w:color w:val="auto"/>
        </w:rPr>
      </w:pPr>
    </w:p>
    <w:p>
      <w:pPr>
        <w:ind w:firstLine="522"/>
        <w:spacing w:after="0" w:line="222" w:lineRule="auto"/>
        <w:rPr>
          <w:sz w:val="20"/>
          <w:szCs w:val="20"/>
          <w:color w:val="auto"/>
        </w:rPr>
      </w:pPr>
      <w:r>
        <w:rPr>
          <w:rFonts w:ascii="Times New Roman" w:cs="Times New Roman" w:eastAsia="Times New Roman" w:hAnsi="Times New Roman"/>
          <w:sz w:val="14"/>
          <w:szCs w:val="14"/>
          <w:color w:val="auto"/>
        </w:rPr>
        <w:t>As a public company, and particularly commencing January 1, 2018 when we will no longer be an emerging growth company, we have incurred and expect to continue to incur significant legal, accounting and other expenses that we did not incur as a private company.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29" w:lineRule="exact"/>
        <w:rPr>
          <w:sz w:val="20"/>
          <w:szCs w:val="20"/>
          <w:color w:val="auto"/>
        </w:rPr>
      </w:pPr>
    </w:p>
    <w:p>
      <w:pPr>
        <w:ind w:right="120" w:firstLine="522"/>
        <w:spacing w:after="0" w:line="234" w:lineRule="auto"/>
        <w:rPr>
          <w:sz w:val="20"/>
          <w:szCs w:val="20"/>
          <w:color w:val="auto"/>
        </w:rPr>
      </w:pPr>
      <w:r>
        <w:rPr>
          <w:rFonts w:ascii="Times New Roman" w:cs="Times New Roman" w:eastAsia="Times New Roman" w:hAnsi="Times New Roman"/>
          <w:sz w:val="14"/>
          <w:szCs w:val="14"/>
          <w:color w:val="auto"/>
        </w:rPr>
        <w:t>Commencing January 1, 2018, we will no longer be an emerging growth company. As a result, we will not be able to take advantage of certain exemptions from various reporting requirements that are applicable to other public companies that are emerging growth companies as has been the case to date.</w:t>
      </w:r>
    </w:p>
    <w:p>
      <w:pPr>
        <w:spacing w:after="0" w:line="127" w:lineRule="exact"/>
        <w:rPr>
          <w:sz w:val="20"/>
          <w:szCs w:val="20"/>
          <w:color w:val="auto"/>
        </w:rPr>
      </w:pPr>
    </w:p>
    <w:p>
      <w:pPr>
        <w:ind w:right="20" w:firstLine="522"/>
        <w:spacing w:after="0" w:line="217" w:lineRule="auto"/>
        <w:rPr>
          <w:sz w:val="20"/>
          <w:szCs w:val="20"/>
          <w:color w:val="auto"/>
        </w:rPr>
      </w:pPr>
      <w:r>
        <w:rPr>
          <w:rFonts w:ascii="Times New Roman" w:cs="Times New Roman" w:eastAsia="Times New Roman" w:hAnsi="Times New Roman"/>
          <w:sz w:val="14"/>
          <w:szCs w:val="14"/>
          <w:color w:val="auto"/>
        </w:rPr>
        <w:t>Pursuant to Section 404 of the Sarbanes-Oxley Act of 2002, or Section 404, we are required to furnish an annual report by our management on our internal control over financial reporting. Commencing January 1, 2018, because we will no longer be an emerging growth company, we will be required to include with this annual report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15" w:lineRule="exact"/>
        <w:rPr>
          <w:sz w:val="20"/>
          <w:szCs w:val="20"/>
          <w:color w:val="auto"/>
        </w:rPr>
      </w:pPr>
    </w:p>
    <w:p>
      <w:pPr>
        <w:ind w:right="40" w:firstLine="522"/>
        <w:spacing w:after="0"/>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carryforwards and certain other tax attributes may be limited.</w:t>
      </w:r>
    </w:p>
    <w:p>
      <w:pPr>
        <w:spacing w:after="0" w:line="158" w:lineRule="exact"/>
        <w:rPr>
          <w:sz w:val="20"/>
          <w:szCs w:val="20"/>
          <w:color w:val="auto"/>
        </w:rPr>
      </w:pPr>
    </w:p>
    <w:p>
      <w:pPr>
        <w:ind w:right="40" w:firstLine="522"/>
        <w:spacing w:after="0" w:line="222"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2016, we had federal net operating loss carryforwards of approximately $179.8 million, and our ability to utilize those net operating loss carryforwards could be limited by an “ownership change” as described above, which could result in increased tax liability to us.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Proceeds from Initial Public Offering of Common Stock</w:t>
      </w:r>
    </w:p>
    <w:p>
      <w:pPr>
        <w:spacing w:after="0" w:line="156" w:lineRule="exact"/>
        <w:rPr>
          <w:sz w:val="20"/>
          <w:szCs w:val="20"/>
          <w:color w:val="auto"/>
        </w:rPr>
      </w:pPr>
    </w:p>
    <w:p>
      <w:pPr>
        <w:ind w:firstLine="522"/>
        <w:spacing w:after="0" w:line="220" w:lineRule="auto"/>
        <w:rPr>
          <w:sz w:val="20"/>
          <w:szCs w:val="20"/>
          <w:color w:val="auto"/>
        </w:rPr>
      </w:pPr>
      <w:r>
        <w:rPr>
          <w:rFonts w:ascii="Times New Roman" w:cs="Times New Roman" w:eastAsia="Times New Roman" w:hAnsi="Times New Roman"/>
          <w:sz w:val="14"/>
          <w:szCs w:val="14"/>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of 1933, as amended,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31" w:lineRule="exact"/>
        <w:rPr>
          <w:sz w:val="20"/>
          <w:szCs w:val="20"/>
          <w:color w:val="auto"/>
        </w:rPr>
      </w:pPr>
    </w:p>
    <w:p>
      <w:pPr>
        <w:ind w:right="20" w:firstLine="522"/>
        <w:spacing w:after="0" w:line="225" w:lineRule="auto"/>
        <w:rPr>
          <w:sz w:val="20"/>
          <w:szCs w:val="20"/>
          <w:color w:val="auto"/>
        </w:rPr>
      </w:pPr>
      <w:r>
        <w:rPr>
          <w:rFonts w:ascii="Times New Roman" w:cs="Times New Roman" w:eastAsia="Times New Roman" w:hAnsi="Times New Roman"/>
          <w:sz w:val="14"/>
          <w:szCs w:val="14"/>
          <w:color w:val="auto"/>
        </w:rPr>
        <w:t>We received approximately $154.8 million in net proceeds after deducting underwriting discounts and commissions and offering expenses paid by us. As of June 30, 2017, we have used all of the net proceeds from the offering, primarily to fund our Phase 1 clinical trials for BLU-285, BLU-554 and BLU-667, new and ongoing research activities, research and development activities and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3" w:lineRule="exact"/>
        <w:rPr>
          <w:sz w:val="20"/>
          <w:szCs w:val="20"/>
          <w:color w:val="auto"/>
        </w:rPr>
      </w:pPr>
    </w:p>
    <w:p>
      <w:pPr>
        <w:ind w:right="79" w:firstLine="355"/>
        <w:spacing w:after="0" w:line="25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spacing w:after="0" w:line="178" w:lineRule="exact"/>
        <w:rPr>
          <w:sz w:val="20"/>
          <w:szCs w:val="20"/>
          <w:color w:val="auto"/>
        </w:rPr>
      </w:pPr>
    </w:p>
    <w:p>
      <w:pPr>
        <w:spacing w:after="0"/>
        <w:tabs>
          <w:tab w:leader="none" w:pos="4340" w:val="left"/>
          <w:tab w:leader="none" w:pos="478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w:t>
        <w:tab/>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10795</wp:posOffset>
            </wp:positionV>
            <wp:extent cx="2728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spacing w:after="0" w:line="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Jeffrey W. Albers</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Director (Principal Executive</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i w:val="1"/>
          <w:iCs w:val="1"/>
          <w:color w:val="auto"/>
        </w:rPr>
        <w:t>Officer)</w:t>
      </w:r>
    </w:p>
    <w:p>
      <w:pPr>
        <w:spacing w:after="0" w:line="160" w:lineRule="exact"/>
        <w:rPr>
          <w:sz w:val="20"/>
          <w:szCs w:val="20"/>
          <w:color w:val="auto"/>
        </w:rPr>
      </w:pPr>
    </w:p>
    <w:p>
      <w:pPr>
        <w:spacing w:after="0"/>
        <w:tabs>
          <w:tab w:leader="none" w:pos="4340" w:val="left"/>
          <w:tab w:leader="none" w:pos="478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10795</wp:posOffset>
            </wp:positionV>
            <wp:extent cx="2728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spacing w:after="0" w:line="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Michael Landsittel</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i w:val="1"/>
          <w:iCs w:val="1"/>
          <w:color w:val="auto"/>
        </w:rPr>
        <w:t>Vice President of Finance</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14" w:right="1440"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563C1"/>
        </w:rPr>
      </w:pPr>
      <w:hyperlink w:anchor="page2">
        <w:r>
          <w:rPr>
            <w:rFonts w:ascii="Times New Roman" w:cs="Times New Roman" w:eastAsia="Times New Roman" w:hAnsi="Times New Roman"/>
            <w:sz w:val="14"/>
            <w:szCs w:val="14"/>
            <w:u w:val="single" w:color="auto"/>
            <w:color w:val="0563C1"/>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63"/>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7920" w:type="dxa"/>
            <w:vAlign w:val="bottom"/>
            <w:vMerge w:val="restart"/>
          </w:tcPr>
          <w:p>
            <w:pPr>
              <w:ind w:left="342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0" w:type="dxa"/>
            <w:vAlign w:val="bottom"/>
          </w:tcPr>
          <w:p>
            <w:pPr>
              <w:spacing w:after="0"/>
              <w:rPr>
                <w:sz w:val="1"/>
                <w:szCs w:val="1"/>
                <w:color w:val="auto"/>
              </w:rPr>
            </w:pPr>
          </w:p>
        </w:tc>
      </w:tr>
      <w:tr>
        <w:trPr>
          <w:trHeight w:val="139"/>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88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10.1†*</w:t>
            </w:r>
          </w:p>
        </w:tc>
        <w:tc>
          <w:tcPr>
            <w:tcW w:w="260" w:type="dxa"/>
            <w:vAlign w:val="bottom"/>
          </w:tcPr>
          <w:p>
            <w:pPr>
              <w:spacing w:after="0"/>
              <w:rPr>
                <w:sz w:val="9"/>
                <w:szCs w:val="9"/>
                <w:color w:val="auto"/>
              </w:rPr>
            </w:pPr>
          </w:p>
        </w:tc>
        <w:tc>
          <w:tcPr>
            <w:tcW w:w="792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Amendment #1, effective June 12, 2017, to Project Schedule #1, effective March 1, 2016, to the Master Collaboration Agreement,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effective March 1, 2016, between Ventana Medical Systems, Inc. and the Registrant</w:t>
            </w:r>
          </w:p>
        </w:tc>
        <w:tc>
          <w:tcPr>
            <w:tcW w:w="0" w:type="dxa"/>
            <w:vAlign w:val="bottom"/>
          </w:tcPr>
          <w:p>
            <w:pPr>
              <w:spacing w:after="0"/>
              <w:rPr>
                <w:sz w:val="1"/>
                <w:szCs w:val="1"/>
                <w:color w:val="auto"/>
              </w:rPr>
            </w:pPr>
          </w:p>
        </w:tc>
      </w:tr>
      <w:tr>
        <w:trPr>
          <w:trHeight w:val="18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Amendment No. 1, dated July 14, 2017, to Project Schedule #1, dated August 22, 2016, to the Master Collaboration Agreement, dated</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August 22, 2016, between QIAGEN Manchester Limited and the Registrant</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26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 13a-14(a) or Rule 15d-14(a) of the Exchange Act, as adopted pursuant to</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26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 13a-14(a) or Rule 15d-14(a) of the Exchange Act, as adopted pursuant to</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Section 302 of the Sarbanes-Oxley Act of 2002</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26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Certifications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Section 906 of the Sarbanes-Oxley Act of 2002</w:t>
            </w:r>
          </w:p>
        </w:tc>
        <w:tc>
          <w:tcPr>
            <w:tcW w:w="0" w:type="dxa"/>
            <w:vAlign w:val="bottom"/>
          </w:tcPr>
          <w:p>
            <w:pPr>
              <w:spacing w:after="0"/>
              <w:rPr>
                <w:sz w:val="1"/>
                <w:szCs w:val="1"/>
                <w:color w:val="auto"/>
              </w:rPr>
            </w:pPr>
          </w:p>
        </w:tc>
      </w:tr>
      <w:tr>
        <w:trPr>
          <w:trHeight w:val="225"/>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22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22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2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2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22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14433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3355" cy="6985"/>
                    </a:xfrm>
                    <a:prstGeom prst="rect">
                      <a:avLst/>
                    </a:prstGeom>
                    <a:noFill/>
                  </pic:spPr>
                </pic:pic>
              </a:graphicData>
            </a:graphic>
          </wp:anchor>
        </w:drawing>
      </w:r>
    </w:p>
    <w:p>
      <w:pPr>
        <w:spacing w:after="0" w:line="226" w:lineRule="exact"/>
        <w:rPr>
          <w:sz w:val="20"/>
          <w:szCs w:val="20"/>
          <w:color w:val="auto"/>
        </w:rPr>
      </w:pPr>
    </w:p>
    <w:p>
      <w:pPr>
        <w:ind w:left="200" w:right="360" w:hanging="194"/>
        <w:spacing w:after="0" w:line="252" w:lineRule="auto"/>
        <w:tabs>
          <w:tab w:leader="none" w:pos="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requested as to portions of the exhibit. Confidential materials omitted and filed separately with the Securities and Exchange Commission.</w:t>
      </w:r>
    </w:p>
    <w:p>
      <w:pPr>
        <w:spacing w:after="0" w:line="3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67" w:lineRule="exact"/>
        <w:rPr>
          <w:sz w:val="20"/>
          <w:szCs w:val="20"/>
          <w:color w:val="auto"/>
        </w:rPr>
      </w:pPr>
    </w:p>
    <w:p>
      <w:pPr>
        <w:ind w:left="200" w:right="100" w:hanging="194"/>
        <w:spacing w:after="0" w:line="234" w:lineRule="auto"/>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10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00" w:top="114" w:right="14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22" w:lineRule="exact"/>
        <w:rPr>
          <w:sz w:val="20"/>
          <w:szCs w:val="20"/>
          <w:color w:val="auto"/>
        </w:rPr>
      </w:pPr>
    </w:p>
    <w:p>
      <w:pPr>
        <w:ind w:left="60" w:right="60" w:firstLine="261"/>
        <w:spacing w:after="0" w:line="224" w:lineRule="auto"/>
        <w:tabs>
          <w:tab w:leader="none" w:pos="669"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 PURSUANT TO RULE 24b-2 PROMULGATED UNDER</w:t>
      </w: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AMENDED.</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Amendment #1 to Project Schedule #1</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DEVELOP A PREMARKET APPROVAL (PMA) READY AUTOMATED IHC IUO ENROLLMENT ASSAY FOR FGF19</w:t>
      </w:r>
    </w:p>
    <w:p>
      <w:pPr>
        <w:spacing w:after="0" w:line="124" w:lineRule="exact"/>
        <w:rPr>
          <w:sz w:val="20"/>
          <w:szCs w:val="20"/>
          <w:color w:val="auto"/>
        </w:rPr>
      </w:pPr>
    </w:p>
    <w:p>
      <w:pPr>
        <w:jc w:val="both"/>
        <w:ind w:left="20" w:right="140"/>
        <w:spacing w:after="0" w:line="234" w:lineRule="auto"/>
        <w:rPr>
          <w:sz w:val="20"/>
          <w:szCs w:val="20"/>
          <w:color w:val="auto"/>
        </w:rPr>
      </w:pPr>
      <w:r>
        <w:rPr>
          <w:rFonts w:ascii="Times New Roman" w:cs="Times New Roman" w:eastAsia="Times New Roman" w:hAnsi="Times New Roman"/>
          <w:sz w:val="14"/>
          <w:szCs w:val="14"/>
          <w:color w:val="auto"/>
        </w:rPr>
        <w:t>This Amendment #1 (this “Amendment #1”) to Project Schedule #1, effective as of March 1, 2016 (“Project Schedule #1”), is entered into by Blueprint Medicines Corporation, a Delaware corporation with offices located at 38 Sidney Street, Suite 200, Cambridge, MA 02139 USA (“Blueprint”) and Ventana Medical Systems, Inc., a Delaware corporation with offices located at 1910 E. Innovation Park Drive, Tucson, AZ 85755 USA (“Ventana”).</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effective date of this Amendment #1 shall be June 12, 2017 (the “Amendment Effective Date”).</w:t>
      </w:r>
    </w:p>
    <w:p>
      <w:pPr>
        <w:spacing w:after="0" w:line="122" w:lineRule="exact"/>
        <w:rPr>
          <w:sz w:val="20"/>
          <w:szCs w:val="20"/>
          <w:color w:val="auto"/>
        </w:rPr>
      </w:pPr>
    </w:p>
    <w:p>
      <w:pPr>
        <w:ind w:left="20" w:right="80"/>
        <w:spacing w:after="0" w:line="252" w:lineRule="auto"/>
        <w:rPr>
          <w:sz w:val="20"/>
          <w:szCs w:val="20"/>
          <w:color w:val="auto"/>
        </w:rPr>
      </w:pPr>
      <w:r>
        <w:rPr>
          <w:rFonts w:ascii="Times New Roman" w:cs="Times New Roman" w:eastAsia="Times New Roman" w:hAnsi="Times New Roman"/>
          <w:sz w:val="14"/>
          <w:szCs w:val="14"/>
          <w:color w:val="auto"/>
        </w:rPr>
        <w:t>Capitalized terms used and not otherwise defined in this Amendment #1 shall have the meanings ascribed to such terms in the Master Collaboration Agreement between Blueprint and Ventana, effective as of March 1, 2016 (the “Collaboration Agreement”), or Project Schedule #1, as applicable.</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24" w:lineRule="exact"/>
        <w:rPr>
          <w:sz w:val="20"/>
          <w:szCs w:val="20"/>
          <w:color w:val="auto"/>
        </w:rPr>
      </w:pPr>
    </w:p>
    <w:p>
      <w:pPr>
        <w:ind w:left="20" w:right="280" w:firstLine="522"/>
        <w:spacing w:after="0" w:line="252" w:lineRule="auto"/>
        <w:rPr>
          <w:sz w:val="20"/>
          <w:szCs w:val="20"/>
          <w:color w:val="auto"/>
        </w:rPr>
      </w:pPr>
      <w:r>
        <w:rPr>
          <w:rFonts w:ascii="Times New Roman" w:cs="Times New Roman" w:eastAsia="Times New Roman" w:hAnsi="Times New Roman"/>
          <w:sz w:val="14"/>
          <w:szCs w:val="14"/>
          <w:color w:val="auto"/>
        </w:rPr>
        <w:t>WHEREAS, the Parties previously entered into Project Schedule #1, pursuant to which, among other things, Ventana is developing an Investigational Use Only Assay (“IUO”) for Blueprint’s drug candidate BLU-554 in hepatocellular carcinoma (“HCC”);</w:t>
      </w:r>
    </w:p>
    <w:p>
      <w:pPr>
        <w:spacing w:after="0" w:line="86" w:lineRule="exact"/>
        <w:rPr>
          <w:sz w:val="20"/>
          <w:szCs w:val="20"/>
          <w:color w:val="auto"/>
        </w:rPr>
      </w:pPr>
    </w:p>
    <w:p>
      <w:pPr>
        <w:ind w:left="20" w:right="140" w:firstLine="522"/>
        <w:spacing w:after="0" w:line="252" w:lineRule="auto"/>
        <w:rPr>
          <w:sz w:val="20"/>
          <w:szCs w:val="20"/>
          <w:color w:val="auto"/>
        </w:rPr>
      </w:pPr>
      <w:r>
        <w:rPr>
          <w:rFonts w:ascii="Times New Roman" w:cs="Times New Roman" w:eastAsia="Times New Roman" w:hAnsi="Times New Roman"/>
          <w:sz w:val="14"/>
          <w:szCs w:val="14"/>
          <w:color w:val="auto"/>
        </w:rPr>
        <w:t>WHEREAS, the Parties desire to amend Project Schedule #1 in order to authorize Ventana to undertake the activities set forth in this Amendment #1, in accordance with the timelines and estimated pass through costs set forth in this Amendment #1; and</w:t>
      </w:r>
    </w:p>
    <w:p>
      <w:pPr>
        <w:spacing w:after="0" w:line="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WHEREAS, Ventana desires to contract with [***], to perform certain of the activities as set forth in this Amendment #1;</w:t>
      </w:r>
    </w:p>
    <w:p>
      <w:pPr>
        <w:spacing w:after="0" w:line="1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NOW, THEREFORE, the Parties agree as follows: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Objectives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key objective of this Amendment #1 is to gain clinical evidence related to the clinical activity of BLU-554 and the FGF19 IHC IUO as a companion diagnostic.</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Samples</w:t>
      </w:r>
    </w:p>
    <w:p>
      <w:pPr>
        <w:spacing w:after="0" w:line="124"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4"/>
          <w:szCs w:val="14"/>
          <w:color w:val="auto"/>
        </w:rPr>
        <w:t>The samples will be shipped from clinical sites to [***] in accordance with the diagnostic study protocol. [***] will analyze the samples using the Ventana FGF19 IHC IUO Assay on the Ventana Benchmark platform in accordance with the protocol provided by Ventana.</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Activities Description and Pass Through Costs</w:t>
      </w:r>
    </w:p>
    <w:p>
      <w:pPr>
        <w:spacing w:after="0" w:line="124" w:lineRule="exact"/>
        <w:rPr>
          <w:sz w:val="20"/>
          <w:szCs w:val="20"/>
          <w:color w:val="auto"/>
        </w:rPr>
      </w:pPr>
    </w:p>
    <w:p>
      <w:pPr>
        <w:ind w:left="20" w:right="80"/>
        <w:spacing w:after="0" w:line="252" w:lineRule="auto"/>
        <w:rPr>
          <w:sz w:val="20"/>
          <w:szCs w:val="20"/>
          <w:color w:val="auto"/>
        </w:rPr>
      </w:pPr>
      <w:r>
        <w:rPr>
          <w:rFonts w:ascii="Times New Roman" w:cs="Times New Roman" w:eastAsia="Times New Roman" w:hAnsi="Times New Roman"/>
          <w:sz w:val="14"/>
          <w:szCs w:val="14"/>
          <w:color w:val="auto"/>
        </w:rPr>
        <w:t>The Parties hereby agree that Ventana and [***] will perform the activities as set forth below, and any activities to be performed by Ventana will be performed by Ventana Clinical Affairs based in Tucson, AZ.</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300" w:type="dxa"/>
            <w:vAlign w:val="bottom"/>
            <w:tcBorders>
              <w:top w:val="single" w:sz="8" w:color="auto"/>
              <w:left w:val="single" w:sz="8" w:color="auto"/>
            </w:tcBorders>
            <w:shd w:val="clear" w:color="auto" w:fill="BFBFBF"/>
          </w:tcPr>
          <w:p>
            <w:pPr>
              <w:spacing w:after="0"/>
              <w:rPr>
                <w:sz w:val="11"/>
                <w:szCs w:val="11"/>
                <w:color w:val="auto"/>
              </w:rPr>
            </w:pPr>
          </w:p>
        </w:tc>
        <w:tc>
          <w:tcPr>
            <w:tcW w:w="6400" w:type="dxa"/>
            <w:vAlign w:val="bottom"/>
            <w:tcBorders>
              <w:top w:val="single" w:sz="8" w:color="auto"/>
              <w:right w:val="single" w:sz="8" w:color="auto"/>
            </w:tcBorders>
            <w:shd w:val="clear" w:color="auto" w:fill="BFBFBF"/>
          </w:tcPr>
          <w:p>
            <w:pPr>
              <w:ind w:left="2800"/>
              <w:spacing w:after="0" w:line="131" w:lineRule="exact"/>
              <w:rPr>
                <w:sz w:val="20"/>
                <w:szCs w:val="20"/>
                <w:color w:val="auto"/>
              </w:rPr>
            </w:pPr>
            <w:r>
              <w:rPr>
                <w:rFonts w:ascii="Times New Roman" w:cs="Times New Roman" w:eastAsia="Times New Roman" w:hAnsi="Times New Roman"/>
                <w:sz w:val="14"/>
                <w:szCs w:val="14"/>
                <w:b w:val="1"/>
                <w:bCs w:val="1"/>
                <w:color w:val="auto"/>
              </w:rPr>
              <w:t>Activity</w:t>
            </w:r>
          </w:p>
        </w:tc>
        <w:tc>
          <w:tcPr>
            <w:tcW w:w="1840" w:type="dxa"/>
            <w:vAlign w:val="bottom"/>
            <w:tcBorders>
              <w:top w:val="single" w:sz="8" w:color="auto"/>
              <w:right w:val="single" w:sz="8" w:color="auto"/>
            </w:tcBorders>
            <w:shd w:val="clear" w:color="auto" w:fill="BFBFB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Pass Through</w:t>
            </w:r>
          </w:p>
        </w:tc>
        <w:tc>
          <w:tcPr>
            <w:tcW w:w="760" w:type="dxa"/>
            <w:vAlign w:val="bottom"/>
            <w:tcBorders>
              <w:top w:val="single" w:sz="8" w:color="auto"/>
              <w:right w:val="single" w:sz="8" w:color="auto"/>
            </w:tcBorders>
            <w:shd w:val="clear" w:color="auto" w:fill="BFBFB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Units</w:t>
            </w:r>
          </w:p>
        </w:tc>
        <w:tc>
          <w:tcPr>
            <w:tcW w:w="1160" w:type="dxa"/>
            <w:vAlign w:val="bottom"/>
            <w:tcBorders>
              <w:top w:val="single" w:sz="8" w:color="auto"/>
              <w:right w:val="single" w:sz="8" w:color="auto"/>
            </w:tcBorders>
            <w:shd w:val="clear" w:color="auto" w:fill="BFBFBF"/>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300" w:type="dxa"/>
            <w:vAlign w:val="bottom"/>
            <w:tcBorders>
              <w:left w:val="single" w:sz="8" w:color="auto"/>
              <w:bottom w:val="single" w:sz="8" w:color="auto"/>
            </w:tcBorders>
            <w:shd w:val="clear" w:color="auto" w:fill="BFBFBF"/>
          </w:tcPr>
          <w:p>
            <w:pPr>
              <w:spacing w:after="0"/>
              <w:rPr>
                <w:sz w:val="14"/>
                <w:szCs w:val="14"/>
                <w:color w:val="auto"/>
              </w:rPr>
            </w:pPr>
          </w:p>
        </w:tc>
        <w:tc>
          <w:tcPr>
            <w:tcW w:w="6400" w:type="dxa"/>
            <w:vAlign w:val="bottom"/>
            <w:tcBorders>
              <w:bottom w:val="single" w:sz="8" w:color="auto"/>
              <w:right w:val="single" w:sz="8" w:color="auto"/>
            </w:tcBorders>
            <w:shd w:val="clear" w:color="auto" w:fill="BFBFBF"/>
          </w:tcPr>
          <w:p>
            <w:pPr>
              <w:spacing w:after="0"/>
              <w:rPr>
                <w:sz w:val="14"/>
                <w:szCs w:val="14"/>
                <w:color w:val="auto"/>
              </w:rPr>
            </w:pPr>
          </w:p>
        </w:tc>
        <w:tc>
          <w:tcPr>
            <w:tcW w:w="18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Cost (US$)</w:t>
            </w:r>
          </w:p>
        </w:tc>
        <w:tc>
          <w:tcPr>
            <w:tcW w:w="760" w:type="dxa"/>
            <w:vAlign w:val="bottom"/>
            <w:tcBorders>
              <w:bottom w:val="single" w:sz="8" w:color="auto"/>
              <w:right w:val="single" w:sz="8" w:color="auto"/>
            </w:tcBorders>
            <w:shd w:val="clear" w:color="auto" w:fill="BFBFBF"/>
          </w:tcPr>
          <w:p>
            <w:pPr>
              <w:spacing w:after="0"/>
              <w:rPr>
                <w:sz w:val="14"/>
                <w:szCs w:val="14"/>
                <w:color w:val="auto"/>
              </w:rPr>
            </w:pPr>
          </w:p>
        </w:tc>
        <w:tc>
          <w:tcPr>
            <w:tcW w:w="1160" w:type="dxa"/>
            <w:vAlign w:val="bottom"/>
            <w:tcBorders>
              <w:bottom w:val="single" w:sz="8" w:color="auto"/>
              <w:right w:val="single" w:sz="8" w:color="auto"/>
            </w:tcBorders>
            <w:shd w:val="clear" w:color="auto" w:fill="BFBFBF"/>
          </w:tcPr>
          <w:p>
            <w:pPr>
              <w:spacing w:after="0"/>
              <w:rPr>
                <w:sz w:val="14"/>
                <w:szCs w:val="14"/>
                <w:color w:val="auto"/>
              </w:rPr>
            </w:pPr>
          </w:p>
        </w:tc>
      </w:tr>
      <w:tr>
        <w:trPr>
          <w:trHeight w:val="111"/>
        </w:trPr>
        <w:tc>
          <w:tcPr>
            <w:tcW w:w="300" w:type="dxa"/>
            <w:vAlign w:val="bottom"/>
            <w:tcBorders>
              <w:left w:val="single" w:sz="8" w:color="auto"/>
            </w:tcBorders>
          </w:tcPr>
          <w:p>
            <w:pPr>
              <w:jc w:val="right"/>
              <w:ind w:right="11"/>
              <w:spacing w:after="0" w:line="111" w:lineRule="exact"/>
              <w:rPr>
                <w:sz w:val="20"/>
                <w:szCs w:val="20"/>
                <w:color w:val="auto"/>
              </w:rPr>
            </w:pPr>
            <w:r>
              <w:rPr>
                <w:rFonts w:ascii="Times New Roman" w:cs="Times New Roman" w:eastAsia="Times New Roman" w:hAnsi="Times New Roman"/>
                <w:sz w:val="12"/>
                <w:szCs w:val="12"/>
                <w:color w:val="auto"/>
              </w:rPr>
              <w:t>1.</w:t>
            </w:r>
          </w:p>
        </w:tc>
        <w:tc>
          <w:tcPr>
            <w:tcW w:w="6400" w:type="dxa"/>
            <w:vAlign w:val="bottom"/>
            <w:tcBorders>
              <w:right w:val="single" w:sz="8" w:color="auto"/>
            </w:tcBorders>
          </w:tcPr>
          <w:p>
            <w:pPr>
              <w:ind w:left="80"/>
              <w:spacing w:after="0" w:line="111" w:lineRule="exact"/>
              <w:rPr>
                <w:sz w:val="20"/>
                <w:szCs w:val="20"/>
                <w:color w:val="auto"/>
              </w:rPr>
            </w:pPr>
            <w:r>
              <w:rPr>
                <w:rFonts w:ascii="Times New Roman" w:cs="Times New Roman" w:eastAsia="Times New Roman" w:hAnsi="Times New Roman"/>
                <w:sz w:val="12"/>
                <w:szCs w:val="12"/>
                <w:color w:val="auto"/>
              </w:rPr>
              <w:t>One-time fees at site including [***] fees for site training, study setup, database, and collection site set-up</w:t>
            </w:r>
          </w:p>
        </w:tc>
        <w:tc>
          <w:tcPr>
            <w:tcW w:w="1840" w:type="dxa"/>
            <w:vAlign w:val="bottom"/>
            <w:tcBorders>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right w:val="single" w:sz="8" w:color="auto"/>
            </w:tcBorders>
          </w:tcPr>
          <w:p>
            <w:pPr>
              <w:ind w:left="220"/>
              <w:spacing w:after="0" w:line="111"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right w:val="single" w:sz="8" w:color="auto"/>
            </w:tcBorders>
          </w:tcPr>
          <w:p>
            <w:pPr>
              <w:ind w:left="420"/>
              <w:spacing w:after="0" w:line="111" w:lineRule="exact"/>
              <w:rPr>
                <w:sz w:val="20"/>
                <w:szCs w:val="20"/>
                <w:color w:val="auto"/>
              </w:rPr>
            </w:pPr>
            <w:r>
              <w:rPr>
                <w:rFonts w:ascii="Times New Roman" w:cs="Times New Roman" w:eastAsia="Times New Roman" w:hAnsi="Times New Roman"/>
                <w:sz w:val="12"/>
                <w:szCs w:val="12"/>
                <w:color w:val="auto"/>
              </w:rPr>
              <w:t>[***]</w:t>
            </w:r>
          </w:p>
        </w:tc>
      </w:tr>
      <w:tr>
        <w:trPr>
          <w:trHeight w:val="163"/>
        </w:trPr>
        <w:tc>
          <w:tcPr>
            <w:tcW w:w="300" w:type="dxa"/>
            <w:vAlign w:val="bottom"/>
            <w:tcBorders>
              <w:left w:val="single" w:sz="8" w:color="auto"/>
              <w:bottom w:val="single" w:sz="8" w:color="auto"/>
            </w:tcBorders>
          </w:tcPr>
          <w:p>
            <w:pPr>
              <w:spacing w:after="0"/>
              <w:rPr>
                <w:sz w:val="14"/>
                <w:szCs w:val="14"/>
                <w:color w:val="auto"/>
              </w:rPr>
            </w:pP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fee</w:t>
            </w:r>
          </w:p>
        </w:tc>
        <w:tc>
          <w:tcPr>
            <w:tcW w:w="18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32"/>
        </w:trPr>
        <w:tc>
          <w:tcPr>
            <w:tcW w:w="300" w:type="dxa"/>
            <w:vAlign w:val="bottom"/>
            <w:tcBorders>
              <w:left w:val="single" w:sz="8" w:color="auto"/>
              <w:bottom w:val="single" w:sz="8" w:color="auto"/>
            </w:tcBorders>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2.</w:t>
            </w:r>
          </w:p>
        </w:tc>
        <w:tc>
          <w:tcPr>
            <w:tcW w:w="640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Individual per test site fees including site and Ventana fees</w:t>
            </w:r>
          </w:p>
        </w:tc>
        <w:tc>
          <w:tcPr>
            <w:tcW w:w="1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c>
          <w:tcPr>
            <w:tcW w:w="760" w:type="dxa"/>
            <w:vAlign w:val="bottom"/>
            <w:tcBorders>
              <w:bottom w:val="single" w:sz="8" w:color="auto"/>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11"/>
        </w:trPr>
        <w:tc>
          <w:tcPr>
            <w:tcW w:w="300" w:type="dxa"/>
            <w:vAlign w:val="bottom"/>
            <w:tcBorders>
              <w:left w:val="single" w:sz="8" w:color="auto"/>
            </w:tcBorders>
          </w:tcPr>
          <w:p>
            <w:pPr>
              <w:jc w:val="right"/>
              <w:ind w:right="11"/>
              <w:spacing w:after="0" w:line="111" w:lineRule="exact"/>
              <w:rPr>
                <w:sz w:val="20"/>
                <w:szCs w:val="20"/>
                <w:color w:val="auto"/>
              </w:rPr>
            </w:pPr>
            <w:r>
              <w:rPr>
                <w:rFonts w:ascii="Times New Roman" w:cs="Times New Roman" w:eastAsia="Times New Roman" w:hAnsi="Times New Roman"/>
                <w:sz w:val="12"/>
                <w:szCs w:val="12"/>
                <w:color w:val="auto"/>
              </w:rPr>
              <w:t>3.</w:t>
            </w:r>
          </w:p>
        </w:tc>
        <w:tc>
          <w:tcPr>
            <w:tcW w:w="6400" w:type="dxa"/>
            <w:vAlign w:val="bottom"/>
            <w:tcBorders>
              <w:right w:val="single" w:sz="8" w:color="auto"/>
            </w:tcBorders>
          </w:tcPr>
          <w:p>
            <w:pPr>
              <w:ind w:left="80"/>
              <w:spacing w:after="0" w:line="111" w:lineRule="exact"/>
              <w:rPr>
                <w:sz w:val="20"/>
                <w:szCs w:val="20"/>
                <w:color w:val="auto"/>
              </w:rPr>
            </w:pPr>
            <w:r>
              <w:rPr>
                <w:rFonts w:ascii="Times New Roman" w:cs="Times New Roman" w:eastAsia="Times New Roman" w:hAnsi="Times New Roman"/>
                <w:sz w:val="12"/>
                <w:szCs w:val="12"/>
                <w:color w:val="auto"/>
              </w:rPr>
              <w:t>Ongoing Fees: database amendments, data transfers, collection kit handling fees, monitoring and FDA</w:t>
            </w:r>
          </w:p>
        </w:tc>
        <w:tc>
          <w:tcPr>
            <w:tcW w:w="1840" w:type="dxa"/>
            <w:vAlign w:val="bottom"/>
            <w:tcBorders>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right w:val="single" w:sz="8" w:color="auto"/>
            </w:tcBorders>
          </w:tcPr>
          <w:p>
            <w:pPr>
              <w:ind w:left="220"/>
              <w:spacing w:after="0" w:line="111"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right w:val="single" w:sz="8" w:color="auto"/>
            </w:tcBorders>
          </w:tcPr>
          <w:p>
            <w:pPr>
              <w:ind w:left="420"/>
              <w:spacing w:after="0" w:line="111" w:lineRule="exact"/>
              <w:rPr>
                <w:sz w:val="20"/>
                <w:szCs w:val="20"/>
                <w:color w:val="auto"/>
              </w:rPr>
            </w:pPr>
            <w:r>
              <w:rPr>
                <w:rFonts w:ascii="Times New Roman" w:cs="Times New Roman" w:eastAsia="Times New Roman" w:hAnsi="Times New Roman"/>
                <w:sz w:val="12"/>
                <w:szCs w:val="12"/>
                <w:color w:val="auto"/>
              </w:rPr>
              <w:t>[***]</w:t>
            </w:r>
          </w:p>
        </w:tc>
      </w:tr>
      <w:tr>
        <w:trPr>
          <w:trHeight w:val="163"/>
        </w:trPr>
        <w:tc>
          <w:tcPr>
            <w:tcW w:w="300" w:type="dxa"/>
            <w:vAlign w:val="bottom"/>
            <w:tcBorders>
              <w:left w:val="single" w:sz="8" w:color="auto"/>
              <w:bottom w:val="single" w:sz="8" w:color="auto"/>
            </w:tcBorders>
          </w:tcPr>
          <w:p>
            <w:pPr>
              <w:spacing w:after="0"/>
              <w:rPr>
                <w:sz w:val="14"/>
                <w:szCs w:val="14"/>
                <w:color w:val="auto"/>
              </w:rPr>
            </w:pP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audit</w:t>
            </w:r>
          </w:p>
        </w:tc>
        <w:tc>
          <w:tcPr>
            <w:tcW w:w="18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r>
      <w:tr>
        <w:trPr>
          <w:trHeight w:val="132"/>
        </w:trPr>
        <w:tc>
          <w:tcPr>
            <w:tcW w:w="300" w:type="dxa"/>
            <w:vAlign w:val="bottom"/>
            <w:tcBorders>
              <w:left w:val="single" w:sz="8" w:color="auto"/>
              <w:bottom w:val="single" w:sz="8" w:color="auto"/>
            </w:tcBorders>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4.</w:t>
            </w:r>
          </w:p>
        </w:tc>
        <w:tc>
          <w:tcPr>
            <w:tcW w:w="640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Collection Kit Costs</w:t>
            </w:r>
          </w:p>
        </w:tc>
        <w:tc>
          <w:tcPr>
            <w:tcW w:w="1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c>
          <w:tcPr>
            <w:tcW w:w="760" w:type="dxa"/>
            <w:vAlign w:val="bottom"/>
            <w:tcBorders>
              <w:bottom w:val="single" w:sz="8" w:color="auto"/>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32"/>
        </w:trPr>
        <w:tc>
          <w:tcPr>
            <w:tcW w:w="300" w:type="dxa"/>
            <w:vAlign w:val="bottom"/>
            <w:tcBorders>
              <w:left w:val="single" w:sz="8" w:color="auto"/>
              <w:bottom w:val="single" w:sz="8" w:color="auto"/>
            </w:tcBorders>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5.</w:t>
            </w:r>
          </w:p>
        </w:tc>
        <w:tc>
          <w:tcPr>
            <w:tcW w:w="640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Outbound shipment of Kits to collection sites (US via [***])</w:t>
            </w:r>
          </w:p>
        </w:tc>
        <w:tc>
          <w:tcPr>
            <w:tcW w:w="1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c>
          <w:tcPr>
            <w:tcW w:w="760" w:type="dxa"/>
            <w:vAlign w:val="bottom"/>
            <w:tcBorders>
              <w:bottom w:val="single" w:sz="8" w:color="auto"/>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32"/>
        </w:trPr>
        <w:tc>
          <w:tcPr>
            <w:tcW w:w="300" w:type="dxa"/>
            <w:vAlign w:val="bottom"/>
            <w:tcBorders>
              <w:left w:val="single" w:sz="8" w:color="auto"/>
              <w:bottom w:val="single" w:sz="8" w:color="auto"/>
            </w:tcBorders>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6.</w:t>
            </w:r>
          </w:p>
        </w:tc>
        <w:tc>
          <w:tcPr>
            <w:tcW w:w="640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Inbound shipment of Kits from collection sites (US via [***])</w:t>
            </w:r>
          </w:p>
        </w:tc>
        <w:tc>
          <w:tcPr>
            <w:tcW w:w="1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c>
          <w:tcPr>
            <w:tcW w:w="760" w:type="dxa"/>
            <w:vAlign w:val="bottom"/>
            <w:tcBorders>
              <w:bottom w:val="single" w:sz="8" w:color="auto"/>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319"/>
        </w:trPr>
        <w:tc>
          <w:tcPr>
            <w:tcW w:w="3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0460"/>
          </w:cols>
          <w:pgMar w:left="720" w:top="112" w:right="719" w:bottom="1440" w:gutter="0" w:footer="0" w:header="0"/>
        </w:sectPr>
      </w:pPr>
    </w:p>
    <w:bookmarkStart w:id="74" w:name="page75"/>
    <w:bookmarkEnd w:id="74"/>
    <w:p>
      <w:pPr>
        <w:ind w:left="60" w:right="60" w:firstLine="261"/>
        <w:spacing w:after="0" w:line="224" w:lineRule="auto"/>
        <w:tabs>
          <w:tab w:leader="none" w:pos="669"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 PURSUANT TO RULE 24b-2 PROMULGATED 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AMENDED</w:t>
      </w: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320" w:type="dxa"/>
            <w:vAlign w:val="bottom"/>
            <w:tcBorders>
              <w:top w:val="single" w:sz="8" w:color="auto"/>
              <w:left w:val="single" w:sz="8" w:color="auto"/>
            </w:tcBorders>
            <w:shd w:val="clear" w:color="auto" w:fill="BFBFBF"/>
          </w:tcPr>
          <w:p>
            <w:pPr>
              <w:spacing w:after="0"/>
              <w:rPr>
                <w:sz w:val="11"/>
                <w:szCs w:val="11"/>
                <w:color w:val="auto"/>
              </w:rPr>
            </w:pPr>
          </w:p>
        </w:tc>
        <w:tc>
          <w:tcPr>
            <w:tcW w:w="6380" w:type="dxa"/>
            <w:vAlign w:val="bottom"/>
            <w:tcBorders>
              <w:top w:val="single" w:sz="8" w:color="auto"/>
              <w:right w:val="single" w:sz="8" w:color="auto"/>
            </w:tcBorders>
            <w:shd w:val="clear" w:color="auto" w:fill="BFBFBF"/>
          </w:tcPr>
          <w:p>
            <w:pPr>
              <w:ind w:left="2800"/>
              <w:spacing w:after="0" w:line="131" w:lineRule="exact"/>
              <w:rPr>
                <w:sz w:val="20"/>
                <w:szCs w:val="20"/>
                <w:color w:val="auto"/>
              </w:rPr>
            </w:pPr>
            <w:r>
              <w:rPr>
                <w:rFonts w:ascii="Times New Roman" w:cs="Times New Roman" w:eastAsia="Times New Roman" w:hAnsi="Times New Roman"/>
                <w:sz w:val="14"/>
                <w:szCs w:val="14"/>
                <w:b w:val="1"/>
                <w:bCs w:val="1"/>
                <w:color w:val="auto"/>
              </w:rPr>
              <w:t>Activity</w:t>
            </w:r>
          </w:p>
        </w:tc>
        <w:tc>
          <w:tcPr>
            <w:tcW w:w="1860" w:type="dxa"/>
            <w:vAlign w:val="bottom"/>
            <w:tcBorders>
              <w:top w:val="single" w:sz="8" w:color="auto"/>
              <w:right w:val="single" w:sz="8" w:color="auto"/>
            </w:tcBorders>
            <w:shd w:val="clear" w:color="auto" w:fill="BFBFB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Pass Through</w:t>
            </w:r>
          </w:p>
        </w:tc>
        <w:tc>
          <w:tcPr>
            <w:tcW w:w="740" w:type="dxa"/>
            <w:vAlign w:val="bottom"/>
            <w:tcBorders>
              <w:top w:val="single" w:sz="8" w:color="auto"/>
              <w:right w:val="single" w:sz="8" w:color="auto"/>
            </w:tcBorders>
            <w:shd w:val="clear" w:color="auto" w:fill="BFBFB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Units</w:t>
            </w:r>
          </w:p>
        </w:tc>
        <w:tc>
          <w:tcPr>
            <w:tcW w:w="1160" w:type="dxa"/>
            <w:vAlign w:val="bottom"/>
            <w:tcBorders>
              <w:top w:val="single" w:sz="8" w:color="auto"/>
              <w:right w:val="single" w:sz="8" w:color="auto"/>
            </w:tcBorders>
            <w:shd w:val="clear" w:color="auto" w:fill="BFBFBF"/>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320" w:type="dxa"/>
            <w:vAlign w:val="bottom"/>
            <w:tcBorders>
              <w:left w:val="single" w:sz="8" w:color="auto"/>
              <w:bottom w:val="single" w:sz="8" w:color="auto"/>
            </w:tcBorders>
            <w:shd w:val="clear" w:color="auto" w:fill="BFBFBF"/>
          </w:tcPr>
          <w:p>
            <w:pPr>
              <w:spacing w:after="0"/>
              <w:rPr>
                <w:sz w:val="14"/>
                <w:szCs w:val="14"/>
                <w:color w:val="auto"/>
              </w:rPr>
            </w:pPr>
          </w:p>
        </w:tc>
        <w:tc>
          <w:tcPr>
            <w:tcW w:w="6380" w:type="dxa"/>
            <w:vAlign w:val="bottom"/>
            <w:tcBorders>
              <w:bottom w:val="single" w:sz="8" w:color="auto"/>
              <w:right w:val="single" w:sz="8" w:color="auto"/>
            </w:tcBorders>
            <w:shd w:val="clear" w:color="auto" w:fill="BFBFBF"/>
          </w:tcPr>
          <w:p>
            <w:pPr>
              <w:spacing w:after="0"/>
              <w:rPr>
                <w:sz w:val="14"/>
                <w:szCs w:val="14"/>
                <w:color w:val="auto"/>
              </w:rPr>
            </w:pPr>
          </w:p>
        </w:tc>
        <w:tc>
          <w:tcPr>
            <w:tcW w:w="18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Cost (US$)</w:t>
            </w: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1160" w:type="dxa"/>
            <w:vAlign w:val="bottom"/>
            <w:tcBorders>
              <w:bottom w:val="single" w:sz="8" w:color="auto"/>
              <w:right w:val="single" w:sz="8" w:color="auto"/>
            </w:tcBorders>
            <w:shd w:val="clear" w:color="auto" w:fill="BFBFBF"/>
          </w:tcPr>
          <w:p>
            <w:pPr>
              <w:spacing w:after="0"/>
              <w:rPr>
                <w:sz w:val="14"/>
                <w:szCs w:val="14"/>
                <w:color w:val="auto"/>
              </w:rPr>
            </w:pPr>
          </w:p>
        </w:tc>
      </w:tr>
      <w:tr>
        <w:trPr>
          <w:trHeight w:val="132"/>
        </w:trPr>
        <w:tc>
          <w:tcPr>
            <w:tcW w:w="320" w:type="dxa"/>
            <w:vAlign w:val="bottom"/>
            <w:tcBorders>
              <w:left w:val="single" w:sz="8" w:color="auto"/>
              <w:bottom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7.</w:t>
            </w:r>
          </w:p>
        </w:tc>
        <w:tc>
          <w:tcPr>
            <w:tcW w:w="63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Outbound shipment of Kits to collection sites (EU and Asia-Pacific via[***])</w:t>
            </w:r>
          </w:p>
        </w:tc>
        <w:tc>
          <w:tcPr>
            <w:tcW w:w="18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tcPr>
          <w:p>
            <w:pPr>
              <w:ind w:left="2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32"/>
        </w:trPr>
        <w:tc>
          <w:tcPr>
            <w:tcW w:w="320" w:type="dxa"/>
            <w:vAlign w:val="bottom"/>
            <w:tcBorders>
              <w:left w:val="single" w:sz="8" w:color="auto"/>
              <w:bottom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8.</w:t>
            </w:r>
          </w:p>
        </w:tc>
        <w:tc>
          <w:tcPr>
            <w:tcW w:w="63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Inbound shipment of Kits from collection sites (EU via [***])</w:t>
            </w:r>
          </w:p>
        </w:tc>
        <w:tc>
          <w:tcPr>
            <w:tcW w:w="18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tcPr>
          <w:p>
            <w:pPr>
              <w:ind w:left="2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r>
      <w:tr>
        <w:trPr>
          <w:trHeight w:val="132"/>
        </w:trPr>
        <w:tc>
          <w:tcPr>
            <w:tcW w:w="320" w:type="dxa"/>
            <w:vAlign w:val="bottom"/>
            <w:tcBorders>
              <w:left w:val="single" w:sz="8" w:color="auto"/>
              <w:bottom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9.</w:t>
            </w:r>
          </w:p>
        </w:tc>
        <w:tc>
          <w:tcPr>
            <w:tcW w:w="63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Ventana fee associated with inbound/outbound shipment of Kits to/from collection sites</w:t>
            </w:r>
          </w:p>
        </w:tc>
        <w:tc>
          <w:tcPr>
            <w:tcW w:w="18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7"/>
                <w:szCs w:val="7"/>
                <w:color w:val="auto"/>
              </w:rPr>
              <w:t>1</w:t>
            </w:r>
          </w:p>
        </w:tc>
      </w:tr>
      <w:tr>
        <w:trPr>
          <w:trHeight w:val="132"/>
        </w:trPr>
        <w:tc>
          <w:tcPr>
            <w:tcW w:w="6700" w:type="dxa"/>
            <w:vAlign w:val="bottom"/>
            <w:tcBorders>
              <w:left w:val="single" w:sz="8" w:color="auto"/>
              <w:bottom w:val="single" w:sz="8" w:color="auto"/>
            </w:tcBorders>
            <w:gridSpan w:val="2"/>
          </w:tcPr>
          <w:p>
            <w:pPr>
              <w:ind w:left="120"/>
              <w:spacing w:after="0" w:line="133" w:lineRule="exact"/>
              <w:rPr>
                <w:sz w:val="20"/>
                <w:szCs w:val="20"/>
                <w:color w:val="auto"/>
              </w:rPr>
            </w:pPr>
            <w:r>
              <w:rPr>
                <w:rFonts w:ascii="Times New Roman" w:cs="Times New Roman" w:eastAsia="Times New Roman" w:hAnsi="Times New Roman"/>
                <w:sz w:val="14"/>
                <w:szCs w:val="14"/>
                <w:b w:val="1"/>
                <w:bCs w:val="1"/>
                <w:color w:val="auto"/>
              </w:rPr>
              <w:t>Total Estimated Pass Through Costs</w:t>
            </w:r>
          </w:p>
        </w:tc>
        <w:tc>
          <w:tcPr>
            <w:tcW w:w="186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r>
    </w:tbl>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Represents estimated number of units.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Final Study Deliverable (Data/Results Reporting)</w:t>
      </w:r>
    </w:p>
    <w:p>
      <w:pPr>
        <w:spacing w:after="0" w:line="124"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4"/>
          <w:szCs w:val="14"/>
          <w:color w:val="auto"/>
        </w:rPr>
        <w:t>Results of sample analyses will be provided to the clinical trial investigator for Blueprint’s ongoing Phase 1 clinical study for BLU-554 in patients with HCC (the “Phase 1 clinical study”) based on data transfer plans agreed to within the JPT and mutually agreed to by Ventana, [***] and the third party CRO conducting certain activities on Blueprint’s behalf.</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Project Timelines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first patient tested at [***] was [***], and the last patient tested is expected to be completed approximately [***].</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Assay for Clinical Study</w:t>
      </w:r>
    </w:p>
    <w:p>
      <w:pPr>
        <w:spacing w:after="0" w:line="124" w:lineRule="exact"/>
        <w:rPr>
          <w:sz w:val="20"/>
          <w:szCs w:val="20"/>
          <w:color w:val="auto"/>
        </w:rPr>
      </w:pPr>
    </w:p>
    <w:p>
      <w:pPr>
        <w:ind w:left="20" w:right="100"/>
        <w:spacing w:after="0" w:line="228" w:lineRule="auto"/>
        <w:rPr>
          <w:sz w:val="20"/>
          <w:szCs w:val="20"/>
          <w:color w:val="auto"/>
        </w:rPr>
      </w:pPr>
      <w:r>
        <w:rPr>
          <w:rFonts w:ascii="Times New Roman" w:cs="Times New Roman" w:eastAsia="Times New Roman" w:hAnsi="Times New Roman"/>
          <w:sz w:val="14"/>
          <w:szCs w:val="14"/>
          <w:color w:val="auto"/>
        </w:rPr>
        <w:t>Ventana will be responsible for manufacture of the assay components required for analysis of samples obtained from the Phase 1 clinical study. Based upon a forecast provided to Ventana by Blueprint (which forecast may be updated by Blueprint from time to time upon reasonable advance notice to Ventana), Ventana will ensure that it maintains sufficient inventories of assay reagents as necessary to complete the conduct of the Phase 1 clinical study. Ventana will transfer the FGF19 IUO assay and train staff at [***] on the performance of the assay and will monitor the performance of the assay in connection with the diagnostic clinical study.</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Project Management</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accordance with Project Schedule #1, Ventana will [***].</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Payment Terms</w:t>
      </w:r>
    </w:p>
    <w:p>
      <w:pPr>
        <w:spacing w:after="0" w:line="124" w:lineRule="exact"/>
        <w:rPr>
          <w:sz w:val="20"/>
          <w:szCs w:val="20"/>
          <w:color w:val="auto"/>
        </w:rPr>
      </w:pPr>
    </w:p>
    <w:p>
      <w:pPr>
        <w:ind w:left="20" w:right="360"/>
        <w:spacing w:after="0" w:line="252" w:lineRule="auto"/>
        <w:rPr>
          <w:sz w:val="20"/>
          <w:szCs w:val="20"/>
          <w:color w:val="auto"/>
        </w:rPr>
      </w:pPr>
      <w:r>
        <w:rPr>
          <w:rFonts w:ascii="Times New Roman" w:cs="Times New Roman" w:eastAsia="Times New Roman" w:hAnsi="Times New Roman"/>
          <w:sz w:val="14"/>
          <w:szCs w:val="14"/>
          <w:color w:val="auto"/>
        </w:rPr>
        <w:t>All pass through costs will be invoiced monthly by Ventana after completion of sample analysis. The Parties agree that Ventana will only invoice Blueprint for the actual, not estimated, pass through costs for services and/or activities performed as described herein without any markup (except as set forth in Activity #9 above).</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 invoices should contain the following information in order for them to be processed efficiently:</w:t>
      </w:r>
    </w:p>
    <w:p>
      <w:pPr>
        <w:ind w:left="800"/>
        <w:spacing w:after="0" w:line="210" w:lineRule="auto"/>
        <w:rPr>
          <w:sz w:val="20"/>
          <w:szCs w:val="20"/>
          <w:color w:val="auto"/>
        </w:rPr>
      </w:pPr>
      <w:r>
        <w:rPr>
          <w:rFonts w:ascii="Times New Roman" w:cs="Times New Roman" w:eastAsia="Times New Roman" w:hAnsi="Times New Roman"/>
          <w:sz w:val="14"/>
          <w:szCs w:val="14"/>
          <w:color w:val="auto"/>
        </w:rPr>
        <w:t>Invoice Number</w:t>
      </w:r>
    </w:p>
    <w:p>
      <w:pPr>
        <w:ind w:left="800"/>
        <w:spacing w:after="0" w:line="211" w:lineRule="auto"/>
        <w:rPr>
          <w:sz w:val="20"/>
          <w:szCs w:val="20"/>
          <w:color w:val="auto"/>
        </w:rPr>
      </w:pPr>
      <w:r>
        <w:rPr>
          <w:rFonts w:ascii="Times New Roman" w:cs="Times New Roman" w:eastAsia="Times New Roman" w:hAnsi="Times New Roman"/>
          <w:sz w:val="14"/>
          <w:szCs w:val="14"/>
          <w:color w:val="auto"/>
        </w:rPr>
        <w:t>Invoice Date</w:t>
      </w:r>
    </w:p>
    <w:p>
      <w:pPr>
        <w:ind w:left="800"/>
        <w:spacing w:after="0" w:line="211" w:lineRule="auto"/>
        <w:rPr>
          <w:sz w:val="20"/>
          <w:szCs w:val="20"/>
          <w:color w:val="auto"/>
        </w:rPr>
      </w:pPr>
      <w:r>
        <w:rPr>
          <w:rFonts w:ascii="Times New Roman" w:cs="Times New Roman" w:eastAsia="Times New Roman" w:hAnsi="Times New Roman"/>
          <w:sz w:val="14"/>
          <w:szCs w:val="14"/>
          <w:color w:val="auto"/>
        </w:rPr>
        <w:t>Reference to &lt;agreed to reference point&gt;</w:t>
      </w:r>
    </w:p>
    <w:p>
      <w:pPr>
        <w:ind w:left="800"/>
        <w:spacing w:after="0" w:line="211" w:lineRule="auto"/>
        <w:rPr>
          <w:sz w:val="20"/>
          <w:szCs w:val="20"/>
          <w:color w:val="auto"/>
        </w:rPr>
      </w:pPr>
      <w:r>
        <w:rPr>
          <w:rFonts w:ascii="Times New Roman" w:cs="Times New Roman" w:eastAsia="Times New Roman" w:hAnsi="Times New Roman"/>
          <w:sz w:val="14"/>
          <w:szCs w:val="14"/>
          <w:color w:val="auto"/>
        </w:rPr>
        <w:t>Blueprint Medicines, Purchase Order Number (PO#)</w:t>
      </w:r>
    </w:p>
    <w:p>
      <w:pPr>
        <w:ind w:left="800"/>
        <w:spacing w:after="0" w:line="211" w:lineRule="auto"/>
        <w:rPr>
          <w:sz w:val="20"/>
          <w:szCs w:val="20"/>
          <w:color w:val="auto"/>
        </w:rPr>
      </w:pPr>
      <w:r>
        <w:rPr>
          <w:rFonts w:ascii="Times New Roman" w:cs="Times New Roman" w:eastAsia="Times New Roman" w:hAnsi="Times New Roman"/>
          <w:sz w:val="14"/>
          <w:szCs w:val="14"/>
          <w:color w:val="auto"/>
        </w:rPr>
        <w:t>Blueprint Medicines, Project Number &lt;may be redundant&gt;</w:t>
      </w:r>
    </w:p>
    <w:p>
      <w:pPr>
        <w:ind w:left="800"/>
        <w:spacing w:after="0" w:line="210" w:lineRule="auto"/>
        <w:rPr>
          <w:sz w:val="20"/>
          <w:szCs w:val="20"/>
          <w:color w:val="auto"/>
        </w:rPr>
      </w:pPr>
      <w:r>
        <w:rPr>
          <w:rFonts w:ascii="Times New Roman" w:cs="Times New Roman" w:eastAsia="Times New Roman" w:hAnsi="Times New Roman"/>
          <w:sz w:val="14"/>
          <w:szCs w:val="14"/>
          <w:color w:val="auto"/>
        </w:rPr>
        <w:t>Description of Services with Itemization: Stage and milestone identifications</w:t>
      </w:r>
    </w:p>
    <w:p>
      <w:pPr>
        <w:ind w:left="800"/>
        <w:spacing w:after="0" w:line="211" w:lineRule="auto"/>
        <w:rPr>
          <w:sz w:val="20"/>
          <w:szCs w:val="20"/>
          <w:color w:val="auto"/>
        </w:rPr>
      </w:pPr>
      <w:r>
        <w:rPr>
          <w:rFonts w:ascii="Times New Roman" w:cs="Times New Roman" w:eastAsia="Times New Roman" w:hAnsi="Times New Roman"/>
          <w:sz w:val="14"/>
          <w:szCs w:val="14"/>
          <w:color w:val="auto"/>
        </w:rPr>
        <w:t>Deliverables</w:t>
      </w:r>
    </w:p>
    <w:p>
      <w:pPr>
        <w:ind w:left="800"/>
        <w:spacing w:after="0" w:line="211" w:lineRule="auto"/>
        <w:rPr>
          <w:sz w:val="20"/>
          <w:szCs w:val="20"/>
          <w:color w:val="auto"/>
        </w:rPr>
      </w:pPr>
      <w:r>
        <w:rPr>
          <w:rFonts w:ascii="Times New Roman" w:cs="Times New Roman" w:eastAsia="Times New Roman" w:hAnsi="Times New Roman"/>
          <w:sz w:val="14"/>
          <w:szCs w:val="14"/>
          <w:color w:val="auto"/>
        </w:rPr>
        <w:t>Total Amount Due</w:t>
      </w:r>
    </w:p>
    <w:p>
      <w:pPr>
        <w:ind w:left="800"/>
        <w:spacing w:after="0" w:line="211" w:lineRule="auto"/>
        <w:rPr>
          <w:sz w:val="20"/>
          <w:szCs w:val="20"/>
          <w:color w:val="auto"/>
        </w:rPr>
      </w:pPr>
      <w:r>
        <w:rPr>
          <w:rFonts w:ascii="Times New Roman" w:cs="Times New Roman" w:eastAsia="Times New Roman" w:hAnsi="Times New Roman"/>
          <w:sz w:val="14"/>
          <w:szCs w:val="14"/>
          <w:color w:val="auto"/>
        </w:rPr>
        <w:t>Payee Name and Tax ID Number</w:t>
      </w:r>
    </w:p>
    <w:p>
      <w:pPr>
        <w:ind w:left="800"/>
        <w:spacing w:after="0"/>
        <w:rPr>
          <w:sz w:val="20"/>
          <w:szCs w:val="20"/>
          <w:color w:val="auto"/>
        </w:rPr>
      </w:pPr>
      <w:r>
        <w:rPr>
          <w:rFonts w:ascii="Times New Roman" w:cs="Times New Roman" w:eastAsia="Times New Roman" w:hAnsi="Times New Roman"/>
          <w:sz w:val="14"/>
          <w:szCs w:val="14"/>
          <w:color w:val="auto"/>
        </w:rPr>
        <w:t>Payment Address</w:t>
      </w:r>
    </w:p>
    <w:p>
      <w:pPr>
        <w:spacing w:after="0" w:line="113" w:lineRule="exact"/>
        <w:rPr>
          <w:sz w:val="20"/>
          <w:szCs w:val="20"/>
          <w:color w:val="auto"/>
        </w:rPr>
      </w:pPr>
    </w:p>
    <w:p>
      <w:pPr>
        <w:ind w:left="120" w:hanging="108"/>
        <w:spacing w:after="0"/>
        <w:tabs>
          <w:tab w:leader="none" w:pos="120"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Fee is equal to [***] and for purposes of estimated pass through costs is based on [***] for inbound/outbound shipment of Kits to/from collection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1537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3795"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Ventana and Blueprint Medicines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0"/>
        </w:trPr>
        <w:tc>
          <w:tcPr>
            <w:tcW w:w="74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ectPr>
          <w:pgSz w:w="11900" w:h="16838" w:orient="portrait"/>
          <w:cols w:equalWidth="0" w:num="1">
            <w:col w:w="10460"/>
          </w:cols>
          <w:pgMar w:left="720" w:top="112" w:right="719" w:bottom="1440" w:gutter="0" w:footer="0" w:header="0"/>
        </w:sectPr>
      </w:pPr>
    </w:p>
    <w:bookmarkStart w:id="75" w:name="page76"/>
    <w:bookmarkEnd w:id="75"/>
    <w:p>
      <w:pPr>
        <w:ind w:left="60" w:right="60" w:firstLine="261"/>
        <w:spacing w:after="0" w:line="224" w:lineRule="auto"/>
        <w:tabs>
          <w:tab w:leader="none" w:pos="669"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 PURSUANT TO RULE 24b-2 PROMULGATED 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AMENDED</w:t>
      </w: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Name of requisitioner</w:t>
      </w:r>
    </w:p>
    <w:p>
      <w:pPr>
        <w:ind w:left="800"/>
        <w:spacing w:after="0"/>
        <w:rPr>
          <w:sz w:val="20"/>
          <w:szCs w:val="20"/>
          <w:color w:val="auto"/>
        </w:rPr>
      </w:pPr>
      <w:r>
        <w:rPr>
          <w:rFonts w:ascii="Times New Roman" w:cs="Times New Roman" w:eastAsia="Times New Roman" w:hAnsi="Times New Roman"/>
          <w:sz w:val="14"/>
          <w:szCs w:val="14"/>
          <w:color w:val="auto"/>
        </w:rPr>
        <w:t>Contact person for any invoice questions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Additionally, invoices shall be submitted to Blueprint at the following email address: [***]</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Blueprint shall pay invoices for any undisputed amounts within [***] days of receipt of the invoice.</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 invoices will be paid by Blueprint as follows: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Credit DDA Name:</w:t>
            </w:r>
          </w:p>
        </w:tc>
        <w:tc>
          <w:tcPr>
            <w:tcW w:w="33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Ventana Medical Systems, Inc.</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Tax Payer ID#:</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Address:</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Credit Bank:</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Credit Bank address</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Credit ABA:</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Credit: DDA</w:t>
            </w:r>
          </w:p>
        </w:tc>
        <w:tc>
          <w:tcPr>
            <w:tcW w:w="3340" w:type="dxa"/>
            <w:vAlign w:val="bottom"/>
          </w:tcPr>
          <w:p>
            <w:pPr>
              <w:ind w:left="15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Citi SWIFT Code:</w:t>
            </w:r>
          </w:p>
        </w:tc>
        <w:tc>
          <w:tcPr>
            <w:tcW w:w="33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-787400</wp:posOffset>
            </wp:positionV>
            <wp:extent cx="6630670" cy="780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30670" cy="78041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Additional Pass Through Expenses</w:t>
      </w:r>
    </w:p>
    <w:p>
      <w:pPr>
        <w:spacing w:after="0" w:line="124" w:lineRule="exact"/>
        <w:rPr>
          <w:sz w:val="20"/>
          <w:szCs w:val="20"/>
          <w:color w:val="auto"/>
        </w:rPr>
      </w:pPr>
    </w:p>
    <w:p>
      <w:pPr>
        <w:ind w:left="20" w:right="140"/>
        <w:spacing w:after="0" w:line="252" w:lineRule="auto"/>
        <w:rPr>
          <w:sz w:val="20"/>
          <w:szCs w:val="20"/>
          <w:color w:val="auto"/>
        </w:rPr>
      </w:pPr>
      <w:r>
        <w:rPr>
          <w:rFonts w:ascii="Times New Roman" w:cs="Times New Roman" w:eastAsia="Times New Roman" w:hAnsi="Times New Roman"/>
          <w:sz w:val="14"/>
          <w:szCs w:val="14"/>
          <w:color w:val="auto"/>
        </w:rPr>
        <w:t>Any unforeseen project related expenses incurred by Ventana pursuant to this Amendment will be discussed in good faith by the Parties and agreed to prior to Ventana submitting to Blueprint invoices due for reimbursement.</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Roles and Responsibilities: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 purposes of the activities set forth in this Amendment #1, the Parties initial representatives will be:</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720" w:type="dxa"/>
            <w:vAlign w:val="bottom"/>
            <w:tcBorders>
              <w:top w:val="single" w:sz="8" w:color="auto"/>
              <w:left w:val="single" w:sz="8" w:color="auto"/>
              <w:right w:val="single" w:sz="8" w:color="auto"/>
            </w:tcBorders>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tcBorders>
              <w:top w:val="single" w:sz="8" w:color="auto"/>
              <w:right w:val="single" w:sz="8" w:color="auto"/>
            </w:tcBorders>
          </w:tcPr>
          <w:p>
            <w:pPr>
              <w:ind w:left="1580"/>
              <w:spacing w:after="0" w:line="131" w:lineRule="exact"/>
              <w:rPr>
                <w:sz w:val="20"/>
                <w:szCs w:val="20"/>
                <w:color w:val="auto"/>
              </w:rPr>
            </w:pPr>
            <w:r>
              <w:rPr>
                <w:rFonts w:ascii="Times New Roman" w:cs="Times New Roman" w:eastAsia="Times New Roman" w:hAnsi="Times New Roman"/>
                <w:sz w:val="14"/>
                <w:szCs w:val="14"/>
                <w:b w:val="1"/>
                <w:bCs w:val="1"/>
                <w:color w:val="auto"/>
              </w:rPr>
              <w:t>Title</w:t>
            </w:r>
          </w:p>
        </w:tc>
        <w:tc>
          <w:tcPr>
            <w:tcW w:w="72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Phone</w:t>
            </w:r>
          </w:p>
        </w:tc>
        <w:tc>
          <w:tcPr>
            <w:tcW w:w="4140" w:type="dxa"/>
            <w:vAlign w:val="bottom"/>
            <w:tcBorders>
              <w:top w:val="single" w:sz="8" w:color="auto"/>
              <w:right w:val="single" w:sz="8" w:color="auto"/>
            </w:tcBorders>
          </w:tcPr>
          <w:p>
            <w:pPr>
              <w:ind w:left="1800"/>
              <w:spacing w:after="0" w:line="131" w:lineRule="exact"/>
              <w:rPr>
                <w:sz w:val="20"/>
                <w:szCs w:val="20"/>
                <w:color w:val="auto"/>
              </w:rPr>
            </w:pPr>
            <w:r>
              <w:rPr>
                <w:rFonts w:ascii="Times New Roman" w:cs="Times New Roman" w:eastAsia="Times New Roman" w:hAnsi="Times New Roman"/>
                <w:sz w:val="14"/>
                <w:szCs w:val="14"/>
                <w:b w:val="1"/>
                <w:bCs w:val="1"/>
                <w:color w:val="auto"/>
              </w:rPr>
              <w:t>Address</w:t>
            </w:r>
          </w:p>
        </w:tc>
        <w:tc>
          <w:tcPr>
            <w:tcW w:w="140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Email</w:t>
            </w:r>
          </w:p>
        </w:tc>
      </w:tr>
      <w:tr>
        <w:trPr>
          <w:trHeight w:val="163"/>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w:t>
            </w:r>
          </w:p>
        </w:tc>
      </w:tr>
      <w:tr>
        <w:trPr>
          <w:trHeight w:val="132"/>
        </w:trPr>
        <w:tc>
          <w:tcPr>
            <w:tcW w:w="720" w:type="dxa"/>
            <w:vAlign w:val="bottom"/>
            <w:tcBorders>
              <w:left w:val="single" w:sz="8" w:color="auto"/>
              <w:bottom w:val="single" w:sz="8" w:color="auto"/>
              <w:right w:val="single" w:sz="8" w:color="auto"/>
            </w:tcBorders>
          </w:tcPr>
          <w:p>
            <w:pPr>
              <w:jc w:val="right"/>
              <w:ind w:right="208"/>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Project Leader</w:t>
            </w:r>
          </w:p>
        </w:tc>
        <w:tc>
          <w:tcPr>
            <w:tcW w:w="7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414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1910 E. Innovation Park Dr., Tucson, AZ 85755</w:t>
            </w:r>
          </w:p>
        </w:tc>
        <w:tc>
          <w:tcPr>
            <w:tcW w:w="14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r>
      <w:tr>
        <w:trPr>
          <w:trHeight w:val="132"/>
        </w:trPr>
        <w:tc>
          <w:tcPr>
            <w:tcW w:w="720" w:type="dxa"/>
            <w:vAlign w:val="bottom"/>
            <w:tcBorders>
              <w:left w:val="single" w:sz="8" w:color="auto"/>
              <w:bottom w:val="single" w:sz="8" w:color="auto"/>
              <w:right w:val="single" w:sz="8" w:color="auto"/>
            </w:tcBorders>
          </w:tcPr>
          <w:p>
            <w:pPr>
              <w:jc w:val="right"/>
              <w:ind w:right="208"/>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Director Pharma Partnering</w:t>
            </w:r>
          </w:p>
        </w:tc>
        <w:tc>
          <w:tcPr>
            <w:tcW w:w="7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414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1910 E. Innovation Park Dr., Tucson, AZ 85755</w:t>
            </w:r>
          </w:p>
        </w:tc>
        <w:tc>
          <w:tcPr>
            <w:tcW w:w="14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r>
      <w:tr>
        <w:trPr>
          <w:trHeight w:val="132"/>
        </w:trPr>
        <w:tc>
          <w:tcPr>
            <w:tcW w:w="720" w:type="dxa"/>
            <w:vAlign w:val="bottom"/>
            <w:tcBorders>
              <w:left w:val="single" w:sz="8" w:color="auto"/>
              <w:bottom w:val="single" w:sz="8" w:color="auto"/>
              <w:right w:val="single" w:sz="8" w:color="auto"/>
            </w:tcBorders>
          </w:tcPr>
          <w:p>
            <w:pPr>
              <w:jc w:val="right"/>
              <w:ind w:right="208"/>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Associate Director, Business Development</w:t>
            </w:r>
          </w:p>
        </w:tc>
        <w:tc>
          <w:tcPr>
            <w:tcW w:w="7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414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38 Sidney Street, Suite 200, Cambridge, MA 02139</w:t>
            </w:r>
          </w:p>
        </w:tc>
        <w:tc>
          <w:tcPr>
            <w:tcW w:w="14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r>
      <w:tr>
        <w:trPr>
          <w:trHeight w:val="132"/>
        </w:trPr>
        <w:tc>
          <w:tcPr>
            <w:tcW w:w="720" w:type="dxa"/>
            <w:vAlign w:val="bottom"/>
            <w:tcBorders>
              <w:left w:val="single" w:sz="8" w:color="auto"/>
              <w:bottom w:val="single" w:sz="8" w:color="auto"/>
              <w:right w:val="single" w:sz="8" w:color="auto"/>
            </w:tcBorders>
          </w:tcPr>
          <w:p>
            <w:pPr>
              <w:jc w:val="right"/>
              <w:ind w:right="208"/>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Vice President, Translational Medicine</w:t>
            </w:r>
          </w:p>
        </w:tc>
        <w:tc>
          <w:tcPr>
            <w:tcW w:w="7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t>
            </w:r>
          </w:p>
        </w:tc>
        <w:tc>
          <w:tcPr>
            <w:tcW w:w="4140" w:type="dxa"/>
            <w:vAlign w:val="bottom"/>
            <w:tcBorders>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38 Sidney Street, Suite 200, Cambridge, MA 02139</w:t>
            </w:r>
          </w:p>
        </w:tc>
        <w:tc>
          <w:tcPr>
            <w:tcW w:w="14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w:t>
            </w:r>
          </w:p>
        </w:tc>
      </w:tr>
    </w:tbl>
    <w:p>
      <w:pPr>
        <w:spacing w:after="0" w:line="116" w:lineRule="exact"/>
        <w:rPr>
          <w:sz w:val="20"/>
          <w:szCs w:val="20"/>
          <w:color w:val="auto"/>
        </w:rPr>
      </w:pPr>
    </w:p>
    <w:p>
      <w:pPr>
        <w:ind w:left="20" w:right="280"/>
        <w:spacing w:after="0" w:line="252" w:lineRule="auto"/>
        <w:rPr>
          <w:sz w:val="20"/>
          <w:szCs w:val="20"/>
          <w:color w:val="auto"/>
        </w:rPr>
      </w:pPr>
      <w:r>
        <w:rPr>
          <w:rFonts w:ascii="Times New Roman" w:cs="Times New Roman" w:eastAsia="Times New Roman" w:hAnsi="Times New Roman"/>
          <w:sz w:val="14"/>
          <w:szCs w:val="14"/>
          <w:color w:val="auto"/>
        </w:rPr>
        <w:t>Each Party shall provide notice to the other Party of any change in its representatives, which such notice shall be in writing within the JPT minutes and delivered in accordance with the terms of the Collaboration Agreement.</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24" w:lineRule="exact"/>
        <w:rPr>
          <w:sz w:val="20"/>
          <w:szCs w:val="20"/>
          <w:color w:val="auto"/>
        </w:rPr>
      </w:pPr>
    </w:p>
    <w:p>
      <w:pPr>
        <w:ind w:left="20" w:right="180"/>
        <w:spacing w:after="0" w:line="252" w:lineRule="auto"/>
        <w:rPr>
          <w:sz w:val="20"/>
          <w:szCs w:val="20"/>
          <w:color w:val="auto"/>
        </w:rPr>
      </w:pPr>
      <w:r>
        <w:rPr>
          <w:rFonts w:ascii="Times New Roman" w:cs="Times New Roman" w:eastAsia="Times New Roman" w:hAnsi="Times New Roman"/>
          <w:sz w:val="14"/>
          <w:szCs w:val="14"/>
          <w:color w:val="auto"/>
        </w:rPr>
        <w:t>This Amendment contains the entire agreement between the Parties concerning the subject matter hereof and supersedes all prior agreements, written or oral, between the parties relating to the subject matter of this Amendment #1.</w:t>
      </w:r>
    </w:p>
    <w:p>
      <w:pPr>
        <w:spacing w:after="0" w:line="86" w:lineRule="exact"/>
        <w:rPr>
          <w:sz w:val="20"/>
          <w:szCs w:val="20"/>
          <w:color w:val="auto"/>
        </w:rPr>
      </w:pPr>
    </w:p>
    <w:p>
      <w:pPr>
        <w:ind w:left="20" w:right="40"/>
        <w:spacing w:after="0" w:line="228" w:lineRule="auto"/>
        <w:rPr>
          <w:sz w:val="20"/>
          <w:szCs w:val="20"/>
          <w:color w:val="auto"/>
        </w:rPr>
      </w:pPr>
      <w:r>
        <w:rPr>
          <w:rFonts w:ascii="Times New Roman" w:cs="Times New Roman" w:eastAsia="Times New Roman" w:hAnsi="Times New Roman"/>
          <w:sz w:val="14"/>
          <w:szCs w:val="14"/>
          <w:color w:val="auto"/>
        </w:rPr>
        <w:t>Except as expressly modified by this Amendment #1, the Collaboration Agreement, Project Schedule #1 and any other Project Schedule previously entered into by the Parties shall remain in full force and effect in accordance with their respective terms, without any waiver, amendment or modification thereof. Upon the effectiveness of this Amendment #1, all references to “this Project Schedule,” “hereunder,” “hereof,” “herein” or words of like import in Project Schedule #1 shall mean Project Schedule #1, as amended by this Amendment #1.</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headings and subheadings used in this Amendment #1 are used for convenience only and are not to be considered in construing or interpreting this Amendment #1.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Ventana and Blueprint Medicines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0"/>
        </w:trPr>
        <w:tc>
          <w:tcPr>
            <w:tcW w:w="74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ectPr>
          <w:pgSz w:w="11900" w:h="16838" w:orient="portrait"/>
          <w:cols w:equalWidth="0" w:num="1">
            <w:col w:w="10460"/>
          </w:cols>
          <w:pgMar w:left="720" w:top="112" w:right="719" w:bottom="1440" w:gutter="0" w:footer="0" w:header="0"/>
        </w:sectPr>
      </w:pPr>
    </w:p>
    <w:bookmarkStart w:id="76" w:name="page77"/>
    <w:bookmarkEnd w:id="76"/>
    <w:p>
      <w:pPr>
        <w:ind w:left="60" w:right="60" w:firstLine="261"/>
        <w:spacing w:after="0" w:line="224" w:lineRule="auto"/>
        <w:tabs>
          <w:tab w:leader="none" w:pos="669"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 PURSUANT TO RULE 24b-2 PROMULGATED 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AMENDED</w:t>
      </w:r>
    </w:p>
    <w:p>
      <w:pPr>
        <w:spacing w:after="0" w:line="258" w:lineRule="exact"/>
        <w:rPr>
          <w:sz w:val="20"/>
          <w:szCs w:val="20"/>
          <w:color w:val="auto"/>
        </w:rPr>
      </w:pPr>
    </w:p>
    <w:p>
      <w:pPr>
        <w:ind w:left="20" w:right="400"/>
        <w:spacing w:after="0" w:line="252" w:lineRule="auto"/>
        <w:rPr>
          <w:sz w:val="20"/>
          <w:szCs w:val="20"/>
          <w:color w:val="auto"/>
        </w:rPr>
      </w:pPr>
      <w:r>
        <w:rPr>
          <w:rFonts w:ascii="Times New Roman" w:cs="Times New Roman" w:eastAsia="Times New Roman" w:hAnsi="Times New Roman"/>
          <w:sz w:val="14"/>
          <w:szCs w:val="14"/>
          <w:color w:val="auto"/>
        </w:rPr>
        <w:t>The invalidity or unenforceability of any provision of this Agreement shall not affect the validity or enforceability of any other provision which shall remain in full force and effect.</w:t>
      </w:r>
    </w:p>
    <w:p>
      <w:pPr>
        <w:spacing w:after="0" w:line="86" w:lineRule="exact"/>
        <w:rPr>
          <w:sz w:val="20"/>
          <w:szCs w:val="20"/>
          <w:color w:val="auto"/>
        </w:rPr>
      </w:pPr>
    </w:p>
    <w:p>
      <w:pPr>
        <w:ind w:left="20" w:right="340"/>
        <w:spacing w:after="0" w:line="252" w:lineRule="auto"/>
        <w:rPr>
          <w:sz w:val="20"/>
          <w:szCs w:val="20"/>
          <w:color w:val="auto"/>
        </w:rPr>
      </w:pPr>
      <w:r>
        <w:rPr>
          <w:rFonts w:ascii="Times New Roman" w:cs="Times New Roman" w:eastAsia="Times New Roman" w:hAnsi="Times New Roman"/>
          <w:sz w:val="14"/>
          <w:szCs w:val="14"/>
          <w:color w:val="auto"/>
        </w:rPr>
        <w:t>This Amendment #1 shall be construed and interpreted in accordance with the internal laws of the State of Delaware, without giving effect to the principles of conflicts of law thereof.</w:t>
      </w:r>
    </w:p>
    <w:p>
      <w:pPr>
        <w:spacing w:after="0" w:line="86" w:lineRule="exact"/>
        <w:rPr>
          <w:sz w:val="20"/>
          <w:szCs w:val="20"/>
          <w:color w:val="auto"/>
        </w:rPr>
      </w:pPr>
    </w:p>
    <w:p>
      <w:pPr>
        <w:ind w:left="20" w:right="340"/>
        <w:spacing w:after="0" w:line="234" w:lineRule="auto"/>
        <w:rPr>
          <w:sz w:val="20"/>
          <w:szCs w:val="20"/>
          <w:color w:val="auto"/>
        </w:rPr>
      </w:pPr>
      <w:r>
        <w:rPr>
          <w:rFonts w:ascii="Times New Roman" w:cs="Times New Roman" w:eastAsia="Times New Roman" w:hAnsi="Times New Roman"/>
          <w:sz w:val="14"/>
          <w:szCs w:val="14"/>
          <w:color w:val="auto"/>
        </w:rPr>
        <w:t>The Amendment may be signed in two (2) or more counterparts (electronic transmission of scanned signatures included), each of which shall be deemed an original, but all of which shall constitute one and the same instrument. After electronic transmission of scanned signatures, the Parties shall, upon either Party’s request, execute and exchange documents with original signatures.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Ventana and Blueprint Medicines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9"/>
        </w:trPr>
        <w:tc>
          <w:tcPr>
            <w:tcW w:w="74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ectPr>
          <w:pgSz w:w="11900" w:h="16838" w:orient="portrait"/>
          <w:cols w:equalWidth="0" w:num="1">
            <w:col w:w="10460"/>
          </w:cols>
          <w:pgMar w:left="720" w:top="111" w:right="719" w:bottom="1440" w:gutter="0" w:footer="0" w:header="0"/>
        </w:sectPr>
      </w:pPr>
    </w:p>
    <w:bookmarkStart w:id="77" w:name="page78"/>
    <w:bookmarkEnd w:id="77"/>
    <w:p>
      <w:pPr>
        <w:ind w:left="60" w:right="60" w:firstLine="261"/>
        <w:spacing w:after="0" w:line="224" w:lineRule="auto"/>
        <w:tabs>
          <w:tab w:leader="none" w:pos="66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 PURSUANT TO RULE 24b-2 PROMULGATED UNDER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AMENDED</w:t>
      </w:r>
    </w:p>
    <w:p>
      <w:pPr>
        <w:spacing w:after="0" w:line="256" w:lineRule="exact"/>
        <w:rPr>
          <w:sz w:val="20"/>
          <w:szCs w:val="20"/>
          <w:color w:val="auto"/>
        </w:rPr>
      </w:pPr>
    </w:p>
    <w:p>
      <w:pPr>
        <w:ind w:left="20" w:right="240" w:firstLine="522"/>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the Parties hereto have caused this Amendment #1 to be executed by their duly authorized representatives as of the Amendment Effective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first written above.</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Ventana Medical Systems, Inc.</w:t>
            </w:r>
          </w:p>
        </w:tc>
        <w:tc>
          <w:tcPr>
            <w:tcW w:w="5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tc>
      </w:t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 Majewski</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Jeffrey Albers</w:t>
            </w: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Christoph Majewski</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Name: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Jeffrey Albers</w:t>
            </w: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VP &amp; LCL, CDx</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Title:</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Amendment #1 to Project Schedule #1]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Ventana and Blueprint Medicines</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0"/>
        </w:trPr>
        <w:tc>
          <w:tcPr>
            <w:tcW w:w="74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ectPr>
          <w:pgSz w:w="11900" w:h="16838" w:orient="portrait"/>
          <w:cols w:equalWidth="0" w:num="1">
            <w:col w:w="10460"/>
          </w:cols>
          <w:pgMar w:left="720" w:top="111" w:right="7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209" w:lineRule="exact"/>
        <w:rPr>
          <w:sz w:val="20"/>
          <w:szCs w:val="20"/>
          <w:color w:val="auto"/>
        </w:rPr>
      </w:pPr>
    </w:p>
    <w:p>
      <w:pPr>
        <w:ind w:left="320" w:right="300" w:firstLine="206"/>
        <w:spacing w:after="0" w:line="272" w:lineRule="auto"/>
        <w:tabs>
          <w:tab w:leader="none" w:pos="884"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 to Project Schedule #1</w:t>
      </w:r>
    </w:p>
    <w:p>
      <w:pPr>
        <w:spacing w:after="0" w:line="189" w:lineRule="exact"/>
        <w:rPr>
          <w:sz w:val="20"/>
          <w:szCs w:val="20"/>
          <w:color w:val="auto"/>
        </w:rPr>
      </w:pPr>
    </w:p>
    <w:p>
      <w:pPr>
        <w:jc w:val="both"/>
        <w:ind w:firstLine="522"/>
        <w:spacing w:after="0" w:line="269" w:lineRule="auto"/>
        <w:rPr>
          <w:sz w:val="20"/>
          <w:szCs w:val="20"/>
          <w:color w:val="auto"/>
        </w:rPr>
      </w:pPr>
      <w:r>
        <w:rPr>
          <w:rFonts w:ascii="Times New Roman" w:cs="Times New Roman" w:eastAsia="Times New Roman" w:hAnsi="Times New Roman"/>
          <w:sz w:val="14"/>
          <w:szCs w:val="14"/>
          <w:color w:val="auto"/>
        </w:rPr>
        <w:t>This Amendment No. 1 to Project Schedule #1, dated as of July 14, 2017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between Blueprint Medicines Corporation (“</w:t>
      </w:r>
      <w:r>
        <w:rPr>
          <w:rFonts w:ascii="Times New Roman" w:cs="Times New Roman" w:eastAsia="Times New Roman" w:hAnsi="Times New Roman"/>
          <w:sz w:val="14"/>
          <w:szCs w:val="14"/>
          <w:u w:val="single" w:color="auto"/>
          <w:color w:val="auto"/>
        </w:rPr>
        <w:t>Blueprint</w:t>
      </w:r>
      <w:r>
        <w:rPr>
          <w:rFonts w:ascii="Times New Roman" w:cs="Times New Roman" w:eastAsia="Times New Roman" w:hAnsi="Times New Roman"/>
          <w:sz w:val="14"/>
          <w:szCs w:val="14"/>
          <w:color w:val="auto"/>
        </w:rPr>
        <w:t>”) and QIAGEN Manchester Limited (“</w:t>
      </w:r>
      <w:r>
        <w:rPr>
          <w:rFonts w:ascii="Times New Roman" w:cs="Times New Roman" w:eastAsia="Times New Roman" w:hAnsi="Times New Roman"/>
          <w:sz w:val="14"/>
          <w:szCs w:val="14"/>
          <w:u w:val="single" w:color="auto"/>
          <w:color w:val="auto"/>
        </w:rPr>
        <w:t>QIAGEN</w:t>
      </w:r>
      <w:r>
        <w:rPr>
          <w:rFonts w:ascii="Times New Roman" w:cs="Times New Roman" w:eastAsia="Times New Roman" w:hAnsi="Times New Roman"/>
          <w:sz w:val="14"/>
          <w:szCs w:val="14"/>
          <w:color w:val="auto"/>
        </w:rPr>
        <w:t>”) amends that certain Project Schedule #1, dated August 22, 2016 (“</w:t>
      </w:r>
      <w:r>
        <w:rPr>
          <w:rFonts w:ascii="Times New Roman" w:cs="Times New Roman" w:eastAsia="Times New Roman" w:hAnsi="Times New Roman"/>
          <w:sz w:val="14"/>
          <w:szCs w:val="14"/>
          <w:u w:val="single" w:color="auto"/>
          <w:color w:val="auto"/>
        </w:rPr>
        <w:t>Project Schedule #1</w:t>
      </w:r>
      <w:r>
        <w:rPr>
          <w:rFonts w:ascii="Times New Roman" w:cs="Times New Roman" w:eastAsia="Times New Roman" w:hAnsi="Times New Roman"/>
          <w:sz w:val="14"/>
          <w:szCs w:val="14"/>
          <w:color w:val="auto"/>
        </w:rPr>
        <w:t>”) to the Master Collaboration Agreement, dated August 22, 2016, between Blueprint and QIAGEN (together with Project Schedule #1,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MCA</w:t>
      </w:r>
      <w:r>
        <w:rPr>
          <w:rFonts w:ascii="Times New Roman" w:cs="Times New Roman" w:eastAsia="Times New Roman" w:hAnsi="Times New Roman"/>
          <w:sz w:val="14"/>
          <w:szCs w:val="14"/>
          <w:color w:val="auto"/>
        </w:rPr>
        <w:t>”). Blueprint and QIAGEN are each referred to herein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Capitalized terms used and not otherwise defined in this Amendment shall have the meanings set forth in the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Recitals</w:t>
      </w:r>
    </w:p>
    <w:p>
      <w:pPr>
        <w:spacing w:after="0" w:line="187" w:lineRule="exact"/>
        <w:rPr>
          <w:sz w:val="20"/>
          <w:szCs w:val="20"/>
          <w:color w:val="auto"/>
        </w:rPr>
      </w:pPr>
    </w:p>
    <w:p>
      <w:pPr>
        <w:ind w:right="100" w:firstLine="522"/>
        <w:spacing w:after="0" w:line="280" w:lineRule="auto"/>
        <w:rPr>
          <w:sz w:val="20"/>
          <w:szCs w:val="20"/>
          <w:color w:val="auto"/>
        </w:rPr>
      </w:pPr>
      <w:r>
        <w:rPr>
          <w:rFonts w:ascii="Times New Roman" w:cs="Times New Roman" w:eastAsia="Times New Roman" w:hAnsi="Times New Roman"/>
          <w:sz w:val="14"/>
          <w:szCs w:val="14"/>
          <w:color w:val="auto"/>
        </w:rPr>
        <w:t>WHEREAS, pursuant to the Agreement, the Parties have agreed to certain activities, timelines and payments related to the development and commercialization of an assay as a companion diagnostic test to identify gastrointestinal stromal tumor patients with the PDGFRα D842V mutation for use with Blueprint’s drug candidate BLU-285; and</w:t>
      </w:r>
    </w:p>
    <w:p>
      <w:pPr>
        <w:spacing w:after="0" w:line="133" w:lineRule="exact"/>
        <w:rPr>
          <w:sz w:val="20"/>
          <w:szCs w:val="20"/>
          <w:color w:val="auto"/>
        </w:rPr>
      </w:pPr>
    </w:p>
    <w:p>
      <w:pPr>
        <w:ind w:right="420" w:firstLine="522"/>
        <w:spacing w:after="0" w:line="301" w:lineRule="auto"/>
        <w:rPr>
          <w:sz w:val="20"/>
          <w:szCs w:val="20"/>
          <w:color w:val="auto"/>
        </w:rPr>
      </w:pPr>
      <w:r>
        <w:rPr>
          <w:rFonts w:ascii="Times New Roman" w:cs="Times New Roman" w:eastAsia="Times New Roman" w:hAnsi="Times New Roman"/>
          <w:sz w:val="14"/>
          <w:szCs w:val="14"/>
          <w:color w:val="auto"/>
        </w:rPr>
        <w:t>WHEREAS, as recommended by the Joint Project Team, the Parties desire to amend certain activities, timelines and payments under Project Schedule #1;</w:t>
      </w:r>
    </w:p>
    <w:p>
      <w:pPr>
        <w:spacing w:after="0" w:line="118" w:lineRule="exact"/>
        <w:rPr>
          <w:sz w:val="20"/>
          <w:szCs w:val="20"/>
          <w:color w:val="auto"/>
        </w:rPr>
      </w:pPr>
    </w:p>
    <w:p>
      <w:pPr>
        <w:ind w:right="40" w:firstLine="522"/>
        <w:spacing w:after="0" w:line="301" w:lineRule="auto"/>
        <w:rPr>
          <w:sz w:val="20"/>
          <w:szCs w:val="20"/>
          <w:color w:val="auto"/>
        </w:rPr>
      </w:pPr>
      <w:r>
        <w:rPr>
          <w:rFonts w:ascii="Times New Roman" w:cs="Times New Roman" w:eastAsia="Times New Roman" w:hAnsi="Times New Roman"/>
          <w:sz w:val="14"/>
          <w:szCs w:val="14"/>
          <w:color w:val="auto"/>
        </w:rPr>
        <w:t>NOW, THEREFORE, for good and valuable consideration, the receipt and sufficiency of which are hereby acknowledged, the parties hereby agree as follows:</w:t>
      </w:r>
    </w:p>
    <w:p>
      <w:pPr>
        <w:spacing w:after="0" w:line="118" w:lineRule="exact"/>
        <w:rPr>
          <w:sz w:val="20"/>
          <w:szCs w:val="20"/>
          <w:color w:val="auto"/>
        </w:rPr>
      </w:pPr>
    </w:p>
    <w:p>
      <w:pPr>
        <w:ind w:right="60" w:firstLine="528"/>
        <w:spacing w:after="0" w:line="301" w:lineRule="auto"/>
        <w:tabs>
          <w:tab w:leader="none" w:pos="10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Part B (CDx development and validation) of Section 12 of Project Schedule #1 is hereby deleted in its entirety and replaced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w:t>
      </w:r>
    </w:p>
    <w:p>
      <w:pPr>
        <w:spacing w:after="0" w:line="118" w:lineRule="exact"/>
        <w:rPr>
          <w:rFonts w:ascii="Times New Roman" w:cs="Times New Roman" w:eastAsia="Times New Roman" w:hAnsi="Times New Roman"/>
          <w:sz w:val="14"/>
          <w:szCs w:val="14"/>
          <w:color w:val="auto"/>
        </w:rPr>
      </w:pPr>
    </w:p>
    <w:p>
      <w:pPr>
        <w:ind w:right="320" w:firstLine="528"/>
        <w:spacing w:after="0" w:line="301" w:lineRule="auto"/>
        <w:tabs>
          <w:tab w:leader="none" w:pos="102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table set forth in Section 13 of Project Schedule #1 under the heading “CDx Development and Validation Milestone Schedule” is hereby deleted in its entirety and replaced as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attached hereto.</w:t>
      </w:r>
    </w:p>
    <w:p>
      <w:pPr>
        <w:spacing w:after="0" w:line="118" w:lineRule="exact"/>
        <w:rPr>
          <w:rFonts w:ascii="Times New Roman" w:cs="Times New Roman" w:eastAsia="Times New Roman" w:hAnsi="Times New Roman"/>
          <w:sz w:val="14"/>
          <w:szCs w:val="14"/>
          <w:color w:val="auto"/>
        </w:rPr>
      </w:pPr>
    </w:p>
    <w:p>
      <w:pPr>
        <w:ind w:right="440" w:firstLine="528"/>
        <w:spacing w:after="0" w:line="301" w:lineRule="auto"/>
        <w:tabs>
          <w:tab w:leader="none" w:pos="102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table set forth in Section 14 of Project Schedule #1 under the heading “Pass-Through Cost Estimate for CDx Development and Validation” is hereby deleted in its entirety and replaced as set forth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attached hereto.</w:t>
      </w:r>
    </w:p>
    <w:p>
      <w:pPr>
        <w:spacing w:after="0" w:line="118" w:lineRule="exact"/>
        <w:rPr>
          <w:rFonts w:ascii="Times New Roman" w:cs="Times New Roman" w:eastAsia="Times New Roman" w:hAnsi="Times New Roman"/>
          <w:sz w:val="14"/>
          <w:szCs w:val="14"/>
          <w:color w:val="auto"/>
        </w:rPr>
      </w:pPr>
    </w:p>
    <w:p>
      <w:pPr>
        <w:ind w:right="80" w:firstLine="528"/>
        <w:spacing w:after="0" w:line="301" w:lineRule="auto"/>
        <w:tabs>
          <w:tab w:leader="none" w:pos="103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Schedule #1, as supplemented and modified by this Amendment, constitutes the entire agreement and understanding of the parties thereto with respect to the subject matter thereof and supersedes all prior agreements and understandings relating to such subject matter.</w:t>
      </w:r>
    </w:p>
    <w:p>
      <w:pPr>
        <w:spacing w:after="0" w:line="118" w:lineRule="exact"/>
        <w:rPr>
          <w:rFonts w:ascii="Times New Roman" w:cs="Times New Roman" w:eastAsia="Times New Roman" w:hAnsi="Times New Roman"/>
          <w:sz w:val="14"/>
          <w:szCs w:val="14"/>
          <w:color w:val="auto"/>
        </w:rPr>
      </w:pPr>
    </w:p>
    <w:p>
      <w:pPr>
        <w:ind w:right="200" w:firstLine="528"/>
        <w:spacing w:after="0" w:line="301" w:lineRule="auto"/>
        <w:tabs>
          <w:tab w:leader="none" w:pos="102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shall be effective as of the date first set forth above (the “</w:t>
      </w:r>
      <w:r>
        <w:rPr>
          <w:rFonts w:ascii="Times New Roman" w:cs="Times New Roman" w:eastAsia="Times New Roman" w:hAnsi="Times New Roman"/>
          <w:sz w:val="14"/>
          <w:szCs w:val="14"/>
          <w:u w:val="single" w:color="auto"/>
          <w:color w:val="auto"/>
        </w:rPr>
        <w:t>Amendment Effective Date</w:t>
      </w:r>
      <w:r>
        <w:rPr>
          <w:rFonts w:ascii="Times New Roman" w:cs="Times New Roman" w:eastAsia="Times New Roman" w:hAnsi="Times New Roman"/>
          <w:sz w:val="14"/>
          <w:szCs w:val="14"/>
          <w:color w:val="auto"/>
        </w:rPr>
        <w:t>”). On and after the Amendment Effective Date, each reference in the Project Schedule #1 to “this Schedule,” “hereunder,” “hereof,” “herein” or words of like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23" w:right="1399" w:bottom="1440" w:gutter="0" w:footer="0" w:header="0"/>
        </w:sectPr>
      </w:pPr>
    </w:p>
    <w:bookmarkStart w:id="79" w:name="page80"/>
    <w:bookmarkEnd w:id="79"/>
    <w:p>
      <w:pPr>
        <w:ind w:left="320" w:right="259" w:firstLine="206"/>
        <w:spacing w:after="0" w:line="272" w:lineRule="auto"/>
        <w:tabs>
          <w:tab w:leader="none" w:pos="884"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259" w:lineRule="exact"/>
        <w:rPr>
          <w:sz w:val="20"/>
          <w:szCs w:val="20"/>
          <w:color w:val="auto"/>
        </w:rPr>
      </w:pPr>
    </w:p>
    <w:p>
      <w:pPr>
        <w:ind w:right="159"/>
        <w:spacing w:after="0" w:line="280" w:lineRule="auto"/>
        <w:rPr>
          <w:sz w:val="20"/>
          <w:szCs w:val="20"/>
          <w:color w:val="auto"/>
        </w:rPr>
      </w:pPr>
      <w:r>
        <w:rPr>
          <w:rFonts w:ascii="Times New Roman" w:cs="Times New Roman" w:eastAsia="Times New Roman" w:hAnsi="Times New Roman"/>
          <w:sz w:val="14"/>
          <w:szCs w:val="14"/>
          <w:color w:val="auto"/>
        </w:rPr>
        <w:t>import, and each similar reference in the other documents entered into in connection with Project Schedule #1, shall mean and be a reference to Project Schedule #1, as amended hereby. Except as specifically amended above, the Agreement and Project Schedule #1 shall remain in full force and effect and are hereby ratified and confirmed.</w:t>
      </w:r>
    </w:p>
    <w:p>
      <w:pPr>
        <w:spacing w:after="0" w:line="133" w:lineRule="exact"/>
        <w:rPr>
          <w:sz w:val="20"/>
          <w:szCs w:val="20"/>
          <w:color w:val="auto"/>
        </w:rPr>
      </w:pPr>
    </w:p>
    <w:p>
      <w:pPr>
        <w:jc w:val="both"/>
        <w:ind w:right="79" w:firstLine="528"/>
        <w:spacing w:after="0" w:line="273" w:lineRule="auto"/>
        <w:tabs>
          <w:tab w:leader="none" w:pos="102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37" w:lineRule="exact"/>
        <w:rPr>
          <w:rFonts w:ascii="Times New Roman" w:cs="Times New Roman" w:eastAsia="Times New Roman" w:hAnsi="Times New Roman"/>
          <w:sz w:val="14"/>
          <w:szCs w:val="14"/>
          <w:color w:val="auto"/>
        </w:rPr>
      </w:pPr>
    </w:p>
    <w:p>
      <w:pPr>
        <w:ind w:right="19" w:firstLine="528"/>
        <w:spacing w:after="0" w:line="301" w:lineRule="auto"/>
        <w:tabs>
          <w:tab w:leader="none" w:pos="102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shall be construed and interpreted in accordance with the internal laws of the State of Delaware, without giving effect to the principles of conflicts of law thereof.</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- 2 -</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99" w:right="1440" w:bottom="1440" w:gutter="0" w:footer="0" w:header="0"/>
        </w:sectPr>
      </w:pPr>
    </w:p>
    <w:bookmarkStart w:id="80" w:name="page81"/>
    <w:bookmarkEnd w:id="80"/>
    <w:p>
      <w:pPr>
        <w:ind w:left="280" w:right="300" w:firstLine="206"/>
        <w:spacing w:after="0" w:line="272" w:lineRule="auto"/>
        <w:tabs>
          <w:tab w:leader="none" w:pos="844"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6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WITNESS WHEREOF, the undersigned have executed this Amendment No. 1 to Project Schedule #1 as of the date first set forth above.</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BLUEPRINT MEDICINES CORPORATION</w:t>
      </w:r>
    </w:p>
    <w:p>
      <w:pPr>
        <w:spacing w:after="0" w:line="200" w:lineRule="exact"/>
        <w:rPr>
          <w:sz w:val="20"/>
          <w:szCs w:val="20"/>
          <w:color w:val="auto"/>
        </w:rPr>
      </w:pPr>
    </w:p>
    <w:p>
      <w:pPr>
        <w:spacing w:after="0" w:line="337" w:lineRule="exact"/>
        <w:rPr>
          <w:sz w:val="20"/>
          <w:szCs w:val="20"/>
          <w:color w:val="auto"/>
        </w:rPr>
      </w:pPr>
    </w:p>
    <w:tbl>
      <w:tblPr>
        <w:tblLayout w:type="fixed"/>
        <w:tblInd w:w="4620" w:type="dxa"/>
        <w:tblCellMar>
          <w:top w:w="0" w:type="dxa"/>
          <w:left w:w="0" w:type="dxa"/>
          <w:bottom w:w="0" w:type="dxa"/>
          <w:right w:w="0" w:type="dxa"/>
        </w:tblCellMar>
      </w:tblP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Jeffrey W. Albers</w:t>
            </w:r>
          </w:p>
        </w:tc>
      </w:tr>
      <w:tr>
        <w:trPr>
          <w:trHeight w:val="150"/>
        </w:trPr>
        <w:tc>
          <w:tcPr>
            <w:tcW w:w="5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Jeffrey W. Albers</w:t>
            </w:r>
          </w:p>
        </w:tc>
      </w:t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3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QIAGEN MANCHESTER LIMITED</w:t>
      </w:r>
    </w:p>
    <w:p>
      <w:pPr>
        <w:spacing w:after="0" w:line="200" w:lineRule="exact"/>
        <w:rPr>
          <w:sz w:val="20"/>
          <w:szCs w:val="20"/>
          <w:color w:val="auto"/>
        </w:rPr>
      </w:pPr>
    </w:p>
    <w:p>
      <w:pPr>
        <w:spacing w:after="0" w:line="337" w:lineRule="exact"/>
        <w:rPr>
          <w:sz w:val="20"/>
          <w:szCs w:val="20"/>
          <w:color w:val="auto"/>
        </w:rPr>
      </w:pPr>
    </w:p>
    <w:tbl>
      <w:tblPr>
        <w:tblLayout w:type="fixed"/>
        <w:tblInd w:w="4620" w:type="dxa"/>
        <w:tblCellMar>
          <w:top w:w="0" w:type="dxa"/>
          <w:left w:w="0" w:type="dxa"/>
          <w:bottom w:w="0" w:type="dxa"/>
          <w:right w:w="0" w:type="dxa"/>
        </w:tblCellMar>
      </w:tblP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Douglas Liu</w:t>
            </w:r>
          </w:p>
        </w:tc>
      </w:tr>
      <w:tr>
        <w:trPr>
          <w:trHeight w:val="150"/>
        </w:trPr>
        <w:tc>
          <w:tcPr>
            <w:tcW w:w="5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Douglas Liu</w:t>
            </w:r>
          </w:p>
        </w:tc>
      </w:t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SVP Global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- 3 -</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63500</wp:posOffset>
            </wp:positionV>
            <wp:extent cx="57810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60"/>
          </w:cols>
          <w:pgMar w:left="1440" w:top="123" w:right="1399" w:bottom="1440" w:gutter="0" w:footer="0" w:header="0"/>
        </w:sectPr>
      </w:pPr>
    </w:p>
    <w:bookmarkStart w:id="81" w:name="page82"/>
    <w:bookmarkEnd w:id="81"/>
    <w:p>
      <w:pPr>
        <w:ind w:left="320" w:right="259" w:firstLine="206"/>
        <w:spacing w:after="0" w:line="272" w:lineRule="auto"/>
        <w:tabs>
          <w:tab w:leader="none" w:pos="884"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u w:val="single" w:color="auto"/>
          <w:color w:val="auto"/>
        </w:rPr>
        <w:t>Section 12 – Part B (CDx development and validation)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11</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Design Control Planning (CDx)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12</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Completion of Design Inputs; Design Input Lock and Design &amp; Development Plan (CDx)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13</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Manufacturing Robustness Study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14</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right="3079"/>
        <w:spacing w:after="0" w:line="517" w:lineRule="auto"/>
        <w:rPr>
          <w:sz w:val="20"/>
          <w:szCs w:val="20"/>
          <w:color w:val="auto"/>
        </w:rPr>
      </w:pPr>
      <w:r>
        <w:rPr>
          <w:rFonts w:ascii="Times New Roman" w:cs="Times New Roman" w:eastAsia="Times New Roman" w:hAnsi="Times New Roman"/>
          <w:sz w:val="14"/>
          <w:szCs w:val="14"/>
          <w:u w:val="single" w:color="auto"/>
          <w:color w:val="auto"/>
        </w:rPr>
        <w:t xml:space="preserve">Manufacturing Transfer and Prototype Batch Production (CDx) required for assay performance studies </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15</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CDx Assay Performance Studies Complete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16</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Completion of Verification Batches (Pilot Batches)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17</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System Design Lock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A-1</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99" w:right="1440" w:bottom="1440" w:gutter="0" w:footer="0" w:header="0"/>
        </w:sectPr>
      </w:pPr>
    </w:p>
    <w:bookmarkStart w:id="82" w:name="page83"/>
    <w:bookmarkEnd w:id="82"/>
    <w:p>
      <w:pPr>
        <w:ind w:left="320" w:right="259" w:firstLine="206"/>
        <w:spacing w:after="0" w:line="272" w:lineRule="auto"/>
        <w:tabs>
          <w:tab w:leader="none" w:pos="884"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18</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Design Output and Design Verification Lock (Completion of Verification)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19</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Assay Software Available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20</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Completion of Lab Set-up Bridging Study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21</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22</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Design Validation Lock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PMA Submissions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24</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CE Marking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25</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PMA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A-2</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23" w:right="1440" w:bottom="1440" w:gutter="0" w:footer="0" w:header="0"/>
        </w:sectPr>
      </w:pPr>
    </w:p>
    <w:bookmarkStart w:id="83" w:name="page84"/>
    <w:bookmarkEnd w:id="83"/>
    <w:p>
      <w:pPr>
        <w:ind w:left="320" w:right="259" w:firstLine="206"/>
        <w:spacing w:after="0" w:line="272" w:lineRule="auto"/>
        <w:tabs>
          <w:tab w:leader="none" w:pos="884"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Milestone 26</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Product Implementation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A-3</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059"/>
          </w:cols>
          <w:pgMar w:left="1400" w:top="123" w:right="1440" w:bottom="1440" w:gutter="0" w:footer="0" w:header="0"/>
        </w:sectPr>
      </w:pPr>
    </w:p>
    <w:bookmarkStart w:id="84" w:name="page85"/>
    <w:bookmarkEnd w:id="84"/>
    <w:p>
      <w:pPr>
        <w:ind w:left="320" w:right="300" w:firstLine="206"/>
        <w:spacing w:after="0" w:line="272" w:lineRule="auto"/>
        <w:tabs>
          <w:tab w:leader="none" w:pos="884"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Section 13 – CDx Development and Validation Milestone Schedule</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820" w:type="dxa"/>
            <w:vAlign w:val="bottom"/>
            <w:tcBorders>
              <w:top w:val="single" w:sz="8" w:color="auto"/>
              <w:left w:val="single" w:sz="8" w:color="auto"/>
              <w:right w:val="single" w:sz="8" w:color="auto"/>
            </w:tcBorders>
            <w:vMerge w:val="restart"/>
            <w:shd w:val="clear" w:color="auto" w:fill="1F497D"/>
          </w:tcPr>
          <w:p>
            <w:pPr>
              <w:jc w:val="center"/>
              <w:spacing w:after="0"/>
              <w:rPr>
                <w:sz w:val="20"/>
                <w:szCs w:val="20"/>
                <w:color w:val="auto"/>
              </w:rPr>
            </w:pPr>
            <w:r>
              <w:rPr>
                <w:rFonts w:ascii="Times New Roman" w:cs="Times New Roman" w:eastAsia="Times New Roman" w:hAnsi="Times New Roman"/>
                <w:sz w:val="14"/>
                <w:szCs w:val="14"/>
                <w:b w:val="1"/>
                <w:bCs w:val="1"/>
                <w:color w:val="FFFFFF"/>
              </w:rPr>
              <w:t>Milestone</w:t>
            </w:r>
          </w:p>
        </w:tc>
        <w:tc>
          <w:tcPr>
            <w:tcW w:w="5940" w:type="dxa"/>
            <w:vAlign w:val="bottom"/>
            <w:tcBorders>
              <w:top w:val="single" w:sz="8" w:color="auto"/>
              <w:right w:val="single" w:sz="8" w:color="auto"/>
            </w:tcBorders>
            <w:vMerge w:val="restart"/>
            <w:shd w:val="clear" w:color="auto" w:fill="1F497D"/>
          </w:tcPr>
          <w:p>
            <w:pPr>
              <w:ind w:left="2600"/>
              <w:spacing w:after="0"/>
              <w:rPr>
                <w:sz w:val="20"/>
                <w:szCs w:val="20"/>
                <w:color w:val="auto"/>
              </w:rPr>
            </w:pPr>
            <w:r>
              <w:rPr>
                <w:rFonts w:ascii="Times New Roman" w:cs="Times New Roman" w:eastAsia="Times New Roman" w:hAnsi="Times New Roman"/>
                <w:sz w:val="14"/>
                <w:szCs w:val="14"/>
                <w:b w:val="1"/>
                <w:bCs w:val="1"/>
                <w:color w:val="FFFFFF"/>
              </w:rPr>
              <w:t>Description</w:t>
            </w:r>
          </w:p>
        </w:tc>
        <w:tc>
          <w:tcPr>
            <w:tcW w:w="1260" w:type="dxa"/>
            <w:vAlign w:val="bottom"/>
            <w:tcBorders>
              <w:top w:val="single" w:sz="8" w:color="auto"/>
              <w:right w:val="single" w:sz="8" w:color="auto"/>
            </w:tcBorders>
            <w:shd w:val="clear" w:color="auto" w:fill="1F497D"/>
          </w:tcPr>
          <w:p>
            <w:pPr>
              <w:jc w:val="center"/>
              <w:spacing w:after="0"/>
              <w:rPr>
                <w:sz w:val="20"/>
                <w:szCs w:val="20"/>
                <w:color w:val="auto"/>
              </w:rPr>
            </w:pPr>
            <w:r>
              <w:rPr>
                <w:rFonts w:ascii="Times New Roman" w:cs="Times New Roman" w:eastAsia="Times New Roman" w:hAnsi="Times New Roman"/>
                <w:sz w:val="14"/>
                <w:szCs w:val="14"/>
                <w:b w:val="1"/>
                <w:bCs w:val="1"/>
                <w:color w:val="FFFFFF"/>
              </w:rPr>
              <w:t>Estimated</w:t>
            </w:r>
          </w:p>
        </w:tc>
        <w:tc>
          <w:tcPr>
            <w:tcW w:w="1080" w:type="dxa"/>
            <w:vAlign w:val="bottom"/>
            <w:tcBorders>
              <w:top w:val="single" w:sz="8" w:color="auto"/>
              <w:right w:val="single" w:sz="8" w:color="auto"/>
            </w:tcBorders>
            <w:shd w:val="clear" w:color="auto" w:fill="1F497D"/>
          </w:tcPr>
          <w:p>
            <w:pPr>
              <w:jc w:val="center"/>
              <w:spacing w:after="0"/>
              <w:rPr>
                <w:sz w:val="20"/>
                <w:szCs w:val="20"/>
                <w:color w:val="auto"/>
              </w:rPr>
            </w:pPr>
            <w:r>
              <w:rPr>
                <w:rFonts w:ascii="Times New Roman" w:cs="Times New Roman" w:eastAsia="Times New Roman" w:hAnsi="Times New Roman"/>
                <w:sz w:val="14"/>
                <w:szCs w:val="14"/>
                <w:b w:val="1"/>
                <w:bCs w:val="1"/>
                <w:color w:val="FFFFFF"/>
              </w:rPr>
              <w:t>Milestone</w:t>
            </w:r>
          </w:p>
        </w:tc>
        <w:tc>
          <w:tcPr>
            <w:tcW w:w="0" w:type="dxa"/>
            <w:vAlign w:val="bottom"/>
          </w:tcPr>
          <w:p>
            <w:pPr>
              <w:spacing w:after="0"/>
              <w:rPr>
                <w:sz w:val="1"/>
                <w:szCs w:val="1"/>
                <w:color w:val="auto"/>
              </w:rPr>
            </w:pPr>
          </w:p>
        </w:tc>
      </w:tr>
      <w:tr>
        <w:trPr>
          <w:trHeight w:val="104"/>
        </w:trPr>
        <w:tc>
          <w:tcPr>
            <w:tcW w:w="820" w:type="dxa"/>
            <w:vAlign w:val="bottom"/>
            <w:tcBorders>
              <w:left w:val="single" w:sz="8" w:color="auto"/>
              <w:right w:val="single" w:sz="8" w:color="auto"/>
            </w:tcBorders>
            <w:vMerge w:val="continue"/>
            <w:shd w:val="clear" w:color="auto" w:fill="1F497D"/>
          </w:tcPr>
          <w:p>
            <w:pPr>
              <w:spacing w:after="0"/>
              <w:rPr>
                <w:sz w:val="9"/>
                <w:szCs w:val="9"/>
                <w:color w:val="auto"/>
              </w:rPr>
            </w:pPr>
          </w:p>
        </w:tc>
        <w:tc>
          <w:tcPr>
            <w:tcW w:w="5940" w:type="dxa"/>
            <w:vAlign w:val="bottom"/>
            <w:tcBorders>
              <w:right w:val="single" w:sz="8" w:color="auto"/>
            </w:tcBorders>
            <w:vMerge w:val="continue"/>
            <w:shd w:val="clear" w:color="auto" w:fill="1F497D"/>
          </w:tcPr>
          <w:p>
            <w:pPr>
              <w:spacing w:after="0"/>
              <w:rPr>
                <w:sz w:val="9"/>
                <w:szCs w:val="9"/>
                <w:color w:val="auto"/>
              </w:rPr>
            </w:pPr>
          </w:p>
        </w:tc>
        <w:tc>
          <w:tcPr>
            <w:tcW w:w="1260" w:type="dxa"/>
            <w:vAlign w:val="bottom"/>
            <w:tcBorders>
              <w:right w:val="single" w:sz="8" w:color="auto"/>
            </w:tcBorders>
            <w:vMerge w:val="restart"/>
            <w:shd w:val="clear" w:color="auto" w:fill="1F497D"/>
          </w:tcPr>
          <w:p>
            <w:pPr>
              <w:jc w:val="center"/>
              <w:spacing w:after="0"/>
              <w:rPr>
                <w:sz w:val="20"/>
                <w:szCs w:val="20"/>
                <w:color w:val="auto"/>
              </w:rPr>
            </w:pPr>
            <w:r>
              <w:rPr>
                <w:rFonts w:ascii="Times New Roman" w:cs="Times New Roman" w:eastAsia="Times New Roman" w:hAnsi="Times New Roman"/>
                <w:sz w:val="14"/>
                <w:szCs w:val="14"/>
                <w:b w:val="1"/>
                <w:bCs w:val="1"/>
                <w:color w:val="FFFFFF"/>
              </w:rPr>
              <w:t>Completion Date</w:t>
            </w:r>
          </w:p>
        </w:tc>
        <w:tc>
          <w:tcPr>
            <w:tcW w:w="1080" w:type="dxa"/>
            <w:vAlign w:val="bottom"/>
            <w:tcBorders>
              <w:right w:val="single" w:sz="8" w:color="auto"/>
            </w:tcBorders>
            <w:vMerge w:val="restart"/>
            <w:shd w:val="clear" w:color="auto" w:fill="1F497D"/>
          </w:tcPr>
          <w:p>
            <w:pPr>
              <w:jc w:val="center"/>
              <w:spacing w:after="0"/>
              <w:rPr>
                <w:sz w:val="20"/>
                <w:szCs w:val="20"/>
                <w:color w:val="auto"/>
              </w:rPr>
            </w:pPr>
            <w:r>
              <w:rPr>
                <w:rFonts w:ascii="Times New Roman" w:cs="Times New Roman" w:eastAsia="Times New Roman" w:hAnsi="Times New Roman"/>
                <w:sz w:val="14"/>
                <w:szCs w:val="14"/>
                <w:b w:val="1"/>
                <w:bCs w:val="1"/>
                <w:color w:val="FFFFFF"/>
              </w:rPr>
              <w:t>Amount ($US)</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5940" w:type="dxa"/>
            <w:vAlign w:val="bottom"/>
            <w:tcBorders>
              <w:bottom w:val="single" w:sz="8" w:color="auto"/>
              <w:right w:val="single" w:sz="8" w:color="auto"/>
            </w:tcBorders>
            <w:shd w:val="clear" w:color="auto" w:fill="1F497D"/>
          </w:tcPr>
          <w:p>
            <w:pPr>
              <w:spacing w:after="0"/>
              <w:rPr>
                <w:sz w:val="7"/>
                <w:szCs w:val="7"/>
                <w:color w:val="auto"/>
              </w:rPr>
            </w:pPr>
          </w:p>
        </w:tc>
        <w:tc>
          <w:tcPr>
            <w:tcW w:w="1260" w:type="dxa"/>
            <w:vAlign w:val="bottom"/>
            <w:tcBorders>
              <w:bottom w:val="single" w:sz="8" w:color="auto"/>
              <w:right w:val="single" w:sz="8" w:color="auto"/>
            </w:tcBorders>
            <w:vMerge w:val="continue"/>
            <w:shd w:val="clear" w:color="auto" w:fill="1F497D"/>
          </w:tcPr>
          <w:p>
            <w:pPr>
              <w:spacing w:after="0"/>
              <w:rPr>
                <w:sz w:val="7"/>
                <w:szCs w:val="7"/>
                <w:color w:val="auto"/>
              </w:rPr>
            </w:pPr>
          </w:p>
        </w:tc>
        <w:tc>
          <w:tcPr>
            <w:tcW w:w="1080" w:type="dxa"/>
            <w:vAlign w:val="bottom"/>
            <w:tcBorders>
              <w:bottom w:val="single" w:sz="8" w:color="auto"/>
              <w:right w:val="single" w:sz="8" w:color="auto"/>
            </w:tcBorders>
            <w:vMerge w:val="continue"/>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Design Control Planning (CDx)</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Completion of Design Inputs; Design Input Lock and Design &amp; Development Plan (CDx)</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Manufacturing Robustness Study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59"/>
        </w:trPr>
        <w:tc>
          <w:tcPr>
            <w:tcW w:w="82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14</w:t>
            </w:r>
          </w:p>
        </w:tc>
        <w:tc>
          <w:tcPr>
            <w:tcW w:w="594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4"/>
                <w:szCs w:val="14"/>
                <w:color w:val="auto"/>
              </w:rPr>
              <w:t>Manufacturing Transfer and Prototype Batch Production (CDx) required for assay performance</w:t>
            </w:r>
          </w:p>
        </w:tc>
        <w:tc>
          <w:tcPr>
            <w:tcW w:w="1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89"/>
        </w:trPr>
        <w:tc>
          <w:tcPr>
            <w:tcW w:w="82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studies</w:t>
            </w: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59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CDx Assay Performance Studies Complete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Completion of Verification Batches (Pilot Batches)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System Design Lock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Design Output and Design Verification Lock (Completion of Verification)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Assay Software Available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Completion of Lab Set-up Bridging Study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Completion of Reproducibility Study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Design Validation Lock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89"/>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PMA Submissions*</w:t>
            </w: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Each portion of this milestone will be invoiced separately upon submission of the respective</w:t>
            </w: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module.</w:t>
            </w: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9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CE Marking</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PMA Approval</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59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Product Implementation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99"/>
        </w:trPr>
        <w:tc>
          <w:tcPr>
            <w:tcW w:w="820" w:type="dxa"/>
            <w:vAlign w:val="bottom"/>
            <w:tcBorders>
              <w:left w:val="single" w:sz="8" w:color="auto"/>
              <w:bottom w:val="single" w:sz="8" w:color="auto"/>
            </w:tcBorders>
          </w:tcPr>
          <w:p>
            <w:pPr>
              <w:spacing w:after="0"/>
              <w:rPr>
                <w:sz w:val="17"/>
                <w:szCs w:val="17"/>
                <w:color w:val="auto"/>
              </w:rPr>
            </w:pPr>
          </w:p>
        </w:tc>
        <w:tc>
          <w:tcPr>
            <w:tcW w:w="59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Total CDx Development and Validation Milestones</w:t>
            </w:r>
          </w:p>
        </w:tc>
        <w:tc>
          <w:tcPr>
            <w:tcW w:w="12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7810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81040" cy="20955"/>
                    </a:xfrm>
                    <a:prstGeom prst="rect">
                      <a:avLst/>
                    </a:prstGeom>
                    <a:noFill/>
                  </pic:spPr>
                </pic:pic>
              </a:graphicData>
            </a:graphic>
          </wp:anchor>
        </w:drawing>
      </w:r>
    </w:p>
    <w:p>
      <w:pPr>
        <w:sectPr>
          <w:pgSz w:w="11900" w:h="16838" w:orient="portrait"/>
          <w:cols w:equalWidth="0" w:num="1">
            <w:col w:w="9100"/>
          </w:cols>
          <w:pgMar w:left="1400" w:top="123" w:right="1399" w:bottom="1440" w:gutter="0" w:footer="0" w:header="0"/>
        </w:sectPr>
      </w:pPr>
    </w:p>
    <w:bookmarkStart w:id="85" w:name="page86"/>
    <w:bookmarkEnd w:id="85"/>
    <w:p>
      <w:pPr>
        <w:ind w:left="320" w:right="1560" w:firstLine="206"/>
        <w:spacing w:after="0" w:line="272" w:lineRule="auto"/>
        <w:tabs>
          <w:tab w:leader="none" w:pos="884"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INDICATES MATERIAL THAT HAS BEEN OMITTED AND FOR WHICH CONFIDENTIAL TREATMENT HAS BEEN REQUESTED. ALL SUCH OMITTED MATERIAL HAS BEEN FILED WITH THE SECURITIES AND EXCHANGE COMMISSION</w:t>
      </w:r>
    </w:p>
    <w:p>
      <w:pPr>
        <w:ind w:left="7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PURSUANT TO RULE 24b-2 PROMULGATED UNDER THE SECURITIES EXCHANGE ACT OF 1934, AS AMENDED</w:t>
      </w:r>
    </w:p>
    <w:p>
      <w:pPr>
        <w:spacing w:after="0" w:line="192"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4"/>
          <w:szCs w:val="14"/>
          <w:b w:val="1"/>
          <w:bCs w:val="1"/>
          <w:u w:val="single" w:color="auto"/>
          <w:color w:val="auto"/>
        </w:rPr>
        <w:t>Exhibit C</w:t>
      </w:r>
    </w:p>
    <w:p>
      <w:pPr>
        <w:spacing w:after="0" w:line="18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u w:val="single" w:color="auto"/>
          <w:color w:val="auto"/>
        </w:rPr>
        <w:t>Pass-Through Cost Estimate for CDx Development and Validation</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880" w:type="dxa"/>
            <w:vAlign w:val="bottom"/>
            <w:tcBorders>
              <w:top w:val="single" w:sz="8" w:color="auto"/>
              <w:left w:val="single" w:sz="8" w:color="auto"/>
              <w:right w:val="single" w:sz="8" w:color="auto"/>
            </w:tcBorders>
            <w:shd w:val="clear" w:color="auto" w:fill="1F497D"/>
          </w:tcPr>
          <w:p>
            <w:pPr>
              <w:spacing w:after="0"/>
              <w:rPr>
                <w:sz w:val="14"/>
                <w:szCs w:val="14"/>
                <w:color w:val="auto"/>
              </w:rPr>
            </w:pPr>
          </w:p>
        </w:tc>
        <w:tc>
          <w:tcPr>
            <w:tcW w:w="7220" w:type="dxa"/>
            <w:vAlign w:val="bottom"/>
            <w:tcBorders>
              <w:top w:val="single" w:sz="8" w:color="auto"/>
            </w:tcBorders>
            <w:shd w:val="clear" w:color="auto" w:fill="1F497D"/>
          </w:tcPr>
          <w:p>
            <w:pPr>
              <w:spacing w:after="0"/>
              <w:rPr>
                <w:sz w:val="14"/>
                <w:szCs w:val="14"/>
                <w:color w:val="auto"/>
              </w:rPr>
            </w:pPr>
          </w:p>
        </w:tc>
        <w:tc>
          <w:tcPr>
            <w:tcW w:w="400" w:type="dxa"/>
            <w:vAlign w:val="bottom"/>
            <w:tcBorders>
              <w:top w:val="single" w:sz="8" w:color="auto"/>
              <w:right w:val="single" w:sz="8" w:color="auto"/>
            </w:tcBorders>
            <w:shd w:val="clear" w:color="auto" w:fill="1F497D"/>
          </w:tcPr>
          <w:p>
            <w:pPr>
              <w:spacing w:after="0"/>
              <w:rPr>
                <w:sz w:val="14"/>
                <w:szCs w:val="14"/>
                <w:color w:val="auto"/>
              </w:rPr>
            </w:pPr>
          </w:p>
        </w:tc>
        <w:tc>
          <w:tcPr>
            <w:tcW w:w="860" w:type="dxa"/>
            <w:vAlign w:val="bottom"/>
            <w:tcBorders>
              <w:top w:val="single" w:sz="8" w:color="auto"/>
            </w:tcBorders>
            <w:shd w:val="clear" w:color="auto" w:fill="1F497D"/>
          </w:tcPr>
          <w:p>
            <w:pPr>
              <w:jc w:val="center"/>
              <w:ind w:left="168"/>
              <w:spacing w:after="0"/>
              <w:rPr>
                <w:sz w:val="20"/>
                <w:szCs w:val="20"/>
                <w:color w:val="auto"/>
              </w:rPr>
            </w:pPr>
            <w:r>
              <w:rPr>
                <w:rFonts w:ascii="Times New Roman" w:cs="Times New Roman" w:eastAsia="Times New Roman" w:hAnsi="Times New Roman"/>
                <w:sz w:val="14"/>
                <w:szCs w:val="14"/>
                <w:b w:val="1"/>
                <w:bCs w:val="1"/>
                <w:color w:val="FFFFFF"/>
              </w:rPr>
              <w:t>Estimated</w:t>
            </w:r>
          </w:p>
        </w:tc>
      </w:tr>
      <w:tr>
        <w:trPr>
          <w:trHeight w:val="174"/>
        </w:trPr>
        <w:tc>
          <w:tcPr>
            <w:tcW w:w="1880" w:type="dxa"/>
            <w:vAlign w:val="bottom"/>
            <w:tcBorders>
              <w:left w:val="single" w:sz="8" w:color="auto"/>
              <w:right w:val="single" w:sz="8" w:color="auto"/>
            </w:tcBorders>
            <w:shd w:val="clear" w:color="auto" w:fill="1F497D"/>
          </w:tcPr>
          <w:p>
            <w:pPr>
              <w:ind w:left="82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7620" w:type="dxa"/>
            <w:vAlign w:val="bottom"/>
            <w:tcBorders>
              <w:right w:val="single" w:sz="8" w:color="auto"/>
            </w:tcBorders>
            <w:gridSpan w:val="2"/>
            <w:shd w:val="clear" w:color="auto" w:fill="1F497D"/>
          </w:tcPr>
          <w:p>
            <w:pPr>
              <w:ind w:left="3440"/>
              <w:spacing w:after="0"/>
              <w:rPr>
                <w:sz w:val="20"/>
                <w:szCs w:val="20"/>
                <w:color w:val="auto"/>
              </w:rPr>
            </w:pPr>
            <w:r>
              <w:rPr>
                <w:rFonts w:ascii="Times New Roman" w:cs="Times New Roman" w:eastAsia="Times New Roman" w:hAnsi="Times New Roman"/>
                <w:sz w:val="14"/>
                <w:szCs w:val="14"/>
                <w:b w:val="1"/>
                <w:bCs w:val="1"/>
                <w:color w:val="FFFFFF"/>
              </w:rPr>
              <w:t>Description</w:t>
            </w:r>
          </w:p>
        </w:tc>
        <w:tc>
          <w:tcPr>
            <w:tcW w:w="860" w:type="dxa"/>
            <w:vAlign w:val="bottom"/>
            <w:shd w:val="clear" w:color="auto" w:fill="1F497D"/>
          </w:tcPr>
          <w:p>
            <w:pPr>
              <w:jc w:val="center"/>
              <w:ind w:left="188"/>
              <w:spacing w:after="0"/>
              <w:rPr>
                <w:sz w:val="20"/>
                <w:szCs w:val="20"/>
                <w:color w:val="auto"/>
              </w:rPr>
            </w:pPr>
            <w:r>
              <w:rPr>
                <w:rFonts w:ascii="Times New Roman" w:cs="Times New Roman" w:eastAsia="Times New Roman" w:hAnsi="Times New Roman"/>
                <w:sz w:val="14"/>
                <w:szCs w:val="14"/>
                <w:b w:val="1"/>
                <w:bCs w:val="1"/>
                <w:color w:val="FFFFFF"/>
              </w:rPr>
              <w:t>Cost</w:t>
            </w:r>
          </w:p>
        </w:tc>
      </w:tr>
      <w:tr>
        <w:trPr>
          <w:trHeight w:val="191"/>
        </w:trPr>
        <w:tc>
          <w:tcPr>
            <w:tcW w:w="1880" w:type="dxa"/>
            <w:vAlign w:val="bottom"/>
            <w:tcBorders>
              <w:left w:val="single" w:sz="8" w:color="auto"/>
              <w:bottom w:val="single" w:sz="8" w:color="auto"/>
              <w:right w:val="single" w:sz="8" w:color="auto"/>
            </w:tcBorders>
            <w:shd w:val="clear" w:color="auto" w:fill="1F497D"/>
          </w:tcPr>
          <w:p>
            <w:pPr>
              <w:spacing w:after="0"/>
              <w:rPr>
                <w:sz w:val="16"/>
                <w:szCs w:val="16"/>
                <w:color w:val="auto"/>
              </w:rPr>
            </w:pPr>
          </w:p>
        </w:tc>
        <w:tc>
          <w:tcPr>
            <w:tcW w:w="7220" w:type="dxa"/>
            <w:vAlign w:val="bottom"/>
            <w:tcBorders>
              <w:bottom w:val="single" w:sz="8" w:color="auto"/>
            </w:tcBorders>
            <w:shd w:val="clear" w:color="auto" w:fill="1F497D"/>
          </w:tcPr>
          <w:p>
            <w:pPr>
              <w:spacing w:after="0"/>
              <w:rPr>
                <w:sz w:val="16"/>
                <w:szCs w:val="16"/>
                <w:color w:val="auto"/>
              </w:rPr>
            </w:pPr>
          </w:p>
        </w:tc>
        <w:tc>
          <w:tcPr>
            <w:tcW w:w="400" w:type="dxa"/>
            <w:vAlign w:val="bottom"/>
            <w:tcBorders>
              <w:bottom w:val="single" w:sz="8" w:color="auto"/>
              <w:right w:val="single" w:sz="8" w:color="auto"/>
            </w:tcBorders>
            <w:shd w:val="clear" w:color="auto" w:fill="1F497D"/>
          </w:tcPr>
          <w:p>
            <w:pPr>
              <w:spacing w:after="0"/>
              <w:rPr>
                <w:sz w:val="16"/>
                <w:szCs w:val="16"/>
                <w:color w:val="auto"/>
              </w:rPr>
            </w:pPr>
          </w:p>
        </w:tc>
        <w:tc>
          <w:tcPr>
            <w:tcW w:w="860" w:type="dxa"/>
            <w:vAlign w:val="bottom"/>
            <w:tcBorders>
              <w:bottom w:val="single" w:sz="8" w:color="auto"/>
            </w:tcBorders>
            <w:shd w:val="clear" w:color="auto" w:fill="1F497D"/>
          </w:tcPr>
          <w:p>
            <w:pPr>
              <w:jc w:val="center"/>
              <w:ind w:left="168"/>
              <w:spacing w:after="0"/>
              <w:rPr>
                <w:sz w:val="20"/>
                <w:szCs w:val="20"/>
                <w:color w:val="auto"/>
              </w:rPr>
            </w:pPr>
            <w:r>
              <w:rPr>
                <w:rFonts w:ascii="Times New Roman" w:cs="Times New Roman" w:eastAsia="Times New Roman" w:hAnsi="Times New Roman"/>
                <w:sz w:val="14"/>
                <w:szCs w:val="14"/>
                <w:b w:val="1"/>
                <w:bCs w:val="1"/>
                <w:color w:val="FFFFFF"/>
                <w:w w:val="99"/>
              </w:rPr>
              <w:t>($US)</w:t>
            </w:r>
          </w:p>
        </w:tc>
      </w:tr>
      <w:tr>
        <w:trPr>
          <w:trHeight w:val="190"/>
        </w:trPr>
        <w:tc>
          <w:tcPr>
            <w:tcW w:w="18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Reproducibility Studies</w:t>
            </w:r>
          </w:p>
        </w:tc>
        <w:tc>
          <w:tcPr>
            <w:tcW w:w="7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Contracting for Reproducibility Studies</w:t>
            </w: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18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GLP Sequencing</w:t>
            </w:r>
          </w:p>
        </w:tc>
        <w:tc>
          <w:tcPr>
            <w:tcW w:w="7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Completion of Clinical Accuracy Study - Outsourced</w:t>
            </w: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880" w:type="dxa"/>
            <w:vAlign w:val="bottom"/>
            <w:tcBorders>
              <w:left w:val="single" w:sz="8" w:color="auto"/>
              <w:right w:val="single" w:sz="8" w:color="auto"/>
            </w:tcBorders>
          </w:tcPr>
          <w:p>
            <w:pPr>
              <w:ind w:left="140"/>
              <w:spacing w:after="0" w:line="158" w:lineRule="exact"/>
              <w:rPr>
                <w:sz w:val="20"/>
                <w:szCs w:val="20"/>
                <w:color w:val="auto"/>
              </w:rPr>
            </w:pPr>
            <w:r>
              <w:rPr>
                <w:rFonts w:ascii="Times New Roman" w:cs="Times New Roman" w:eastAsia="Times New Roman" w:hAnsi="Times New Roman"/>
                <w:sz w:val="14"/>
                <w:szCs w:val="14"/>
                <w:color w:val="auto"/>
              </w:rPr>
              <w:t>GMP Raw materials</w:t>
            </w:r>
          </w:p>
        </w:tc>
        <w:tc>
          <w:tcPr>
            <w:tcW w:w="7620" w:type="dxa"/>
            <w:vAlign w:val="bottom"/>
            <w:tcBorders>
              <w:right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color w:val="auto"/>
              </w:rPr>
              <w:t>Primers &amp; Probes for the development and manufacture of PDGFRα tests. Estimate in HPLC and Mass determination for each</w:t>
            </w:r>
          </w:p>
        </w:tc>
        <w:tc>
          <w:tcPr>
            <w:tcW w:w="86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880" w:type="dxa"/>
            <w:vAlign w:val="bottom"/>
            <w:tcBorders>
              <w:left w:val="single" w:sz="8" w:color="auto"/>
              <w:right w:val="single" w:sz="8" w:color="auto"/>
            </w:tcBorders>
          </w:tcPr>
          <w:p>
            <w:pPr>
              <w:spacing w:after="0"/>
              <w:rPr>
                <w:sz w:val="16"/>
                <w:szCs w:val="16"/>
                <w:color w:val="auto"/>
              </w:rPr>
            </w:pPr>
          </w:p>
        </w:tc>
        <w:tc>
          <w:tcPr>
            <w:tcW w:w="76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oligonucleotide</w:t>
            </w: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18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Positive control oligos</w:t>
            </w:r>
          </w:p>
        </w:tc>
        <w:tc>
          <w:tcPr>
            <w:tcW w:w="7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Long oligonucleotides for the generation of positive controls</w:t>
            </w: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880" w:type="dxa"/>
            <w:vAlign w:val="bottom"/>
            <w:tcBorders>
              <w:left w:val="single" w:sz="8" w:color="auto"/>
              <w:right w:val="single" w:sz="8" w:color="auto"/>
            </w:tcBorders>
          </w:tcPr>
          <w:p>
            <w:pPr>
              <w:ind w:left="140"/>
              <w:spacing w:after="0" w:line="158" w:lineRule="exact"/>
              <w:rPr>
                <w:sz w:val="20"/>
                <w:szCs w:val="20"/>
                <w:color w:val="auto"/>
              </w:rPr>
            </w:pPr>
            <w:r>
              <w:rPr>
                <w:rFonts w:ascii="Times New Roman" w:cs="Times New Roman" w:eastAsia="Times New Roman" w:hAnsi="Times New Roman"/>
                <w:sz w:val="14"/>
                <w:szCs w:val="14"/>
                <w:color w:val="auto"/>
              </w:rPr>
              <w:t>Sample Costs</w:t>
            </w:r>
          </w:p>
        </w:tc>
        <w:tc>
          <w:tcPr>
            <w:tcW w:w="7620" w:type="dxa"/>
            <w:vAlign w:val="bottom"/>
            <w:tcBorders>
              <w:right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color w:val="auto"/>
              </w:rPr>
              <w:t>Procurement of sample will be required to support development.</w:t>
            </w:r>
          </w:p>
        </w:tc>
        <w:tc>
          <w:tcPr>
            <w:tcW w:w="86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880" w:type="dxa"/>
            <w:vAlign w:val="bottom"/>
            <w:tcBorders>
              <w:left w:val="single" w:sz="8" w:color="auto"/>
              <w:right w:val="single" w:sz="8" w:color="auto"/>
            </w:tcBorders>
          </w:tcPr>
          <w:p>
            <w:pPr>
              <w:spacing w:after="0"/>
              <w:rPr>
                <w:sz w:val="16"/>
                <w:szCs w:val="16"/>
                <w:color w:val="auto"/>
              </w:rPr>
            </w:pPr>
          </w:p>
        </w:tc>
        <w:tc>
          <w:tcPr>
            <w:tcW w:w="76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The cost of sample procurement varies depending on the disease tissue of interest.</w:t>
            </w: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1880" w:type="dxa"/>
            <w:vAlign w:val="bottom"/>
            <w:tcBorders>
              <w:left w:val="single" w:sz="8" w:color="auto"/>
              <w:right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rPr>
              <w:t>Clinical Test Site Monitoring</w:t>
            </w:r>
          </w:p>
        </w:tc>
        <w:tc>
          <w:tcPr>
            <w:tcW w:w="7620" w:type="dxa"/>
            <w:vAlign w:val="bottom"/>
            <w:tcBorders>
              <w:right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auto"/>
              </w:rPr>
              <w:t>During the course of the clinical trials monitoring of sites carrying</w:t>
            </w:r>
          </w:p>
        </w:tc>
        <w:tc>
          <w:tcPr>
            <w:tcW w:w="86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74"/>
        </w:trPr>
        <w:tc>
          <w:tcPr>
            <w:tcW w:w="1880" w:type="dxa"/>
            <w:vAlign w:val="bottom"/>
            <w:tcBorders>
              <w:left w:val="single" w:sz="8" w:color="auto"/>
              <w:right w:val="single" w:sz="8" w:color="auto"/>
            </w:tcBorders>
          </w:tcPr>
          <w:p>
            <w:pPr>
              <w:spacing w:after="0"/>
              <w:rPr>
                <w:sz w:val="15"/>
                <w:szCs w:val="15"/>
                <w:color w:val="auto"/>
              </w:rPr>
            </w:pPr>
          </w:p>
        </w:tc>
        <w:tc>
          <w:tcPr>
            <w:tcW w:w="76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out clinical testing will be conducted. The number of visits will be dependent on recruitment rate and site performance. For</w:t>
            </w:r>
          </w:p>
        </w:tc>
        <w:tc>
          <w:tcPr>
            <w:tcW w:w="860" w:type="dxa"/>
            <w:vAlign w:val="bottom"/>
          </w:tcPr>
          <w:p>
            <w:pPr>
              <w:spacing w:after="0"/>
              <w:rPr>
                <w:sz w:val="15"/>
                <w:szCs w:val="15"/>
                <w:color w:val="auto"/>
              </w:rPr>
            </w:pPr>
          </w:p>
        </w:tc>
      </w:tr>
      <w:tr>
        <w:trPr>
          <w:trHeight w:val="189"/>
        </w:trPr>
        <w:tc>
          <w:tcPr>
            <w:tcW w:w="1880" w:type="dxa"/>
            <w:vAlign w:val="bottom"/>
            <w:tcBorders>
              <w:left w:val="single" w:sz="8" w:color="auto"/>
              <w:right w:val="single" w:sz="8" w:color="auto"/>
            </w:tcBorders>
          </w:tcPr>
          <w:p>
            <w:pPr>
              <w:spacing w:after="0"/>
              <w:rPr>
                <w:sz w:val="16"/>
                <w:szCs w:val="16"/>
                <w:color w:val="auto"/>
              </w:rPr>
            </w:pPr>
          </w:p>
        </w:tc>
        <w:tc>
          <w:tcPr>
            <w:tcW w:w="7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clarity, the estimated cost per visit includes any travel and accommodation costs incurred during each such visit.</w:t>
            </w: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1880" w:type="dxa"/>
            <w:vAlign w:val="bottom"/>
            <w:tcBorders>
              <w:left w:val="single" w:sz="8" w:color="auto"/>
              <w:right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rPr>
              <w:t>Travel &amp; Accommodation</w:t>
            </w:r>
          </w:p>
        </w:tc>
        <w:tc>
          <w:tcPr>
            <w:tcW w:w="7620" w:type="dxa"/>
            <w:vAlign w:val="bottom"/>
            <w:tcBorders>
              <w:right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auto"/>
              </w:rPr>
              <w:t>During the course of the program, face-to-face Joint Project Team and Joint Steering Committee meetings will take place. The</w:t>
            </w:r>
          </w:p>
        </w:tc>
        <w:tc>
          <w:tcPr>
            <w:tcW w:w="86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880" w:type="dxa"/>
            <w:vAlign w:val="bottom"/>
            <w:tcBorders>
              <w:left w:val="single" w:sz="8" w:color="auto"/>
              <w:right w:val="single" w:sz="8" w:color="auto"/>
            </w:tcBorders>
          </w:tcPr>
          <w:p>
            <w:pPr>
              <w:spacing w:after="0"/>
              <w:rPr>
                <w:sz w:val="16"/>
                <w:szCs w:val="16"/>
                <w:color w:val="auto"/>
              </w:rPr>
            </w:pPr>
          </w:p>
        </w:tc>
        <w:tc>
          <w:tcPr>
            <w:tcW w:w="7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frequency of these meetings will be mutually agreed between QIAGEN and Blueprint in accordance with the MCA.</w:t>
            </w: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2"/>
        </w:trPr>
        <w:tc>
          <w:tcPr>
            <w:tcW w:w="1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Canada Registration</w:t>
            </w:r>
          </w:p>
        </w:tc>
        <w:tc>
          <w:tcPr>
            <w:tcW w:w="7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Product implementation together with IVD registration activities and submission fees for Health Canada</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6"/>
        </w:trPr>
        <w:tc>
          <w:tcPr>
            <w:tcW w:w="1880" w:type="dxa"/>
            <w:vAlign w:val="bottom"/>
            <w:tcBorders>
              <w:left w:val="single" w:sz="8" w:color="auto"/>
              <w:right w:val="single" w:sz="8" w:color="auto"/>
            </w:tcBorders>
          </w:tcPr>
          <w:p>
            <w:pPr>
              <w:spacing w:after="0"/>
              <w:rPr>
                <w:sz w:val="23"/>
                <w:szCs w:val="23"/>
                <w:color w:val="auto"/>
              </w:rPr>
            </w:pPr>
          </w:p>
        </w:tc>
        <w:tc>
          <w:tcPr>
            <w:tcW w:w="7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(Assumes no additional data generation)</w:t>
            </w:r>
          </w:p>
        </w:tc>
        <w:tc>
          <w:tcPr>
            <w:tcW w:w="860" w:type="dxa"/>
            <w:vAlign w:val="bottom"/>
          </w:tcPr>
          <w:p>
            <w:pPr>
              <w:spacing w:after="0"/>
              <w:rPr>
                <w:sz w:val="23"/>
                <w:szCs w:val="23"/>
                <w:color w:val="auto"/>
              </w:rPr>
            </w:pPr>
          </w:p>
        </w:tc>
      </w:tr>
      <w:tr>
        <w:trPr>
          <w:trHeight w:val="21"/>
        </w:trPr>
        <w:tc>
          <w:tcPr>
            <w:tcW w:w="1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0"/>
        </w:trPr>
        <w:tc>
          <w:tcPr>
            <w:tcW w:w="1880" w:type="dxa"/>
            <w:vAlign w:val="bottom"/>
            <w:tcBorders>
              <w:left w:val="single" w:sz="8" w:color="auto"/>
              <w:right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rPr>
              <w:t>IP</w:t>
            </w:r>
          </w:p>
        </w:tc>
        <w:tc>
          <w:tcPr>
            <w:tcW w:w="7620" w:type="dxa"/>
            <w:vAlign w:val="bottom"/>
            <w:tcBorders>
              <w:right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auto"/>
              </w:rPr>
              <w:t>Analyze third party rights for freedom-to-operate of the assay. Does not include licensing fees. –</w:t>
            </w:r>
          </w:p>
        </w:tc>
        <w:tc>
          <w:tcPr>
            <w:tcW w:w="86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880" w:type="dxa"/>
            <w:vAlign w:val="bottom"/>
            <w:tcBorders>
              <w:left w:val="single" w:sz="8" w:color="auto"/>
              <w:right w:val="single" w:sz="8" w:color="auto"/>
            </w:tcBorders>
          </w:tcPr>
          <w:p>
            <w:pPr>
              <w:spacing w:after="0"/>
              <w:rPr>
                <w:sz w:val="16"/>
                <w:szCs w:val="16"/>
                <w:color w:val="auto"/>
              </w:rPr>
            </w:pPr>
          </w:p>
        </w:tc>
        <w:tc>
          <w:tcPr>
            <w:tcW w:w="76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covered under IUO development</w:t>
            </w: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0"/>
        </w:trPr>
        <w:tc>
          <w:tcPr>
            <w:tcW w:w="1880" w:type="dxa"/>
            <w:vAlign w:val="bottom"/>
            <w:tcBorders>
              <w:left w:val="single" w:sz="8" w:color="auto"/>
              <w:right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rPr>
              <w:t>QIAamp DSP DNA FFPE</w:t>
            </w:r>
          </w:p>
        </w:tc>
        <w:tc>
          <w:tcPr>
            <w:tcW w:w="7620" w:type="dxa"/>
            <w:vAlign w:val="bottom"/>
            <w:tcBorders>
              <w:right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4"/>
                <w:szCs w:val="14"/>
                <w:color w:val="auto"/>
              </w:rPr>
              <w:t>Kits required for sample preparation</w:t>
            </w:r>
          </w:p>
        </w:tc>
        <w:tc>
          <w:tcPr>
            <w:tcW w:w="86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18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kits</w:t>
            </w:r>
          </w:p>
        </w:tc>
        <w:tc>
          <w:tcPr>
            <w:tcW w:w="72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r>
      <w:tr>
        <w:trPr>
          <w:trHeight w:val="32"/>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1880" w:type="dxa"/>
            <w:vAlign w:val="bottom"/>
            <w:tcBorders>
              <w:left w:val="single" w:sz="8" w:color="auto"/>
              <w:bottom w:val="single" w:sz="8" w:color="auto"/>
            </w:tcBorders>
          </w:tcPr>
          <w:p>
            <w:pPr>
              <w:spacing w:after="0"/>
              <w:rPr>
                <w:sz w:val="16"/>
                <w:szCs w:val="16"/>
                <w:color w:val="auto"/>
              </w:rPr>
            </w:pPr>
          </w:p>
        </w:tc>
        <w:tc>
          <w:tcPr>
            <w:tcW w:w="7620" w:type="dxa"/>
            <w:vAlign w:val="bottom"/>
            <w:tcBorders>
              <w:bottom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 Estimated Pass-Through Costs for CDx Development and Validation</w:t>
            </w: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678"/>
        </w:trPr>
        <w:tc>
          <w:tcPr>
            <w:tcW w:w="1880" w:type="dxa"/>
            <w:vAlign w:val="bottom"/>
          </w:tcPr>
          <w:p>
            <w:pPr>
              <w:spacing w:after="0"/>
              <w:rPr>
                <w:sz w:val="24"/>
                <w:szCs w:val="24"/>
                <w:color w:val="auto"/>
              </w:rPr>
            </w:pPr>
          </w:p>
        </w:tc>
        <w:tc>
          <w:tcPr>
            <w:tcW w:w="762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C-1</w:t>
            </w:r>
          </w:p>
        </w:tc>
        <w:tc>
          <w:tcPr>
            <w:tcW w:w="860" w:type="dxa"/>
            <w:vAlign w:val="bottom"/>
          </w:tcPr>
          <w:p>
            <w:pPr>
              <w:spacing w:after="0"/>
              <w:rPr>
                <w:sz w:val="24"/>
                <w:szCs w:val="24"/>
                <w:color w:val="auto"/>
              </w:rPr>
            </w:pPr>
          </w:p>
        </w:tc>
      </w:tr>
      <w:tr>
        <w:trPr>
          <w:trHeight w:val="191"/>
        </w:trPr>
        <w:tc>
          <w:tcPr>
            <w:tcW w:w="1880" w:type="dxa"/>
            <w:vAlign w:val="bottom"/>
          </w:tcPr>
          <w:p>
            <w:pPr>
              <w:spacing w:after="0"/>
              <w:rPr>
                <w:sz w:val="16"/>
                <w:szCs w:val="16"/>
                <w:color w:val="auto"/>
              </w:rPr>
            </w:pPr>
          </w:p>
        </w:tc>
        <w:tc>
          <w:tcPr>
            <w:tcW w:w="7620" w:type="dxa"/>
            <w:vAlign w:val="bottom"/>
            <w:gridSpan w:val="2"/>
          </w:tcPr>
          <w:p>
            <w:pPr>
              <w:ind w:left="680"/>
              <w:spacing w:after="0"/>
              <w:rPr>
                <w:sz w:val="20"/>
                <w:szCs w:val="20"/>
                <w:color w:val="auto"/>
              </w:rPr>
            </w:pPr>
            <w:r>
              <w:rPr>
                <w:rFonts w:ascii="Times New Roman" w:cs="Times New Roman" w:eastAsia="Times New Roman" w:hAnsi="Times New Roman"/>
                <w:sz w:val="14"/>
                <w:szCs w:val="14"/>
                <w:i w:val="1"/>
                <w:iCs w:val="1"/>
                <w:color w:val="auto"/>
              </w:rPr>
              <w:t>Confidential and Proprietary Information of Blueprint and QIAGEN</w:t>
            </w:r>
          </w:p>
        </w:tc>
        <w:tc>
          <w:tcPr>
            <w:tcW w:w="860" w:type="dxa"/>
            <w:vAlign w:val="bottom"/>
          </w:tcPr>
          <w:p>
            <w:pPr>
              <w:spacing w:after="0"/>
              <w:rPr>
                <w:sz w:val="16"/>
                <w:szCs w:val="16"/>
                <w:color w:val="auto"/>
              </w:rPr>
            </w:pPr>
          </w:p>
        </w:tc>
      </w:tr>
      <w:tr>
        <w:trPr>
          <w:trHeight w:val="99"/>
        </w:trPr>
        <w:tc>
          <w:tcPr>
            <w:tcW w:w="1880" w:type="dxa"/>
            <w:vAlign w:val="bottom"/>
            <w:tcBorders>
              <w:bottom w:val="single" w:sz="8" w:color="auto"/>
            </w:tcBorders>
          </w:tcPr>
          <w:p>
            <w:pPr>
              <w:spacing w:after="0"/>
              <w:rPr>
                <w:sz w:val="8"/>
                <w:szCs w:val="8"/>
                <w:color w:val="auto"/>
              </w:rPr>
            </w:pPr>
          </w:p>
        </w:tc>
        <w:tc>
          <w:tcPr>
            <w:tcW w:w="72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ectPr>
          <w:pgSz w:w="11900" w:h="16838" w:orient="portrait"/>
          <w:cols w:equalWidth="0" w:num="1">
            <w:col w:w="10360"/>
          </w:cols>
          <w:pgMar w:left="1400" w:top="123" w:right="139" w:bottom="1440" w:gutter="0" w:footer="0" w:header="0"/>
        </w:sectPr>
      </w:pPr>
    </w:p>
    <w:bookmarkStart w:id="86" w:name="page87"/>
    <w:bookmarkEnd w:id="86"/>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Jeffrey W. Albers, certify that:</w:t>
      </w:r>
    </w:p>
    <w:p>
      <w:pPr>
        <w:spacing w:after="0" w:line="154" w:lineRule="exact"/>
        <w:rPr>
          <w:sz w:val="20"/>
          <w:szCs w:val="20"/>
          <w:color w:val="auto"/>
        </w:rPr>
      </w:pPr>
    </w:p>
    <w:p>
      <w:pPr>
        <w:ind w:left="1200" w:hanging="543"/>
        <w:spacing w:after="0"/>
        <w:tabs>
          <w:tab w:leader="none" w:pos="12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Blueprint Medicines Corporation;</w:t>
      </w:r>
    </w:p>
    <w:p>
      <w:pPr>
        <w:spacing w:after="0" w:line="154" w:lineRule="exact"/>
        <w:rPr>
          <w:rFonts w:ascii="Times New Roman" w:cs="Times New Roman" w:eastAsia="Times New Roman" w:hAnsi="Times New Roman"/>
          <w:sz w:val="14"/>
          <w:szCs w:val="14"/>
          <w:color w:val="auto"/>
        </w:rPr>
      </w:pPr>
    </w:p>
    <w:p>
      <w:pPr>
        <w:ind w:left="140" w:right="479" w:firstLine="517"/>
        <w:spacing w:after="0" w:line="234" w:lineRule="auto"/>
        <w:tabs>
          <w:tab w:leader="none" w:pos="119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4"/>
          <w:szCs w:val="14"/>
          <w:color w:val="auto"/>
        </w:rPr>
      </w:pPr>
    </w:p>
    <w:p>
      <w:pPr>
        <w:jc w:val="both"/>
        <w:ind w:left="140" w:right="539" w:firstLine="517"/>
        <w:spacing w:after="0" w:line="252" w:lineRule="auto"/>
        <w:tabs>
          <w:tab w:leader="none" w:pos="119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4"/>
          <w:szCs w:val="14"/>
          <w:color w:val="auto"/>
        </w:rPr>
      </w:pPr>
    </w:p>
    <w:p>
      <w:pPr>
        <w:ind w:left="140" w:right="159" w:firstLine="517"/>
        <w:spacing w:after="0" w:line="252" w:lineRule="auto"/>
        <w:tabs>
          <w:tab w:leader="none" w:pos="119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Times New Roman" w:cs="Times New Roman" w:eastAsia="Times New Roman" w:hAnsi="Times New Roman"/>
          <w:sz w:val="14"/>
          <w:szCs w:val="14"/>
          <w:color w:val="auto"/>
        </w:rPr>
      </w:pPr>
    </w:p>
    <w:p>
      <w:pPr>
        <w:jc w:val="both"/>
        <w:ind w:left="660" w:right="219" w:firstLine="519"/>
        <w:spacing w:after="0" w:line="234" w:lineRule="auto"/>
        <w:tabs>
          <w:tab w:leader="none" w:pos="1705"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4"/>
          <w:szCs w:val="14"/>
          <w:color w:val="auto"/>
        </w:rPr>
      </w:pPr>
    </w:p>
    <w:p>
      <w:pPr>
        <w:ind w:left="1720" w:hanging="541"/>
        <w:spacing w:after="0"/>
        <w:tabs>
          <w:tab w:leader="none" w:pos="17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154" w:lineRule="exact"/>
        <w:rPr>
          <w:rFonts w:ascii="Times New Roman" w:cs="Times New Roman" w:eastAsia="Times New Roman" w:hAnsi="Times New Roman"/>
          <w:sz w:val="14"/>
          <w:szCs w:val="14"/>
          <w:color w:val="auto"/>
        </w:rPr>
      </w:pPr>
    </w:p>
    <w:p>
      <w:pPr>
        <w:ind w:left="660" w:right="159" w:firstLine="519"/>
        <w:spacing w:after="0"/>
        <w:tabs>
          <w:tab w:leader="none" w:pos="1727"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6" w:lineRule="exact"/>
        <w:rPr>
          <w:rFonts w:ascii="Times New Roman" w:cs="Times New Roman" w:eastAsia="Times New Roman" w:hAnsi="Times New Roman"/>
          <w:sz w:val="14"/>
          <w:szCs w:val="14"/>
          <w:color w:val="auto"/>
        </w:rPr>
      </w:pPr>
    </w:p>
    <w:p>
      <w:pPr>
        <w:ind w:left="660" w:right="319" w:firstLine="519"/>
        <w:spacing w:after="0" w:line="234" w:lineRule="auto"/>
        <w:tabs>
          <w:tab w:leader="none" w:pos="1714"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4"/>
          <w:szCs w:val="14"/>
          <w:color w:val="auto"/>
        </w:rPr>
      </w:pPr>
    </w:p>
    <w:p>
      <w:pPr>
        <w:ind w:left="140" w:right="259" w:firstLine="517"/>
        <w:spacing w:after="0" w:line="252" w:lineRule="auto"/>
        <w:tabs>
          <w:tab w:leader="none" w:pos="119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4"/>
          <w:szCs w:val="14"/>
          <w:color w:val="auto"/>
        </w:rPr>
      </w:pPr>
    </w:p>
    <w:p>
      <w:pPr>
        <w:ind w:left="660" w:right="279" w:firstLine="519"/>
        <w:spacing w:after="0" w:line="252" w:lineRule="auto"/>
        <w:tabs>
          <w:tab w:leader="none" w:pos="1705"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4"/>
          <w:szCs w:val="14"/>
          <w:color w:val="auto"/>
        </w:rPr>
      </w:pPr>
    </w:p>
    <w:p>
      <w:pPr>
        <w:ind w:left="660" w:right="579" w:firstLine="519"/>
        <w:spacing w:after="0" w:line="252" w:lineRule="auto"/>
        <w:tabs>
          <w:tab w:leader="none" w:pos="1714"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140"/>
        <w:spacing w:after="0"/>
        <w:tabs>
          <w:tab w:leader="none" w:pos="448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3810</wp:posOffset>
            </wp:positionV>
            <wp:extent cx="261112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1120" cy="6985"/>
                    </a:xfrm>
                    <a:prstGeom prst="rect">
                      <a:avLst/>
                    </a:prstGeom>
                    <a:noFill/>
                  </pic:spPr>
                </pic:pic>
              </a:graphicData>
            </a:graphic>
          </wp:anchor>
        </w:drawing>
      </w:r>
    </w:p>
    <w:p>
      <w:pPr>
        <w:ind w:left="4780"/>
        <w:spacing w:after="0" w:line="221" w:lineRule="auto"/>
        <w:rPr>
          <w:sz w:val="20"/>
          <w:szCs w:val="20"/>
          <w:color w:val="auto"/>
        </w:rPr>
      </w:pPr>
      <w:r>
        <w:rPr>
          <w:rFonts w:ascii="Times New Roman" w:cs="Times New Roman" w:eastAsia="Times New Roman" w:hAnsi="Times New Roman"/>
          <w:sz w:val="14"/>
          <w:szCs w:val="14"/>
          <w:color w:val="auto"/>
        </w:rPr>
        <w:t>Jeffrey W. Albers</w:t>
      </w:r>
    </w:p>
    <w:p>
      <w:pPr>
        <w:ind w:left="4780"/>
        <w:spacing w:after="0" w:line="21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47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193675</wp:posOffset>
            </wp:positionV>
            <wp:extent cx="556006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0060" cy="2095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 w:name="page88"/>
    <w:bookmarkEnd w:id="87"/>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Michael Landsittel, certify that:</w:t>
      </w:r>
    </w:p>
    <w:p>
      <w:pPr>
        <w:spacing w:after="0" w:line="154" w:lineRule="exact"/>
        <w:rPr>
          <w:sz w:val="20"/>
          <w:szCs w:val="20"/>
          <w:color w:val="auto"/>
        </w:rPr>
      </w:pPr>
    </w:p>
    <w:p>
      <w:pPr>
        <w:ind w:left="1200" w:hanging="543"/>
        <w:spacing w:after="0"/>
        <w:tabs>
          <w:tab w:leader="none" w:pos="1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Blueprint Medicines Corporation;</w:t>
      </w:r>
    </w:p>
    <w:p>
      <w:pPr>
        <w:spacing w:after="0" w:line="154" w:lineRule="exact"/>
        <w:rPr>
          <w:rFonts w:ascii="Times New Roman" w:cs="Times New Roman" w:eastAsia="Times New Roman" w:hAnsi="Times New Roman"/>
          <w:sz w:val="14"/>
          <w:szCs w:val="14"/>
          <w:color w:val="auto"/>
        </w:rPr>
      </w:pPr>
    </w:p>
    <w:p>
      <w:pPr>
        <w:ind w:left="140" w:right="479" w:firstLine="517"/>
        <w:spacing w:after="0" w:line="234" w:lineRule="auto"/>
        <w:tabs>
          <w:tab w:leader="none" w:pos="119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4"/>
          <w:szCs w:val="14"/>
          <w:color w:val="auto"/>
        </w:rPr>
      </w:pPr>
    </w:p>
    <w:p>
      <w:pPr>
        <w:jc w:val="both"/>
        <w:ind w:left="140" w:right="539" w:firstLine="517"/>
        <w:spacing w:after="0" w:line="252" w:lineRule="auto"/>
        <w:tabs>
          <w:tab w:leader="none" w:pos="119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4"/>
          <w:szCs w:val="14"/>
          <w:color w:val="auto"/>
        </w:rPr>
      </w:pPr>
    </w:p>
    <w:p>
      <w:pPr>
        <w:ind w:left="140" w:right="159" w:firstLine="517"/>
        <w:spacing w:after="0" w:line="252" w:lineRule="auto"/>
        <w:tabs>
          <w:tab w:leader="none" w:pos="119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Times New Roman" w:cs="Times New Roman" w:eastAsia="Times New Roman" w:hAnsi="Times New Roman"/>
          <w:sz w:val="14"/>
          <w:szCs w:val="14"/>
          <w:color w:val="auto"/>
        </w:rPr>
      </w:pPr>
    </w:p>
    <w:p>
      <w:pPr>
        <w:jc w:val="both"/>
        <w:ind w:left="660" w:right="219" w:firstLine="519"/>
        <w:spacing w:after="0" w:line="234" w:lineRule="auto"/>
        <w:tabs>
          <w:tab w:leader="none" w:pos="1705"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4"/>
          <w:szCs w:val="14"/>
          <w:color w:val="auto"/>
        </w:rPr>
      </w:pPr>
    </w:p>
    <w:p>
      <w:pPr>
        <w:ind w:left="1720" w:hanging="541"/>
        <w:spacing w:after="0"/>
        <w:tabs>
          <w:tab w:leader="none" w:pos="17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154" w:lineRule="exact"/>
        <w:rPr>
          <w:rFonts w:ascii="Times New Roman" w:cs="Times New Roman" w:eastAsia="Times New Roman" w:hAnsi="Times New Roman"/>
          <w:sz w:val="14"/>
          <w:szCs w:val="14"/>
          <w:color w:val="auto"/>
        </w:rPr>
      </w:pPr>
    </w:p>
    <w:p>
      <w:pPr>
        <w:ind w:left="660" w:right="159" w:firstLine="519"/>
        <w:spacing w:after="0"/>
        <w:tabs>
          <w:tab w:leader="none" w:pos="172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6" w:lineRule="exact"/>
        <w:rPr>
          <w:rFonts w:ascii="Times New Roman" w:cs="Times New Roman" w:eastAsia="Times New Roman" w:hAnsi="Times New Roman"/>
          <w:sz w:val="14"/>
          <w:szCs w:val="14"/>
          <w:color w:val="auto"/>
        </w:rPr>
      </w:pPr>
    </w:p>
    <w:p>
      <w:pPr>
        <w:ind w:left="660" w:right="319" w:firstLine="519"/>
        <w:spacing w:after="0" w:line="234" w:lineRule="auto"/>
        <w:tabs>
          <w:tab w:leader="none" w:pos="171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4"/>
          <w:szCs w:val="14"/>
          <w:color w:val="auto"/>
        </w:rPr>
      </w:pPr>
    </w:p>
    <w:p>
      <w:pPr>
        <w:ind w:left="140" w:right="259" w:firstLine="517"/>
        <w:spacing w:after="0" w:line="252" w:lineRule="auto"/>
        <w:tabs>
          <w:tab w:leader="none" w:pos="119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4"/>
          <w:szCs w:val="14"/>
          <w:color w:val="auto"/>
        </w:rPr>
      </w:pPr>
    </w:p>
    <w:p>
      <w:pPr>
        <w:ind w:left="660" w:right="279" w:firstLine="519"/>
        <w:spacing w:after="0" w:line="252" w:lineRule="auto"/>
        <w:tabs>
          <w:tab w:leader="none" w:pos="1705"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4"/>
          <w:szCs w:val="14"/>
          <w:color w:val="auto"/>
        </w:rPr>
      </w:pPr>
    </w:p>
    <w:p>
      <w:pPr>
        <w:ind w:left="660" w:right="579" w:firstLine="519"/>
        <w:spacing w:after="0" w:line="252" w:lineRule="auto"/>
        <w:tabs>
          <w:tab w:leader="none" w:pos="171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140"/>
        <w:spacing w:after="0"/>
        <w:tabs>
          <w:tab w:leader="none" w:pos="448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3810</wp:posOffset>
            </wp:positionV>
            <wp:extent cx="261810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8105" cy="6985"/>
                    </a:xfrm>
                    <a:prstGeom prst="rect">
                      <a:avLst/>
                    </a:prstGeom>
                    <a:noFill/>
                  </pic:spPr>
                </pic:pic>
              </a:graphicData>
            </a:graphic>
          </wp:anchor>
        </w:drawing>
      </w:r>
    </w:p>
    <w:p>
      <w:pPr>
        <w:ind w:left="4760"/>
        <w:spacing w:after="0" w:line="221" w:lineRule="auto"/>
        <w:rPr>
          <w:sz w:val="20"/>
          <w:szCs w:val="20"/>
          <w:color w:val="auto"/>
        </w:rPr>
      </w:pPr>
      <w:r>
        <w:rPr>
          <w:rFonts w:ascii="Times New Roman" w:cs="Times New Roman" w:eastAsia="Times New Roman" w:hAnsi="Times New Roman"/>
          <w:sz w:val="14"/>
          <w:szCs w:val="14"/>
          <w:color w:val="auto"/>
        </w:rPr>
        <w:t>Michael Landsittel</w:t>
      </w:r>
    </w:p>
    <w:p>
      <w:pPr>
        <w:ind w:left="4760"/>
        <w:spacing w:after="0" w:line="211" w:lineRule="auto"/>
        <w:rPr>
          <w:sz w:val="20"/>
          <w:szCs w:val="20"/>
          <w:color w:val="auto"/>
        </w:rPr>
      </w:pPr>
      <w:r>
        <w:rPr>
          <w:rFonts w:ascii="Times New Roman" w:cs="Times New Roman" w:eastAsia="Times New Roman" w:hAnsi="Times New Roman"/>
          <w:sz w:val="14"/>
          <w:szCs w:val="14"/>
          <w:color w:val="auto"/>
        </w:rPr>
        <w:t>Vice President of Finance</w:t>
      </w:r>
    </w:p>
    <w:p>
      <w:pPr>
        <w:ind w:left="47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193675</wp:posOffset>
            </wp:positionV>
            <wp:extent cx="556006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0060" cy="2095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8" w:name="page89"/>
    <w:bookmarkEnd w:id="88"/>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jc w:val="center"/>
        <w:ind w:right="-20"/>
        <w:spacing w:after="0" w:line="210"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8" w:lineRule="exact"/>
        <w:rPr>
          <w:sz w:val="20"/>
          <w:szCs w:val="20"/>
          <w:color w:val="auto"/>
        </w:rPr>
      </w:pPr>
    </w:p>
    <w:p>
      <w:pPr>
        <w:ind w:left="140" w:right="299" w:firstLine="522"/>
        <w:spacing w:after="0" w:line="234" w:lineRule="auto"/>
        <w:rPr>
          <w:sz w:val="20"/>
          <w:szCs w:val="20"/>
          <w:color w:val="auto"/>
        </w:rPr>
      </w:pPr>
      <w:r>
        <w:rPr>
          <w:rFonts w:ascii="Times New Roman" w:cs="Times New Roman" w:eastAsia="Times New Roman" w:hAnsi="Times New Roman"/>
          <w:sz w:val="14"/>
          <w:szCs w:val="14"/>
          <w:color w:val="auto"/>
        </w:rPr>
        <w:t>In connection with the Quarterly Report on Form 10-Q of Blueprint Medicines Corporation (the “Company”) for the period ended June 30, 2017 as filed with the Securities and Exchange Commission on the date hereof (the “Report”), each of the undersigned officers of the Company hereby certifies, pursuant to 18 U.S.C. Section 1350, that to his knowledge:</w:t>
      </w:r>
    </w:p>
    <w:p>
      <w:pPr>
        <w:spacing w:after="0" w:line="127" w:lineRule="exact"/>
        <w:rPr>
          <w:sz w:val="20"/>
          <w:szCs w:val="20"/>
          <w:color w:val="auto"/>
        </w:rPr>
      </w:pPr>
    </w:p>
    <w:p>
      <w:pPr>
        <w:ind w:left="1200" w:hanging="478"/>
        <w:spacing w:after="0"/>
        <w:tabs>
          <w:tab w:leader="none" w:pos="1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4" w:lineRule="exact"/>
        <w:rPr>
          <w:rFonts w:ascii="Times New Roman" w:cs="Times New Roman" w:eastAsia="Times New Roman" w:hAnsi="Times New Roman"/>
          <w:sz w:val="14"/>
          <w:szCs w:val="14"/>
          <w:color w:val="auto"/>
        </w:rPr>
      </w:pPr>
    </w:p>
    <w:p>
      <w:pPr>
        <w:ind w:left="1180" w:right="299" w:hanging="458"/>
        <w:spacing w:after="0" w:line="252" w:lineRule="auto"/>
        <w:tabs>
          <w:tab w:leader="none" w:pos="1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71" w:lineRule="exact"/>
        <w:rPr>
          <w:sz w:val="20"/>
          <w:szCs w:val="20"/>
          <w:color w:val="auto"/>
        </w:rPr>
      </w:pPr>
    </w:p>
    <w:p>
      <w:pPr>
        <w:ind w:left="140"/>
        <w:spacing w:after="0"/>
        <w:tabs>
          <w:tab w:leader="none" w:pos="458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3810</wp:posOffset>
            </wp:positionV>
            <wp:extent cx="25558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5875" cy="6985"/>
                    </a:xfrm>
                    <a:prstGeom prst="rect">
                      <a:avLst/>
                    </a:prstGeom>
                    <a:noFill/>
                  </pic:spPr>
                </pic:pic>
              </a:graphicData>
            </a:graphic>
          </wp:anchor>
        </w:drawing>
      </w:r>
    </w:p>
    <w:p>
      <w:pPr>
        <w:ind w:left="4860"/>
        <w:spacing w:after="0" w:line="221" w:lineRule="auto"/>
        <w:rPr>
          <w:sz w:val="20"/>
          <w:szCs w:val="20"/>
          <w:color w:val="auto"/>
        </w:rPr>
      </w:pPr>
      <w:r>
        <w:rPr>
          <w:rFonts w:ascii="Times New Roman" w:cs="Times New Roman" w:eastAsia="Times New Roman" w:hAnsi="Times New Roman"/>
          <w:sz w:val="14"/>
          <w:szCs w:val="14"/>
          <w:color w:val="auto"/>
        </w:rPr>
        <w:t>Jeffrey W. Albers</w:t>
      </w:r>
    </w:p>
    <w:p>
      <w:pPr>
        <w:ind w:left="4860"/>
        <w:spacing w:after="0" w:line="21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4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17" w:lineRule="exact"/>
        <w:rPr>
          <w:sz w:val="20"/>
          <w:szCs w:val="20"/>
          <w:color w:val="auto"/>
        </w:rPr>
      </w:pPr>
    </w:p>
    <w:p>
      <w:pPr>
        <w:ind w:left="140"/>
        <w:spacing w:after="0"/>
        <w:tabs>
          <w:tab w:leader="none" w:pos="4560" w:val="left"/>
        </w:tabs>
        <w:rPr>
          <w:sz w:val="20"/>
          <w:szCs w:val="20"/>
          <w:color w:val="auto"/>
        </w:rPr>
      </w:pPr>
      <w:r>
        <w:rPr>
          <w:rFonts w:ascii="Times New Roman" w:cs="Times New Roman" w:eastAsia="Times New Roman" w:hAnsi="Times New Roman"/>
          <w:sz w:val="14"/>
          <w:szCs w:val="14"/>
          <w:color w:val="auto"/>
        </w:rPr>
        <w:t>Date: August 2, 2017</w:t>
      </w:r>
      <w:r>
        <w:rPr>
          <w:sz w:val="20"/>
          <w:szCs w:val="20"/>
          <w:color w:val="auto"/>
        </w:rPr>
        <w:tab/>
      </w:r>
      <w:r>
        <w:rPr>
          <w:rFonts w:ascii="Times New Roman" w:cs="Times New Roman" w:eastAsia="Times New Roman" w:hAnsi="Times New Roman"/>
          <w:sz w:val="14"/>
          <w:szCs w:val="14"/>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3810</wp:posOffset>
            </wp:positionV>
            <wp:extent cx="256921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9210" cy="6985"/>
                    </a:xfrm>
                    <a:prstGeom prst="rect">
                      <a:avLst/>
                    </a:prstGeom>
                    <a:noFill/>
                  </pic:spPr>
                </pic:pic>
              </a:graphicData>
            </a:graphic>
          </wp:anchor>
        </w:drawing>
      </w:r>
    </w:p>
    <w:p>
      <w:pPr>
        <w:ind w:left="4840"/>
        <w:spacing w:after="0" w:line="221" w:lineRule="auto"/>
        <w:rPr>
          <w:sz w:val="20"/>
          <w:szCs w:val="20"/>
          <w:color w:val="auto"/>
        </w:rPr>
      </w:pPr>
      <w:r>
        <w:rPr>
          <w:rFonts w:ascii="Times New Roman" w:cs="Times New Roman" w:eastAsia="Times New Roman" w:hAnsi="Times New Roman"/>
          <w:sz w:val="14"/>
          <w:szCs w:val="14"/>
          <w:color w:val="auto"/>
        </w:rPr>
        <w:t>Michael Landsittel</w:t>
      </w:r>
    </w:p>
    <w:p>
      <w:pPr>
        <w:ind w:left="4840"/>
        <w:spacing w:after="0" w:line="211" w:lineRule="auto"/>
        <w:rPr>
          <w:sz w:val="20"/>
          <w:szCs w:val="20"/>
          <w:color w:val="auto"/>
        </w:rPr>
      </w:pPr>
      <w:r>
        <w:rPr>
          <w:rFonts w:ascii="Times New Roman" w:cs="Times New Roman" w:eastAsia="Times New Roman" w:hAnsi="Times New Roman"/>
          <w:sz w:val="14"/>
          <w:szCs w:val="14"/>
          <w:color w:val="auto"/>
        </w:rPr>
        <w:t>Vice President of Finance</w:t>
      </w:r>
    </w:p>
    <w:p>
      <w:pPr>
        <w:ind w:left="48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193675</wp:posOffset>
            </wp:positionV>
            <wp:extent cx="556006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0060" cy="20955"/>
                    </a:xfrm>
                    <a:prstGeom prst="rect">
                      <a:avLst/>
                    </a:prstGeom>
                    <a:noFill/>
                  </pic:spPr>
                </pic:pic>
              </a:graphicData>
            </a:graphic>
          </wp:anchor>
        </w:drawing>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
      <w:numFmt w:val="bullet"/>
      <w:start w:val="1"/>
    </w:lvl>
  </w:abstractNum>
  <w:abstractNum w:abstractNumId="1">
    <w:nsid w:val="5577F8E1"/>
    <w:multiLevelType w:val="hybridMultilevel"/>
    <w:lvl w:ilvl="0">
      <w:lvlJc w:val="left"/>
      <w:lvlText w:val=" "/>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3"/>
    </w:lvl>
  </w:abstractNum>
  <w:abstractNum w:abstractNumId="4">
    <w:nsid w:val="3804823E"/>
    <w:multiLevelType w:val="hybridMultilevel"/>
    <w:lvl w:ilvl="0">
      <w:lvlJc w:val="left"/>
      <w:lvlText w:val="%1."/>
      <w:numFmt w:val="decimal"/>
      <w:start w:val="4"/>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lowerRoman"/>
      <w:start w:val="2"/>
    </w:lvl>
  </w:abstractNum>
  <w:abstractNum w:abstractNumId="32">
    <w:nsid w:val="3DC240FB"/>
    <w:multiLevelType w:val="hybridMultilevel"/>
    <w:lvl w:ilvl="0">
      <w:lvlJc w:val="left"/>
      <w:lvlText w:val="(%1)"/>
      <w:numFmt w:val="lowerRoman"/>
      <w:start w:val="4"/>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6"/>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2019-12-29T05:14:50Z</dcterms:created>
  <dcterms:modified xsi:type="dcterms:W3CDTF">2019-12-29T05:14:50Z</dcterms:modified>
</cp:coreProperties>
</file>