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Rowland Charles A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BLUEPRINT MEDICINES CORPORATION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1,312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Each restricted stock unit represents a contingent right to receive one share of the Issuer's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On June 19, 2019, the reporting person was granted 1,312 restricted stock units. These restricted stock units are fully vested.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06/23/2020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-4258310</wp:posOffset>
            </wp:positionV>
            <wp:extent cx="7033260" cy="32029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0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83292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2020-06-23T15:17:11Z</dcterms:created>
  <dcterms:modified xsi:type="dcterms:W3CDTF">2020-06-23T15:17:11Z</dcterms:modified>
</cp:coreProperties>
</file>