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120"/>
        <w:ind w:left="0" w:right="0" w:hanging="0"/>
        <w:jc w:val="left"/>
        <w:rPr/>
      </w:pPr>
      <w:hyperlink w:anchor="Toc">
        <w:bookmarkStart w:id="0" w:name="bpmc-20230930x10q.htm"/>
        <w:bookmarkStart w:id="1" w:name="ksbpmc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88" w:after="0"/>
        <w:ind w:left="0" w:right="0" w:hanging="0"/>
        <w:jc w:val="center"/>
        <w:rPr>
          <w:rFonts w:ascii="Times New Roman;Times;serif" w:hAnsi="Times New Roman;Times;serif"/>
          <w:b/>
          <w:sz w:val="32"/>
        </w:rPr>
      </w:pPr>
      <w:bookmarkStart w:id="2" w:name="_c0ff4c35_77d2_476c_87cc_b6af3ca7bb26"/>
      <w:bookmarkEnd w:id="2"/>
      <w:r>
        <w:rPr>
          <w:rFonts w:ascii="Times New Roman;Times;serif" w:hAnsi="Times New Roman;Times;serif"/>
          <w:b/>
          <w:sz w:val="32"/>
        </w:rPr>
        <w:t>UNITED STATES</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20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264"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lineRule="auto" w:line="285" w:before="0" w:after="0"/>
        <w:ind w:left="0" w:right="0" w:hanging="0"/>
        <w:jc w:val="center"/>
        <w:rPr/>
      </w:pPr>
      <w:r>
        <w:rPr/>
        <w:t>​</w:t>
      </w:r>
    </w:p>
    <w:p>
      <w:pPr>
        <w:pStyle w:val="TextBody"/>
        <w:bidi w:val="0"/>
        <w:spacing w:lineRule="auto" w:line="285" w:before="0" w:after="0"/>
        <w:ind w:left="108"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bidi w:val="0"/>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p>
      <w:pPr>
        <w:pStyle w:val="TextBody"/>
        <w:bidi w:val="0"/>
        <w:spacing w:lineRule="auto" w:line="285" w:before="200" w:after="2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lineRule="auto" w:line="285" w:before="0" w:after="0"/>
        <w:ind w:left="0" w:right="0" w:hanging="0"/>
        <w:jc w:val="left"/>
        <w:rPr/>
      </w:pPr>
      <w:r>
        <w:rPr/>
        <w:t>​</w:t>
      </w:r>
    </w:p>
    <w:p>
      <w:pPr>
        <w:pStyle w:val="TextBody"/>
        <w:bidi w:val="0"/>
        <w:spacing w:lineRule="auto" w:line="285" w:before="0" w:after="0"/>
        <w:ind w:left="108"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bidi w:val="0"/>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001-37359</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0" w:after="0"/>
        <w:ind w:left="0" w:right="0" w:hanging="0"/>
        <w:jc w:val="center"/>
        <w:rPr/>
      </w:pPr>
      <w:r>
        <w:rPr/>
        <w:t>​</w:t>
      </w:r>
    </w:p>
    <w:p>
      <w:pPr>
        <w:pStyle w:val="TextBody"/>
        <w:bidi w:val="0"/>
        <w:spacing w:lineRule="auto" w:line="285" w:before="160" w:after="0"/>
        <w:ind w:left="0" w:right="0" w:hanging="0"/>
        <w:jc w:val="center"/>
        <w:rPr>
          <w:rFonts w:ascii="Times New Roman;Times;serif" w:hAnsi="Times New Roman;Times;serif"/>
          <w:b/>
          <w:sz w:val="44"/>
        </w:rPr>
      </w:pPr>
      <w:r>
        <w:rPr>
          <w:rFonts w:ascii="Times New Roman;Times;serif" w:hAnsi="Times New Roman;Times;serif"/>
          <w:b/>
          <w:sz w:val="44"/>
        </w:rPr>
        <w:t>BLUEPRINT MEDICINES CORPORATION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XV4Eomh0806OOK0qLq4cRA_4_2"/>
      <w:bookmarkStart w:id="4" w:name="Tc_VwR4adHtp0a-NzYkeFMg-g_4_0"/>
      <w:bookmarkStart w:id="5" w:name="Tc_Q1MPNc51w0qX3Dx3zyfUcA_3_0"/>
      <w:bookmarkStart w:id="6" w:name="Tc_YFSOtbOG00irEyj8ddC2iQ_1_2"/>
      <w:bookmarkStart w:id="7" w:name="Tc_kHBoEhrTYUCFmBr29SoYVA_1_0"/>
      <w:bookmarkStart w:id="8" w:name="_b450458e_301a_40d8_8429_7c8cfd151076"/>
      <w:bookmarkStart w:id="9" w:name="Tc_XV4Eomh0806OOK0qLq4cRA_4_2"/>
      <w:bookmarkStart w:id="10" w:name="Tc_VwR4adHtp0a-NzYkeFMg-g_4_0"/>
      <w:bookmarkStart w:id="11" w:name="Tc_Q1MPNc51w0qX3Dx3zyfUcA_3_0"/>
      <w:bookmarkStart w:id="12" w:name="Tc_YFSOtbOG00irEyj8ddC2iQ_1_2"/>
      <w:bookmarkStart w:id="13" w:name="Tc_kHBoEhrTYUCFmBr29SoYVA_1_0"/>
      <w:bookmarkStart w:id="14" w:name="_b450458e_301a_40d8_8429_7c8cfd151076"/>
      <w:bookmarkEnd w:id="9"/>
      <w:bookmarkEnd w:id="10"/>
      <w:bookmarkEnd w:id="11"/>
      <w:bookmarkEnd w:id="12"/>
      <w:bookmarkEnd w:id="13"/>
      <w:bookmarkEnd w:id="14"/>
    </w:p>
    <w:tbl>
      <w:tblPr>
        <w:tblW w:w="3673" w:type="dxa"/>
        <w:jc w:val="left"/>
        <w:tblInd w:w="0" w:type="dxa"/>
        <w:tblLayout w:type="fixed"/>
        <w:tblCellMar>
          <w:top w:w="0" w:type="dxa"/>
          <w:left w:w="0" w:type="dxa"/>
          <w:bottom w:w="0" w:type="dxa"/>
          <w:right w:w="0" w:type="dxa"/>
        </w:tblCellMar>
      </w:tblPr>
      <w:tblGrid>
        <w:gridCol w:w="2371"/>
        <w:gridCol w:w="146"/>
        <w:gridCol w:w="1156"/>
      </w:tblGrid>
      <w:tr>
        <w:trPr/>
        <w:tc>
          <w:tcPr>
            <w:tcW w:w="237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26-3632015</w:t>
            </w:r>
          </w:p>
        </w:tc>
      </w:tr>
      <w:tr>
        <w:trPr/>
        <w:tc>
          <w:tcPr>
            <w:tcW w:w="237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br/>
              <w:t>Incorporation or Organization)</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br/>
              <w:t>Identification No.)</w:t>
            </w:r>
          </w:p>
        </w:tc>
      </w:tr>
      <w:tr>
        <w:trPr/>
        <w:tc>
          <w:tcPr>
            <w:tcW w:w="2371" w:type="dxa"/>
            <w:tcBorders/>
            <w:vAlign w:val="center"/>
          </w:tcPr>
          <w:p>
            <w:pPr>
              <w:pStyle w:val="TableContents"/>
              <w:pBdr/>
              <w:bidi w:val="0"/>
              <w:spacing w:lineRule="auto" w:line="285" w:before="0" w:after="0"/>
              <w:ind w:left="0" w:right="0" w:hanging="0"/>
              <w:jc w:val="left"/>
              <w:rPr/>
            </w:pPr>
            <w:r>
              <w:rPr/>
              <w:t> </w:t>
            </w:r>
          </w:p>
        </w:tc>
        <w:tc>
          <w:tcPr>
            <w:tcW w:w="1302" w:type="dxa"/>
            <w:gridSpan w:val="2"/>
            <w:tcBorders/>
            <w:vAlign w:val="center"/>
          </w:tcPr>
          <w:p>
            <w:pPr>
              <w:pStyle w:val="TableContents"/>
              <w:bidi w:val="0"/>
              <w:spacing w:lineRule="auto" w:line="285" w:before="0" w:after="0"/>
              <w:ind w:left="0" w:right="0" w:hanging="0"/>
              <w:jc w:val="left"/>
              <w:rPr/>
            </w:pPr>
            <w:r>
              <w:rPr/>
              <w:t> </w:t>
            </w:r>
          </w:p>
        </w:tc>
      </w:tr>
      <w:tr>
        <w:trPr/>
        <w:tc>
          <w:tcPr>
            <w:tcW w:w="2371" w:type="dxa"/>
            <w:tcBorders/>
            <w:vAlign w:val="center"/>
          </w:tcPr>
          <w:p>
            <w:pPr>
              <w:pStyle w:val="TableContents"/>
              <w:pBdr/>
              <w:bidi w:val="0"/>
              <w:spacing w:lineRule="auto" w:line="285" w:before="0" w:after="0"/>
              <w:ind w:left="0" w:right="0" w:hanging="144"/>
              <w:jc w:val="center"/>
              <w:rPr>
                <w:rFonts w:ascii="Times New Roman;Times;serif" w:hAnsi="Times New Roman;Times;serif"/>
                <w:b/>
                <w:sz w:val="20"/>
              </w:rPr>
            </w:pPr>
            <w:r>
              <w:rPr>
                <w:rFonts w:ascii="Times New Roman;Times;serif" w:hAnsi="Times New Roman;Times;serif"/>
                <w:b/>
                <w:sz w:val="20"/>
              </w:rPr>
              <w:t>45 Sidney Street</w:t>
            </w:r>
          </w:p>
          <w:p>
            <w:pPr>
              <w:pStyle w:val="TableContents"/>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Cambridge, Massachusetts</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02139</w:t>
            </w:r>
          </w:p>
        </w:tc>
      </w:tr>
      <w:tr>
        <w:trPr/>
        <w:tc>
          <w:tcPr>
            <w:tcW w:w="2371" w:type="dxa"/>
            <w:tcBorders/>
            <w:vAlign w:val="center"/>
          </w:tcPr>
          <w:p>
            <w:pPr>
              <w:pStyle w:val="TableContents"/>
              <w:pBdr/>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(617) 374-7580</w:t>
      </w:r>
    </w:p>
    <w:p>
      <w:pPr>
        <w:pStyle w:val="TextBody"/>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120"/>
        <w:ind w:left="0" w:right="0" w:hanging="0"/>
        <w:jc w:val="center"/>
        <w:rPr>
          <w:rFonts w:ascii="Times New Roman;Times;serif" w:hAnsi="Times New Roman;Times;serif"/>
          <w:b/>
          <w:sz w:val="12"/>
        </w:rPr>
      </w:pPr>
      <w:r>
        <w:rPr>
          <w:rFonts w:ascii="Times New Roman;Times;serif" w:hAnsi="Times New Roman;Times;serif"/>
          <w:b/>
          <w:sz w:val="12"/>
        </w:rPr>
        <w:t>(Former Name, Former Address and Former Fiscal Year, if Changed Since Last Report)</w:t>
      </w:r>
    </w:p>
    <w:p>
      <w:pPr>
        <w:pStyle w:val="TextBody"/>
        <w:bidi w:val="0"/>
        <w:spacing w:lineRule="auto" w:line="285" w:before="0" w:after="120"/>
        <w:ind w:left="0" w:right="0" w:firstLine="461"/>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85" w:before="0" w:after="120"/>
        <w:ind w:left="0" w:right="0" w:firstLine="461"/>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85" w:before="0" w:after="120"/>
        <w:ind w:left="0" w:right="0" w:firstLine="461"/>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4232" w:type="dxa"/>
        <w:jc w:val="left"/>
        <w:tblInd w:w="0" w:type="dxa"/>
        <w:tblLayout w:type="fixed"/>
        <w:tblCellMar>
          <w:top w:w="0" w:type="dxa"/>
          <w:left w:w="0" w:type="dxa"/>
          <w:bottom w:w="0" w:type="dxa"/>
          <w:right w:w="0" w:type="dxa"/>
        </w:tblCellMar>
      </w:tblPr>
      <w:tblGrid>
        <w:gridCol w:w="1891"/>
        <w:gridCol w:w="234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p>
            <w:pPr>
              <w:pStyle w:val="TableContents"/>
              <w:pBdr/>
              <w:bidi w:val="0"/>
              <w:spacing w:lineRule="auto" w:line="304" w:before="40" w:after="0"/>
              <w:ind w:left="0" w:right="0" w:hanging="0"/>
              <w:jc w:val="center"/>
              <w:rPr>
                <w:rFonts w:ascii="Times New Roman;Times;serif" w:hAnsi="Times New Roman;Times;serif"/>
                <w:sz w:val="16"/>
              </w:rPr>
            </w:pPr>
            <w:r>
              <w:rPr>
                <w:rFonts w:ascii="Times New Roman;Times;serif" w:hAnsi="Times New Roman;Times;serif"/>
                <w:sz w:val="16"/>
              </w:rPr>
              <w:t>Non-accelerated filer ☐ </w:t>
            </w:r>
          </w:p>
        </w:tc>
        <w:tc>
          <w:tcPr>
            <w:tcW w:w="2341" w:type="dxa"/>
            <w:tcBorders/>
            <w:vAlign w:val="center"/>
          </w:tcPr>
          <w:p>
            <w:pPr>
              <w:pStyle w:val="TableContents"/>
              <w:pBdr/>
              <w:bidi w:val="0"/>
              <w:spacing w:lineRule="auto" w:line="304" w:before="40" w:after="40"/>
              <w:ind w:left="0" w:right="0" w:hanging="240"/>
              <w:jc w:val="center"/>
              <w:rPr>
                <w:rFonts w:ascii="Times New Roman;Times;serif" w:hAnsi="Times New Roman;Times;serif"/>
                <w:sz w:val="16"/>
              </w:rPr>
            </w:pPr>
            <w:r>
              <w:rPr>
                <w:rFonts w:ascii="Times New Roman;Times;serif" w:hAnsi="Times New Roman;Times;serif"/>
                <w:sz w:val="16"/>
              </w:rPr>
              <w:t>Accelerated filer ☐</w:t>
            </w:r>
          </w:p>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uto" w:line="285" w:before="120" w:after="0"/>
        <w:ind w:left="0" w:right="0" w:firstLine="461"/>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120" w:after="0"/>
        <w:ind w:left="0" w:right="0" w:firstLine="461"/>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lineRule="auto" w:line="285" w:before="0" w:after="0"/>
        <w:ind w:left="0" w:right="0" w:firstLine="461"/>
        <w:jc w:val="left"/>
        <w:rPr/>
      </w:pPr>
      <w:r>
        <w:rPr/>
        <w:t>​</w:t>
      </w:r>
    </w:p>
    <w:p>
      <w:pPr>
        <w:pStyle w:val="TextBody"/>
        <w:bidi w:val="0"/>
        <w:spacing w:lineRule="auto" w:line="343" w:before="1" w:after="0"/>
        <w:ind w:left="160" w:right="480" w:firstLine="24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5" w:name="Tc_sFLX1y7p5k2YPFvcT_bmXA_1_2"/>
      <w:bookmarkStart w:id="16" w:name="Tc_6r1KbbbJKUWFkSGVuiFhcA_1_1"/>
      <w:bookmarkStart w:id="17" w:name="Tc_NPl-cut47ECZRE2wnmi0Ow_1_0"/>
      <w:bookmarkStart w:id="18" w:name="_4a234928_e86c_468a_a214_5df0f6a6da07"/>
      <w:bookmarkStart w:id="19" w:name="Tc_sFLX1y7p5k2YPFvcT_bmXA_1_2"/>
      <w:bookmarkStart w:id="20" w:name="Tc_6r1KbbbJKUWFkSGVuiFhcA_1_1"/>
      <w:bookmarkStart w:id="21" w:name="Tc_NPl-cut47ECZRE2wnmi0Ow_1_0"/>
      <w:bookmarkStart w:id="22" w:name="_4a234928_e86c_468a_a214_5df0f6a6da07"/>
      <w:bookmarkEnd w:id="19"/>
      <w:bookmarkEnd w:id="20"/>
      <w:bookmarkEnd w:id="21"/>
      <w:bookmarkEnd w:id="22"/>
    </w:p>
    <w:tbl>
      <w:tblPr>
        <w:tblW w:w="7743" w:type="dxa"/>
        <w:jc w:val="left"/>
        <w:tblInd w:w="0" w:type="dxa"/>
        <w:tblLayout w:type="fixed"/>
        <w:tblCellMar>
          <w:top w:w="0" w:type="dxa"/>
          <w:left w:w="0" w:type="dxa"/>
          <w:bottom w:w="0" w:type="dxa"/>
          <w:right w:w="0" w:type="dxa"/>
        </w:tblCellMar>
      </w:tblPr>
      <w:tblGrid>
        <w:gridCol w:w="3121"/>
        <w:gridCol w:w="1396"/>
        <w:gridCol w:w="322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31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1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Common stock, par value $0.001 per share</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BPMC</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48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lineRule="auto" w:line="285" w:before="40" w:after="0"/>
        <w:ind w:left="0" w:right="0" w:firstLine="461"/>
        <w:jc w:val="left"/>
        <w:rPr>
          <w:rFonts w:ascii="Times New Roman;Times;serif" w:hAnsi="Times New Roman;Times;serif"/>
          <w:sz w:val="16"/>
        </w:rPr>
      </w:pPr>
      <w:r>
        <w:rPr>
          <w:rFonts w:ascii="Times New Roman;Times;serif" w:hAnsi="Times New Roman;Times;serif"/>
          <w:sz w:val="16"/>
        </w:rPr>
        <w:t>Number of shares of the registrant’s common stock, $0.001 par value, outstanding on October 23, 2023: 60,789,712</w:t>
      </w:r>
    </w:p>
    <w:p>
      <w:pPr>
        <w:pStyle w:val="TextBody"/>
        <w:bidi w:val="0"/>
        <w:spacing w:lineRule="auto" w:line="285" w:before="0" w:after="0"/>
        <w:ind w:left="0" w:right="0" w:firstLine="461"/>
        <w:jc w:val="left"/>
        <w:rPr/>
      </w:pPr>
      <w:r>
        <w:rPr/>
        <w:t>​</w:t>
      </w:r>
    </w:p>
    <w:p>
      <w:pPr>
        <w:pStyle w:val="TextBody"/>
        <w:bidi w:val="0"/>
        <w:spacing w:lineRule="auto" w:line="285" w:before="0" w:after="0"/>
        <w:ind w:left="0" w:right="0" w:firstLine="461"/>
        <w:jc w:val="left"/>
        <w:rPr/>
      </w:pPr>
      <w:r>
        <w:rPr/>
        <w:t>​</w:t>
      </w:r>
    </w:p>
    <w:p>
      <w:pPr>
        <w:pStyle w:val="TextBody"/>
        <w:bidi w:val="0"/>
        <w:spacing w:lineRule="auto" w:line="285" w:before="480" w:after="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sz w:val="20"/>
        </w:rPr>
      </w:pPr>
      <w:bookmarkStart w:id="23" w:name="Toc"/>
      <w:bookmarkStart w:id="24" w:name="_5a602b6e_0565_4d8c_b869_e6853db26682"/>
      <w:bookmarkEnd w:id="23"/>
      <w:bookmarkEnd w:id="24"/>
      <w:r>
        <w:rPr>
          <w:rFonts w:ascii="Times New Roman;Times;serif" w:hAnsi="Times New Roman;Times;serif"/>
          <w:b/>
          <w:sz w:val="20"/>
        </w:rPr>
        <w:t>TABLE OF</w:t>
      </w:r>
      <w:r>
        <w:rPr>
          <w:rFonts w:ascii="Times New Roman;Times;serif" w:hAnsi="Times New Roman;Times;serif"/>
          <w:sz w:val="20"/>
        </w:rPr>
        <w:t xml:space="preserve"> </w:t>
      </w:r>
      <w:r>
        <w:rPr>
          <w:rFonts w:ascii="Times New Roman;Times;serif" w:hAnsi="Times New Roman;Times;serif"/>
          <w:b/>
          <w:sz w:val="20"/>
        </w:rPr>
        <w:t>CONTENTS</w:t>
      </w:r>
    </w:p>
    <w:tbl>
      <w:tblPr>
        <w:tblW w:w="10205" w:type="dxa"/>
        <w:jc w:val="left"/>
        <w:tblInd w:w="0" w:type="dxa"/>
        <w:tblLayout w:type="fixed"/>
        <w:tblCellMar>
          <w:top w:w="0" w:type="dxa"/>
          <w:left w:w="0" w:type="dxa"/>
          <w:bottom w:w="0" w:type="dxa"/>
          <w:right w:w="0" w:type="dxa"/>
        </w:tblCellMar>
      </w:tblPr>
      <w:tblGrid>
        <w:gridCol w:w="124"/>
        <w:gridCol w:w="9570"/>
        <w:gridCol w:w="511"/>
      </w:tblGrid>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vAlign w:val="center"/>
          </w:tcPr>
          <w:p>
            <w:pPr>
              <w:pStyle w:val="TableContents"/>
              <w:bidi w:val="0"/>
              <w:spacing w:lineRule="auto" w:line="285" w:before="0" w:after="60"/>
              <w:ind w:left="0" w:right="0" w:hanging="0"/>
              <w:jc w:val="center"/>
              <w:rPr/>
            </w:pPr>
            <w:hyperlink w:anchor="PARTIFINANCIAL_85354">
              <w:r>
                <w:rPr>
                  <w:rStyle w:val="InternetLink"/>
                  <w:rFonts w:ascii="Times New Roman;Times;serif" w:hAnsi="Times New Roman;Times;serif"/>
                  <w:b/>
                  <w:i w:val="false"/>
                  <w:caps/>
                  <w:sz w:val="20"/>
                </w:rPr>
                <w:t>Part I – FINANCIAL INFORMATION</w:t>
              </w:r>
            </w:hyperlink>
          </w:p>
        </w:tc>
      </w:tr>
      <w:tr>
        <w:trPr/>
        <w:tc>
          <w:tcPr>
            <w:tcW w:w="9694" w:type="dxa"/>
            <w:gridSpan w:val="2"/>
            <w:tcBorders/>
            <w:vAlign w:val="center"/>
          </w:tcPr>
          <w:p>
            <w:pPr>
              <w:pStyle w:val="TableContents"/>
              <w:bidi w:val="0"/>
              <w:spacing w:lineRule="auto" w:line="285" w:before="0" w:after="40"/>
              <w:ind w:left="0" w:right="0" w:hanging="0"/>
              <w:jc w:val="left"/>
              <w:rPr/>
            </w:pPr>
            <w:hyperlink w:anchor="Item1FinancialStatements_207744">
              <w:r>
                <w:rPr>
                  <w:rStyle w:val="InternetLink"/>
                  <w:rFonts w:ascii="Times New Roman;Times;serif" w:hAnsi="Times New Roman;Times;serif"/>
                  <w:b w:val="false"/>
                  <w:i w:val="false"/>
                  <w:caps w:val="false"/>
                  <w:smallCaps w:val="false"/>
                  <w:sz w:val="20"/>
                </w:rPr>
                <w:t>Item 1. Financial Statements (unaudited)</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BalanceSheets_816509">
              <w:r>
                <w:rPr>
                  <w:rStyle w:val="InternetLink"/>
                  <w:rFonts w:ascii="Times New Roman;Times;serif" w:hAnsi="Times New Roman;Times;serif"/>
                  <w:b w:val="false"/>
                  <w:i w:val="false"/>
                  <w:caps w:val="false"/>
                  <w:smallCaps w:val="false"/>
                  <w:sz w:val="20"/>
                </w:rPr>
                <w:t>Condensed Consolidated Balance Sheets as of September 30, 2023 and December 31, 2022</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StatementsofOperations_108008">
              <w:r>
                <w:rPr>
                  <w:rStyle w:val="InternetLink"/>
                  <w:rFonts w:ascii="Times New Roman;Times;serif" w:hAnsi="Times New Roman;Times;serif"/>
                  <w:b w:val="false"/>
                  <w:i w:val="false"/>
                  <w:caps w:val="false"/>
                  <w:smallCaps w:val="false"/>
                  <w:sz w:val="20"/>
                </w:rPr>
                <w:t>Condensed Consolidated Statements of Operations and Comprehensive Loss for the three and nine months ended September 30, 2023 and 2022</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StockholdersEquity_235408">
              <w:r>
                <w:rPr>
                  <w:rStyle w:val="InternetLink"/>
                  <w:rFonts w:ascii="Times New Roman;Times;serif" w:hAnsi="Times New Roman;Times;serif"/>
                  <w:b w:val="false"/>
                  <w:i w:val="false"/>
                  <w:caps w:val="false"/>
                  <w:smallCaps w:val="false"/>
                  <w:sz w:val="20"/>
                </w:rPr>
                <w:t>Condensed Consolidated Statements of Stockholders’ Equity for the three and nine months ended September 30, 2023 and 2022</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CashFlows_481395">
              <w:r>
                <w:rPr>
                  <w:rStyle w:val="InternetLink"/>
                  <w:rFonts w:ascii="Times New Roman;Times;serif" w:hAnsi="Times New Roman;Times;serif"/>
                  <w:b w:val="false"/>
                  <w:i w:val="false"/>
                  <w:caps w:val="false"/>
                  <w:smallCaps w:val="false"/>
                  <w:sz w:val="20"/>
                </w:rPr>
                <w:t>Condensed Consolidated Statements of Cash Flows for the nine months ended September 30, 2023 and 2022</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Notes_47889">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694" w:type="dxa"/>
            <w:gridSpan w:val="2"/>
            <w:tcBorders/>
            <w:vAlign w:val="center"/>
          </w:tcPr>
          <w:p>
            <w:pPr>
              <w:pStyle w:val="TableContents"/>
              <w:bidi w:val="0"/>
              <w:spacing w:lineRule="auto" w:line="285" w:before="0" w:after="40"/>
              <w:ind w:left="0" w:right="0" w:hanging="0"/>
              <w:jc w:val="left"/>
              <w:rPr/>
            </w:pPr>
            <w:hyperlink w:anchor="MANAGEMENTSDISCUSSION_129894">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94" w:type="dxa"/>
            <w:gridSpan w:val="2"/>
            <w:tcBorders/>
            <w:vAlign w:val="center"/>
          </w:tcPr>
          <w:p>
            <w:pPr>
              <w:pStyle w:val="TableContents"/>
              <w:bidi w:val="0"/>
              <w:spacing w:lineRule="auto" w:line="285" w:before="0" w:after="40"/>
              <w:ind w:left="0" w:right="0" w:hanging="0"/>
              <w:jc w:val="left"/>
              <w:rPr/>
            </w:pPr>
            <w:hyperlink w:anchor="Quantitative_675574">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694" w:type="dxa"/>
            <w:gridSpan w:val="2"/>
            <w:tcBorders/>
            <w:vAlign w:val="center"/>
          </w:tcPr>
          <w:p>
            <w:pPr>
              <w:pStyle w:val="TableContents"/>
              <w:bidi w:val="0"/>
              <w:spacing w:lineRule="auto" w:line="285" w:before="0" w:after="40"/>
              <w:ind w:left="0" w:right="0" w:hanging="0"/>
              <w:jc w:val="left"/>
              <w:rPr/>
            </w:pPr>
            <w:hyperlink w:anchor="ControlsandProcedures_819554">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10205" w:type="dxa"/>
            <w:gridSpan w:val="3"/>
            <w:tcBorders/>
            <w:vAlign w:val="center"/>
          </w:tcPr>
          <w:p>
            <w:pPr>
              <w:pStyle w:val="TableContents"/>
              <w:bidi w:val="0"/>
              <w:spacing w:lineRule="auto" w:line="285" w:before="0" w:after="60"/>
              <w:ind w:left="0" w:right="0" w:hanging="0"/>
              <w:jc w:val="center"/>
              <w:rPr/>
            </w:pPr>
            <w:hyperlink w:anchor="PARTII_568397">
              <w:r>
                <w:rPr>
                  <w:rStyle w:val="InternetLink"/>
                  <w:rFonts w:ascii="Times New Roman;Times;serif" w:hAnsi="Times New Roman;Times;serif"/>
                  <w:b/>
                  <w:i w:val="false"/>
                  <w:caps/>
                  <w:sz w:val="20"/>
                </w:rPr>
                <w:t>Part II – OTHER INFORMATION</w:t>
              </w:r>
            </w:hyperlink>
          </w:p>
        </w:tc>
      </w:tr>
      <w:tr>
        <w:trPr/>
        <w:tc>
          <w:tcPr>
            <w:tcW w:w="9694" w:type="dxa"/>
            <w:gridSpan w:val="2"/>
            <w:tcBorders/>
            <w:vAlign w:val="center"/>
          </w:tcPr>
          <w:p>
            <w:pPr>
              <w:pStyle w:val="TableContents"/>
              <w:bidi w:val="0"/>
              <w:spacing w:lineRule="auto" w:line="285" w:before="0" w:after="40"/>
              <w:ind w:left="0" w:right="0" w:hanging="0"/>
              <w:jc w:val="left"/>
              <w:rPr/>
            </w:pPr>
            <w:hyperlink w:anchor="LegalProceedings_161281">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5OtherInformation_346096">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6Exhibits_734890">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694" w:type="dxa"/>
            <w:gridSpan w:val="2"/>
            <w:tcBorders/>
            <w:vAlign w:val="center"/>
          </w:tcPr>
          <w:p>
            <w:pPr>
              <w:pStyle w:val="TableContents"/>
              <w:bidi w:val="0"/>
              <w:spacing w:lineRule="auto" w:line="285" w:before="0" w:after="0"/>
              <w:ind w:left="0" w:right="0" w:hanging="0"/>
              <w:jc w:val="left"/>
              <w:rPr/>
            </w:pPr>
            <w:hyperlink w:anchor="SIGNATURES_862342">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9694"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9694"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bookmarkStart w:id="25" w:name="_2f15c184_f4fe_492b_8388_ee2fa0b63c8e"/>
      <w:bookmarkEnd w:id="25"/>
      <w:r>
        <w:rPr/>
        <w:t>​</w:t>
      </w:r>
    </w:p>
    <w:p>
      <w:pPr>
        <w:pStyle w:val="TextBody"/>
        <w:bidi w:val="0"/>
        <w:spacing w:lineRule="auto" w:line="240" w:before="0" w:after="160"/>
        <w:ind w:left="0" w:right="0" w:firstLine="720"/>
        <w:jc w:val="left"/>
        <w:rPr>
          <w:rFonts w:ascii="Times New Roman;Times;serif" w:hAnsi="Times New Roman;Times;serif"/>
          <w:sz w:val="20"/>
        </w:rPr>
      </w:pPr>
      <w:r>
        <w:rPr>
          <w:rFonts w:ascii="Times New Roman;Times;serif" w:hAnsi="Times New Roman;Times;serif"/>
          <w:i/>
          <w:sz w:val="20"/>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Times New Roman;Times;serif" w:hAnsi="Times New Roman;Times;serif"/>
          <w:i/>
          <w:sz w:val="15"/>
        </w:rPr>
        <w:t>®</w:t>
      </w:r>
      <w:r>
        <w:rPr>
          <w:rFonts w:ascii="Times New Roman;Times;serif" w:hAnsi="Times New Roman;Times;serif"/>
          <w:i/>
          <w:sz w:val="20"/>
        </w:rPr>
        <w:t>, AYVAKYT</w:t>
      </w:r>
      <w:r>
        <w:rPr>
          <w:rFonts w:ascii="Times New Roman;Times;serif" w:hAnsi="Times New Roman;Times;serif"/>
          <w:i/>
          <w:sz w:val="15"/>
        </w:rPr>
        <w:t>®</w:t>
      </w:r>
      <w:r>
        <w:rPr>
          <w:rFonts w:ascii="Times New Roman;Times;serif" w:hAnsi="Times New Roman;Times;serif"/>
          <w:i/>
          <w:sz w:val="20"/>
        </w:rPr>
        <w:t>, GAVRETO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and associated logos are trademarks of Blueprint Medicines Corporation. Other brands, names and trademarks contained in this Quarterly Report on Form 10-Q are the property of their respective owners.</w:t>
      </w:r>
    </w:p>
    <w:p>
      <w:pPr>
        <w:pStyle w:val="TextBody"/>
        <w:bidi w:val="0"/>
        <w:spacing w:lineRule="auto" w:line="307" w:before="0" w:after="140"/>
        <w:ind w:left="0" w:right="0" w:hanging="0"/>
        <w:jc w:val="center"/>
        <w:rPr>
          <w:rFonts w:ascii="Times New Roman;Times;serif" w:hAnsi="Times New Roman;Times;serif"/>
          <w:b/>
          <w:caps/>
          <w:sz w:val="20"/>
        </w:rPr>
      </w:pPr>
      <w:r>
        <w:rPr>
          <w:rFonts w:ascii="Times New Roman;Times;serif" w:hAnsi="Times New Roman;Times;serif"/>
          <w:b/>
          <w:caps/>
          <w:sz w:val="20"/>
        </w:rPr>
        <w:t>Forward-Looking Statements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 </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 xml:space="preserve">The forward-looking statements in this Quarterly Report on Form 10-Q include, but are not limited to, statements about: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timing or likelihood of regulatory actions, filings and approvals for our current and future drug candidates, including our ability to obtain marketing approval for avapritinib in additional geographies, particularly for indolent systemic mastocytosis (SM) in geographies outside of the U.S.;</w:t>
            </w:r>
            <w:r>
              <w:rPr>
                <w:caps w:val="false"/>
                <w:smallCaps w:val="false"/>
                <w:shd w:fill="FFFFFF" w:val="clear"/>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ability and plans in continuing to build out our commercial infrastructure and successfully launching, marketing and selling AYVAKIT</w:t>
            </w:r>
            <w:r>
              <w:rPr>
                <w:rFonts w:ascii="Times New Roman;Times;serif" w:hAnsi="Times New Roman;Times;serif"/>
                <w:b w:val="false"/>
                <w:i/>
                <w:sz w:val="15"/>
              </w:rPr>
              <w:t>®</w:t>
            </w:r>
            <w:r>
              <w:rPr>
                <w:caps w:val="false"/>
                <w:smallCaps w:val="false"/>
              </w:rPr>
              <w:t xml:space="preserve"> </w:t>
            </w:r>
            <w:r>
              <w:rPr>
                <w:rFonts w:ascii="Times New Roman;Times;serif" w:hAnsi="Times New Roman;Times;serif"/>
                <w:b w:val="false"/>
                <w:i w:val="false"/>
                <w:caps w:val="false"/>
                <w:smallCaps w:val="false"/>
                <w:sz w:val="20"/>
              </w:rPr>
              <w:t>(avapritinib) (marketed in Europe under the brand name AYVAKYT</w:t>
            </w:r>
            <w:r>
              <w:rPr>
                <w:rFonts w:ascii="Times New Roman;Times;serif" w:hAnsi="Times New Roman;Times;serif"/>
                <w:b w:val="false"/>
                <w:i/>
                <w:sz w:val="15"/>
              </w:rPr>
              <w:t>®</w:t>
            </w:r>
            <w:r>
              <w:rPr>
                <w:rFonts w:ascii="Times New Roman;Times;serif" w:hAnsi="Times New Roman;Times;serif"/>
                <w:b w:val="false"/>
                <w:i w:val="false"/>
                <w:caps w:val="false"/>
                <w:smallCaps w:val="false"/>
                <w:sz w:val="20"/>
              </w:rPr>
              <w: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benefits of AYVAKIT/AYVAKYT and any current and future drug candidates in treating patients with indolent SM and advanced SM;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of AYVAKIT/AYVAKYT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reimbursement of AYVAKIT/AYVAKYT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impact of the termination of our collaboration with F. Hoffmann-La Roche Ltd and Genentech, Inc. to develop and commercialize pralsetinib globally (excluding Greater China), our expectations concerning the transition process with F. Hoffmann-La Roche Ltd and Genentech, Inc., and our plans to re-partner GAVRETO for future development and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initiation, timing, progress and results of our preclinical studies and clinical trials, including our ongoing clinical trials and any planned clinical trials for our current and future drug candidates and</w:t>
            </w:r>
            <w:r>
              <w:rPr>
                <w:caps w:val="false"/>
                <w:smallCaps w:val="false"/>
              </w:rPr>
              <w:t xml:space="preserve"> </w:t>
            </w:r>
            <w:r>
              <w:rPr>
                <w:rFonts w:ascii="Times New Roman;Times;serif" w:hAnsi="Times New Roman;Times;serif"/>
                <w:b w:val="false"/>
                <w:i w:val="false"/>
                <w:caps w:val="false"/>
                <w:smallCaps w:val="false"/>
                <w:sz w:val="20"/>
              </w:rPr>
              <w:t>research and development programs;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drug candidates into, and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develop manufacturing processes for any of our current and future drugs or drug candidates and to secure manufacturing, packaging and labeling arrangements for development activities and commercial production;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and strategic plans for our business, drugs, drug candidates, platform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length of protection we are able to establish and maintain for intellectual property rights covering our current and future drugs, drug candidates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benefits of our collaboration with CStone Pharmaceuticals to develop and commercialize avapritinib, pralsetinib and fisogatinib in Greater China, our collaboration with Zai Lab to develop and commercialize BLU-525 and BLU-945, and any respective back-up forms and certain other forms thereof, as inhibitors of epidermal growth factor receptor (EGFR) in Greater China, and our collaboration with Oncopia Therapeutics, Inc., d/b/a Proteovant Therapeutics, Inc. (Proteovant), to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advance novel targeted protein degrader therapies, as well as our ability to maintain these collaborations and establish additional strategic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exclusive license agreement with Clementia Pharmaceuticals, Inc., a wholly-owned subsidiary of Ipsen S.A. (Clementia), to develop and commercialize BLU-782 for fibrodysplasia ossificans progressiva;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potential benefits of our strategic financing transactions with </w:t>
            </w:r>
            <w:r>
              <w:rPr>
                <w:rFonts w:ascii="Times New Roman;Times;serif" w:hAnsi="Times New Roman;Times;serif"/>
                <w:b w:val="false"/>
                <w:i w:val="false"/>
                <w:caps w:val="false"/>
                <w:smallCaps w:val="false"/>
                <w:sz w:val="20"/>
                <w:shd w:fill="FFFFFF" w:val="clear"/>
              </w:rPr>
              <w:t>Garnich Adjacent Investments S.a.r.l. and Tao Talents, LLC, both affiliates of Sixth Street Partners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shd w:fill="FFFFFF" w:val="clear"/>
              </w:rPr>
              <w:t>Royalty Pharma Investments 2019 ICAV</w:t>
            </w:r>
            <w:r>
              <w:rPr>
                <w:caps w:val="false"/>
                <w:smallCaps w:val="false"/>
              </w:rPr>
              <w:t xml:space="preserve"> </w:t>
            </w:r>
            <w:r>
              <w:rPr>
                <w:rFonts w:ascii="Times New Roman;Times;serif" w:hAnsi="Times New Roman;Times;serif"/>
                <w:b w:val="false"/>
                <w:i w:val="false"/>
                <w:caps w:val="false"/>
                <w:smallCaps w:val="false"/>
                <w:sz w:val="20"/>
              </w:rPr>
              <w:t>(Royalty Pharma);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benefits of the collaboration compounds retained by us following the mutual termination of our cancer immunotherapy collaboration with F. Hoffmann-La Roche Ltd and Hoffman-La Roche Inc.;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benefits of our license agreement with IDRx, Inc. (IDRx) to develop our development candidate-stage KIT exon 13 inhibitor, IDRX-73, for the treatment of drug-resistant mutations of non-PDGFR-driven gastrointestinal stromal tumor (GIST); </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companion diagnostic tests for our current or future drugs or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performance, estimates of our revenues, expenses and capital requirements and our needs for future financing, including our ability to achieve a self-sustainable financial profile; </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developments relating to our competitors and our industry;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or potential benefits of designations granted by the U.S. Food and Drug Administration (FDA), such as orphan drug, fast track and breakthrough therapy designation or priority review.</w:t>
            </w:r>
          </w:p>
        </w:tc>
      </w:tr>
    </w:tbl>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in Part II, Item 1</w:t>
      </w:r>
      <w:r>
        <w:rPr>
          <w:rFonts w:ascii="Times New Roman;Times;serif" w:hAnsi="Times New Roman;Times;serif"/>
          <w:caps/>
          <w:sz w:val="20"/>
        </w:rPr>
        <w:t>A</w:t>
      </w:r>
      <w:r>
        <w:rPr>
          <w:rFonts w:ascii="Times New Roman;Times;serif" w:hAnsi="Times New Roman;Times;serif"/>
          <w:sz w:val="20"/>
        </w:rPr>
        <w:t>,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For purposes of this Quarterly Report on Form 10-Q, including the footnotes to our condensed consolidated financial statements, (i) with respect to our collaboration for pralsetinib, Roche means F. Hoffmann-La Roche Ltd and Genentech, Inc., (ii) with respect to our terminated cancer immunotherapy collaboration, Roche means F. Hoffmann-La Roche Ltd and Hoffmann-La Roche Inc., and (iii) with respect to our financing transactions with Sixth Street Partners, Sixth Street Partners means Garnich Adjacent Investments S.a.r.l. and/or Tao Talents, LLC.</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sz w:val="20"/>
        </w:rPr>
      </w:pPr>
      <w:bookmarkStart w:id="26" w:name="PARTIFINANCIAL_85354"/>
      <w:bookmarkStart w:id="27" w:name="_dcefec34_b3ac_4f45_96ad_7d43aa150df3"/>
      <w:bookmarkEnd w:id="26"/>
      <w:bookmarkEnd w:id="27"/>
      <w:r>
        <w:rPr>
          <w:rFonts w:ascii="Times New Roman;Times;serif" w:hAnsi="Times New Roman;Times;serif"/>
          <w:b/>
          <w:sz w:val="20"/>
        </w:rPr>
        <w:t>PART I – FINANCIAL</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lineRule="auto" w:line="307" w:before="0" w:after="240"/>
        <w:ind w:left="0" w:right="0" w:hanging="0"/>
        <w:jc w:val="left"/>
        <w:rPr>
          <w:rFonts w:ascii="Times New Roman;Times;serif" w:hAnsi="Times New Roman;Times;serif"/>
          <w:b/>
          <w:sz w:val="20"/>
        </w:rPr>
      </w:pPr>
      <w:bookmarkStart w:id="28" w:name="Item1FinancialStatements_207744"/>
      <w:bookmarkStart w:id="29" w:name="_817d335d_c34f_4e3d_bca8_8234a660a14a"/>
      <w:bookmarkEnd w:id="28"/>
      <w:bookmarkEnd w:id="29"/>
      <w:r>
        <w:rPr>
          <w:rFonts w:ascii="Times New Roman;Times;serif" w:hAnsi="Times New Roman;Times;serif"/>
          <w:b/>
          <w:sz w:val="20"/>
        </w:rPr>
        <w:t>Item 1. Financial Statements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30" w:name="BalanceSheets_816509"/>
      <w:bookmarkEnd w:id="30"/>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1" w:name="Tc_tXSVTLJVV0KHhlVcCpRt9w_42_5"/>
      <w:bookmarkStart w:id="32" w:name="Tc_8l-OTPchw0WXHzDiN7q6ig_42_2"/>
      <w:bookmarkStart w:id="33" w:name="Tc_l4XTHkUGxkOpQGroDvgtsQ_42_0"/>
      <w:bookmarkStart w:id="34" w:name="Tc_u8uhDmC3Tki1z1Smmj-ZmQ_41_0"/>
      <w:bookmarkStart w:id="35" w:name="Tc_ERZIvSkVWUetTq_N_SfwBQ_40_0"/>
      <w:bookmarkStart w:id="36" w:name="Tc_2OW9ZhACykSfMR3VHrWmng_39_0"/>
      <w:bookmarkStart w:id="37" w:name="Tc_AahoGJu7nkSPVDKtr2G5Rg_38_0"/>
      <w:bookmarkStart w:id="38" w:name="Tc_QQiNizdC-Eqoy__gRqxjPw_37_0"/>
      <w:bookmarkStart w:id="39" w:name="Tc_XDgsC35930Ob6xLYNacbaA_36_0"/>
      <w:bookmarkStart w:id="40" w:name="Tc_H9WnzLx6ykSMYh5I8HZSFw_35_0"/>
      <w:bookmarkStart w:id="41" w:name="Tc_jL4p7jD1BkuDPGB54WryXQ_34_0"/>
      <w:bookmarkStart w:id="42" w:name="Tc_Go81jvCAQk-KRTn3FJMCrw_33_0"/>
      <w:bookmarkStart w:id="43" w:name="Tc_e-7-BFjj50O2mvPMJ_wxsg_32_0"/>
      <w:bookmarkStart w:id="44" w:name="Tc_G2KeJPyZCEq6c7s_M17ERw_31_0"/>
      <w:bookmarkStart w:id="45" w:name="Tc_tnAVCmAqb0G6q32byhzoGw_30_0"/>
      <w:bookmarkStart w:id="46" w:name="Tc_XqChJajJmUiwTTw69vTA1g_29_0"/>
      <w:bookmarkStart w:id="47" w:name="Tc_OGqe-o57OU6M2Y5YLdmngg_28_0"/>
      <w:bookmarkStart w:id="48" w:name="Tc_1o59AEVlbk6MV3FYmltD5Q_27_0"/>
      <w:bookmarkStart w:id="49" w:name="Tc_7HkCWF4gNU-e8HzLZ3b5Ew_26_0"/>
      <w:bookmarkStart w:id="50" w:name="Tc_6ptX_hzOLEWzjNYKIlNZJw_25_0"/>
      <w:bookmarkStart w:id="51" w:name="Tc_q10elk2YVE2VONPv2Pmt_g_24_0"/>
      <w:bookmarkStart w:id="52" w:name="Tc_gvXrzkGkT0K7MXRxroKOfw_23_0"/>
      <w:bookmarkStart w:id="53" w:name="Tc_v5n7FX8f2ki0og6QwhVHAg_22_0"/>
      <w:bookmarkStart w:id="54" w:name="Tc_0i0lhTzHvUy9AEezlyxVdw_21_0"/>
      <w:bookmarkStart w:id="55" w:name="Tc_JCkjIgZK_0KXx3gWsfYveQ_20_0"/>
      <w:bookmarkStart w:id="56" w:name="Tc_NDARI5Hfjky89z-l0Sne0g_19_0"/>
      <w:bookmarkStart w:id="57" w:name="Tc_jN4oKwieF0yvp2--HAfRFQ_18_5"/>
      <w:bookmarkStart w:id="58" w:name="Tc_WLEdG5cldk2V4V1Aa2oZcg_18_2"/>
      <w:bookmarkStart w:id="59" w:name="Tc_zxZAD-Kjekq2qKdV7otj8g_18_0"/>
      <w:bookmarkStart w:id="60" w:name="Tc_CzXJ_9CV3EOkfi7dDwXbIg_17_0"/>
      <w:bookmarkStart w:id="61" w:name="Tc_oP5nnXETgEqbOi2rcrSuVQ_16_0"/>
      <w:bookmarkStart w:id="62" w:name="Tc_67GtBOJ4CUGNB-7p81E6EQ_15_0"/>
      <w:bookmarkStart w:id="63" w:name="Tc_YbpZOn1bt0Cf0h7Vw-fdgQ_14_0"/>
      <w:bookmarkStart w:id="64" w:name="Tc_6X3VX7N-8EWCJzkKOkUOjQ_13_0"/>
      <w:bookmarkStart w:id="65" w:name="Tc_B7P0mvsgvkyN1TqzirJe3w_12_0"/>
      <w:bookmarkStart w:id="66" w:name="Tc_8WCuGf4Ou0u0Fhsl4yh8PQ_11_0"/>
      <w:bookmarkStart w:id="67" w:name="Tc_P3l3QiQjb06_kEcC6FHOrQ_10_0"/>
      <w:bookmarkStart w:id="68" w:name="Tc_w-ChbvSV60WnOKDjSm4EdQ_9_0"/>
      <w:bookmarkStart w:id="69" w:name="Tc_Nd2TvFlvZkOKkd9jC1bX3A_8_0"/>
      <w:bookmarkStart w:id="70" w:name="Tc_3oSB4sS4K0SlLCRY62c6gA_7_0"/>
      <w:bookmarkStart w:id="71" w:name="Tc_lW-RIuSS-k-oW55d1X3SoA_6_0"/>
      <w:bookmarkStart w:id="72" w:name="Tc_43ucedRoEUGbvlTLlLCOAg_5_5"/>
      <w:bookmarkStart w:id="73" w:name="Tc_e2CbzbmQwEWU8HBCBz4fig_5_2"/>
      <w:bookmarkStart w:id="74" w:name="Tc_3zMTT4Bmr0aeiSVbiCDU_w_5_0"/>
      <w:bookmarkStart w:id="75" w:name="Tc_XnlExZk1r0WXGuwglOnG1Q_4_0"/>
      <w:bookmarkStart w:id="76" w:name="Tc_08Y_gUuHeEqzk_sSC-rmRw_3_0"/>
      <w:bookmarkStart w:id="77" w:name="Tc_4bJH_mBhS0CH5bd7qQhBwg_2_5"/>
      <w:bookmarkStart w:id="78" w:name="Tc_LwI4S6KNl0ixY0wi70n50g_1_5"/>
      <w:bookmarkStart w:id="79" w:name="Tc_6X_lFva1EU6VYGKSlqTaXg_1_2"/>
      <w:bookmarkStart w:id="80" w:name="_b564bf6b_ab4e_4ecb_a89e_8bc4a55d0a10"/>
      <w:bookmarkStart w:id="81" w:name="Tc_tXSVTLJVV0KHhlVcCpRt9w_42_5"/>
      <w:bookmarkStart w:id="82" w:name="Tc_8l-OTPchw0WXHzDiN7q6ig_42_2"/>
      <w:bookmarkStart w:id="83" w:name="Tc_l4XTHkUGxkOpQGroDvgtsQ_42_0"/>
      <w:bookmarkStart w:id="84" w:name="Tc_u8uhDmC3Tki1z1Smmj-ZmQ_41_0"/>
      <w:bookmarkStart w:id="85" w:name="Tc_ERZIvSkVWUetTq_N_SfwBQ_40_0"/>
      <w:bookmarkStart w:id="86" w:name="Tc_2OW9ZhACykSfMR3VHrWmng_39_0"/>
      <w:bookmarkStart w:id="87" w:name="Tc_AahoGJu7nkSPVDKtr2G5Rg_38_0"/>
      <w:bookmarkStart w:id="88" w:name="Tc_QQiNizdC-Eqoy__gRqxjPw_37_0"/>
      <w:bookmarkStart w:id="89" w:name="Tc_XDgsC35930Ob6xLYNacbaA_36_0"/>
      <w:bookmarkStart w:id="90" w:name="Tc_H9WnzLx6ykSMYh5I8HZSFw_35_0"/>
      <w:bookmarkStart w:id="91" w:name="Tc_jL4p7jD1BkuDPGB54WryXQ_34_0"/>
      <w:bookmarkStart w:id="92" w:name="Tc_Go81jvCAQk-KRTn3FJMCrw_33_0"/>
      <w:bookmarkStart w:id="93" w:name="Tc_e-7-BFjj50O2mvPMJ_wxsg_32_0"/>
      <w:bookmarkStart w:id="94" w:name="Tc_G2KeJPyZCEq6c7s_M17ERw_31_0"/>
      <w:bookmarkStart w:id="95" w:name="Tc_tnAVCmAqb0G6q32byhzoGw_30_0"/>
      <w:bookmarkStart w:id="96" w:name="Tc_XqChJajJmUiwTTw69vTA1g_29_0"/>
      <w:bookmarkStart w:id="97" w:name="Tc_OGqe-o57OU6M2Y5YLdmngg_28_0"/>
      <w:bookmarkStart w:id="98" w:name="Tc_1o59AEVlbk6MV3FYmltD5Q_27_0"/>
      <w:bookmarkStart w:id="99" w:name="Tc_7HkCWF4gNU-e8HzLZ3b5Ew_26_0"/>
      <w:bookmarkStart w:id="100" w:name="Tc_6ptX_hzOLEWzjNYKIlNZJw_25_0"/>
      <w:bookmarkStart w:id="101" w:name="Tc_q10elk2YVE2VONPv2Pmt_g_24_0"/>
      <w:bookmarkStart w:id="102" w:name="Tc_gvXrzkGkT0K7MXRxroKOfw_23_0"/>
      <w:bookmarkStart w:id="103" w:name="Tc_v5n7FX8f2ki0og6QwhVHAg_22_0"/>
      <w:bookmarkStart w:id="104" w:name="Tc_0i0lhTzHvUy9AEezlyxVdw_21_0"/>
      <w:bookmarkStart w:id="105" w:name="Tc_JCkjIgZK_0KXx3gWsfYveQ_20_0"/>
      <w:bookmarkStart w:id="106" w:name="Tc_NDARI5Hfjky89z-l0Sne0g_19_0"/>
      <w:bookmarkStart w:id="107" w:name="Tc_jN4oKwieF0yvp2--HAfRFQ_18_5"/>
      <w:bookmarkStart w:id="108" w:name="Tc_WLEdG5cldk2V4V1Aa2oZcg_18_2"/>
      <w:bookmarkStart w:id="109" w:name="Tc_zxZAD-Kjekq2qKdV7otj8g_18_0"/>
      <w:bookmarkStart w:id="110" w:name="Tc_CzXJ_9CV3EOkfi7dDwXbIg_17_0"/>
      <w:bookmarkStart w:id="111" w:name="Tc_oP5nnXETgEqbOi2rcrSuVQ_16_0"/>
      <w:bookmarkStart w:id="112" w:name="Tc_67GtBOJ4CUGNB-7p81E6EQ_15_0"/>
      <w:bookmarkStart w:id="113" w:name="Tc_YbpZOn1bt0Cf0h7Vw-fdgQ_14_0"/>
      <w:bookmarkStart w:id="114" w:name="Tc_6X3VX7N-8EWCJzkKOkUOjQ_13_0"/>
      <w:bookmarkStart w:id="115" w:name="Tc_B7P0mvsgvkyN1TqzirJe3w_12_0"/>
      <w:bookmarkStart w:id="116" w:name="Tc_8WCuGf4Ou0u0Fhsl4yh8PQ_11_0"/>
      <w:bookmarkStart w:id="117" w:name="Tc_P3l3QiQjb06_kEcC6FHOrQ_10_0"/>
      <w:bookmarkStart w:id="118" w:name="Tc_w-ChbvSV60WnOKDjSm4EdQ_9_0"/>
      <w:bookmarkStart w:id="119" w:name="Tc_Nd2TvFlvZkOKkd9jC1bX3A_8_0"/>
      <w:bookmarkStart w:id="120" w:name="Tc_3oSB4sS4K0SlLCRY62c6gA_7_0"/>
      <w:bookmarkStart w:id="121" w:name="Tc_lW-RIuSS-k-oW55d1X3SoA_6_0"/>
      <w:bookmarkStart w:id="122" w:name="Tc_43ucedRoEUGbvlTLlLCOAg_5_5"/>
      <w:bookmarkStart w:id="123" w:name="Tc_e2CbzbmQwEWU8HBCBz4fig_5_2"/>
      <w:bookmarkStart w:id="124" w:name="Tc_3zMTT4Bmr0aeiSVbiCDU_w_5_0"/>
      <w:bookmarkStart w:id="125" w:name="Tc_XnlExZk1r0WXGuwglOnG1Q_4_0"/>
      <w:bookmarkStart w:id="126" w:name="Tc_08Y_gUuHeEqzk_sSC-rmRw_3_0"/>
      <w:bookmarkStart w:id="127" w:name="Tc_4bJH_mBhS0CH5bd7qQhBwg_2_5"/>
      <w:bookmarkStart w:id="128" w:name="Tc_LwI4S6KNl0ixY0wi70n50g_1_5"/>
      <w:bookmarkStart w:id="129" w:name="Tc_6X_lFva1EU6VYGKSlqTaXg_1_2"/>
      <w:bookmarkStart w:id="130" w:name="_b564bf6b_ab4e_4ecb_a89e_8bc4a55d0a1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10205" w:type="dxa"/>
        <w:jc w:val="left"/>
        <w:tblInd w:w="0" w:type="dxa"/>
        <w:tblLayout w:type="fixed"/>
        <w:tblCellMar>
          <w:top w:w="0" w:type="dxa"/>
          <w:left w:w="0" w:type="dxa"/>
          <w:bottom w:w="0" w:type="dxa"/>
          <w:right w:w="0" w:type="dxa"/>
        </w:tblCellMar>
      </w:tblPr>
      <w:tblGrid>
        <w:gridCol w:w="7256"/>
        <w:gridCol w:w="326"/>
        <w:gridCol w:w="199"/>
        <w:gridCol w:w="940"/>
        <w:gridCol w:w="326"/>
        <w:gridCol w:w="196"/>
        <w:gridCol w:w="962"/>
      </w:tblGrid>
      <w:tr>
        <w:trPr/>
        <w:tc>
          <w:tcPr>
            <w:tcW w:w="7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07560" cy="175260"/>
                      <wp:effectExtent l="0" t="0" r="0" b="0"/>
                      <wp:wrapNone/>
                      <wp:docPr id="1" name="Frame1"/>
                      <a:graphic xmlns:a="http://schemas.openxmlformats.org/drawingml/2006/main">
                        <a:graphicData uri="http://schemas.microsoft.com/office/word/2010/wordprocessingShape">
                          <wps:wsp>
                            <wps:cNvSpPr txBox="1"/>
                            <wps:spPr>
                              <a:xfrm>
                                <a:off x="0" y="0"/>
                                <a:ext cx="4607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6365" cy="175260"/>
                      <wp:effectExtent l="0" t="0" r="0" b="0"/>
                      <wp:wrapNone/>
                      <wp:docPr id="3" name="Frame3"/>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6900" cy="175260"/>
                      <wp:effectExtent l="0" t="0" r="0" b="0"/>
                      <wp:wrapNone/>
                      <wp:docPr id="4" name="Frame4"/>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0870" cy="175260"/>
                      <wp:effectExtent l="0" t="0" r="0" b="0"/>
                      <wp:wrapNone/>
                      <wp:docPr id="7" name="Frame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25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3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115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5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3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5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pPr>
            <w:r>
              <w:rPr/>
              <w:t>​</w:t>
            </w:r>
          </w:p>
        </w:tc>
        <w:tc>
          <w:tcPr>
            <w:tcW w:w="940"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left"/>
              <w:rPr/>
            </w:pPr>
            <w:r>
              <w:rPr/>
              <w:t>​</w:t>
            </w:r>
          </w:p>
        </w:tc>
        <w:tc>
          <w:tcPr>
            <w:tcW w:w="94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55,972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119,709</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Marketable securities</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left"/>
              <w:rPr/>
            </w:pPr>
            <w:r>
              <w:rPr/>
              <w:t>​</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657,012</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825,283</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pPr>
            <w:r>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40,861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23,525</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Unbilled accounts receivable</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left"/>
              <w:rPr/>
            </w:pPr>
            <w:r>
              <w:rPr/>
              <w:t>​</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393</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13,413</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pPr>
            <w:r>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16,457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29,697</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37,477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35,024</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 </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808,172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1,046,651</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Marketable securities</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right"/>
              <w:rPr/>
            </w:pPr>
            <w:r>
              <w:rPr/>
              <w:t> </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114,242</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133,480</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40,619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33,344</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 net</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right"/>
              <w:rPr/>
            </w:pPr>
            <w:r>
              <w:rPr/>
              <w:t>​</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75,221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81,854</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 </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9,696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5,195</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Equity investment</w:t>
            </w:r>
          </w:p>
        </w:tc>
        <w:tc>
          <w:tcPr>
            <w:tcW w:w="326" w:type="dxa"/>
            <w:tcBorders/>
            <w:vAlign w:val="center"/>
          </w:tcPr>
          <w:p>
            <w:pPr>
              <w:pStyle w:val="TableContents"/>
              <w:bidi w:val="0"/>
              <w:spacing w:lineRule="auto" w:line="285" w:before="0" w:after="0"/>
              <w:ind w:left="0" w:right="0" w:hanging="0"/>
              <w:jc w:val="right"/>
              <w:rPr/>
            </w:pPr>
            <w:r>
              <w:rPr/>
              <w:t>​</w:t>
            </w:r>
          </w:p>
        </w:tc>
        <w:tc>
          <w:tcPr>
            <w:tcW w:w="199" w:type="dxa"/>
            <w:tcBorders/>
            <w:vAlign w:val="center"/>
          </w:tcPr>
          <w:p>
            <w:pPr>
              <w:pStyle w:val="TableContents"/>
              <w:bidi w:val="0"/>
              <w:spacing w:lineRule="auto" w:line="285" w:before="0" w:after="0"/>
              <w:ind w:left="0" w:right="0" w:hanging="0"/>
              <w:jc w:val="right"/>
              <w:rPr/>
            </w:pPr>
            <w:r>
              <w:rPr/>
              <w:t>​</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27,789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27,789</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29,560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21,589</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1,105,299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1,349,902</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pPr>
            <w:r>
              <w:rPr/>
              <w:t>​</w:t>
            </w:r>
          </w:p>
        </w:tc>
        <w:tc>
          <w:tcPr>
            <w:tcW w:w="940"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left"/>
              <w:rPr/>
            </w:pPr>
            <w:r>
              <w:rPr/>
              <w:t>​</w:t>
            </w:r>
          </w:p>
        </w:tc>
        <w:tc>
          <w:tcPr>
            <w:tcW w:w="94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pPr>
            <w:r>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6,963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2,729</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right"/>
              <w:rPr/>
            </w:pPr>
            <w:r>
              <w:rPr/>
              <w:t> </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110,436</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131,123</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11,617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10,579</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portion of deferred revenue</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right"/>
              <w:rPr/>
            </w:pPr>
            <w:r>
              <w:rPr/>
              <w:t>​</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3,010</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4,667</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portion of liabilities related to the sale of future royalties and revenues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35,137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17,285</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portion of term loan</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30,221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16,851</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 </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197,384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183,234</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right"/>
              <w:rPr/>
            </w:pPr>
            <w:r>
              <w:rPr/>
              <w:t>​</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84,036</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92,789</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revenue, net of current portion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13,624</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Liabilities related to the sale of future royalties and revenues, net of current portion</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right"/>
              <w:rPr/>
            </w:pPr>
            <w:r>
              <w:rPr/>
              <w:t>​</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405,010</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413,045</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Term loan, net of current portion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208,157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122,232</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3,101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10,301</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902,688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835,225</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15)</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left"/>
              <w:rPr/>
            </w:pPr>
            <w:r>
              <w:rPr/>
              <w:t>​</w:t>
            </w:r>
          </w:p>
        </w:tc>
        <w:tc>
          <w:tcPr>
            <w:tcW w:w="94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pPr>
            <w:r>
              <w:rPr/>
              <w:t>​</w:t>
            </w:r>
          </w:p>
        </w:tc>
        <w:tc>
          <w:tcPr>
            <w:tcW w:w="940"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Preferred stock, $0.001 par value; 5,000,000 shares authorized; no shares issued and outstanding</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left"/>
              <w:rPr/>
            </w:pPr>
            <w:r>
              <w:rPr/>
              <w:t>​</w:t>
            </w:r>
          </w:p>
        </w:tc>
        <w:tc>
          <w:tcPr>
            <w:tcW w:w="940"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$0.001 par value; 120,000,000 shares authorized; 60,740,744 and 59,958,919 shares issued and outstanding at September 30, 2023 and December 31, 2022, respectively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 </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60</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vAlign w:val="center"/>
          </w:tcPr>
          <w:p>
            <w:pPr>
              <w:pStyle w:val="TableContents"/>
              <w:bidi w:val="0"/>
              <w:spacing w:lineRule="auto" w:line="285" w:before="0" w:after="0"/>
              <w:ind w:left="0" w:right="0" w:hanging="0"/>
              <w:jc w:val="right"/>
              <w:rPr/>
            </w:pPr>
            <w:r>
              <w:rPr/>
              <w:t> </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2,434,258</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2,358,018</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right"/>
              <w:rPr/>
            </w:pPr>
            <w:r>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(2,683)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(10,443)</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(2,229,025)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(1,832,958)</w:t>
            </w:r>
          </w:p>
        </w:tc>
      </w:tr>
      <w:tr>
        <w:trPr/>
        <w:tc>
          <w:tcPr>
            <w:tcW w:w="7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202,611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514,677</w:t>
            </w:r>
          </w:p>
        </w:tc>
      </w:tr>
      <w:tr>
        <w:trPr/>
        <w:tc>
          <w:tcPr>
            <w:tcW w:w="725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vAlign w:val="center"/>
          </w:tcPr>
          <w:p>
            <w:pPr>
              <w:pStyle w:val="TableContents"/>
              <w:bidi w:val="0"/>
              <w:spacing w:lineRule="auto" w:line="285"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1,105,299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2"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1,349,902</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31" w:name="_b92bdf3e_b893_4d97_ac89_c7108ca17373"/>
      <w:bookmarkEnd w:id="131"/>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132" w:name="StatementsofOperations_108008"/>
      <w:bookmarkEnd w:id="132"/>
      <w:r>
        <w:rPr>
          <w:rFonts w:ascii="Times New Roman;Times;serif" w:hAnsi="Times New Roman;Times;serif"/>
          <w:b/>
          <w:sz w:val="20"/>
        </w:rPr>
        <w:t>Condensed Consolidated Statements of Operations and Comprehensive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33" w:name="Tc_S41YbZXerUW6kFLN5IcaIQ_27_0"/>
      <w:bookmarkStart w:id="134" w:name="Tc_D9C3MSZqXkSzdxXvoi7nAQ_26_11"/>
      <w:bookmarkStart w:id="135" w:name="Tc_yaPu01dFRE6SPxcngfKHPA_26_8"/>
      <w:bookmarkStart w:id="136" w:name="Tc_nwxrCrLrxkC7fSKVelu0Sw_26_5"/>
      <w:bookmarkStart w:id="137" w:name="Tc_mbAxl2AggkSSEvU2h2rBfg_26_2"/>
      <w:bookmarkStart w:id="138" w:name="Tc_q8T_JKn990q3BEN-pAfzag_26_0"/>
      <w:bookmarkStart w:id="139" w:name="Tc_ilf_hJEjUk6ncBMmgWlYiA_25_11"/>
      <w:bookmarkStart w:id="140" w:name="Tc_ZyewI_P3YEGf_qGMsxyD6w_25_8"/>
      <w:bookmarkStart w:id="141" w:name="Tc_glNoprgN102Wpeg54bX7RQ_25_5"/>
      <w:bookmarkStart w:id="142" w:name="Tc_KaFD24wAEEqDvlrzd9_0Tw_25_2"/>
      <w:bookmarkStart w:id="143" w:name="Tc_EJeIep3hOkucG-VN9vQ1pA_25_0"/>
      <w:bookmarkStart w:id="144" w:name="Tc_ozSJZy4HVEaHcpAvROv7kg_24_0"/>
      <w:bookmarkStart w:id="145" w:name="Tc_q9otBjdMjkiQt9Phhij2Aw_23_0"/>
      <w:bookmarkStart w:id="146" w:name="Tc_KcKDb2vsOkqA_QUzQejgaw_22_0"/>
      <w:bookmarkStart w:id="147" w:name="Tc_JvQsCHFzt0O4EB7a_THMDg_21_11"/>
      <w:bookmarkStart w:id="148" w:name="Tc_CJUHQ-_Lv0Wjtol61Jh2-w_21_8"/>
      <w:bookmarkStart w:id="149" w:name="Tc_sOaG0p021kqZX0shz3UQ_A_21_5"/>
      <w:bookmarkStart w:id="150" w:name="Tc_2Wm5xUQrhk-66qeqjk5A3A_21_2"/>
      <w:bookmarkStart w:id="151" w:name="Tc_RwkE8UB8tkWk5ItiH_QLxg_21_0"/>
      <w:bookmarkStart w:id="152" w:name="Tc_CxWNAPFOiUGmyToGgb3MeQ_20_0"/>
      <w:bookmarkStart w:id="153" w:name="Tc_xbbQJH0m_EOpJiqs-pXQ4g_19_0"/>
      <w:bookmarkStart w:id="154" w:name="Tc_L65dn2Eat0OZ8xxHXhf2Gg_18_0"/>
      <w:bookmarkStart w:id="155" w:name="Tc_s8USS0DNiUm9NbMycFVEFw_17_0"/>
      <w:bookmarkStart w:id="156" w:name="Tc_QxqA8OmPskCfaj05HLdXxw_16_0"/>
      <w:bookmarkStart w:id="157" w:name="Tc_4Yzh6otSxkCwn-5ERlHw1A_15_0"/>
      <w:bookmarkStart w:id="158" w:name="Tc_eGnImH1B40exvOK7IHIrkg_14_0"/>
      <w:bookmarkStart w:id="159" w:name="Tc_MqH0c6QDgEufVWAOMOQmJw_13_0"/>
      <w:bookmarkStart w:id="160" w:name="Tc_iBmlMsWBt0GT8te74eIWzQ_12_0"/>
      <w:bookmarkStart w:id="161" w:name="Tc_Rys5mjCYkE-WOTvB-uFD6g_11_0"/>
      <w:bookmarkStart w:id="162" w:name="Tc__UCaeLv3eUC-JjS0pzZU-Q_10_0"/>
      <w:bookmarkStart w:id="163" w:name="Tc_PuYPIgsn30mz-AqYv_xYtw_9_0"/>
      <w:bookmarkStart w:id="164" w:name="Tc_exsbT0aT0UeFYi3GOa8VQw_8_0"/>
      <w:bookmarkStart w:id="165" w:name="Tc_9Q1xDbVIvkecScYD-xNXVg_7_9"/>
      <w:bookmarkStart w:id="166" w:name="Tc_TJkMHvTPqk-GogZyOFdkXw_7_3"/>
      <w:bookmarkStart w:id="167" w:name="Tc_rDvQ4ftmnUOGGx9ZVthQpg_7_0"/>
      <w:bookmarkStart w:id="168" w:name="Tc_NSESnoGlKEiAlCcSSBGOPQ_6_0"/>
      <w:bookmarkStart w:id="169" w:name="Tc_u2IR8SqDyUeXECiGkDK9hA_5_11"/>
      <w:bookmarkStart w:id="170" w:name="Tc_a7BHVUfYPUq1yqphmNV--A_5_8"/>
      <w:bookmarkStart w:id="171" w:name="Tc_n05amqmw50qwvRsQr4X-Ww_5_5"/>
      <w:bookmarkStart w:id="172" w:name="Tc_p_yLfllk8kyj8lmnu-aBAA_5_2"/>
      <w:bookmarkStart w:id="173" w:name="Tc_rRFgP1Qdo0-QQSt6lxhnOw_5_0"/>
      <w:bookmarkStart w:id="174" w:name="Tc_0SLGuynn2UKxme7WEv_Fuw_4_0"/>
      <w:bookmarkStart w:id="175" w:name="Tc_20AgVN-B902NHh0Ik9_V6w_3_11"/>
      <w:bookmarkStart w:id="176" w:name="Tc_JwemGAI65kCwfSaVgXW1tw_3_8"/>
      <w:bookmarkStart w:id="177" w:name="Tc_okC2GdkvlUOkQaraS2JkUQ_3_5"/>
      <w:bookmarkStart w:id="178" w:name="Tc_MR8eKDW-EEeOvp5Uy5XJ0Q_3_2"/>
      <w:bookmarkStart w:id="179" w:name="Tc_7AaBK2UzgEKCcYHVZQM_2A_2_8"/>
      <w:bookmarkStart w:id="180" w:name="Tc_FDMghcHExUi96RdajWk-jA_2_2"/>
      <w:bookmarkStart w:id="181" w:name="Tc_x75HMQZApEeQrrVtRRgE0w_1_8"/>
      <w:bookmarkStart w:id="182" w:name="Tc_iJ_OKKhcdkKpixrd2f1-NA_1_2"/>
      <w:bookmarkStart w:id="183" w:name="_942684c9_c40d_42ec_90fd_3c118e64d4ef"/>
      <w:bookmarkStart w:id="184" w:name="_9615c72f_20c3_47df_81c3_27db7539fc2f"/>
      <w:bookmarkStart w:id="185" w:name="Tc_S41YbZXerUW6kFLN5IcaIQ_27_0"/>
      <w:bookmarkStart w:id="186" w:name="Tc_D9C3MSZqXkSzdxXvoi7nAQ_26_11"/>
      <w:bookmarkStart w:id="187" w:name="Tc_yaPu01dFRE6SPxcngfKHPA_26_8"/>
      <w:bookmarkStart w:id="188" w:name="Tc_nwxrCrLrxkC7fSKVelu0Sw_26_5"/>
      <w:bookmarkStart w:id="189" w:name="Tc_mbAxl2AggkSSEvU2h2rBfg_26_2"/>
      <w:bookmarkStart w:id="190" w:name="Tc_q8T_JKn990q3BEN-pAfzag_26_0"/>
      <w:bookmarkStart w:id="191" w:name="Tc_ilf_hJEjUk6ncBMmgWlYiA_25_11"/>
      <w:bookmarkStart w:id="192" w:name="Tc_ZyewI_P3YEGf_qGMsxyD6w_25_8"/>
      <w:bookmarkStart w:id="193" w:name="Tc_glNoprgN102Wpeg54bX7RQ_25_5"/>
      <w:bookmarkStart w:id="194" w:name="Tc_KaFD24wAEEqDvlrzd9_0Tw_25_2"/>
      <w:bookmarkStart w:id="195" w:name="Tc_EJeIep3hOkucG-VN9vQ1pA_25_0"/>
      <w:bookmarkStart w:id="196" w:name="Tc_ozSJZy4HVEaHcpAvROv7kg_24_0"/>
      <w:bookmarkStart w:id="197" w:name="Tc_q9otBjdMjkiQt9Phhij2Aw_23_0"/>
      <w:bookmarkStart w:id="198" w:name="Tc_KcKDb2vsOkqA_QUzQejgaw_22_0"/>
      <w:bookmarkStart w:id="199" w:name="Tc_JvQsCHFzt0O4EB7a_THMDg_21_11"/>
      <w:bookmarkStart w:id="200" w:name="Tc_CJUHQ-_Lv0Wjtol61Jh2-w_21_8"/>
      <w:bookmarkStart w:id="201" w:name="Tc_sOaG0p021kqZX0shz3UQ_A_21_5"/>
      <w:bookmarkStart w:id="202" w:name="Tc_2Wm5xUQrhk-66qeqjk5A3A_21_2"/>
      <w:bookmarkStart w:id="203" w:name="Tc_RwkE8UB8tkWk5ItiH_QLxg_21_0"/>
      <w:bookmarkStart w:id="204" w:name="Tc_CxWNAPFOiUGmyToGgb3MeQ_20_0"/>
      <w:bookmarkStart w:id="205" w:name="Tc_xbbQJH0m_EOpJiqs-pXQ4g_19_0"/>
      <w:bookmarkStart w:id="206" w:name="Tc_L65dn2Eat0OZ8xxHXhf2Gg_18_0"/>
      <w:bookmarkStart w:id="207" w:name="Tc_s8USS0DNiUm9NbMycFVEFw_17_0"/>
      <w:bookmarkStart w:id="208" w:name="Tc_QxqA8OmPskCfaj05HLdXxw_16_0"/>
      <w:bookmarkStart w:id="209" w:name="Tc_4Yzh6otSxkCwn-5ERlHw1A_15_0"/>
      <w:bookmarkStart w:id="210" w:name="Tc_eGnImH1B40exvOK7IHIrkg_14_0"/>
      <w:bookmarkStart w:id="211" w:name="Tc_MqH0c6QDgEufVWAOMOQmJw_13_0"/>
      <w:bookmarkStart w:id="212" w:name="Tc_iBmlMsWBt0GT8te74eIWzQ_12_0"/>
      <w:bookmarkStart w:id="213" w:name="Tc_Rys5mjCYkE-WOTvB-uFD6g_11_0"/>
      <w:bookmarkStart w:id="214" w:name="Tc__UCaeLv3eUC-JjS0pzZU-Q_10_0"/>
      <w:bookmarkStart w:id="215" w:name="Tc_PuYPIgsn30mz-AqYv_xYtw_9_0"/>
      <w:bookmarkStart w:id="216" w:name="Tc_exsbT0aT0UeFYi3GOa8VQw_8_0"/>
      <w:bookmarkStart w:id="217" w:name="Tc_9Q1xDbVIvkecScYD-xNXVg_7_9"/>
      <w:bookmarkStart w:id="218" w:name="Tc_TJkMHvTPqk-GogZyOFdkXw_7_3"/>
      <w:bookmarkStart w:id="219" w:name="Tc_rDvQ4ftmnUOGGx9ZVthQpg_7_0"/>
      <w:bookmarkStart w:id="220" w:name="Tc_NSESnoGlKEiAlCcSSBGOPQ_6_0"/>
      <w:bookmarkStart w:id="221" w:name="Tc_u2IR8SqDyUeXECiGkDK9hA_5_11"/>
      <w:bookmarkStart w:id="222" w:name="Tc_a7BHVUfYPUq1yqphmNV--A_5_8"/>
      <w:bookmarkStart w:id="223" w:name="Tc_n05amqmw50qwvRsQr4X-Ww_5_5"/>
      <w:bookmarkStart w:id="224" w:name="Tc_p_yLfllk8kyj8lmnu-aBAA_5_2"/>
      <w:bookmarkStart w:id="225" w:name="Tc_rRFgP1Qdo0-QQSt6lxhnOw_5_0"/>
      <w:bookmarkStart w:id="226" w:name="Tc_0SLGuynn2UKxme7WEv_Fuw_4_0"/>
      <w:bookmarkStart w:id="227" w:name="Tc_20AgVN-B902NHh0Ik9_V6w_3_11"/>
      <w:bookmarkStart w:id="228" w:name="Tc_JwemGAI65kCwfSaVgXW1tw_3_8"/>
      <w:bookmarkStart w:id="229" w:name="Tc_okC2GdkvlUOkQaraS2JkUQ_3_5"/>
      <w:bookmarkStart w:id="230" w:name="Tc_MR8eKDW-EEeOvp5Uy5XJ0Q_3_2"/>
      <w:bookmarkStart w:id="231" w:name="Tc_7AaBK2UzgEKCcYHVZQM_2A_2_8"/>
      <w:bookmarkStart w:id="232" w:name="Tc_FDMghcHExUi96RdajWk-jA_2_2"/>
      <w:bookmarkStart w:id="233" w:name="Tc_x75HMQZApEeQrrVtRRgE0w_1_8"/>
      <w:bookmarkStart w:id="234" w:name="Tc_iJ_OKKhcdkKpixrd2f1-NA_1_2"/>
      <w:bookmarkStart w:id="235" w:name="_942684c9_c40d_42ec_90fd_3c118e64d4ef"/>
      <w:bookmarkStart w:id="236" w:name="_9615c72f_20c3_47df_81c3_27db7539fc2f"/>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tbl>
      <w:tblPr>
        <w:tblW w:w="10205" w:type="dxa"/>
        <w:jc w:val="left"/>
        <w:tblInd w:w="0" w:type="dxa"/>
        <w:tblLayout w:type="fixed"/>
        <w:tblCellMar>
          <w:top w:w="0" w:type="dxa"/>
          <w:left w:w="0" w:type="dxa"/>
          <w:bottom w:w="0" w:type="dxa"/>
          <w:right w:w="0" w:type="dxa"/>
        </w:tblCellMar>
      </w:tblPr>
      <w:tblGrid>
        <w:gridCol w:w="4734"/>
        <w:gridCol w:w="109"/>
        <w:gridCol w:w="211"/>
        <w:gridCol w:w="873"/>
        <w:gridCol w:w="326"/>
        <w:gridCol w:w="211"/>
        <w:gridCol w:w="873"/>
        <w:gridCol w:w="326"/>
        <w:gridCol w:w="211"/>
        <w:gridCol w:w="873"/>
        <w:gridCol w:w="326"/>
        <w:gridCol w:w="211"/>
        <w:gridCol w:w="921"/>
      </w:tblGrid>
      <w:tr>
        <w:trPr/>
        <w:tc>
          <w:tcPr>
            <w:tcW w:w="4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06090" cy="175260"/>
                      <wp:effectExtent l="0" t="0" r="0" b="0"/>
                      <wp:wrapNone/>
                      <wp:docPr id="8" name="Frame8"/>
                      <a:graphic xmlns:a="http://schemas.openxmlformats.org/drawingml/2006/main">
                        <a:graphicData uri="http://schemas.microsoft.com/office/word/2010/wordprocessingShape">
                          <wps:wsp>
                            <wps:cNvSpPr txBox="1"/>
                            <wps:spPr>
                              <a:xfrm>
                                <a:off x="0" y="0"/>
                                <a:ext cx="30060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54355" cy="175260"/>
                      <wp:effectExtent l="0" t="0" r="0" b="0"/>
                      <wp:wrapNone/>
                      <wp:docPr id="11" name="Frame11"/>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54355" cy="175260"/>
                      <wp:effectExtent l="0" t="0" r="0" b="0"/>
                      <wp:wrapNone/>
                      <wp:docPr id="14" name="Frame14"/>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54355" cy="175260"/>
                      <wp:effectExtent l="0" t="0" r="0" b="0"/>
                      <wp:wrapNone/>
                      <wp:docPr id="17" name="Frame17"/>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4835" cy="175260"/>
                      <wp:effectExtent l="0" t="0" r="0" b="0"/>
                      <wp:wrapNone/>
                      <wp:docPr id="20" name="Frame20"/>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3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94"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2542"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73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9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lineRule="auto" w:line="285" w:before="0" w:after="0"/>
              <w:ind w:left="0" w:right="0" w:hanging="0"/>
              <w:jc w:val="center"/>
              <w:rPr/>
            </w:pPr>
            <w:r>
              <w:rPr/>
              <w:t>​</w:t>
            </w:r>
          </w:p>
        </w:tc>
        <w:tc>
          <w:tcPr>
            <w:tcW w:w="2542"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73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0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center"/>
              <w:rPr/>
            </w:pPr>
            <w:r>
              <w:rPr/>
              <w:t>    </w:t>
            </w:r>
          </w:p>
        </w:tc>
        <w:tc>
          <w:tcPr>
            <w:tcW w:w="10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921" w:type="dxa"/>
            <w:tcBorders/>
            <w:shd w:fill="CCEEFF" w:val="clear"/>
            <w:vAlign w:val="center"/>
          </w:tcPr>
          <w:p>
            <w:pPr>
              <w:pStyle w:val="TableContents"/>
              <w:bidi w:val="0"/>
              <w:spacing w:lineRule="auto" w:line="285" w:before="0" w:after="0"/>
              <w:ind w:left="0" w:right="0" w:hanging="0"/>
              <w:jc w:val="center"/>
              <w:rPr/>
            </w:pPr>
            <w:r>
              <w:rPr/>
              <w:t>​</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54,228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28,634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133,173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80,929</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9,843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44,250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56,826</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License revenue - related party</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27,500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27,500</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56,566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65,977</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177,423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165,255</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and operating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1" w:type="dxa"/>
            <w:tcBorders/>
            <w:vAlign w:val="center"/>
          </w:tcPr>
          <w:p>
            <w:pPr>
              <w:pStyle w:val="TableContents"/>
              <w:bidi w:val="0"/>
              <w:spacing w:lineRule="auto" w:line="285" w:before="0" w:after="0"/>
              <w:ind w:left="0" w:right="0" w:hanging="0"/>
              <w:jc w:val="left"/>
              <w:rPr/>
            </w:pPr>
            <w:r>
              <w:rPr/>
              <w:t>​</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2,782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12,965</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loss sharing</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7,076</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110,252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127,981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330,184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359,579</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70,741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57,608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215,826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173,354</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185,546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190,254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558,591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552,974</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1" w:type="dxa"/>
            <w:tcBorders/>
            <w:vAlign w:val="center"/>
          </w:tcPr>
          <w:p>
            <w:pPr>
              <w:pStyle w:val="TableContents"/>
              <w:bidi w:val="0"/>
              <w:spacing w:lineRule="auto" w:line="285" w:before="0" w:after="0"/>
              <w:ind w:left="0" w:right="0" w:hanging="0"/>
              <w:jc w:val="left"/>
              <w:rPr/>
            </w:pPr>
            <w:r>
              <w:rPr/>
              <w:t>​</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(3,808)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(8,396)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(13,624)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(7,527)</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(4,536)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(13,993)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(6,952)</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(133,516)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(132,277)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(395,161)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(394,671)</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4,200</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(133,713)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(133,163)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(396,068)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(398,871)</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1" w:type="dxa"/>
            <w:tcBorders/>
            <w:shd w:fill="CCEEFF" w:val="clear"/>
            <w:vAlign w:val="center"/>
          </w:tcPr>
          <w:p>
            <w:pPr>
              <w:pStyle w:val="TableContents"/>
              <w:bidi w:val="0"/>
              <w:spacing w:lineRule="auto" w:line="285" w:before="0" w:after="0"/>
              <w:ind w:left="0" w:right="0" w:hanging="0"/>
              <w:jc w:val="right"/>
              <w:rPr/>
            </w:pPr>
            <w:r>
              <w:rPr/>
              <w:t>​</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investments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7,624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(11,171)</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Currency translation adjustments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(132,175)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(133,741)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(388,308)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(409,564)</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(6.70)</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used in net loss per share - basic and diluted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60,688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59,758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60,445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59,564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237" w:name="_89d834ad_a01b_4c86_b28f_c7cbaa48c315"/>
      <w:bookmarkEnd w:id="237"/>
      <w:r>
        <w:rPr>
          <w:rFonts w:ascii="Times New Roman;Times;serif" w:hAnsi="Times New Roman;Times;serif"/>
          <w:b/>
          <w:sz w:val="20"/>
        </w:rPr>
        <w:t xml:space="preserve">Blueprint Medicines Corporation </w:t>
      </w:r>
    </w:p>
    <w:p>
      <w:pPr>
        <w:pStyle w:val="TextBody"/>
        <w:bidi w:val="0"/>
        <w:spacing w:lineRule="auto" w:line="285" w:before="0" w:after="0"/>
        <w:ind w:left="0" w:right="0" w:hanging="0"/>
        <w:jc w:val="center"/>
        <w:rPr>
          <w:rFonts w:ascii="Times New Roman;Times;serif" w:hAnsi="Times New Roman;Times;serif"/>
          <w:b/>
          <w:sz w:val="20"/>
        </w:rPr>
      </w:pPr>
      <w:bookmarkStart w:id="238" w:name="StockholdersEquity_235408"/>
      <w:bookmarkEnd w:id="238"/>
      <w:r>
        <w:rPr>
          <w:rFonts w:ascii="Times New Roman;Times;serif" w:hAnsi="Times New Roman;Times;serif"/>
          <w:b/>
          <w:sz w:val="20"/>
        </w:rPr>
        <w:t>Condensed Consolidated Statements of Stockholders’ Equity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i/>
          <w:sz w:val="20"/>
        </w:rPr>
        <w:t>(Unaudited)</w:t>
      </w:r>
      <w:r>
        <w:rPr>
          <w:rFonts w:ascii="Times New Roman;Times;serif" w:hAnsi="Times New Roman;Times;serif"/>
          <w:sz w:val="20"/>
        </w:rPr>
        <w:t xml:space="preserve"> </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239" w:name="Tc_juvV-ojMdEymhvHjO5NebQ_42_16"/>
      <w:bookmarkStart w:id="240" w:name="Tc_9MhSxx5SpkuLtoYnGHAsqg_42_13"/>
      <w:bookmarkStart w:id="241" w:name="Tc_WLf2wgWWIEOR9NaDmiwvIg_42_10"/>
      <w:bookmarkStart w:id="242" w:name="Tc_UWz1pN842UaLHOvgvt1eeg_42_7"/>
      <w:bookmarkStart w:id="243" w:name="Tc_2nkyroJFcEqH3kh6RY0AUw_42_4"/>
      <w:bookmarkStart w:id="244" w:name="Tc_YNPrFMglm0G3DmsRdMc6lQ_42_0"/>
      <w:bookmarkStart w:id="245" w:name="Tc_QoqumceTpEaj86bpjANF_A_41_11"/>
      <w:bookmarkStart w:id="246" w:name="Tc_v3YeoDqi5kOd6yfK1yAVCw_41_8"/>
      <w:bookmarkStart w:id="247" w:name="Tc_D_O6BfhYpUWYT9mmEkUMuA_41_5"/>
      <w:bookmarkStart w:id="248" w:name="Tc_KOBlRrw5Rk6siAPSpmsEQw_41_2"/>
      <w:bookmarkStart w:id="249" w:name="Tc_FS7PEEZQEE6DMzML4zHNbQ_41_0"/>
      <w:bookmarkStart w:id="250" w:name="Tc_lBkZSyROQUuu7HvopWhomw_40_14"/>
      <w:bookmarkStart w:id="251" w:name="Tc_7K9Lz0v9TUKFN28JgZtWJA_40_8"/>
      <w:bookmarkStart w:id="252" w:name="Tc_OztDl5GPnUOYUuNalceGdw_40_5"/>
      <w:bookmarkStart w:id="253" w:name="Tc_PadwODU_I0yb6AJkJ2aJeg_40_2"/>
      <w:bookmarkStart w:id="254" w:name="Tc_r4QGCyDSx0SyMKFI1qZ8qg_40_0"/>
      <w:bookmarkStart w:id="255" w:name="Tc_zXPdPwlyXUe5MEQnJV6cvA_39_14"/>
      <w:bookmarkStart w:id="256" w:name="Tc_pyENOf_DdEShXenPh2pGkg_39_11"/>
      <w:bookmarkStart w:id="257" w:name="Tc_asl3K-4Lg0eid_BcbiyLJg_39_5"/>
      <w:bookmarkStart w:id="258" w:name="Tc_JFuIOKW-4UiFbwKBGTtWog_39_2"/>
      <w:bookmarkStart w:id="259" w:name="Tc_sjXilK8dhE-z94dJf2IvVg_39_0"/>
      <w:bookmarkStart w:id="260" w:name="Tc_x_6zWKJ28ESD0ZMU1g178w_38_14"/>
      <w:bookmarkStart w:id="261" w:name="Tc_AqdyXqmgNUy5HuUtErYI3w_38_11"/>
      <w:bookmarkStart w:id="262" w:name="Tc_2cCoqXZlyU2jMgPLIRXplQ_38_5"/>
      <w:bookmarkStart w:id="263" w:name="Tc__yq4097mN0m1-dOTOKQQ0g_38_0"/>
      <w:bookmarkStart w:id="264" w:name="Tc_lpcBtqzVRE60T3fPPBNoGw_36_16"/>
      <w:bookmarkStart w:id="265" w:name="Tc_erT8dkpnnEq6ka7EzcvHjw_36_13"/>
      <w:bookmarkStart w:id="266" w:name="Tc_qPCXWjy4UECt5yEAwlfg8g_36_10"/>
      <w:bookmarkStart w:id="267" w:name="Tc_dOXsegOzaEaRmnKO1LLTew_36_7"/>
      <w:bookmarkStart w:id="268" w:name="Tc_6u9HC-aE50-yY8uhwaYjBA_36_4"/>
      <w:bookmarkStart w:id="269" w:name="Tc_Yw9ZG4_C5kaT6DVbP200bw_36_0"/>
      <w:bookmarkStart w:id="270" w:name="Tc_5msshcyOukqxRYs9rYpACA_35_11"/>
      <w:bookmarkStart w:id="271" w:name="Tc_E37UlPiGP0C_IRpNAKLHtQ_35_8"/>
      <w:bookmarkStart w:id="272" w:name="Tc_K3ZBaX3o4UuOGH93Cb4LZQ_35_5"/>
      <w:bookmarkStart w:id="273" w:name="Tc_uaZ7e4UWPEy4MzuH-fEgiQ_35_2"/>
      <w:bookmarkStart w:id="274" w:name="Tc_BX9VXzIWgkCATa8AEZYvwA_35_0"/>
      <w:bookmarkStart w:id="275" w:name="Tc_teJQkmtqzUKhA2_ASLZQKw_34_14"/>
      <w:bookmarkStart w:id="276" w:name="Tc_oLPH3uP3MES21F8YEnByfQ_34_8"/>
      <w:bookmarkStart w:id="277" w:name="Tc_X_9QAq8M9Um7qGGbqeJHtA_34_5"/>
      <w:bookmarkStart w:id="278" w:name="Tc_s8t2zplIlUaocluXeWC0zA_34_2"/>
      <w:bookmarkStart w:id="279" w:name="Tc_8NqH-YET-keBoQDeLhS2LQ_34_0"/>
      <w:bookmarkStart w:id="280" w:name="Tc_Mw5tqPq50kSQ8JrCCGV-yg_33_14"/>
      <w:bookmarkStart w:id="281" w:name="Tc_oPaZuQnnIEGgwCr7I7L9AA_33_11"/>
      <w:bookmarkStart w:id="282" w:name="Tc_2avUiPKaFESKL4Oqlu8KuA_33_5"/>
      <w:bookmarkStart w:id="283" w:name="Tc_I0kVAL5zg0Ojo8JT1GKFNQ_33_2"/>
      <w:bookmarkStart w:id="284" w:name="Tc_RV_gGRGZO0yNPEEnP16NQA_33_0"/>
      <w:bookmarkStart w:id="285" w:name="Tc_dcg2mYGFlk-hDKf-eVPFNA_32_14"/>
      <w:bookmarkStart w:id="286" w:name="Tc_VbOUg9UBD0yCqiFLLatfRg_32_13"/>
      <w:bookmarkStart w:id="287" w:name="Tc_U06BeOiGi0eyXwTIRfYURg_32_11"/>
      <w:bookmarkStart w:id="288" w:name="Tc_4zsHWpJe0kiuyA8QJKz1cA_32_10"/>
      <w:bookmarkStart w:id="289" w:name="Tc_HhPHLU38p0S5i-n6PgWWyA_32_7"/>
      <w:bookmarkStart w:id="290" w:name="Tc_sAou4PeBDUu5VNU5ALcNDw_32_5"/>
      <w:bookmarkStart w:id="291" w:name="Tc_KKPQoq_Q4UGWIhpbqKSrPA_32_4"/>
      <w:bookmarkStart w:id="292" w:name="Tc_pVUE1l1XLEW-S3jVPDXj6w_32_0"/>
      <w:bookmarkStart w:id="293" w:name="Tc_aSebEho8ZUi8Wl6SSMS1Gg_30_16"/>
      <w:bookmarkStart w:id="294" w:name="Tc_PmtshufbiEqKr76kmdrWmA_30_13"/>
      <w:bookmarkStart w:id="295" w:name="Tc_sx-wrySNxEi2wLh-N-9gsg_30_10"/>
      <w:bookmarkStart w:id="296" w:name="Tc_9xvkZ3fZ1kKcYJ1qs_oGWA_30_7"/>
      <w:bookmarkStart w:id="297" w:name="Tc_l30BFv-SKkKTWPUKg2bkLw_30_4"/>
      <w:bookmarkStart w:id="298" w:name="Tc_vCWUMjopfUK_OSmGZpUm5w_30_0"/>
      <w:bookmarkStart w:id="299" w:name="Tc_io5Vm-8T1U27d4r_jccPvw_29_11"/>
      <w:bookmarkStart w:id="300" w:name="Tc_aW_nRrZjkUmVSG0ZOugLlg_29_8"/>
      <w:bookmarkStart w:id="301" w:name="Tc_opfmWoEOF0yrwzHIefVBlA_29_5"/>
      <w:bookmarkStart w:id="302" w:name="Tc_mB5ygwddX0qQwBrkUGQwtA_29_2"/>
      <w:bookmarkStart w:id="303" w:name="Tc_WEghla1ZykWnI3_4xlwvmA_29_0"/>
      <w:bookmarkStart w:id="304" w:name="Tc_OUFbxIxKvUy8em3Y0N2xqw_28_14"/>
      <w:bookmarkStart w:id="305" w:name="Tc_s-Q6ICBqbU-2ETIbw0P6zQ_28_8"/>
      <w:bookmarkStart w:id="306" w:name="Tc_1t0My77Gkkaq0x4rH3Lqow_28_5"/>
      <w:bookmarkStart w:id="307" w:name="Tc_dQ9Kbff_4UmU-V_QC25Tsg_28_2"/>
      <w:bookmarkStart w:id="308" w:name="Tc_9h-u0Lew8E6-Ngj_yGilgQ_28_0"/>
      <w:bookmarkStart w:id="309" w:name="Tc_SKlFH-7X_UGzLZNv6NDf6Q_27_14"/>
      <w:bookmarkStart w:id="310" w:name="Tc_25vhZuhOHU24qKcV_y1Ymw_27_11"/>
      <w:bookmarkStart w:id="311" w:name="Tc_ziOfTeeipUKPqidkCUFxQA_27_5"/>
      <w:bookmarkStart w:id="312" w:name="Tc_i8ZdwBgseE2bJnMMMfHkHQ_27_2"/>
      <w:bookmarkStart w:id="313" w:name="Tc_7-g302MZZ0alQiABFxF_3g_27_0"/>
      <w:bookmarkStart w:id="314" w:name="Tc_M1O3rR554k-oW0pbqSO1-A_26_14"/>
      <w:bookmarkStart w:id="315" w:name="Tc_r9_Ml4_Iuk6efE1U1bq_iA_26_11"/>
      <w:bookmarkStart w:id="316" w:name="Tc_8kAHuOsah0aTcUisd8BZfw_26_0"/>
      <w:bookmarkStart w:id="317" w:name="Tc_YlNAPZugZE2vua3d-cfssg_25_16"/>
      <w:bookmarkStart w:id="318" w:name="Tc_e6poI26ZzUOmo0eFaR8jEQ_25_13"/>
      <w:bookmarkStart w:id="319" w:name="Tc__TMtNffKAECWV68g7Kmkbg_25_10"/>
      <w:bookmarkStart w:id="320" w:name="Tc_8FakOWWs9kyQQUi9nBEYig_25_7"/>
      <w:bookmarkStart w:id="321" w:name="Tc_1n1KcgtTY0q4ZaIXXfTNyw_25_4"/>
      <w:bookmarkStart w:id="322" w:name="Tc_BHjfhzNDAkSwbr9gdibj8w_25_0"/>
      <w:bookmarkStart w:id="323" w:name="Tc_y2hHqpPHJUKneaUvMQloPg_23_16"/>
      <w:bookmarkStart w:id="324" w:name="Tc_jGSPpu5TEE-0F4qb0wRSVQ_23_13"/>
      <w:bookmarkStart w:id="325" w:name="Tc_La1KNLpYl06jDGtzWKtyjA_23_10"/>
      <w:bookmarkStart w:id="326" w:name="Tc_BNsDXRR3e0eatNrJoaYFzg_23_7"/>
      <w:bookmarkStart w:id="327" w:name="Tc_xWl9pm-WrE6RFBJtvHMzXQ_23_4"/>
      <w:bookmarkStart w:id="328" w:name="Tc_W9PQPLMHEEys6UA7LOcWOA_23_0"/>
      <w:bookmarkStart w:id="329" w:name="Tc_k3mNQhUTsE-euY7-cPn5JA_22_11"/>
      <w:bookmarkStart w:id="330" w:name="Tc_zAFpHSmlBUCuVutftOR6oA_22_8"/>
      <w:bookmarkStart w:id="331" w:name="Tc_IX0OqBOVQ0a4BIxRnoWKvw_22_5"/>
      <w:bookmarkStart w:id="332" w:name="Tc_Wmqt4-Fci02BcDhLE7tb3Q_22_2"/>
      <w:bookmarkStart w:id="333" w:name="Tc_jzW9pvW6XUSTkjhZ-2nx0A_22_0"/>
      <w:bookmarkStart w:id="334" w:name="Tc_eOCYbLU6kESPjnvcqS3P1Q_21_14"/>
      <w:bookmarkStart w:id="335" w:name="Tc_W0Cgh_ppFEmHHl1Zg7QUeg_21_8"/>
      <w:bookmarkStart w:id="336" w:name="Tc_v9k_O4QgEEGD8lEa8I3glA_21_5"/>
      <w:bookmarkStart w:id="337" w:name="Tc_0XXfYFNXUkqbJmEbpQj8TA_21_2"/>
      <w:bookmarkStart w:id="338" w:name="Tc_A8N0GyvYR0C24V4Ae3Ffpw_21_0"/>
      <w:bookmarkStart w:id="339" w:name="Tc_55EjicNkt02JZEcVU8PWbw_20_14"/>
      <w:bookmarkStart w:id="340" w:name="Tc_p9sBxscF80id4OBJtO3PIA_20_11"/>
      <w:bookmarkStart w:id="341" w:name="Tc_bFC0lVX9EUWMZB61z_FH9w_20_5"/>
      <w:bookmarkStart w:id="342" w:name="Tc_d0V_pE2TCU-0SozyiQPX_w_20_2"/>
      <w:bookmarkStart w:id="343" w:name="Tc_sQFFqv978E-wFxZHVPtTbw_20_0"/>
      <w:bookmarkStart w:id="344" w:name="Tc_6wPkyTrvYUGJIHmzsxqQtw_19_16"/>
      <w:bookmarkStart w:id="345" w:name="Tc_Z5l_qC4YBUWMHKAtJ93IEw_19_14"/>
      <w:bookmarkStart w:id="346" w:name="Tc_JkKyDt2660SFzO0VEkdRQQ_19_13"/>
      <w:bookmarkStart w:id="347" w:name="Tc_20nXK82IO0iaCult0gCnAg_19_11"/>
      <w:bookmarkStart w:id="348" w:name="Tc_8J-lV_VWt0ewjQ9Yda-uPQ_19_10"/>
      <w:bookmarkStart w:id="349" w:name="Tc_KNZ_ezh7yEmL_9IPR7bmsA_19_7"/>
      <w:bookmarkStart w:id="350" w:name="Tc_7_3OwgUTrEu63qLEDIoZKg_19_5"/>
      <w:bookmarkStart w:id="351" w:name="Tc_E3IE-50nHkKZjh2ExlprEQ_19_4"/>
      <w:bookmarkStart w:id="352" w:name="Tc_eIjgc5qCWE2I-NiLl39Z9A_19_0"/>
      <w:bookmarkStart w:id="353" w:name="Tc_Qtdl55xVDk6ACS1WVFr6Uw_17_16"/>
      <w:bookmarkStart w:id="354" w:name="Tc_Po3R_VXfbkm_8_hKsQ7NMQ_17_13"/>
      <w:bookmarkStart w:id="355" w:name="Tc_HBLDKTnrfE6UpHaRmC4KyA_17_10"/>
      <w:bookmarkStart w:id="356" w:name="Tc_S5wKXl4FIkWNL9ZsUH86Kw_17_7"/>
      <w:bookmarkStart w:id="357" w:name="Tc_E8dqWwDLrUGE07wa5Q0NDA_17_4"/>
      <w:bookmarkStart w:id="358" w:name="Tc_iSOCjEG7E0WCmS0S2ype8A_17_0"/>
      <w:bookmarkStart w:id="359" w:name="Tc_fiqrkameOU61G_ma6jC2-w_16_11"/>
      <w:bookmarkStart w:id="360" w:name="Tc_4RP6LlIMWUiRQgBRCgrf-Q_16_8"/>
      <w:bookmarkStart w:id="361" w:name="Tc_Q0mhCk-KbUumSlN4CQqrOQ_16_5"/>
      <w:bookmarkStart w:id="362" w:name="Tc_WkILRL06t02glRIcOZZWJw_16_2"/>
      <w:bookmarkStart w:id="363" w:name="Tc_q2_8IeqYX0W-apGRMykX9Q_16_0"/>
      <w:bookmarkStart w:id="364" w:name="Tc_1ZIEwuZuYkSs6ezq8LaenQ_15_14"/>
      <w:bookmarkStart w:id="365" w:name="Tc_vTlGpp38CUq3LZ4sngZYwQ_15_8"/>
      <w:bookmarkStart w:id="366" w:name="Tc_pzSlURQHcU2ASyvwGh-RFg_15_5"/>
      <w:bookmarkStart w:id="367" w:name="Tc_qCYK-llqRk6Lngza_EL4Rg_15_2"/>
      <w:bookmarkStart w:id="368" w:name="Tc_s4g-sXuQL0m59V7Ba4AzQA_15_0"/>
      <w:bookmarkStart w:id="369" w:name="Tc_vHhE8nZjeEai2FZ4MzBgBQ_14_14"/>
      <w:bookmarkStart w:id="370" w:name="Tc_iQP5DhNRWkiZYSGhIkyJIw_14_11"/>
      <w:bookmarkStart w:id="371" w:name="Tc_Mg-m7rkxtUusGJa1o2VDbQ_14_5"/>
      <w:bookmarkStart w:id="372" w:name="Tc_-bKIIgA7J0SojQda6kQCkw_14_2"/>
      <w:bookmarkStart w:id="373" w:name="Tc_gjvXQzQemU6MQFXgeM4IJg_14_0"/>
      <w:bookmarkStart w:id="374" w:name="Tc_UMwFO_YiQ0-iw001li_vVA_13_16"/>
      <w:bookmarkStart w:id="375" w:name="Tc_IyquHlNK_Uu2egSE48-JYw_13_14"/>
      <w:bookmarkStart w:id="376" w:name="Tc_LsVqqesHckyXN8z6vK3udg_13_13"/>
      <w:bookmarkStart w:id="377" w:name="Tc_e0tOJC-Fuk2ZfsmVSFmc0Q_13_11"/>
      <w:bookmarkStart w:id="378" w:name="Tc_Yy363Kn6gkO6vXZMSICiyg_13_10"/>
      <w:bookmarkStart w:id="379" w:name="Tc_DK9NN27HlkmjPFEdmaTYRg_13_7"/>
      <w:bookmarkStart w:id="380" w:name="Tc_4JZr30eyU0-984BZ8GjKZQ_13_4"/>
      <w:bookmarkStart w:id="381" w:name="Tc_HpGlIOl7Xk2qNfyZdeKn2g_13_0"/>
      <w:bookmarkStart w:id="382" w:name="Tc_1dQirKktpEuYgG-HeWxrrA_11_16"/>
      <w:bookmarkStart w:id="383" w:name="Tc_ceGevHcAhEGcfK5Kw1PEmA_11_13"/>
      <w:bookmarkStart w:id="384" w:name="Tc_P-eF8x2K10Gm43-vkrKZpg_11_10"/>
      <w:bookmarkStart w:id="385" w:name="Tc_NUcM7jejdk6kwv2cRYDRlg_11_7"/>
      <w:bookmarkStart w:id="386" w:name="Tc_YqMw9_llxkOEtPhSqblz8A_11_4"/>
      <w:bookmarkStart w:id="387" w:name="Tc_X5TybPPTt0SMpJaTKtJPSg_11_0"/>
      <w:bookmarkStart w:id="388" w:name="Tc_osPmnYdQG0K24xTe0uKHOg_10_11"/>
      <w:bookmarkStart w:id="389" w:name="Tc_yxmXhnaGFUuTIfXj-EFlCQ_10_8"/>
      <w:bookmarkStart w:id="390" w:name="Tc_q-Ji8jgbTk2F9BPbM5hhpg_10_5"/>
      <w:bookmarkStart w:id="391" w:name="Tc_1XPSFSD4j0StznHmMYpnvQ_10_2"/>
      <w:bookmarkStart w:id="392" w:name="Tc_Ya0Hx3IWi0WE0GeWf2DWfA_10_0"/>
      <w:bookmarkStart w:id="393" w:name="Tc_4VT3RTU6O0itIsE9730Y2w_9_14"/>
      <w:bookmarkStart w:id="394" w:name="Tc_5q4JJYVYPEOYvBEpyLzi2w_9_8"/>
      <w:bookmarkStart w:id="395" w:name="Tc_cpgIf9JAbUanZ2nZ38eDtQ_9_5"/>
      <w:bookmarkStart w:id="396" w:name="Tc_g69Ktd386U-DwT0YJ15EQQ_9_2"/>
      <w:bookmarkStart w:id="397" w:name="Tc_FpRYIeWCuEeAPa-p_36qzw_9_0"/>
      <w:bookmarkStart w:id="398" w:name="Tc_fx6qJbXSqE2Q8XrQltZLxg_8_14"/>
      <w:bookmarkStart w:id="399" w:name="Tc_twFNBWb-CkSEgN9tgeF0eA_8_11"/>
      <w:bookmarkStart w:id="400" w:name="Tc_cLr-Ask1K0uBDHmNDNmkZg_8_5"/>
      <w:bookmarkStart w:id="401" w:name="Tc_vHmLw0vgvU-qF8YjbKo8Dg_8_2"/>
      <w:bookmarkStart w:id="402" w:name="Tc_hW56bxODtUWtA6lsNkq0gg_8_0"/>
      <w:bookmarkStart w:id="403" w:name="Tc_4up8y13BJkifoUY-G0k2cQ_7_17"/>
      <w:bookmarkStart w:id="404" w:name="Tc_EGnfiXeGYU21zDM-hInvUQ_7_14"/>
      <w:bookmarkStart w:id="405" w:name="Tc_IkzwtofgxkmWoTRMKLCnBA_7_11"/>
      <w:bookmarkStart w:id="406" w:name="Tc_fyqUd9vgmkWHGvZ4zFGjqA_7_8"/>
      <w:bookmarkStart w:id="407" w:name="Tc_EVLWn8OKy0SJ2dX6oOpF0w_7_5"/>
      <w:bookmarkStart w:id="408" w:name="Tc_pIMoJYvyU06AGyFcKgi_fg_7_0"/>
      <w:bookmarkStart w:id="409" w:name="Tc_GKNJsXCZIk-gEnJugTlDMA_6_16"/>
      <w:bookmarkStart w:id="410" w:name="Tc_aFKVUJDv7E-tSHttilWucw_6_13"/>
      <w:bookmarkStart w:id="411" w:name="Tc_qxi3EIpsAEOxRIlPcRR21Q_6_10"/>
      <w:bookmarkStart w:id="412" w:name="Tc_5Ss81bOE5UaKxITLXpkbug_6_7"/>
      <w:bookmarkStart w:id="413" w:name="Tc_qI-CmmcVG0m5k5jHlKlv4A_6_4"/>
      <w:bookmarkStart w:id="414" w:name="Tc_VwP_nvbpR0-zNmuEKJtURQ_6_0"/>
      <w:bookmarkStart w:id="415" w:name="Tc_EFZhLyC8x0ixynIRV2l-Nw_4_16"/>
      <w:bookmarkStart w:id="416" w:name="Tc_o82ZXeIzNUelSEsyMs6MCQ_4_13"/>
      <w:bookmarkStart w:id="417" w:name="Tc_xsxlzf7yJ0m5pnQZ3Jw7JQ_4_10"/>
      <w:bookmarkStart w:id="418" w:name="Tc_xPwgUFGQLUOCu84B5rbJdQ_4_7"/>
      <w:bookmarkStart w:id="419" w:name="Tc_iM1IxVhLukGAI164aVDqMA_4_4"/>
      <w:bookmarkStart w:id="420" w:name="Tc_k_JLn_eWQ0asgn_4X48GQA_4_2"/>
      <w:bookmarkStart w:id="421" w:name="Tc_Kc-vmp0Mmkq0GsUPSjG5Qg_3_16"/>
      <w:bookmarkStart w:id="422" w:name="Tc_A5ALPiqSDU-1l9Wyw4XC5A_3_13"/>
      <w:bookmarkStart w:id="423" w:name="Tc_7ya80cebpkKU1QQ1-lcy9Q_3_9"/>
      <w:bookmarkStart w:id="424" w:name="Tc_WKLjBf3PSESD7djZKNW9kw_3_7"/>
      <w:bookmarkStart w:id="425" w:name="Tc_rkvEVswHJk2GHbsE1VvNKg_3_2"/>
      <w:bookmarkStart w:id="426" w:name="Tc_ub-oyl8cJ0-UCZyZAKs8qg_2_10"/>
      <w:bookmarkStart w:id="427" w:name="Tc_KajYtUxJnUOHqt5tYbmT7g_2_7"/>
      <w:bookmarkStart w:id="428" w:name="Tc_lEJwnwi3ZkKM3bx7nttB8Q_1_10"/>
      <w:bookmarkStart w:id="429" w:name="_798c5f16_306d_4a9a_830e_ca30b7c61596"/>
      <w:bookmarkStart w:id="430" w:name="Tc_juvV-ojMdEymhvHjO5NebQ_42_16"/>
      <w:bookmarkStart w:id="431" w:name="Tc_9MhSxx5SpkuLtoYnGHAsqg_42_13"/>
      <w:bookmarkStart w:id="432" w:name="Tc_WLf2wgWWIEOR9NaDmiwvIg_42_10"/>
      <w:bookmarkStart w:id="433" w:name="Tc_UWz1pN842UaLHOvgvt1eeg_42_7"/>
      <w:bookmarkStart w:id="434" w:name="Tc_2nkyroJFcEqH3kh6RY0AUw_42_4"/>
      <w:bookmarkStart w:id="435" w:name="Tc_YNPrFMglm0G3DmsRdMc6lQ_42_0"/>
      <w:bookmarkStart w:id="436" w:name="Tc_QoqumceTpEaj86bpjANF_A_41_11"/>
      <w:bookmarkStart w:id="437" w:name="Tc_v3YeoDqi5kOd6yfK1yAVCw_41_8"/>
      <w:bookmarkStart w:id="438" w:name="Tc_D_O6BfhYpUWYT9mmEkUMuA_41_5"/>
      <w:bookmarkStart w:id="439" w:name="Tc_KOBlRrw5Rk6siAPSpmsEQw_41_2"/>
      <w:bookmarkStart w:id="440" w:name="Tc_FS7PEEZQEE6DMzML4zHNbQ_41_0"/>
      <w:bookmarkStart w:id="441" w:name="Tc_lBkZSyROQUuu7HvopWhomw_40_14"/>
      <w:bookmarkStart w:id="442" w:name="Tc_7K9Lz0v9TUKFN28JgZtWJA_40_8"/>
      <w:bookmarkStart w:id="443" w:name="Tc_OztDl5GPnUOYUuNalceGdw_40_5"/>
      <w:bookmarkStart w:id="444" w:name="Tc_PadwODU_I0yb6AJkJ2aJeg_40_2"/>
      <w:bookmarkStart w:id="445" w:name="Tc_r4QGCyDSx0SyMKFI1qZ8qg_40_0"/>
      <w:bookmarkStart w:id="446" w:name="Tc_zXPdPwlyXUe5MEQnJV6cvA_39_14"/>
      <w:bookmarkStart w:id="447" w:name="Tc_pyENOf_DdEShXenPh2pGkg_39_11"/>
      <w:bookmarkStart w:id="448" w:name="Tc_asl3K-4Lg0eid_BcbiyLJg_39_5"/>
      <w:bookmarkStart w:id="449" w:name="Tc_JFuIOKW-4UiFbwKBGTtWog_39_2"/>
      <w:bookmarkStart w:id="450" w:name="Tc_sjXilK8dhE-z94dJf2IvVg_39_0"/>
      <w:bookmarkStart w:id="451" w:name="Tc_x_6zWKJ28ESD0ZMU1g178w_38_14"/>
      <w:bookmarkStart w:id="452" w:name="Tc_AqdyXqmgNUy5HuUtErYI3w_38_11"/>
      <w:bookmarkStart w:id="453" w:name="Tc_2cCoqXZlyU2jMgPLIRXplQ_38_5"/>
      <w:bookmarkStart w:id="454" w:name="Tc__yq4097mN0m1-dOTOKQQ0g_38_0"/>
      <w:bookmarkStart w:id="455" w:name="Tc_lpcBtqzVRE60T3fPPBNoGw_36_16"/>
      <w:bookmarkStart w:id="456" w:name="Tc_erT8dkpnnEq6ka7EzcvHjw_36_13"/>
      <w:bookmarkStart w:id="457" w:name="Tc_qPCXWjy4UECt5yEAwlfg8g_36_10"/>
      <w:bookmarkStart w:id="458" w:name="Tc_dOXsegOzaEaRmnKO1LLTew_36_7"/>
      <w:bookmarkStart w:id="459" w:name="Tc_6u9HC-aE50-yY8uhwaYjBA_36_4"/>
      <w:bookmarkStart w:id="460" w:name="Tc_Yw9ZG4_C5kaT6DVbP200bw_36_0"/>
      <w:bookmarkStart w:id="461" w:name="Tc_5msshcyOukqxRYs9rYpACA_35_11"/>
      <w:bookmarkStart w:id="462" w:name="Tc_E37UlPiGP0C_IRpNAKLHtQ_35_8"/>
      <w:bookmarkStart w:id="463" w:name="Tc_K3ZBaX3o4UuOGH93Cb4LZQ_35_5"/>
      <w:bookmarkStart w:id="464" w:name="Tc_uaZ7e4UWPEy4MzuH-fEgiQ_35_2"/>
      <w:bookmarkStart w:id="465" w:name="Tc_BX9VXzIWgkCATa8AEZYvwA_35_0"/>
      <w:bookmarkStart w:id="466" w:name="Tc_teJQkmtqzUKhA2_ASLZQKw_34_14"/>
      <w:bookmarkStart w:id="467" w:name="Tc_oLPH3uP3MES21F8YEnByfQ_34_8"/>
      <w:bookmarkStart w:id="468" w:name="Tc_X_9QAq8M9Um7qGGbqeJHtA_34_5"/>
      <w:bookmarkStart w:id="469" w:name="Tc_s8t2zplIlUaocluXeWC0zA_34_2"/>
      <w:bookmarkStart w:id="470" w:name="Tc_8NqH-YET-keBoQDeLhS2LQ_34_0"/>
      <w:bookmarkStart w:id="471" w:name="Tc_Mw5tqPq50kSQ8JrCCGV-yg_33_14"/>
      <w:bookmarkStart w:id="472" w:name="Tc_oPaZuQnnIEGgwCr7I7L9AA_33_11"/>
      <w:bookmarkStart w:id="473" w:name="Tc_2avUiPKaFESKL4Oqlu8KuA_33_5"/>
      <w:bookmarkStart w:id="474" w:name="Tc_I0kVAL5zg0Ojo8JT1GKFNQ_33_2"/>
      <w:bookmarkStart w:id="475" w:name="Tc_RV_gGRGZO0yNPEEnP16NQA_33_0"/>
      <w:bookmarkStart w:id="476" w:name="Tc_dcg2mYGFlk-hDKf-eVPFNA_32_14"/>
      <w:bookmarkStart w:id="477" w:name="Tc_VbOUg9UBD0yCqiFLLatfRg_32_13"/>
      <w:bookmarkStart w:id="478" w:name="Tc_U06BeOiGi0eyXwTIRfYURg_32_11"/>
      <w:bookmarkStart w:id="479" w:name="Tc_4zsHWpJe0kiuyA8QJKz1cA_32_10"/>
      <w:bookmarkStart w:id="480" w:name="Tc_HhPHLU38p0S5i-n6PgWWyA_32_7"/>
      <w:bookmarkStart w:id="481" w:name="Tc_sAou4PeBDUu5VNU5ALcNDw_32_5"/>
      <w:bookmarkStart w:id="482" w:name="Tc_KKPQoq_Q4UGWIhpbqKSrPA_32_4"/>
      <w:bookmarkStart w:id="483" w:name="Tc_pVUE1l1XLEW-S3jVPDXj6w_32_0"/>
      <w:bookmarkStart w:id="484" w:name="Tc_aSebEho8ZUi8Wl6SSMS1Gg_30_16"/>
      <w:bookmarkStart w:id="485" w:name="Tc_PmtshufbiEqKr76kmdrWmA_30_13"/>
      <w:bookmarkStart w:id="486" w:name="Tc_sx-wrySNxEi2wLh-N-9gsg_30_10"/>
      <w:bookmarkStart w:id="487" w:name="Tc_9xvkZ3fZ1kKcYJ1qs_oGWA_30_7"/>
      <w:bookmarkStart w:id="488" w:name="Tc_l30BFv-SKkKTWPUKg2bkLw_30_4"/>
      <w:bookmarkStart w:id="489" w:name="Tc_vCWUMjopfUK_OSmGZpUm5w_30_0"/>
      <w:bookmarkStart w:id="490" w:name="Tc_io5Vm-8T1U27d4r_jccPvw_29_11"/>
      <w:bookmarkStart w:id="491" w:name="Tc_aW_nRrZjkUmVSG0ZOugLlg_29_8"/>
      <w:bookmarkStart w:id="492" w:name="Tc_opfmWoEOF0yrwzHIefVBlA_29_5"/>
      <w:bookmarkStart w:id="493" w:name="Tc_mB5ygwddX0qQwBrkUGQwtA_29_2"/>
      <w:bookmarkStart w:id="494" w:name="Tc_WEghla1ZykWnI3_4xlwvmA_29_0"/>
      <w:bookmarkStart w:id="495" w:name="Tc_OUFbxIxKvUy8em3Y0N2xqw_28_14"/>
      <w:bookmarkStart w:id="496" w:name="Tc_s-Q6ICBqbU-2ETIbw0P6zQ_28_8"/>
      <w:bookmarkStart w:id="497" w:name="Tc_1t0My77Gkkaq0x4rH3Lqow_28_5"/>
      <w:bookmarkStart w:id="498" w:name="Tc_dQ9Kbff_4UmU-V_QC25Tsg_28_2"/>
      <w:bookmarkStart w:id="499" w:name="Tc_9h-u0Lew8E6-Ngj_yGilgQ_28_0"/>
      <w:bookmarkStart w:id="500" w:name="Tc_SKlFH-7X_UGzLZNv6NDf6Q_27_14"/>
      <w:bookmarkStart w:id="501" w:name="Tc_25vhZuhOHU24qKcV_y1Ymw_27_11"/>
      <w:bookmarkStart w:id="502" w:name="Tc_ziOfTeeipUKPqidkCUFxQA_27_5"/>
      <w:bookmarkStart w:id="503" w:name="Tc_i8ZdwBgseE2bJnMMMfHkHQ_27_2"/>
      <w:bookmarkStart w:id="504" w:name="Tc_7-g302MZZ0alQiABFxF_3g_27_0"/>
      <w:bookmarkStart w:id="505" w:name="Tc_M1O3rR554k-oW0pbqSO1-A_26_14"/>
      <w:bookmarkStart w:id="506" w:name="Tc_r9_Ml4_Iuk6efE1U1bq_iA_26_11"/>
      <w:bookmarkStart w:id="507" w:name="Tc_8kAHuOsah0aTcUisd8BZfw_26_0"/>
      <w:bookmarkStart w:id="508" w:name="Tc_YlNAPZugZE2vua3d-cfssg_25_16"/>
      <w:bookmarkStart w:id="509" w:name="Tc_e6poI26ZzUOmo0eFaR8jEQ_25_13"/>
      <w:bookmarkStart w:id="510" w:name="Tc__TMtNffKAECWV68g7Kmkbg_25_10"/>
      <w:bookmarkStart w:id="511" w:name="Tc_8FakOWWs9kyQQUi9nBEYig_25_7"/>
      <w:bookmarkStart w:id="512" w:name="Tc_1n1KcgtTY0q4ZaIXXfTNyw_25_4"/>
      <w:bookmarkStart w:id="513" w:name="Tc_BHjfhzNDAkSwbr9gdibj8w_25_0"/>
      <w:bookmarkStart w:id="514" w:name="Tc_y2hHqpPHJUKneaUvMQloPg_23_16"/>
      <w:bookmarkStart w:id="515" w:name="Tc_jGSPpu5TEE-0F4qb0wRSVQ_23_13"/>
      <w:bookmarkStart w:id="516" w:name="Tc_La1KNLpYl06jDGtzWKtyjA_23_10"/>
      <w:bookmarkStart w:id="517" w:name="Tc_BNsDXRR3e0eatNrJoaYFzg_23_7"/>
      <w:bookmarkStart w:id="518" w:name="Tc_xWl9pm-WrE6RFBJtvHMzXQ_23_4"/>
      <w:bookmarkStart w:id="519" w:name="Tc_W9PQPLMHEEys6UA7LOcWOA_23_0"/>
      <w:bookmarkStart w:id="520" w:name="Tc_k3mNQhUTsE-euY7-cPn5JA_22_11"/>
      <w:bookmarkStart w:id="521" w:name="Tc_zAFpHSmlBUCuVutftOR6oA_22_8"/>
      <w:bookmarkStart w:id="522" w:name="Tc_IX0OqBOVQ0a4BIxRnoWKvw_22_5"/>
      <w:bookmarkStart w:id="523" w:name="Tc_Wmqt4-Fci02BcDhLE7tb3Q_22_2"/>
      <w:bookmarkStart w:id="524" w:name="Tc_jzW9pvW6XUSTkjhZ-2nx0A_22_0"/>
      <w:bookmarkStart w:id="525" w:name="Tc_eOCYbLU6kESPjnvcqS3P1Q_21_14"/>
      <w:bookmarkStart w:id="526" w:name="Tc_W0Cgh_ppFEmHHl1Zg7QUeg_21_8"/>
      <w:bookmarkStart w:id="527" w:name="Tc_v9k_O4QgEEGD8lEa8I3glA_21_5"/>
      <w:bookmarkStart w:id="528" w:name="Tc_0XXfYFNXUkqbJmEbpQj8TA_21_2"/>
      <w:bookmarkStart w:id="529" w:name="Tc_A8N0GyvYR0C24V4Ae3Ffpw_21_0"/>
      <w:bookmarkStart w:id="530" w:name="Tc_55EjicNkt02JZEcVU8PWbw_20_14"/>
      <w:bookmarkStart w:id="531" w:name="Tc_p9sBxscF80id4OBJtO3PIA_20_11"/>
      <w:bookmarkStart w:id="532" w:name="Tc_bFC0lVX9EUWMZB61z_FH9w_20_5"/>
      <w:bookmarkStart w:id="533" w:name="Tc_d0V_pE2TCU-0SozyiQPX_w_20_2"/>
      <w:bookmarkStart w:id="534" w:name="Tc_sQFFqv978E-wFxZHVPtTbw_20_0"/>
      <w:bookmarkStart w:id="535" w:name="Tc_6wPkyTrvYUGJIHmzsxqQtw_19_16"/>
      <w:bookmarkStart w:id="536" w:name="Tc_Z5l_qC4YBUWMHKAtJ93IEw_19_14"/>
      <w:bookmarkStart w:id="537" w:name="Tc_JkKyDt2660SFzO0VEkdRQQ_19_13"/>
      <w:bookmarkStart w:id="538" w:name="Tc_20nXK82IO0iaCult0gCnAg_19_11"/>
      <w:bookmarkStart w:id="539" w:name="Tc_8J-lV_VWt0ewjQ9Yda-uPQ_19_10"/>
      <w:bookmarkStart w:id="540" w:name="Tc_KNZ_ezh7yEmL_9IPR7bmsA_19_7"/>
      <w:bookmarkStart w:id="541" w:name="Tc_7_3OwgUTrEu63qLEDIoZKg_19_5"/>
      <w:bookmarkStart w:id="542" w:name="Tc_E3IE-50nHkKZjh2ExlprEQ_19_4"/>
      <w:bookmarkStart w:id="543" w:name="Tc_eIjgc5qCWE2I-NiLl39Z9A_19_0"/>
      <w:bookmarkStart w:id="544" w:name="Tc_Qtdl55xVDk6ACS1WVFr6Uw_17_16"/>
      <w:bookmarkStart w:id="545" w:name="Tc_Po3R_VXfbkm_8_hKsQ7NMQ_17_13"/>
      <w:bookmarkStart w:id="546" w:name="Tc_HBLDKTnrfE6UpHaRmC4KyA_17_10"/>
      <w:bookmarkStart w:id="547" w:name="Tc_S5wKXl4FIkWNL9ZsUH86Kw_17_7"/>
      <w:bookmarkStart w:id="548" w:name="Tc_E8dqWwDLrUGE07wa5Q0NDA_17_4"/>
      <w:bookmarkStart w:id="549" w:name="Tc_iSOCjEG7E0WCmS0S2ype8A_17_0"/>
      <w:bookmarkStart w:id="550" w:name="Tc_fiqrkameOU61G_ma6jC2-w_16_11"/>
      <w:bookmarkStart w:id="551" w:name="Tc_4RP6LlIMWUiRQgBRCgrf-Q_16_8"/>
      <w:bookmarkStart w:id="552" w:name="Tc_Q0mhCk-KbUumSlN4CQqrOQ_16_5"/>
      <w:bookmarkStart w:id="553" w:name="Tc_WkILRL06t02glRIcOZZWJw_16_2"/>
      <w:bookmarkStart w:id="554" w:name="Tc_q2_8IeqYX0W-apGRMykX9Q_16_0"/>
      <w:bookmarkStart w:id="555" w:name="Tc_1ZIEwuZuYkSs6ezq8LaenQ_15_14"/>
      <w:bookmarkStart w:id="556" w:name="Tc_vTlGpp38CUq3LZ4sngZYwQ_15_8"/>
      <w:bookmarkStart w:id="557" w:name="Tc_pzSlURQHcU2ASyvwGh-RFg_15_5"/>
      <w:bookmarkStart w:id="558" w:name="Tc_qCYK-llqRk6Lngza_EL4Rg_15_2"/>
      <w:bookmarkStart w:id="559" w:name="Tc_s4g-sXuQL0m59V7Ba4AzQA_15_0"/>
      <w:bookmarkStart w:id="560" w:name="Tc_vHhE8nZjeEai2FZ4MzBgBQ_14_14"/>
      <w:bookmarkStart w:id="561" w:name="Tc_iQP5DhNRWkiZYSGhIkyJIw_14_11"/>
      <w:bookmarkStart w:id="562" w:name="Tc_Mg-m7rkxtUusGJa1o2VDbQ_14_5"/>
      <w:bookmarkStart w:id="563" w:name="Tc_-bKIIgA7J0SojQda6kQCkw_14_2"/>
      <w:bookmarkStart w:id="564" w:name="Tc_gjvXQzQemU6MQFXgeM4IJg_14_0"/>
      <w:bookmarkStart w:id="565" w:name="Tc_UMwFO_YiQ0-iw001li_vVA_13_16"/>
      <w:bookmarkStart w:id="566" w:name="Tc_IyquHlNK_Uu2egSE48-JYw_13_14"/>
      <w:bookmarkStart w:id="567" w:name="Tc_LsVqqesHckyXN8z6vK3udg_13_13"/>
      <w:bookmarkStart w:id="568" w:name="Tc_e0tOJC-Fuk2ZfsmVSFmc0Q_13_11"/>
      <w:bookmarkStart w:id="569" w:name="Tc_Yy363Kn6gkO6vXZMSICiyg_13_10"/>
      <w:bookmarkStart w:id="570" w:name="Tc_DK9NN27HlkmjPFEdmaTYRg_13_7"/>
      <w:bookmarkStart w:id="571" w:name="Tc_4JZr30eyU0-984BZ8GjKZQ_13_4"/>
      <w:bookmarkStart w:id="572" w:name="Tc_HpGlIOl7Xk2qNfyZdeKn2g_13_0"/>
      <w:bookmarkStart w:id="573" w:name="Tc_1dQirKktpEuYgG-HeWxrrA_11_16"/>
      <w:bookmarkStart w:id="574" w:name="Tc_ceGevHcAhEGcfK5Kw1PEmA_11_13"/>
      <w:bookmarkStart w:id="575" w:name="Tc_P-eF8x2K10Gm43-vkrKZpg_11_10"/>
      <w:bookmarkStart w:id="576" w:name="Tc_NUcM7jejdk6kwv2cRYDRlg_11_7"/>
      <w:bookmarkStart w:id="577" w:name="Tc_YqMw9_llxkOEtPhSqblz8A_11_4"/>
      <w:bookmarkStart w:id="578" w:name="Tc_X5TybPPTt0SMpJaTKtJPSg_11_0"/>
      <w:bookmarkStart w:id="579" w:name="Tc_osPmnYdQG0K24xTe0uKHOg_10_11"/>
      <w:bookmarkStart w:id="580" w:name="Tc_yxmXhnaGFUuTIfXj-EFlCQ_10_8"/>
      <w:bookmarkStart w:id="581" w:name="Tc_q-Ji8jgbTk2F9BPbM5hhpg_10_5"/>
      <w:bookmarkStart w:id="582" w:name="Tc_1XPSFSD4j0StznHmMYpnvQ_10_2"/>
      <w:bookmarkStart w:id="583" w:name="Tc_Ya0Hx3IWi0WE0GeWf2DWfA_10_0"/>
      <w:bookmarkStart w:id="584" w:name="Tc_4VT3RTU6O0itIsE9730Y2w_9_14"/>
      <w:bookmarkStart w:id="585" w:name="Tc_5q4JJYVYPEOYvBEpyLzi2w_9_8"/>
      <w:bookmarkStart w:id="586" w:name="Tc_cpgIf9JAbUanZ2nZ38eDtQ_9_5"/>
      <w:bookmarkStart w:id="587" w:name="Tc_g69Ktd386U-DwT0YJ15EQQ_9_2"/>
      <w:bookmarkStart w:id="588" w:name="Tc_FpRYIeWCuEeAPa-p_36qzw_9_0"/>
      <w:bookmarkStart w:id="589" w:name="Tc_fx6qJbXSqE2Q8XrQltZLxg_8_14"/>
      <w:bookmarkStart w:id="590" w:name="Tc_twFNBWb-CkSEgN9tgeF0eA_8_11"/>
      <w:bookmarkStart w:id="591" w:name="Tc_cLr-Ask1K0uBDHmNDNmkZg_8_5"/>
      <w:bookmarkStart w:id="592" w:name="Tc_vHmLw0vgvU-qF8YjbKo8Dg_8_2"/>
      <w:bookmarkStart w:id="593" w:name="Tc_hW56bxODtUWtA6lsNkq0gg_8_0"/>
      <w:bookmarkStart w:id="594" w:name="Tc_4up8y13BJkifoUY-G0k2cQ_7_17"/>
      <w:bookmarkStart w:id="595" w:name="Tc_EGnfiXeGYU21zDM-hInvUQ_7_14"/>
      <w:bookmarkStart w:id="596" w:name="Tc_IkzwtofgxkmWoTRMKLCnBA_7_11"/>
      <w:bookmarkStart w:id="597" w:name="Tc_fyqUd9vgmkWHGvZ4zFGjqA_7_8"/>
      <w:bookmarkStart w:id="598" w:name="Tc_EVLWn8OKy0SJ2dX6oOpF0w_7_5"/>
      <w:bookmarkStart w:id="599" w:name="Tc_pIMoJYvyU06AGyFcKgi_fg_7_0"/>
      <w:bookmarkStart w:id="600" w:name="Tc_GKNJsXCZIk-gEnJugTlDMA_6_16"/>
      <w:bookmarkStart w:id="601" w:name="Tc_aFKVUJDv7E-tSHttilWucw_6_13"/>
      <w:bookmarkStart w:id="602" w:name="Tc_qxi3EIpsAEOxRIlPcRR21Q_6_10"/>
      <w:bookmarkStart w:id="603" w:name="Tc_5Ss81bOE5UaKxITLXpkbug_6_7"/>
      <w:bookmarkStart w:id="604" w:name="Tc_qI-CmmcVG0m5k5jHlKlv4A_6_4"/>
      <w:bookmarkStart w:id="605" w:name="Tc_VwP_nvbpR0-zNmuEKJtURQ_6_0"/>
      <w:bookmarkStart w:id="606" w:name="Tc_EFZhLyC8x0ixynIRV2l-Nw_4_16"/>
      <w:bookmarkStart w:id="607" w:name="Tc_o82ZXeIzNUelSEsyMs6MCQ_4_13"/>
      <w:bookmarkStart w:id="608" w:name="Tc_xsxlzf7yJ0m5pnQZ3Jw7JQ_4_10"/>
      <w:bookmarkStart w:id="609" w:name="Tc_xPwgUFGQLUOCu84B5rbJdQ_4_7"/>
      <w:bookmarkStart w:id="610" w:name="Tc_iM1IxVhLukGAI164aVDqMA_4_4"/>
      <w:bookmarkStart w:id="611" w:name="Tc_k_JLn_eWQ0asgn_4X48GQA_4_2"/>
      <w:bookmarkStart w:id="612" w:name="Tc_Kc-vmp0Mmkq0GsUPSjG5Qg_3_16"/>
      <w:bookmarkStart w:id="613" w:name="Tc_A5ALPiqSDU-1l9Wyw4XC5A_3_13"/>
      <w:bookmarkStart w:id="614" w:name="Tc_7ya80cebpkKU1QQ1-lcy9Q_3_9"/>
      <w:bookmarkStart w:id="615" w:name="Tc_WKLjBf3PSESD7djZKNW9kw_3_7"/>
      <w:bookmarkStart w:id="616" w:name="Tc_rkvEVswHJk2GHbsE1VvNKg_3_2"/>
      <w:bookmarkStart w:id="617" w:name="Tc_ub-oyl8cJ0-UCZyZAKs8qg_2_10"/>
      <w:bookmarkStart w:id="618" w:name="Tc_KajYtUxJnUOHqt5tYbmT7g_2_7"/>
      <w:bookmarkStart w:id="619" w:name="Tc_lEJwnwi3ZkKM3bx7nttB8Q_1_10"/>
      <w:bookmarkStart w:id="620" w:name="_798c5f16_306d_4a9a_830e_ca30b7c61596"/>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tbl>
      <w:tblPr>
        <w:tblW w:w="10205" w:type="dxa"/>
        <w:jc w:val="left"/>
        <w:tblInd w:w="0" w:type="dxa"/>
        <w:tblLayout w:type="fixed"/>
        <w:tblCellMar>
          <w:top w:w="0" w:type="dxa"/>
          <w:left w:w="0" w:type="dxa"/>
          <w:bottom w:w="0" w:type="dxa"/>
          <w:right w:w="0" w:type="dxa"/>
        </w:tblCellMar>
      </w:tblPr>
      <w:tblGrid>
        <w:gridCol w:w="3434"/>
        <w:gridCol w:w="326"/>
        <w:gridCol w:w="766"/>
        <w:gridCol w:w="326"/>
        <w:gridCol w:w="206"/>
        <w:gridCol w:w="365"/>
        <w:gridCol w:w="326"/>
        <w:gridCol w:w="196"/>
        <w:gridCol w:w="691"/>
        <w:gridCol w:w="326"/>
        <w:gridCol w:w="227"/>
        <w:gridCol w:w="644"/>
        <w:gridCol w:w="146"/>
        <w:gridCol w:w="196"/>
        <w:gridCol w:w="771"/>
        <w:gridCol w:w="146"/>
        <w:gridCol w:w="216"/>
        <w:gridCol w:w="703"/>
        <w:gridCol w:w="194"/>
      </w:tblGrid>
      <w:tr>
        <w:trPr/>
        <w:tc>
          <w:tcPr>
            <w:tcW w:w="3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80590" cy="175260"/>
                      <wp:effectExtent l="0" t="0" r="0" b="0"/>
                      <wp:wrapNone/>
                      <wp:docPr id="21" name="Frame21"/>
                      <a:graphic xmlns:a="http://schemas.openxmlformats.org/drawingml/2006/main">
                        <a:graphicData uri="http://schemas.microsoft.com/office/word/2010/wordprocessingShape">
                          <wps:wsp>
                            <wps:cNvSpPr txBox="1"/>
                            <wps:spPr>
                              <a:xfrm>
                                <a:off x="0" y="0"/>
                                <a:ext cx="2180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86410" cy="175260"/>
                      <wp:effectExtent l="0" t="0" r="0" b="0"/>
                      <wp:wrapNone/>
                      <wp:docPr id="23" name="Frame2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0810" cy="175260"/>
                      <wp:effectExtent l="0" t="0" r="0" b="0"/>
                      <wp:wrapNone/>
                      <wp:docPr id="25" name="Frame2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1775" cy="175260"/>
                      <wp:effectExtent l="0" t="0" r="0" b="0"/>
                      <wp:wrapNone/>
                      <wp:docPr id="26" name="Frame26"/>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8785" cy="175260"/>
                      <wp:effectExtent l="0" t="0" r="0" b="0"/>
                      <wp:wrapNone/>
                      <wp:docPr id="29" name="Frame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4145" cy="175260"/>
                      <wp:effectExtent l="0" t="0" r="0" b="0"/>
                      <wp:wrapNone/>
                      <wp:docPr id="31" name="Frame3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8940" cy="175260"/>
                      <wp:effectExtent l="0" t="0" r="0" b="0"/>
                      <wp:wrapNone/>
                      <wp:docPr id="32" name="Frame32"/>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2710" cy="175260"/>
                      <wp:effectExtent l="0" t="0" r="0" b="0"/>
                      <wp:wrapNone/>
                      <wp:docPr id="33" name="Frame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9585" cy="175260"/>
                      <wp:effectExtent l="0" t="0" r="0" b="0"/>
                      <wp:wrapNone/>
                      <wp:docPr id="35" name="Frame35"/>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2710" cy="175260"/>
                      <wp:effectExtent l="0" t="0" r="0" b="0"/>
                      <wp:wrapNone/>
                      <wp:docPr id="36" name="Frame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7160" cy="175260"/>
                      <wp:effectExtent l="0" t="0" r="0" b="0"/>
                      <wp:wrapNone/>
                      <wp:docPr id="37" name="Frame3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46405" cy="175260"/>
                      <wp:effectExtent l="0" t="0" r="0" b="0"/>
                      <wp:wrapNone/>
                      <wp:docPr id="38" name="Frame3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3190" cy="175260"/>
                      <wp:effectExtent l="0" t="0" r="0" b="0"/>
                      <wp:wrapNone/>
                      <wp:docPr id="39" name="Frame3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7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216" w:type="dxa"/>
            <w:tcBorders/>
            <w:vAlign w:val="center"/>
          </w:tcPr>
          <w:p>
            <w:pPr>
              <w:pStyle w:val="TableContents"/>
              <w:bidi w:val="0"/>
              <w:spacing w:lineRule="auto" w:line="285" w:before="0" w:after="0"/>
              <w:ind w:left="0" w:right="0" w:hanging="0"/>
              <w:jc w:val="center"/>
              <w:rPr/>
            </w:pPr>
            <w:r>
              <w:rPr/>
              <w:t>​</w:t>
            </w:r>
          </w:p>
        </w:tc>
        <w:tc>
          <w:tcPr>
            <w:tcW w:w="703"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lineRule="auto" w:line="285" w:before="0" w:after="0"/>
              <w:ind w:left="0" w:right="0" w:hanging="0"/>
              <w:jc w:val="center"/>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Other </w:t>
            </w:r>
          </w:p>
        </w:tc>
        <w:tc>
          <w:tcPr>
            <w:tcW w:w="14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7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919" w:type="dxa"/>
            <w:gridSpan w:val="2"/>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66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343"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96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vAlign w:val="center"/>
          </w:tcPr>
          <w:p>
            <w:pPr>
              <w:pStyle w:val="TableContents"/>
              <w:bidi w:val="0"/>
              <w:spacing w:lineRule="auto" w:line="285" w:before="0" w:after="0"/>
              <w:ind w:left="0" w:right="0" w:hanging="0"/>
              <w:jc w:val="center"/>
              <w:rPr/>
            </w:pPr>
            <w:r>
              <w:rPr/>
              <w:t>​</w:t>
            </w:r>
          </w:p>
        </w:tc>
        <w:tc>
          <w:tcPr>
            <w:tcW w:w="91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lineRule="auto" w:line="285"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46" w:type="dxa"/>
            <w:tcBorders/>
            <w:vAlign w:val="center"/>
          </w:tcPr>
          <w:p>
            <w:pPr>
              <w:pStyle w:val="TableContents"/>
              <w:bidi w:val="0"/>
              <w:spacing w:lineRule="auto" w:line="285" w:before="0" w:after="0"/>
              <w:ind w:left="0" w:right="0" w:hanging="0"/>
              <w:jc w:val="center"/>
              <w:rPr/>
            </w:pPr>
            <w:r>
              <w:rPr/>
              <w:t>​</w:t>
            </w:r>
          </w:p>
        </w:tc>
        <w:tc>
          <w:tcPr>
            <w:tcW w:w="9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46" w:type="dxa"/>
            <w:tcBorders/>
            <w:vAlign w:val="center"/>
          </w:tcPr>
          <w:p>
            <w:pPr>
              <w:pStyle w:val="TableContents"/>
              <w:bidi w:val="0"/>
              <w:spacing w:lineRule="auto" w:line="285" w:before="0" w:after="0"/>
              <w:ind w:left="0" w:right="0" w:hanging="0"/>
              <w:jc w:val="center"/>
              <w:rPr/>
            </w:pPr>
            <w:r>
              <w:rPr/>
              <w:t>​</w:t>
            </w:r>
          </w:p>
        </w:tc>
        <w:tc>
          <w:tcPr>
            <w:tcW w:w="91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644"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703"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center"/>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59,958,919</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2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2,358,018</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22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(10,443)</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(1,832,958)</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2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514,677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457,416</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 </w:t>
            </w:r>
          </w:p>
        </w:tc>
        <w:tc>
          <w:tcPr>
            <w:tcW w:w="703" w:type="dxa"/>
            <w:tcBorders/>
            <w:vAlign w:val="center"/>
          </w:tcPr>
          <w:p>
            <w:pPr>
              <w:pStyle w:val="TableContents"/>
              <w:bidi w:val="0"/>
              <w:spacing w:lineRule="auto" w:line="285" w:before="0" w:after="0"/>
              <w:ind w:left="0" w:right="0" w:hanging="0"/>
              <w:jc w:val="righ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23,340</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 </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23,340</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5,841</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5,841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(129,560)</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(129,560)</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2023</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60,416,335</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2,381,358</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(4,602)</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(1,962,518)</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414,298</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 and stock purchase plan</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221,940</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5,298</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5,299</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23,945</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23,945</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381</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(132,794)</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(132,794)</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June 30, 2023</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60,638,275</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2,410,601</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(4,221)</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(2,095,312)</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311,129</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102,469</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445</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445</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23,212</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23,212</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1,538</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1,538</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(133,713)</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(133,713)</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September 30, 2023</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60,740,744</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2,434,258</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(2,683)</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(2,229,025)</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202,611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2021</w:t>
            </w:r>
          </w:p>
        </w:tc>
        <w:tc>
          <w:tcPr>
            <w:tcW w:w="326"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59,141,086</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2,250,250</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(4,133)</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(1,275,441)</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970,735</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414,888</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1,297</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 </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23,609</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 </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23,609</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(7,977)</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(7,977)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(105,999)</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0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(105,999)</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59,555,974</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2,275,156</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(12,110)</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(1,381,440)</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881,666</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 and stock purchase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132,321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2,407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2,407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25,524</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25,524</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shd w:fill="CCEEFF" w:val="clear"/>
            <w:vAlign w:val="center"/>
          </w:tcPr>
          <w:p>
            <w:pPr>
              <w:pStyle w:val="TableContents"/>
              <w:bidi w:val="0"/>
              <w:spacing w:lineRule="auto" w:line="285" w:before="0" w:after="0"/>
              <w:ind w:left="0" w:right="0" w:hanging="0"/>
              <w:jc w:val="left"/>
              <w:rPr/>
            </w:pPr>
            <w:r>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(2,138)</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(2,138)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(159,709)</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(159,709)</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June 30, 2022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59,688,295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2,303,087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(14,248)</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(1,541,149)</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747,750</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644"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703"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120,197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2,030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shd w:fill="CCEEFF" w:val="clear"/>
            <w:vAlign w:val="center"/>
          </w:tcPr>
          <w:p>
            <w:pPr>
              <w:pStyle w:val="TableContents"/>
              <w:bidi w:val="0"/>
              <w:spacing w:lineRule="auto" w:line="285" w:before="0" w:after="0"/>
              <w:ind w:left="0" w:right="0" w:hanging="0"/>
              <w:jc w:val="lef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2,030</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24,268</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24,268</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shd w:fill="CCEEFF" w:val="clear"/>
            <w:vAlign w:val="center"/>
          </w:tcPr>
          <w:p>
            <w:pPr>
              <w:pStyle w:val="TableContents"/>
              <w:bidi w:val="0"/>
              <w:spacing w:lineRule="auto" w:line="285" w:before="0" w:after="0"/>
              <w:ind w:left="0" w:right="0" w:hanging="0"/>
              <w:jc w:val="left"/>
              <w:rPr/>
            </w:pPr>
            <w:r>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(578)</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(578)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(133,163)</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(133,163)</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September 30, 2022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59,808,492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2,329,385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(14,826)</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(1,674,312)</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640,307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621" w:name="_c3009207_890e_477c_8d29_c6b1cf6b68d7"/>
      <w:bookmarkEnd w:id="621"/>
      <w:r>
        <w:rPr>
          <w:rFonts w:ascii="Times New Roman;Times;serif" w:hAnsi="Times New Roman;Times;serif"/>
          <w:b/>
          <w:sz w:val="20"/>
        </w:rPr>
        <w:t xml:space="preserve">Blueprint Medicines Corporation </w:t>
      </w:r>
    </w:p>
    <w:p>
      <w:pPr>
        <w:pStyle w:val="TextBody"/>
        <w:bidi w:val="0"/>
        <w:spacing w:lineRule="auto" w:line="285" w:before="0" w:after="0"/>
        <w:ind w:left="0" w:right="0" w:hanging="0"/>
        <w:jc w:val="center"/>
        <w:rPr>
          <w:rFonts w:ascii="Times New Roman;Times;serif" w:hAnsi="Times New Roman;Times;serif"/>
          <w:b/>
          <w:sz w:val="20"/>
        </w:rPr>
      </w:pPr>
      <w:bookmarkStart w:id="622" w:name="CashFlows_481395"/>
      <w:bookmarkEnd w:id="622"/>
      <w:r>
        <w:rPr>
          <w:rFonts w:ascii="Times New Roman;Times;serif" w:hAnsi="Times New Roman;Times;serif"/>
          <w:b/>
          <w:sz w:val="20"/>
        </w:rPr>
        <w:t>Condensed Consolidated Statements of Cash Flows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623" w:name="Tc_JYmJjf7YlUudESh1VYpDdw_44_5"/>
      <w:bookmarkStart w:id="624" w:name="Tc_C807hK0e4kK0Z-h8q4fIhA_44_2"/>
      <w:bookmarkStart w:id="625" w:name="Tc_tNnfxPZpn0C4RFlUVD44bw_44_0"/>
      <w:bookmarkStart w:id="626" w:name="Tc_EmpBYvF7F0uNPss69w06lA_43_5"/>
      <w:bookmarkStart w:id="627" w:name="Tc_RxFOCgxyl0yaojLHrF9xkQ_43_2"/>
      <w:bookmarkStart w:id="628" w:name="Tc_pX3Rs3tKTUSxdEQb2DYDrg_43_0"/>
      <w:bookmarkStart w:id="629" w:name="Tc_9NSpYkdM0UqI2rj2HfW3cw_42_5"/>
      <w:bookmarkStart w:id="630" w:name="Tc_iHfZhqH0KEC9LrobHkM4uA_42_2"/>
      <w:bookmarkStart w:id="631" w:name="Tc_Udqen2DT0UiEOCXWPzJ_4g_42_0"/>
      <w:bookmarkStart w:id="632" w:name="Tc_Oeaod1c1F0qhTcy9tKu5uQ_41_0"/>
      <w:bookmarkStart w:id="633" w:name="Tc_YyFt2Ofjy0ax9Uu-tRd9pQ_40_5"/>
      <w:bookmarkStart w:id="634" w:name="Tc_SuJfEjLaikaKlQCQdDTmSA_40_2"/>
      <w:bookmarkStart w:id="635" w:name="Tc_1txPej5iR0SnJqrezl2S_g_40_0"/>
      <w:bookmarkStart w:id="636" w:name="Tc_KmZIHKimUEm6e-mW-d8QcA_39_0"/>
      <w:bookmarkStart w:id="637" w:name="Tc_xuty6cGY9kmAbt6HN_3wKA_38_0"/>
      <w:bookmarkStart w:id="638" w:name="Tc_uIfwYbASYkyZxT2cSME0Rw_37_0"/>
      <w:bookmarkStart w:id="639" w:name="Tc_0dBOud8cnESPLv5GkpKdVA_36_0"/>
      <w:bookmarkStart w:id="640" w:name="Tc_WEVtoNjCdkeIx8SW042lyQ_35_0"/>
      <w:bookmarkStart w:id="641" w:name="Tc_RPi2QFvDy0aX7NxeCPHwrA_34_0"/>
      <w:bookmarkStart w:id="642" w:name="Tc_qOT-8rlWAUaGaEUbHW1EMg_33_3"/>
      <w:bookmarkStart w:id="643" w:name="Tc_422OlS6B5kG4eQxo_ZN0FA_33_0"/>
      <w:bookmarkStart w:id="644" w:name="Tc_c96AATWHdkO0ZRqePKPcqw_32_0"/>
      <w:bookmarkStart w:id="645" w:name="Tc_EMFwDfSPzkijEFjtigTknA_31_0"/>
      <w:bookmarkStart w:id="646" w:name="Tc_HcsvmHY__Uu4ElWUrJNY6g_30_3"/>
      <w:bookmarkStart w:id="647" w:name="Tc_0VSGYxTpA0mVNBeZjayVPg_30_0"/>
      <w:bookmarkStart w:id="648" w:name="Tc_whyuUEmdQUii5wLl_r3O4g_29_0"/>
      <w:bookmarkStart w:id="649" w:name="Tc_jVEOViEgeUKGpkYXm-jBvQ_28_0"/>
      <w:bookmarkStart w:id="650" w:name="Tc__ronquOtB0-onEYzwnb_Ug_27_0"/>
      <w:bookmarkStart w:id="651" w:name="Tc_Yi3Bk8EBvkeJKAJ7w6WgUA_26_0"/>
      <w:bookmarkStart w:id="652" w:name="Tc_6umnuCqoXEaPmyynIpm3-A_25_0"/>
      <w:bookmarkStart w:id="653" w:name="Tc_FOLgSCIRqkOimpiWegbckw_24_0"/>
      <w:bookmarkStart w:id="654" w:name="Tc_krl9NfYEiEyXo-eX0hJYLw_23_0"/>
      <w:bookmarkStart w:id="655" w:name="Tc_B8ifcOg0aE6shs7CH65rwA_22_0"/>
      <w:bookmarkStart w:id="656" w:name="Tc_-8fesMuEGU-_MN8A3D17ug_21_0"/>
      <w:bookmarkStart w:id="657" w:name="Tc_9s_PKy9IXkm56TE3434XJw_20_0"/>
      <w:bookmarkStart w:id="658" w:name="Tc_5VEJOoVxxUO1UbejRgbpVw_19_0"/>
      <w:bookmarkStart w:id="659" w:name="Tc_vxRxP5xc-kuhqBy0k6eorg_18_0"/>
      <w:bookmarkStart w:id="660" w:name="Tc_JOdXC4AhB0qRvtz1Fvvl4Q_17_0"/>
      <w:bookmarkStart w:id="661" w:name="Tc_8BiIskvXPEyXT0kU_LFM1A_16_0"/>
      <w:bookmarkStart w:id="662" w:name="Tc_ekAB4zY4JkCsQa4biuOyyg_15_0"/>
      <w:bookmarkStart w:id="663" w:name="Tc_H01VjGQpX0WYrs5aeENK7g_14_0"/>
      <w:bookmarkStart w:id="664" w:name="Tc_wdUWXdRRt0CVL4Jp_RHH-Q_13_0"/>
      <w:bookmarkStart w:id="665" w:name="Tc_ZwIiMuHiY0izH0E6c33l-g_12_0"/>
      <w:bookmarkStart w:id="666" w:name="Tc_Mza76qJvekaY-ahKzbp6sw_11_3"/>
      <w:bookmarkStart w:id="667" w:name="Tc_C0P8SZTpXUKu0Bbz0Q9VrA_11_0"/>
      <w:bookmarkStart w:id="668" w:name="Tc_X6f7kRBdFEGIVKXyE863mg_10_0"/>
      <w:bookmarkStart w:id="669" w:name="Tc_mXmoXaIBpEOGso7qcwmRTw_9_0"/>
      <w:bookmarkStart w:id="670" w:name="Tc_RTXAsBBjjUWiwYyAiq_32g_8_0"/>
      <w:bookmarkStart w:id="671" w:name="Tc_X35aSVDof0-R0e7BjU75Yg_7_0"/>
      <w:bookmarkStart w:id="672" w:name="Tc_NsXpjJsAdkmqQDxFGVdf_g_6_0"/>
      <w:bookmarkStart w:id="673" w:name="Tc_fHGx4rIWKUCC4ezmDnZeDw_5_5"/>
      <w:bookmarkStart w:id="674" w:name="Tc_1KgEBfnVIUaQT-OIor1cBA_5_2"/>
      <w:bookmarkStart w:id="675" w:name="Tc_Dpm2upKPE0261roSEk4_wA_5_0"/>
      <w:bookmarkStart w:id="676" w:name="Tc_4oMGnDCdakCC5ueYJZ5gYg_4_0"/>
      <w:bookmarkStart w:id="677" w:name="Tc_6r-6R0eOCk6guxU1T2S3FQ_3_5"/>
      <w:bookmarkStart w:id="678" w:name="Tc_WML85HzZ-UugBNHfMWLIDA_3_2"/>
      <w:bookmarkStart w:id="679" w:name="Tc_fKmwbL8Th0K7Y0mjrny-Sg_2_2"/>
      <w:bookmarkStart w:id="680" w:name="Tc_z5oHRU0vx0yU0r0-vt8PxQ_1_2"/>
      <w:bookmarkStart w:id="681" w:name="_13f6b145_5d3f_4a24_8e79_391bd95aeb35"/>
      <w:bookmarkStart w:id="682" w:name="Tc_JYmJjf7YlUudESh1VYpDdw_44_5"/>
      <w:bookmarkStart w:id="683" w:name="Tc_C807hK0e4kK0Z-h8q4fIhA_44_2"/>
      <w:bookmarkStart w:id="684" w:name="Tc_tNnfxPZpn0C4RFlUVD44bw_44_0"/>
      <w:bookmarkStart w:id="685" w:name="Tc_EmpBYvF7F0uNPss69w06lA_43_5"/>
      <w:bookmarkStart w:id="686" w:name="Tc_RxFOCgxyl0yaojLHrF9xkQ_43_2"/>
      <w:bookmarkStart w:id="687" w:name="Tc_pX3Rs3tKTUSxdEQb2DYDrg_43_0"/>
      <w:bookmarkStart w:id="688" w:name="Tc_9NSpYkdM0UqI2rj2HfW3cw_42_5"/>
      <w:bookmarkStart w:id="689" w:name="Tc_iHfZhqH0KEC9LrobHkM4uA_42_2"/>
      <w:bookmarkStart w:id="690" w:name="Tc_Udqen2DT0UiEOCXWPzJ_4g_42_0"/>
      <w:bookmarkStart w:id="691" w:name="Tc_Oeaod1c1F0qhTcy9tKu5uQ_41_0"/>
      <w:bookmarkStart w:id="692" w:name="Tc_YyFt2Ofjy0ax9Uu-tRd9pQ_40_5"/>
      <w:bookmarkStart w:id="693" w:name="Tc_SuJfEjLaikaKlQCQdDTmSA_40_2"/>
      <w:bookmarkStart w:id="694" w:name="Tc_1txPej5iR0SnJqrezl2S_g_40_0"/>
      <w:bookmarkStart w:id="695" w:name="Tc_KmZIHKimUEm6e-mW-d8QcA_39_0"/>
      <w:bookmarkStart w:id="696" w:name="Tc_xuty6cGY9kmAbt6HN_3wKA_38_0"/>
      <w:bookmarkStart w:id="697" w:name="Tc_uIfwYbASYkyZxT2cSME0Rw_37_0"/>
      <w:bookmarkStart w:id="698" w:name="Tc_0dBOud8cnESPLv5GkpKdVA_36_0"/>
      <w:bookmarkStart w:id="699" w:name="Tc_WEVtoNjCdkeIx8SW042lyQ_35_0"/>
      <w:bookmarkStart w:id="700" w:name="Tc_RPi2QFvDy0aX7NxeCPHwrA_34_0"/>
      <w:bookmarkStart w:id="701" w:name="Tc_qOT-8rlWAUaGaEUbHW1EMg_33_3"/>
      <w:bookmarkStart w:id="702" w:name="Tc_422OlS6B5kG4eQxo_ZN0FA_33_0"/>
      <w:bookmarkStart w:id="703" w:name="Tc_c96AATWHdkO0ZRqePKPcqw_32_0"/>
      <w:bookmarkStart w:id="704" w:name="Tc_EMFwDfSPzkijEFjtigTknA_31_0"/>
      <w:bookmarkStart w:id="705" w:name="Tc_HcsvmHY__Uu4ElWUrJNY6g_30_3"/>
      <w:bookmarkStart w:id="706" w:name="Tc_0VSGYxTpA0mVNBeZjayVPg_30_0"/>
      <w:bookmarkStart w:id="707" w:name="Tc_whyuUEmdQUii5wLl_r3O4g_29_0"/>
      <w:bookmarkStart w:id="708" w:name="Tc_jVEOViEgeUKGpkYXm-jBvQ_28_0"/>
      <w:bookmarkStart w:id="709" w:name="Tc__ronquOtB0-onEYzwnb_Ug_27_0"/>
      <w:bookmarkStart w:id="710" w:name="Tc_Yi3Bk8EBvkeJKAJ7w6WgUA_26_0"/>
      <w:bookmarkStart w:id="711" w:name="Tc_6umnuCqoXEaPmyynIpm3-A_25_0"/>
      <w:bookmarkStart w:id="712" w:name="Tc_FOLgSCIRqkOimpiWegbckw_24_0"/>
      <w:bookmarkStart w:id="713" w:name="Tc_krl9NfYEiEyXo-eX0hJYLw_23_0"/>
      <w:bookmarkStart w:id="714" w:name="Tc_B8ifcOg0aE6shs7CH65rwA_22_0"/>
      <w:bookmarkStart w:id="715" w:name="Tc_-8fesMuEGU-_MN8A3D17ug_21_0"/>
      <w:bookmarkStart w:id="716" w:name="Tc_9s_PKy9IXkm56TE3434XJw_20_0"/>
      <w:bookmarkStart w:id="717" w:name="Tc_5VEJOoVxxUO1UbejRgbpVw_19_0"/>
      <w:bookmarkStart w:id="718" w:name="Tc_vxRxP5xc-kuhqBy0k6eorg_18_0"/>
      <w:bookmarkStart w:id="719" w:name="Tc_JOdXC4AhB0qRvtz1Fvvl4Q_17_0"/>
      <w:bookmarkStart w:id="720" w:name="Tc_8BiIskvXPEyXT0kU_LFM1A_16_0"/>
      <w:bookmarkStart w:id="721" w:name="Tc_ekAB4zY4JkCsQa4biuOyyg_15_0"/>
      <w:bookmarkStart w:id="722" w:name="Tc_H01VjGQpX0WYrs5aeENK7g_14_0"/>
      <w:bookmarkStart w:id="723" w:name="Tc_wdUWXdRRt0CVL4Jp_RHH-Q_13_0"/>
      <w:bookmarkStart w:id="724" w:name="Tc_ZwIiMuHiY0izH0E6c33l-g_12_0"/>
      <w:bookmarkStart w:id="725" w:name="Tc_Mza76qJvekaY-ahKzbp6sw_11_3"/>
      <w:bookmarkStart w:id="726" w:name="Tc_C0P8SZTpXUKu0Bbz0Q9VrA_11_0"/>
      <w:bookmarkStart w:id="727" w:name="Tc_X6f7kRBdFEGIVKXyE863mg_10_0"/>
      <w:bookmarkStart w:id="728" w:name="Tc_mXmoXaIBpEOGso7qcwmRTw_9_0"/>
      <w:bookmarkStart w:id="729" w:name="Tc_RTXAsBBjjUWiwYyAiq_32g_8_0"/>
      <w:bookmarkStart w:id="730" w:name="Tc_X35aSVDof0-R0e7BjU75Yg_7_0"/>
      <w:bookmarkStart w:id="731" w:name="Tc_NsXpjJsAdkmqQDxFGVdf_g_6_0"/>
      <w:bookmarkStart w:id="732" w:name="Tc_fHGx4rIWKUCC4ezmDnZeDw_5_5"/>
      <w:bookmarkStart w:id="733" w:name="Tc_1KgEBfnVIUaQT-OIor1cBA_5_2"/>
      <w:bookmarkStart w:id="734" w:name="Tc_Dpm2upKPE0261roSEk4_wA_5_0"/>
      <w:bookmarkStart w:id="735" w:name="Tc_4oMGnDCdakCC5ueYJZ5gYg_4_0"/>
      <w:bookmarkStart w:id="736" w:name="Tc_6r-6R0eOCk6guxU1T2S3FQ_3_5"/>
      <w:bookmarkStart w:id="737" w:name="Tc_WML85HzZ-UugBNHfMWLIDA_3_2"/>
      <w:bookmarkStart w:id="738" w:name="Tc_fKmwbL8Th0K7Y0mjrny-Sg_2_2"/>
      <w:bookmarkStart w:id="739" w:name="Tc_z5oHRU0vx0yU0r0-vt8PxQ_1_2"/>
      <w:bookmarkStart w:id="740" w:name="_13f6b145_5d3f_4a24_8e79_391bd95aeb35"/>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tbl>
      <w:tblPr>
        <w:tblW w:w="9267" w:type="dxa"/>
        <w:jc w:val="left"/>
        <w:tblInd w:w="0" w:type="dxa"/>
        <w:tblLayout w:type="fixed"/>
        <w:tblCellMar>
          <w:top w:w="0" w:type="dxa"/>
          <w:left w:w="0" w:type="dxa"/>
          <w:bottom w:w="0" w:type="dxa"/>
          <w:right w:w="0" w:type="dxa"/>
        </w:tblCellMar>
      </w:tblPr>
      <w:tblGrid>
        <w:gridCol w:w="6346"/>
        <w:gridCol w:w="326"/>
        <w:gridCol w:w="211"/>
        <w:gridCol w:w="901"/>
        <w:gridCol w:w="326"/>
        <w:gridCol w:w="211"/>
        <w:gridCol w:w="946"/>
      </w:tblGrid>
      <w:tr>
        <w:trPr/>
        <w:tc>
          <w:tcPr>
            <w:tcW w:w="6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029710" cy="175260"/>
                      <wp:effectExtent l="0" t="0" r="0" b="0"/>
                      <wp:wrapNone/>
                      <wp:docPr id="40" name="Frame40"/>
                      <a:graphic xmlns:a="http://schemas.openxmlformats.org/drawingml/2006/main">
                        <a:graphicData uri="http://schemas.microsoft.com/office/word/2010/wordprocessingShape">
                          <wps:wsp>
                            <wps:cNvSpPr txBox="1"/>
                            <wps:spPr>
                              <a:xfrm>
                                <a:off x="0" y="0"/>
                                <a:ext cx="402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72135" cy="175260"/>
                      <wp:effectExtent l="0" t="0" r="0" b="0"/>
                      <wp:wrapNone/>
                      <wp:docPr id="43" name="Frame4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00710" cy="175260"/>
                      <wp:effectExtent l="0" t="0" r="0" b="0"/>
                      <wp:wrapNone/>
                      <wp:docPr id="46" name="Frame4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3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63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63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left"/>
              <w:rPr/>
            </w:pPr>
            <w:r>
              <w:rPr/>
              <w:t>​</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(396,068)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(398,871)</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10,134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4,719</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6,759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6,212</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70,087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72,855</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11,886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8,389</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customer consideration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(27,500)</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(accretion of discount) amortization of premium on marketable securities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(11,527)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844</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Changes in assets and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(18,970)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5,553</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Unbilled accounts receivable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13,019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9,282</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(20,653)</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(15,575)</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(11,886)</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4,244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(2,031)</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(15,100)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7,833</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long-term liabilities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(7,235)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5,730</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(10,280)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(19,952)</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(7,842)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(5,764)</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(357,919)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(380,872)</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(11,389)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(7,438)</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(648,705)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(258,654)</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Maturities of investments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855,365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170,123</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195,271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(96,258)</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proceeds from the sale of future royalties and revenues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415,836</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proceeds from term loan facility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97,968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137,797</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option exercises and employee stock purchase plan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5,729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5,686</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103,697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559,319</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(58,951)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82,189</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124,904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215,119</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(685)</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65,668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296,623</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25,455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2,956</w:t>
            </w:r>
          </w:p>
        </w:tc>
      </w:tr>
      <w:tr>
        <w:trPr/>
        <w:tc>
          <w:tcPr>
            <w:tcW w:w="6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purchases unpaid at period end</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6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taxes, net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4,018</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firstLine="720"/>
        <w:jc w:val="left"/>
        <w:rPr/>
      </w:pPr>
      <w:bookmarkStart w:id="741" w:name="_bac8505d_8508_4221_bf38_95fd2b12a8e2"/>
      <w:bookmarkEnd w:id="741"/>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same such amounts shown in the unaudited condensed consolidated statements of cash flows (in thousands).</w:t>
      </w:r>
    </w:p>
    <w:p>
      <w:pPr>
        <w:pStyle w:val="Normal"/>
        <w:bidi w:val="0"/>
        <w:spacing w:before="0" w:after="0"/>
        <w:jc w:val="left"/>
        <w:rPr>
          <w:sz w:val="4"/>
          <w:szCs w:val="4"/>
        </w:rPr>
      </w:pPr>
      <w:r>
        <w:rPr>
          <w:sz w:val="4"/>
          <w:szCs w:val="4"/>
        </w:rPr>
      </w:r>
      <w:bookmarkStart w:id="742" w:name="Tc_8FZCFWhb3UKwbbzEKvA-mw_5_5"/>
      <w:bookmarkStart w:id="743" w:name="Tc_ZxVucnioDU-zBF-JF2u-Xg_5_2"/>
      <w:bookmarkStart w:id="744" w:name="Tc_p_V_q4xEPU6OoD_-szdzOA_5_0"/>
      <w:bookmarkStart w:id="745" w:name="Tc_fuPv036skkuZdhankTiSxg_4_0"/>
      <w:bookmarkStart w:id="746" w:name="Tc_C9DVwiQY402IT7pOuCE5cA_3_5"/>
      <w:bookmarkStart w:id="747" w:name="Tc_EZ80Yi3U1kG1uXVZrpHGdA_3_2"/>
      <w:bookmarkStart w:id="748" w:name="Tc_PdppiFyLSE-Tvb--p8ta3A_3_0"/>
      <w:bookmarkStart w:id="749" w:name="Tc_nEpwVvL0GUq3Q1EJ2sjRKQ_2_5"/>
      <w:bookmarkStart w:id="750" w:name="Tc_I6QE5P6KrEuUlmP0gkAqxQ_2_2"/>
      <w:bookmarkStart w:id="751" w:name="Tc_sqzUsDlL10uu1n-sylYuRA_1_5"/>
      <w:bookmarkStart w:id="752" w:name="Tc_pP7q_I9cyEW_4j-soRY5Lw_1_2"/>
      <w:bookmarkStart w:id="753" w:name="_aedcef8c_1335_4e56_b502_09f0e29f8330"/>
      <w:bookmarkStart w:id="754" w:name="Tc_8FZCFWhb3UKwbbzEKvA-mw_5_5"/>
      <w:bookmarkStart w:id="755" w:name="Tc_ZxVucnioDU-zBF-JF2u-Xg_5_2"/>
      <w:bookmarkStart w:id="756" w:name="Tc_p_V_q4xEPU6OoD_-szdzOA_5_0"/>
      <w:bookmarkStart w:id="757" w:name="Tc_fuPv036skkuZdhankTiSxg_4_0"/>
      <w:bookmarkStart w:id="758" w:name="Tc_C9DVwiQY402IT7pOuCE5cA_3_5"/>
      <w:bookmarkStart w:id="759" w:name="Tc_EZ80Yi3U1kG1uXVZrpHGdA_3_2"/>
      <w:bookmarkStart w:id="760" w:name="Tc_PdppiFyLSE-Tvb--p8ta3A_3_0"/>
      <w:bookmarkStart w:id="761" w:name="Tc_nEpwVvL0GUq3Q1EJ2sjRKQ_2_5"/>
      <w:bookmarkStart w:id="762" w:name="Tc_I6QE5P6KrEuUlmP0gkAqxQ_2_2"/>
      <w:bookmarkStart w:id="763" w:name="Tc_sqzUsDlL10uu1n-sylYuRA_1_5"/>
      <w:bookmarkStart w:id="764" w:name="Tc_pP7q_I9cyEW_4j-soRY5Lw_1_2"/>
      <w:bookmarkStart w:id="765" w:name="_aedcef8c_1335_4e56_b502_09f0e29f8330"/>
      <w:bookmarkEnd w:id="754"/>
      <w:bookmarkEnd w:id="755"/>
      <w:bookmarkEnd w:id="756"/>
      <w:bookmarkEnd w:id="757"/>
      <w:bookmarkEnd w:id="758"/>
      <w:bookmarkEnd w:id="759"/>
      <w:bookmarkEnd w:id="760"/>
      <w:bookmarkEnd w:id="761"/>
      <w:bookmarkEnd w:id="762"/>
      <w:bookmarkEnd w:id="763"/>
      <w:bookmarkEnd w:id="764"/>
      <w:bookmarkEnd w:id="765"/>
    </w:p>
    <w:tbl>
      <w:tblPr>
        <w:tblW w:w="10205" w:type="dxa"/>
        <w:jc w:val="left"/>
        <w:tblInd w:w="0" w:type="dxa"/>
        <w:tblLayout w:type="fixed"/>
        <w:tblCellMar>
          <w:top w:w="0" w:type="dxa"/>
          <w:left w:w="0" w:type="dxa"/>
          <w:bottom w:w="0" w:type="dxa"/>
          <w:right w:w="0" w:type="dxa"/>
        </w:tblCellMar>
      </w:tblPr>
      <w:tblGrid>
        <w:gridCol w:w="7463"/>
        <w:gridCol w:w="109"/>
        <w:gridCol w:w="290"/>
        <w:gridCol w:w="893"/>
        <w:gridCol w:w="109"/>
        <w:gridCol w:w="260"/>
        <w:gridCol w:w="923"/>
        <w:gridCol w:w="158"/>
      </w:tblGrid>
      <w:tr>
        <w:trPr/>
        <w:tc>
          <w:tcPr>
            <w:tcW w:w="7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739005" cy="175260"/>
                      <wp:effectExtent l="0" t="0" r="0" b="0"/>
                      <wp:wrapNone/>
                      <wp:docPr id="47" name="Frame47"/>
                      <a:graphic xmlns:a="http://schemas.openxmlformats.org/drawingml/2006/main">
                        <a:graphicData uri="http://schemas.microsoft.com/office/word/2010/wordprocessingShape">
                          <wps:wsp>
                            <wps:cNvSpPr txBox="1"/>
                            <wps:spPr>
                              <a:xfrm>
                                <a:off x="0" y="0"/>
                                <a:ext cx="4739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84150" cy="175260"/>
                      <wp:effectExtent l="0" t="0" r="0" b="0"/>
                      <wp:wrapNone/>
                      <wp:docPr id="49" name="Frame4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67055" cy="175260"/>
                      <wp:effectExtent l="0" t="0" r="0" b="0"/>
                      <wp:wrapNone/>
                      <wp:docPr id="50" name="Frame5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5100" cy="175260"/>
                      <wp:effectExtent l="0" t="0" r="0" b="0"/>
                      <wp:wrapNone/>
                      <wp:docPr id="52" name="Frame5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86105" cy="175260"/>
                      <wp:effectExtent l="0" t="0" r="0" b="0"/>
                      <wp:wrapNone/>
                      <wp:docPr id="53" name="Frame53"/>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00330" cy="175260"/>
                      <wp:effectExtent l="0" t="0" r="0" b="0"/>
                      <wp:wrapNone/>
                      <wp:docPr id="54" name="Frame54"/>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463"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18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lineRule="auto" w:line="285" w:before="0" w:after="0"/>
              <w:ind w:left="0" w:right="0" w:hanging="0"/>
              <w:jc w:val="left"/>
              <w:rPr/>
            </w:pPr>
            <w:r>
              <w:rPr/>
              <w:t>​</w:t>
            </w:r>
          </w:p>
        </w:tc>
        <w:tc>
          <w:tcPr>
            <w:tcW w:w="118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58" w:type="dxa"/>
            <w:tcBorders/>
            <w:vAlign w:val="center"/>
          </w:tcPr>
          <w:p>
            <w:pPr>
              <w:pStyle w:val="TableContents"/>
              <w:bidi w:val="0"/>
              <w:spacing w:lineRule="auto" w:line="285" w:before="0" w:after="0"/>
              <w:ind w:left="0" w:right="0" w:hanging="0"/>
              <w:jc w:val="center"/>
              <w:rPr/>
            </w:pPr>
            <w:r>
              <w:rPr/>
              <w:t>​</w:t>
            </w:r>
          </w:p>
        </w:tc>
      </w:tr>
      <w:tr>
        <w:trPr/>
        <w:tc>
          <w:tcPr>
            <w:tcW w:w="7463"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18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118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8" w:type="dxa"/>
            <w:tcBorders/>
            <w:vAlign w:val="center"/>
          </w:tcPr>
          <w:p>
            <w:pPr>
              <w:pStyle w:val="TableContents"/>
              <w:bidi w:val="0"/>
              <w:spacing w:lineRule="auto" w:line="285" w:before="0" w:after="0"/>
              <w:ind w:left="0" w:right="0" w:hanging="0"/>
              <w:jc w:val="center"/>
              <w:rPr/>
            </w:pPr>
            <w:r>
              <w:rPr/>
              <w:t>​</w:t>
            </w:r>
          </w:p>
        </w:tc>
      </w:tr>
      <w:tr>
        <w:trPr/>
        <w:tc>
          <w:tcPr>
            <w:tcW w:w="74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55,972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291,430</w:t>
            </w:r>
          </w:p>
        </w:tc>
        <w:tc>
          <w:tcPr>
            <w:tcW w:w="158" w:type="dxa"/>
            <w:tcBorders/>
            <w:shd w:fill="CCEEFF" w:val="clear"/>
            <w:vAlign w:val="center"/>
          </w:tcPr>
          <w:p>
            <w:pPr>
              <w:pStyle w:val="TableContents"/>
              <w:bidi w:val="0"/>
              <w:spacing w:lineRule="auto" w:line="285" w:before="0" w:after="0"/>
              <w:ind w:left="0" w:right="0" w:hanging="0"/>
              <w:jc w:val="left"/>
              <w:rPr/>
            </w:pPr>
            <w:r>
              <w:rPr/>
              <w:t>​</w:t>
            </w:r>
          </w:p>
        </w:tc>
      </w:tr>
      <w:tr>
        <w:trPr/>
        <w:tc>
          <w:tcPr>
            <w:tcW w:w="7463"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9,696</w:t>
            </w:r>
          </w:p>
        </w:tc>
        <w:tc>
          <w:tcPr>
            <w:tcW w:w="109"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5,193</w:t>
            </w:r>
          </w:p>
        </w:tc>
        <w:tc>
          <w:tcPr>
            <w:tcW w:w="158" w:type="dxa"/>
            <w:tcBorders/>
            <w:vAlign w:val="center"/>
          </w:tcPr>
          <w:p>
            <w:pPr>
              <w:pStyle w:val="TableContents"/>
              <w:bidi w:val="0"/>
              <w:spacing w:lineRule="auto" w:line="285" w:before="0" w:after="0"/>
              <w:ind w:left="0" w:right="0" w:hanging="0"/>
              <w:jc w:val="right"/>
              <w:rPr/>
            </w:pPr>
            <w:r>
              <w:rPr/>
              <w:t>​</w:t>
            </w:r>
          </w:p>
        </w:tc>
      </w:tr>
      <w:tr>
        <w:trPr/>
        <w:tc>
          <w:tcPr>
            <w:tcW w:w="74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 shown in condensed consolidated statements of cash flows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65,668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296,623</w:t>
            </w:r>
          </w:p>
        </w:tc>
        <w:tc>
          <w:tcPr>
            <w:tcW w:w="158"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bookmarkStart w:id="766" w:name="_f7a65471_9854_4f3c_82d5_ca72f0d0f042"/>
      <w:bookmarkEnd w:id="766"/>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767" w:name="Notes_47889"/>
      <w:bookmarkEnd w:id="767"/>
      <w:r>
        <w:rPr>
          <w:rFonts w:ascii="Times New Roman;Times;serif" w:hAnsi="Times New Roman;Times;serif"/>
          <w:b/>
          <w:sz w:val="20"/>
        </w:rPr>
        <w:t>Notes to Condensed Consolidated Financial Statements</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Blueprint Medicines Corporation (the Company), a Delaware corporation incorporated on October 14, 2008, is a precision therapy company focused on genomically defined cancers and blood disorders. The Company’s approach is to leverage its novel research engine to systematically and reproducibly identify drivers of diseases in genomically defined patient populations, and to craft highly selective and potent drug candidates that are intended to provide significant and durable clinical responses to patients.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brought its approved medicines, AYVAKIT®/AYVAKYT® (avapritinib) and GAVRETO® (pralsetinib), to patients in the U.S. and Europe, and the Company is globally advancing multiple programs for mast cell disorders, including SM and chronic urticaria, breast cancer and other cancers vulnerable to CDK2 inhibition, as well as EGFR-mutant lung cancer. The Company is devoting substantially all of its efforts to research and development for current and future drug candidates and commercialization of AYVAKIT/AYVAKYT, GAVRETO and any current or future drug candidates that obtain marketing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the Company had cash, cash equivalents and marketable securities of $827.2 million. Based on the Company’s current operating plans, the Company anticipates that its existing cash, cash equivalents and marketable securities will </w:t>
      </w:r>
      <w:r>
        <w:rPr>
          <w:rFonts w:ascii="Times New Roman;Times;serif" w:hAnsi="Times New Roman;Times;serif"/>
          <w:color w:val="212529"/>
          <w:sz w:val="20"/>
          <w:shd w:fill="FFFFFF" w:val="clear"/>
        </w:rPr>
        <w:t xml:space="preserve">be sufficient to enable it to fund its current operations for at least the next twelve months from the issuance of the financial statements.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 and Recent Accounting Pronouncements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2022 and notes thereto included in the Company’s Annual Report on Form 10-K for the year ended December 31, 2022, filed with the SEC on February 16, 2023 (2022 Annual Report on Form 10-K).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September 30, 2023, the results of its operations for the three and nine months ended September 30, 2023 and 2022, stockholder’s equity for the three and nine months ended September 30, 2023 and 2022 and cash flows for nine months ended September 30, 2023 and 2022. Such adjustments are of a normal and recurring nature. The results for the three and nine months ended September 30, 2023 are not necessarily indicative of the results for the year ending December 31, 2023 or for any future period.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 related to the sale of future royalties and future revenues, equity investment, and income taxes. Actual results may differ from these estimates.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significant accounting policies used in preparation of these condensed consolidated financial statements for the three and nine months ended September 30, 2023 are consistent with those discussed in Note 2 to the consolidated financial statements in the 2022 Annual Report on Form 10-K, with the exception of the below new policy.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Performance-Based Restricted Stock Unit Awards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Fair value of performance-based restricted stock unit awards (PSUs) at the grant date are estimated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 The PSUs cliff vest at the end of the service period and the compensation expense for PSUs is recognized straight-line over the applicable service period.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New Accounting Pronouncements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3. Financing Arrangements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Royalty Pharma Purchase and Sale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30, 2022, the Company entered into a purchase and sale agreement (Royalty Purchase Agreement) with Royalty Pharma. Pursuant to the Royalty Purchase Agreement, the Company received an upfront payment of $175.0 million in consideration for the Company’s rights to receive royalty payments on the net sales of GAVRETO worldwide excluding the CStone Territory (as defined below) and U.S. territory under the terms of the Roche pralsetinib collaboration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Although the Company sold all of the rights to receive royalties on the net sales of GAVRETO worldwide excluding the CStone Territory and U.S. territory to Royalty Pharma, the Company continues to co-develop pralsetinib with Roche globally and is therefore involved in the generation of these future royalties. Due to the Company’s significant continuing involvement, the Company continues to account for any royalties and development and commercialization milestones earned related to the underlying territory under the Roche pralsetinib collaboration agreement as collaboration revenue on its consolidated statements of operations and comprehensive loss. Net proceeds from the transaction were recorded as a liability related to sale of future royalties and revenues on the consolidated balance sheet. The Company accretes the $175.0 million, net of transaction costs of $3.8 million, to the total of these royalties as interest expense using the effective interest method over the estimated life of the arrangement. </w:t>
      </w:r>
      <w:r>
        <w:rPr>
          <w:rFonts w:ascii="Times New Roman;Times;serif" w:hAnsi="Times New Roman;Times;serif"/>
          <w:sz w:val="20"/>
          <w:shd w:fill="FFFFFF" w:val="clear"/>
        </w:rPr>
        <w:t>These estimates contain assumptions that impact the amount recorded and the interest expense that will be recognized in future periods.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payments are made to Royalty Pharma, the balance of the liability will be effectively repaid over the life of the Royalty Purchase Agreement. In order to determine the amortization of the liability, the Company estimates the total amount of future royalty payments to be paid to Royalty Pharma over the life of the arrangement. The exact amount of repayment is likely to change each reporting period. A significant increase or decrease in GAVRETO’s net revenue of the underlying territory will impact interest expense and the liability related to this arrangement. The Company periodically assesses the expected payments to Royalty Pharma and prospectively adjusts the amortization of the liability related to this arrangement for material changes in such payments including the prospective impact around the uncertainty related to GAVRETO’s commercial outlook in the underlying territory during the life of the arrangement.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February 2023, the Company received written notice from Roche of their election to terminate for convenience the Roche pralsetinib collaboration agreement. The termination will become effective February 2024, at which time the Company will regain commercialization and development rights to GAVRETO from Roche worldwide excluding the CStone Territory. As of September 30, 2023, none of the derecognition conditions under ASC 405 </w:t>
      </w:r>
      <w:r>
        <w:rPr>
          <w:rFonts w:ascii="Times New Roman;Times;serif" w:hAnsi="Times New Roman;Times;serif"/>
          <w:i/>
          <w:sz w:val="20"/>
        </w:rPr>
        <w:t>Liabilities</w:t>
      </w:r>
      <w:r>
        <w:rPr>
          <w:rFonts w:ascii="Times New Roman;Times;serif" w:hAnsi="Times New Roman;Times;serif"/>
          <w:sz w:val="20"/>
        </w:rPr>
        <w:t xml:space="preserve"> were met, and in consideration of the significant uncertainties related to GAVRETO’s commercial outlook in the underlying territory during the life of the arrangement caused by the termination of the Roche pralsetinib collaboration agreement, during the three and nine months ended September 30, 2023, the Company did not accrete any interest expenses related to the liability. As of September 30, 2023, the net carrying value of the liability related to this arrangement was $175.3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Royalty Purchase Agreement, the Company is eligible to receive certain milestone payments totaling up to $165.0 million, subject to the achievement of specified net sales milestones by Roche. However, following the termination of the Roche pralsetinib collaboration agreement, if the specified net sales milestone thresholds under the Royalty Purchase Agreement with Royalty Pharma are not otherwise met, the Company may no longer be eligible to receive any of the contingent milestone payments under the Royalty Purchase Agreement. The potential milestone payments will be added to the carrying value of the liability related to this arrangement when and if the milestones are achieved and received.</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Financing Arrangements with Sixth Street Partners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the Company closed two transactions pursuant to a purchase and sale agreement (Future Revenue Purchase Agreement) and a financing transaction for up to $660.0 million (as amended, Financing Agreement) with Sixth Street Partners.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Sixth Street Partners Purchase and Sale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Pursuant to the Future Revenue Purchase Agreement, the Company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continues to own the research, development, manufacturing and commercialization of AYVAKIT/AYVAKYT and if it is approved, elenestinib, and has significant continuing involvement in the generation of the cash flows under the Future Revenue Purchase Agreement. Therefore, the Company continues to account for any revenue earned from worldwide product sales of AYVAKIT/AYVAKYT and, if it is approved, elenestinib, on its consolidated statements of operations and comprehensive loss. Net proceeds received from the transaction were recorded as a liability related to sale of future royalties and revenues on the consolidated balance sheet. The Company accretes the $250.0 million, net of transaction costs of $5.4 million, to the total of these future payments as interest expense using the effective interest method over the estimated life of the arrangement.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payments are made to Sixth Street Partners, the balance of the liability is effectively repaid over the life of the Future Revenue Purchase Agreement. In order to determine the amortization of the liability, the Company estimates the total amount of future revenue payments to be paid to Sixth Street Partners over the life of the arrangement.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768" w:name="Tc_c4YCfg5GhUmVa4HpfksW6A_5_2"/>
      <w:bookmarkStart w:id="769" w:name="Tc_YF_T5iDYFECgTqQE3ZE5yA_5_0"/>
      <w:bookmarkStart w:id="770" w:name="Tc_c0atVaWgaEO3Hft2BK_s-g_4_0"/>
      <w:bookmarkStart w:id="771" w:name="Tc_tb44fuPXo0G0gXZEWm3oxA_3_0"/>
      <w:bookmarkStart w:id="772" w:name="Tc_Ra9fqJpo806k6hZxQL54aQ_2_0"/>
      <w:bookmarkStart w:id="773" w:name="Tc_vXklH6-D5UqmmQ8h4MXwgw_1_2"/>
      <w:bookmarkStart w:id="774" w:name="Tc_4seQRmeasU-h59DbC8TF4g_1_0"/>
      <w:bookmarkStart w:id="775" w:name="_c7919a53_8685_4bc5_a937_80544fb8dd84"/>
      <w:bookmarkStart w:id="776" w:name="Tc_PQ4O450lOkGiJqPkQ9XxKQ_4_2"/>
      <w:bookmarkStart w:id="777" w:name="Tc_Ctn5yGsWaUafThon36VArw_4_0"/>
      <w:bookmarkStart w:id="778" w:name="Tc__bqfXyRwHkSvx-OcalY9dw_3_0"/>
      <w:bookmarkStart w:id="779" w:name="Tc_eAPRmfSGzkqpGLg9hOZSdA_2_0"/>
      <w:bookmarkStart w:id="780" w:name="Tc_yIULPmLUaUuxlw7p35O1Pg_1_2"/>
      <w:bookmarkStart w:id="781" w:name="Tc_2vLRgrSOHEizB7WeKCL7Gw_1_0"/>
      <w:bookmarkStart w:id="782" w:name="_e305c9a3_e5a2_4eab_b0f2_5adc83671fd3"/>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r>
        <w:rPr>
          <w:rFonts w:ascii="Times New Roman;Times;serif" w:hAnsi="Times New Roman;Times;serif"/>
          <w:sz w:val="20"/>
        </w:rPr>
        <w:t xml:space="preserve">exact amount of repayment is likely to change each reporting period. A significant increase or decrease in worldwide product sales of AYVAKIT/AYVAKYT and, if it is approved, elenestinib, will materially impact the liability related to this arrangement, interest expense and the time period for repayment. The Company periodically assesses the expected payments to Sixth Street Partners and prospectively adjusts the amortization of the liability related to this arrangement for material changes in such payments. As of September 30, 2023, the Company’s estimate of this total interest expense resulted in an effective annual interest rate of 10.8%. </w:t>
      </w:r>
      <w:r>
        <w:rPr>
          <w:rFonts w:ascii="Times New Roman;Times;serif" w:hAnsi="Times New Roman;Times;serif"/>
          <w:sz w:val="20"/>
          <w:shd w:fill="FFFFFF" w:val="clear"/>
        </w:rPr>
        <w:t xml:space="preserve">These estimates contain assumptions that impact the amount recorded and the interest expense that will be recognized in future periods.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2023, the net carrying value of the liability related to this arrangement was $264.9 million. The following table shows the activity within the liability account (in thousands):</w:t>
      </w:r>
    </w:p>
    <w:p>
      <w:pPr>
        <w:pStyle w:val="TextBody"/>
        <w:bidi w:val="0"/>
        <w:spacing w:lineRule="auto" w:line="285" w:before="0" w:after="0"/>
        <w:ind w:left="0" w:right="0" w:hanging="0"/>
        <w:jc w:val="left"/>
        <w:rPr/>
      </w:pPr>
      <w:r>
        <w:rPr/>
        <w:t>​</w:t>
      </w:r>
    </w:p>
    <w:tbl>
      <w:tblPr>
        <w:tblW w:w="4627" w:type="dxa"/>
        <w:jc w:val="left"/>
        <w:tblInd w:w="0" w:type="dxa"/>
        <w:tblLayout w:type="fixed"/>
        <w:tblCellMar>
          <w:top w:w="0" w:type="dxa"/>
          <w:left w:w="0" w:type="dxa"/>
          <w:bottom w:w="0" w:type="dxa"/>
          <w:right w:w="0" w:type="dxa"/>
        </w:tblCellMar>
      </w:tblPr>
      <w:tblGrid>
        <w:gridCol w:w="3421"/>
        <w:gridCol w:w="109"/>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72335" cy="175260"/>
                      <wp:effectExtent l="0" t="0" r="0" b="0"/>
                      <wp:wrapNone/>
                      <wp:docPr id="55" name="Frame55"/>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62610" cy="175260"/>
                      <wp:effectExtent l="0" t="0" r="0" b="0"/>
                      <wp:wrapNone/>
                      <wp:docPr id="58" name="Frame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January 1, 2023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254,328</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recognized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21,043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(10,484)</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September 30, 2023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264,887</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Sixth Street Partners Term Loan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subject to certain terms and conditions. The term loans will mature on June 30, 2028 and bear interest at a variable rate equal to either the Secured Overnight Financing Rate (SOFR) plus 6.50% or the base rate plus 5.50%, subject to a floor of 1% and 2% with respect to the SOFR and base rate, respectively.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part of the Financing Agreement with Sixth Street Partners, the Company received gross proceeds of $150.0 million in July 2022 and incurred an aggregate of $12.2 million of debt discounts and transaction costs. In August 2023, the Company received the first tranche of the senior secured delayed draw term loan facility in the amount of $100.0 million in gross proceeds and incurred $2.0 million of transaction costs. Debt discounts and transaction costs have been recorded as a reduction to the carrying amount of the debt on the Company’s consolidated balance sheet and are amortized as additional interest expenses using the effective interest rate method over the period from issuance through maturity. In addition, the Company may at any time request an incremental term loan in an amount not to exceed $260.0 million on terms to be agreed and subject to the consent of Sixth Street Partners providing such incremental term loan. As of September 30, 2023, the Company’s estimate of the total interest expense resulted in an effective annual interest rate of 13.3%. </w:t>
      </w:r>
      <w:r>
        <w:rPr>
          <w:rFonts w:ascii="Times New Roman;Times;serif" w:hAnsi="Times New Roman;Times;serif"/>
          <w:sz w:val="20"/>
          <w:shd w:fill="FFFFFF" w:val="clear"/>
        </w:rPr>
        <w:t>The carrying amount of the debt as of September 30, 2023 is subject to variable interest rates, which are based on current market rates, and as such, approximates fair value</w:t>
      </w:r>
      <w:r>
        <w:rPr>
          <w:rFonts w:ascii="Times New Roman;Times;serif" w:hAnsi="Times New Roman;Times;serif"/>
          <w:sz w:val="20"/>
        </w:rPr>
        <w:t xml:space="preserve">.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activity within the liability account (in thousands):</w:t>
      </w:r>
    </w:p>
    <w:p>
      <w:pPr>
        <w:pStyle w:val="TextBody"/>
        <w:bidi w:val="0"/>
        <w:spacing w:lineRule="auto" w:line="285" w:before="0" w:after="0"/>
        <w:ind w:left="0" w:right="0" w:hanging="0"/>
        <w:jc w:val="left"/>
        <w:rPr/>
      </w:pPr>
      <w:r>
        <w:rPr/>
        <w:t>​</w:t>
      </w:r>
    </w:p>
    <w:tbl>
      <w:tblPr>
        <w:tblW w:w="5767" w:type="dxa"/>
        <w:jc w:val="left"/>
        <w:tblInd w:w="0" w:type="dxa"/>
        <w:tblLayout w:type="fixed"/>
        <w:tblCellMar>
          <w:top w:w="0" w:type="dxa"/>
          <w:left w:w="0" w:type="dxa"/>
          <w:bottom w:w="0" w:type="dxa"/>
          <w:right w:w="0" w:type="dxa"/>
        </w:tblCellMar>
      </w:tblPr>
      <w:tblGrid>
        <w:gridCol w:w="4561"/>
        <w:gridCol w:w="109"/>
        <w:gridCol w:w="211"/>
        <w:gridCol w:w="886"/>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896235" cy="175260"/>
                      <wp:effectExtent l="0" t="0" r="0" b="0"/>
                      <wp:wrapNone/>
                      <wp:docPr id="59" name="Frame59"/>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62610" cy="175260"/>
                      <wp:effectExtent l="0" t="0" r="0" b="0"/>
                      <wp:wrapNone/>
                      <wp:docPr id="62" name="Frame6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January 1, 2023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139,083</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proceeds received from the delayed draw term loan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97,968</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recognized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15,557</w:t>
            </w:r>
          </w:p>
        </w:tc>
      </w:tr>
      <w:tr>
        <w:trPr/>
        <w:tc>
          <w:tcPr>
            <w:tcW w:w="45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(14,230)</w:t>
            </w:r>
          </w:p>
        </w:tc>
      </w:tr>
      <w:tr>
        <w:trPr/>
        <w:tc>
          <w:tcPr>
            <w:tcW w:w="4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September 30, 2023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238,378</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obligations under the Financing Agreement are secured, subject to certain exceptions, by security interests in the substantially all of the Company’s assets and the Company’s certain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maintain a consolidated liquidity of at least (i) $50.0 million during the period commencing from the date on which the term loans are funded to the date which is the day before the next term loans are funded and (ii) $80.0 million for each day thereafter. As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September 30, 2023, the Company was in compliance with the applicable terms and conditions of the covenants under the Financing Arrangement.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bookmarkStart w:id="783" w:name="Tc_zljYgfTWF0-MBNAvlzB8MQ_6_11"/>
      <w:bookmarkStart w:id="784" w:name="Tc_j9Gr8rh95k2m-1z5Erhbcg_6_8"/>
      <w:bookmarkStart w:id="785" w:name="Tc_2QsEwCpOaUe3x2qmqBtuZA_6_5"/>
      <w:bookmarkStart w:id="786" w:name="Tc_ySzL1aTdrUyIC1vXBWlwzQ_6_2"/>
      <w:bookmarkStart w:id="787" w:name="Tc_lHkFi_KZFUaTNTL2WJ-AIQ_6_0"/>
      <w:bookmarkStart w:id="788" w:name="Tc_TQXpZnqr4E2i7TkwWZlDCQ_5_0"/>
      <w:bookmarkStart w:id="789" w:name="Tc_h9BXGM2aoU-XN-devC_yGg_4_11"/>
      <w:bookmarkStart w:id="790" w:name="Tc_j87ZAK0HPUup2CmHGU8xEg_4_8"/>
      <w:bookmarkStart w:id="791" w:name="Tc_WcAteHH-sEi0ch4ydxJnfg_4_5"/>
      <w:bookmarkStart w:id="792" w:name="Tc_fQjXwFAM6kyZgh6If-c2dA_4_2"/>
      <w:bookmarkStart w:id="793" w:name="Tc_NtPxxoIcKU616NFeJ2WXEg_4_0"/>
      <w:bookmarkStart w:id="794" w:name="Tc_8T3f_vazhkW6bYSzXhnghg_3_11"/>
      <w:bookmarkStart w:id="795" w:name="Tc_Maw5tB9fhE-idBB3t2cGIA_3_8"/>
      <w:bookmarkStart w:id="796" w:name="Tc_3CsLkGlrs0y4TbSUzMLxoA_3_5"/>
      <w:bookmarkStart w:id="797" w:name="Tc_oebjQ37jd0CaGVG7HVv3Ig_3_2"/>
      <w:bookmarkStart w:id="798" w:name="Tc_hQVfdYunX0G_lr9yIVZsnw_2_11"/>
      <w:bookmarkStart w:id="799" w:name="Tc_sMN2SBUfBEi6qhXh60kZkw_2_8"/>
      <w:bookmarkStart w:id="800" w:name="Tc_wwK9tT4VZ0WOPJ9uEy9NPQ_2_5"/>
      <w:bookmarkStart w:id="801" w:name="Tc_t-WHINPAiUinFHwUYDqXHA_2_2"/>
      <w:bookmarkStart w:id="802" w:name="Tc_H9-RHRsv0kG1gVdvaks2fA_1_8"/>
      <w:bookmarkStart w:id="803" w:name="Tc_fAfKwkjcqEuq7CnOi6Vx4w_1_2"/>
      <w:bookmarkStart w:id="804" w:name="_a21e5ff6_d61a_49fc_b568_d9e86ff00cf7"/>
      <w:bookmarkStart w:id="805" w:name="Tc_w0zSoepeGUG_cps06QqT2w_6_8"/>
      <w:bookmarkStart w:id="806" w:name="Tc_8URH2ZZ1xkOiifsWPKP-Hw_6_2"/>
      <w:bookmarkStart w:id="807" w:name="Tc_UVceSQXkbEGFLm3WR6hJdw_6_0"/>
      <w:bookmarkStart w:id="808" w:name="Tc_5Q7RlCa8qUCSEQCO-d7MGg_5_0"/>
      <w:bookmarkStart w:id="809" w:name="Tc_WxF2pQlHhUGRFkiyvkgQZQ_4_8"/>
      <w:bookmarkStart w:id="810" w:name="Tc_Jiz-jvVKXU-8gRNV_FtNjQ_4_2"/>
      <w:bookmarkStart w:id="811" w:name="Tc_00xMas0dUkGfCqVhxKbQ0A_4_0"/>
      <w:bookmarkStart w:id="812" w:name="Tc_0Zh4JuSO9kK-kSu1MWj6qQ_3_11"/>
      <w:bookmarkStart w:id="813" w:name="Tc_CPxbk-1IQ0uI0mWpGyiNGg_3_8"/>
      <w:bookmarkStart w:id="814" w:name="Tc_TIJ4ueEy4EeSS89ovBzx3A_3_5"/>
      <w:bookmarkStart w:id="815" w:name="Tc_EYj9sQItgUKlaKGEHxYkog_3_2"/>
      <w:bookmarkStart w:id="816" w:name="Tc_LfEL_Qgaf0ecNR3Cxp0OwQ_2_11"/>
      <w:bookmarkStart w:id="817" w:name="Tc_n2wzv8Hlt0-wIQV4eEEbMw_2_8"/>
      <w:bookmarkStart w:id="818" w:name="Tc_C73cY6q7fk-S6UQ7rp35mQ_2_5"/>
      <w:bookmarkStart w:id="819" w:name="Tc_Bk5NcP0aTUijy1sgKdCS-w_2_2"/>
      <w:bookmarkStart w:id="820" w:name="Tc_Srt9tzxYiUOtcRTCof3msA_1_8"/>
      <w:bookmarkStart w:id="821" w:name="Tc_uaJAi9QQgEqvGueBdtQEGQ_1_2"/>
      <w:bookmarkStart w:id="822" w:name="_5f8e33a9_8da6_43a5_815c_5d1f2711d578"/>
      <w:bookmarkStart w:id="823" w:name="Tc_HGvUuBAvykCA0CBjfA2aXg_6_11"/>
      <w:bookmarkStart w:id="824" w:name="Tc_-v33thSb7kur75Q_ZhLFYQ_6_8"/>
      <w:bookmarkStart w:id="825" w:name="Tc_onLdYpHRzEm1nvQEsk0GYQ_6_5"/>
      <w:bookmarkStart w:id="826" w:name="Tc_bvC-dwZmSUOyseMKpodCUQ_6_2"/>
      <w:bookmarkStart w:id="827" w:name="Tc_ePf_b2-q6ESAS4eD-EVCfg_6_0"/>
      <w:bookmarkStart w:id="828" w:name="Tc_LrRBUWV9vk2is3Pc8JZBLg_5_0"/>
      <w:bookmarkStart w:id="829" w:name="Tc_D00Bep7eSEuC_AUufxhHaA_4_11"/>
      <w:bookmarkStart w:id="830" w:name="Tc_4veSlOrEaE-OcyeL4Amtwg_4_6"/>
      <w:bookmarkStart w:id="831" w:name="Tc_jJczcoqS-0SdMS3Jfockjg_4_2"/>
      <w:bookmarkStart w:id="832" w:name="Tc_LIM3EMmcM0i1a6KlYY6v1g_4_0"/>
      <w:bookmarkStart w:id="833" w:name="Tc_PvGRyzhSdE-uu4aHMK8KtA_3_0"/>
      <w:bookmarkStart w:id="834" w:name="Tc_gyv686KyeUixnaNs569elQ_2_11"/>
      <w:bookmarkStart w:id="835" w:name="Tc_wzA5ZpEfIkCNtrxXBZw2NA_2_8"/>
      <w:bookmarkStart w:id="836" w:name="Tc_R2-7PEx_Kk2CNsRXdV0iJA_2_5"/>
      <w:bookmarkStart w:id="837" w:name="Tc_jM4DLZ1fTkW4G1YZtqevOQ_2_2"/>
      <w:bookmarkStart w:id="838" w:name="Tc_XTKbw3-KKUmdnm-DvIKoIQ_2_0"/>
      <w:bookmarkStart w:id="839" w:name="Tc_rzW6sQEWqkuV0OmU4BJVVQ_1_11"/>
      <w:bookmarkStart w:id="840" w:name="Tc_upcV4AdPpUSUpfAk7G64dw_1_8"/>
      <w:bookmarkStart w:id="841" w:name="Tc_Lc2YT9UYuEeq2pRQKBl8OQ_1_5"/>
      <w:bookmarkStart w:id="842" w:name="Tc_xPzAhdwaLkuKAdshUeEuYQ_1_2"/>
      <w:bookmarkStart w:id="843" w:name="_360511f8_3541_443b_ac37_c54057062330"/>
      <w:bookmarkStart w:id="844" w:name="Tc_6BTfb9It-UKZYVOHyiYx-Q_6_11"/>
      <w:bookmarkStart w:id="845" w:name="Tc_WZhFK3yD2Eevn53-MkFhzA_6_8"/>
      <w:bookmarkStart w:id="846" w:name="Tc__9JOT9xAWUaTLseIOtu9pA_6_5"/>
      <w:bookmarkStart w:id="847" w:name="Tc_RS2sh8iFw0KwA24wjx0isQ_6_2"/>
      <w:bookmarkStart w:id="848" w:name="Tc_g-eep8cCF0iY9vDNZpKS1g_6_0"/>
      <w:bookmarkStart w:id="849" w:name="Tc_jNo_3WcNMkWXr_K_kzKjXw_5_0"/>
      <w:bookmarkStart w:id="850" w:name="Tc_QMX09bCzbUqk2qRKRGvorg_4_11"/>
      <w:bookmarkStart w:id="851" w:name="Tc_fCgII-QiOkyJ8kg4KlEgpQ_4_6"/>
      <w:bookmarkStart w:id="852" w:name="Tc_XRc2d_KFe0CoMZrw7wNxWg_4_2"/>
      <w:bookmarkStart w:id="853" w:name="Tc_wS0ZAtMXT0OUVBIYyLkv1Q_4_0"/>
      <w:bookmarkStart w:id="854" w:name="Tc_5qZKFJOa3E-Gp9yha9JPBQ_3_0"/>
      <w:bookmarkStart w:id="855" w:name="Tc_tTFZ3j9ywEOD9QPCWOiCkw_2_11"/>
      <w:bookmarkStart w:id="856" w:name="Tc_t68qboXODE6xDh5aqGIwsQ_2_8"/>
      <w:bookmarkStart w:id="857" w:name="Tc_gpkvsp4RsE-ps0qx1W6laQ_2_5"/>
      <w:bookmarkStart w:id="858" w:name="Tc__xOktRwQHUCCKWq4nuU30g_2_2"/>
      <w:bookmarkStart w:id="859" w:name="Tc_txOQtx5RxEa-3krHLc5vDA_2_0"/>
      <w:bookmarkStart w:id="860" w:name="Tc_PoN2fOtwI0ykXr4ALnJYbg_1_11"/>
      <w:bookmarkStart w:id="861" w:name="Tc_eu8-4KiQjUaDYFPwVM7YvQ_1_8"/>
      <w:bookmarkStart w:id="862" w:name="Tc_rc39XT4zQE2eJRISLLuKwg_1_5"/>
      <w:bookmarkStart w:id="863" w:name="Tc_t2dEZMqFXEeeHbVt4N4ngQ_1_2"/>
      <w:bookmarkStart w:id="864" w:name="_9e84090c_b136_40f7_9e75_be6bced43fef"/>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Pr>
          <w:rFonts w:ascii="Times New Roman;Times;serif" w:hAnsi="Times New Roman;Times;serif"/>
          <w:b/>
          <w:sz w:val="20"/>
        </w:rPr>
        <w:t>4. Marketable Securities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Marketable securities consisted of the following at September 30, 2023 and December 31, 2022 (in thousands):</w:t>
      </w:r>
    </w:p>
    <w:p>
      <w:pPr>
        <w:pStyle w:val="TextBody"/>
        <w:bidi w:val="0"/>
        <w:spacing w:lineRule="auto" w:line="285" w:before="0" w:after="0"/>
        <w:ind w:left="0" w:right="0" w:hanging="0"/>
        <w:jc w:val="left"/>
        <w:rPr/>
      </w:pPr>
      <w:r>
        <w:rPr/>
        <w:t>​</w:t>
      </w:r>
    </w:p>
    <w:tbl>
      <w:tblPr>
        <w:tblW w:w="7815" w:type="dxa"/>
        <w:jc w:val="left"/>
        <w:tblInd w:w="0" w:type="dxa"/>
        <w:tblLayout w:type="fixed"/>
        <w:tblCellMar>
          <w:top w:w="0" w:type="dxa"/>
          <w:left w:w="0" w:type="dxa"/>
          <w:bottom w:w="0" w:type="dxa"/>
          <w:right w:w="0" w:type="dxa"/>
        </w:tblCellMar>
      </w:tblPr>
      <w:tblGrid>
        <w:gridCol w:w="3421"/>
        <w:gridCol w:w="109"/>
        <w:gridCol w:w="211"/>
        <w:gridCol w:w="781"/>
        <w:gridCol w:w="146"/>
        <w:gridCol w:w="352"/>
        <w:gridCol w:w="578"/>
        <w:gridCol w:w="109"/>
        <w:gridCol w:w="211"/>
        <w:gridCol w:w="691"/>
        <w:gridCol w:w="109"/>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72335" cy="175260"/>
                      <wp:effectExtent l="0" t="0" r="0" b="0"/>
                      <wp:wrapNone/>
                      <wp:docPr id="63" name="Frame6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2710" cy="175260"/>
                      <wp:effectExtent l="0" t="0" r="0" b="0"/>
                      <wp:wrapNone/>
                      <wp:docPr id="67" name="Frame6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3520" cy="175260"/>
                      <wp:effectExtent l="0" t="0" r="0" b="0"/>
                      <wp:wrapNone/>
                      <wp:docPr id="68" name="Frame6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67030" cy="175260"/>
                      <wp:effectExtent l="0" t="0" r="0" b="0"/>
                      <wp:wrapNone/>
                      <wp:docPr id="69" name="Frame6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38785" cy="175260"/>
                      <wp:effectExtent l="0" t="0" r="0" b="0"/>
                      <wp:wrapNone/>
                      <wp:docPr id="72" name="Frame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62610" cy="175260"/>
                      <wp:effectExtent l="0" t="0" r="0" b="0"/>
                      <wp:wrapNone/>
                      <wp:docPr id="75" name="Frame7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46" w:type="dxa"/>
            <w:tcBorders/>
            <w:vAlign w:val="center"/>
          </w:tcPr>
          <w:p>
            <w:pPr>
              <w:pStyle w:val="TableContents"/>
              <w:bidi w:val="0"/>
              <w:spacing w:lineRule="auto" w:line="285" w:before="0" w:after="0"/>
              <w:ind w:left="0" w:right="0" w:hanging="0"/>
              <w:jc w:val="left"/>
              <w:rPr/>
            </w:pPr>
            <w:r>
              <w:rPr/>
              <w:t>​</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109" w:type="dxa"/>
            <w:tcBorders/>
            <w:vAlign w:val="center"/>
          </w:tcPr>
          <w:p>
            <w:pPr>
              <w:pStyle w:val="TableContents"/>
              <w:bidi w:val="0"/>
              <w:spacing w:lineRule="auto" w:line="285" w:before="0" w:after="0"/>
              <w:ind w:left="0" w:right="0" w:hanging="0"/>
              <w:jc w:val="left"/>
              <w:rPr/>
            </w:pPr>
            <w:r>
              <w:rP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530"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September 30, 2023</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46" w:type="dxa"/>
            <w:tcBorders/>
            <w:vAlign w:val="center"/>
          </w:tcPr>
          <w:p>
            <w:pPr>
              <w:pStyle w:val="TableContents"/>
              <w:bidi w:val="0"/>
              <w:spacing w:lineRule="auto" w:line="285"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109" w:type="dxa"/>
            <w:tcBorders/>
            <w:vAlign w:val="center"/>
          </w:tcPr>
          <w:p>
            <w:pPr>
              <w:pStyle w:val="TableContents"/>
              <w:bidi w:val="0"/>
              <w:spacing w:lineRule="auto" w:line="285"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lineRule="auto" w:line="285"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w:t>
            </w:r>
          </w:p>
        </w:tc>
        <w:tc>
          <w:tcPr>
            <w:tcW w:w="57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201,990</w:t>
            </w:r>
          </w:p>
        </w:tc>
        <w:tc>
          <w:tcPr>
            <w:tcW w:w="1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57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200,863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571,588</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570,391</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773,578</w:t>
            </w:r>
          </w:p>
        </w:tc>
        <w:tc>
          <w:tcPr>
            <w:tcW w:w="146" w:type="dxa"/>
            <w:tcBorders/>
            <w:vAlign w:val="center"/>
          </w:tcPr>
          <w:p>
            <w:pPr>
              <w:pStyle w:val="TableContents"/>
              <w:bidi w:val="0"/>
              <w:spacing w:lineRule="auto" w:line="285"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(2,331)</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771,254</w:t>
            </w:r>
          </w:p>
        </w:tc>
      </w:tr>
    </w:tbl>
    <w:p>
      <w:pPr>
        <w:pStyle w:val="TextBody"/>
        <w:bidi w:val="0"/>
        <w:spacing w:lineRule="auto" w:line="285" w:before="0" w:after="0"/>
        <w:ind w:left="0" w:right="0" w:hanging="0"/>
        <w:jc w:val="left"/>
        <w:rPr/>
      </w:pPr>
      <w:r>
        <w:rPr/>
        <w:t>​</w:t>
      </w:r>
    </w:p>
    <w:tbl>
      <w:tblPr>
        <w:tblW w:w="7815" w:type="dxa"/>
        <w:jc w:val="left"/>
        <w:tblInd w:w="0" w:type="dxa"/>
        <w:tblLayout w:type="fixed"/>
        <w:tblCellMar>
          <w:top w:w="0" w:type="dxa"/>
          <w:left w:w="0" w:type="dxa"/>
          <w:bottom w:w="0" w:type="dxa"/>
          <w:right w:w="0" w:type="dxa"/>
        </w:tblCellMar>
      </w:tblPr>
      <w:tblGrid>
        <w:gridCol w:w="3421"/>
        <w:gridCol w:w="109"/>
        <w:gridCol w:w="211"/>
        <w:gridCol w:w="781"/>
        <w:gridCol w:w="146"/>
        <w:gridCol w:w="352"/>
        <w:gridCol w:w="578"/>
        <w:gridCol w:w="109"/>
        <w:gridCol w:w="211"/>
        <w:gridCol w:w="691"/>
        <w:gridCol w:w="109"/>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72335" cy="175260"/>
                      <wp:effectExtent l="0" t="0" r="0" b="0"/>
                      <wp:wrapNone/>
                      <wp:docPr id="76" name="Frame76"/>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5935" cy="175260"/>
                      <wp:effectExtent l="0" t="0" r="0" b="0"/>
                      <wp:wrapNone/>
                      <wp:docPr id="79"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92710" cy="175260"/>
                      <wp:effectExtent l="0" t="0" r="0" b="0"/>
                      <wp:wrapNone/>
                      <wp:docPr id="80" name="Frame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23520" cy="175260"/>
                      <wp:effectExtent l="0" t="0" r="0" b="0"/>
                      <wp:wrapNone/>
                      <wp:docPr id="81" name="Frame8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67030" cy="175260"/>
                      <wp:effectExtent l="0" t="0" r="0" b="0"/>
                      <wp:wrapNone/>
                      <wp:docPr id="82" name="Frame82"/>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38785" cy="175260"/>
                      <wp:effectExtent l="0" t="0" r="0" b="0"/>
                      <wp:wrapNone/>
                      <wp:docPr id="85" name="Frame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62610" cy="175260"/>
                      <wp:effectExtent l="0" t="0" r="0" b="0"/>
                      <wp:wrapNone/>
                      <wp:docPr id="88" name="Frame8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46" w:type="dxa"/>
            <w:tcBorders/>
            <w:vAlign w:val="center"/>
          </w:tcPr>
          <w:p>
            <w:pPr>
              <w:pStyle w:val="TableContents"/>
              <w:bidi w:val="0"/>
              <w:spacing w:lineRule="auto" w:line="285" w:before="0" w:after="0"/>
              <w:ind w:left="0" w:right="0" w:hanging="0"/>
              <w:jc w:val="left"/>
              <w:rPr/>
            </w:pPr>
            <w:r>
              <w:rPr/>
              <w:t>​</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109" w:type="dxa"/>
            <w:tcBorders/>
            <w:vAlign w:val="center"/>
          </w:tcPr>
          <w:p>
            <w:pPr>
              <w:pStyle w:val="TableContents"/>
              <w:bidi w:val="0"/>
              <w:spacing w:lineRule="auto" w:line="285" w:before="0" w:after="0"/>
              <w:ind w:left="0" w:right="0" w:hanging="0"/>
              <w:jc w:val="left"/>
              <w:rPr/>
            </w:pPr>
            <w:r>
              <w:rP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530"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46" w:type="dxa"/>
            <w:tcBorders/>
            <w:vAlign w:val="center"/>
          </w:tcPr>
          <w:p>
            <w:pPr>
              <w:pStyle w:val="TableContents"/>
              <w:bidi w:val="0"/>
              <w:spacing w:lineRule="auto" w:line="285"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109" w:type="dxa"/>
            <w:tcBorders/>
            <w:vAlign w:val="center"/>
          </w:tcPr>
          <w:p>
            <w:pPr>
              <w:pStyle w:val="TableContents"/>
              <w:bidi w:val="0"/>
              <w:spacing w:lineRule="auto" w:line="285"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lineRule="auto" w:line="285"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w:t>
            </w:r>
          </w:p>
        </w:tc>
        <w:tc>
          <w:tcPr>
            <w:tcW w:w="57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agency securities </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377,519</w:t>
            </w:r>
          </w:p>
        </w:tc>
        <w:tc>
          <w:tcPr>
            <w:tcW w:w="1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57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591,193</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586,092</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968,712</w:t>
            </w:r>
          </w:p>
        </w:tc>
        <w:tc>
          <w:tcPr>
            <w:tcW w:w="146" w:type="dxa"/>
            <w:tcBorders/>
            <w:vAlign w:val="center"/>
          </w:tcPr>
          <w:p>
            <w:pPr>
              <w:pStyle w:val="TableContents"/>
              <w:bidi w:val="0"/>
              <w:spacing w:lineRule="auto" w:line="285"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(9,971)</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958,763</w:t>
            </w:r>
          </w:p>
        </w:tc>
      </w:tr>
    </w:tbl>
    <w:p>
      <w:pPr>
        <w:pStyle w:val="TextBody"/>
        <w:bidi w:val="0"/>
        <w:spacing w:lineRule="auto" w:line="285" w:before="0" w:after="0"/>
        <w:ind w:left="0" w:right="0" w:hanging="0"/>
        <w:jc w:val="left"/>
        <w:rPr/>
      </w:pPr>
      <w:r>
        <w:rPr/>
        <w:t> </w:t>
      </w:r>
    </w:p>
    <w:p>
      <w:pPr>
        <w:pStyle w:val="TextBody"/>
        <w:shd w:fill="FFFFFF" w:val="clear"/>
        <w:bidi w:val="0"/>
        <w:spacing w:lineRule="auto" w:line="285" w:before="0" w:after="0"/>
        <w:ind w:left="0" w:right="0" w:firstLine="72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estimated fair value (in thousands) and number of the Company’s available-for-sale securities that are in loss position as of September 30, 2023 and December 31, 2022 by the length of time the security has been in loss position:</w:t>
      </w:r>
    </w:p>
    <w:p>
      <w:pPr>
        <w:pStyle w:val="TextBody"/>
        <w:shd w:fill="FFFFFF" w:val="clear"/>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29"/>
        <w:gridCol w:w="109"/>
        <w:gridCol w:w="211"/>
        <w:gridCol w:w="781"/>
        <w:gridCol w:w="326"/>
        <w:gridCol w:w="182"/>
        <w:gridCol w:w="697"/>
        <w:gridCol w:w="326"/>
        <w:gridCol w:w="211"/>
        <w:gridCol w:w="781"/>
        <w:gridCol w:w="326"/>
        <w:gridCol w:w="159"/>
        <w:gridCol w:w="767"/>
      </w:tblGrid>
      <w:tr>
        <w:trPr/>
        <w:tc>
          <w:tcPr>
            <w:tcW w:w="5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383915" cy="175260"/>
                      <wp:effectExtent l="0" t="0" r="0" b="0"/>
                      <wp:wrapNone/>
                      <wp:docPr id="89" name="Frame89"/>
                      <a:graphic xmlns:a="http://schemas.openxmlformats.org/drawingml/2006/main">
                        <a:graphicData uri="http://schemas.microsoft.com/office/word/2010/wordprocessingShape">
                          <wps:wsp>
                            <wps:cNvSpPr txBox="1"/>
                            <wps:spPr>
                              <a:xfrm>
                                <a:off x="0" y="0"/>
                                <a:ext cx="3383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15570" cy="175260"/>
                      <wp:effectExtent l="0" t="0" r="0" b="0"/>
                      <wp:wrapNone/>
                      <wp:docPr id="94" name="Frame94"/>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42595" cy="175260"/>
                      <wp:effectExtent l="0" t="0" r="0" b="0"/>
                      <wp:wrapNone/>
                      <wp:docPr id="95" name="Frame95"/>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00965" cy="175260"/>
                      <wp:effectExtent l="0" t="0" r="0" b="0"/>
                      <wp:wrapNone/>
                      <wp:docPr id="100" name="Frame100"/>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87045" cy="175260"/>
                      <wp:effectExtent l="0" t="0" r="0" b="0"/>
                      <wp:wrapNone/>
                      <wp:docPr id="101" name="Frame10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3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9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lineRule="auto" w:line="285" w:before="0" w:after="0"/>
              <w:ind w:left="0" w:right="0" w:hanging="0"/>
              <w:jc w:val="center"/>
              <w:rPr/>
            </w:pPr>
            <w:r>
              <w:rPr/>
              <w:t>    </w:t>
            </w:r>
          </w:p>
        </w:tc>
        <w:tc>
          <w:tcPr>
            <w:tcW w:w="224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53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center"/>
              <w:rPr/>
            </w:pPr>
            <w:r>
              <w:rPr/>
              <w:t>    </w:t>
            </w:r>
          </w:p>
        </w:tc>
        <w:tc>
          <w:tcPr>
            <w:tcW w:w="87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center"/>
              <w:rPr/>
            </w:pPr>
            <w:r>
              <w:rPr/>
              <w:t>    </w:t>
            </w:r>
          </w:p>
        </w:tc>
        <w:tc>
          <w:tcPr>
            <w:tcW w:w="9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53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    </w:t>
            </w:r>
          </w:p>
        </w:tc>
        <w:tc>
          <w:tcPr>
            <w:tcW w:w="87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    </w:t>
            </w:r>
          </w:p>
        </w:tc>
        <w:tc>
          <w:tcPr>
            <w:tcW w:w="9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53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securities in unrealized loss position for 12 months or less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624,319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371,746</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159" w:type="dxa"/>
            <w:tcBorders/>
            <w:shd w:fill="CCEEFF" w:val="clear"/>
            <w:vAlign w:val="center"/>
          </w:tcPr>
          <w:p>
            <w:pPr>
              <w:pStyle w:val="TableContents"/>
              <w:bidi w:val="0"/>
              <w:spacing w:lineRule="auto" w:line="285" w:before="0" w:after="0"/>
              <w:ind w:left="0" w:right="0" w:hanging="0"/>
              <w:jc w:val="left"/>
              <w:rPr/>
            </w:pPr>
            <w:r>
              <w:rPr/>
              <w:t>​</w:t>
            </w:r>
          </w:p>
        </w:tc>
        <w:tc>
          <w:tcPr>
            <w:tcW w:w="76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3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securities in unrealized loss position for more than 12 months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56,975</w:t>
            </w:r>
          </w:p>
        </w:tc>
        <w:tc>
          <w:tcPr>
            <w:tcW w:w="326" w:type="dxa"/>
            <w:tcBorders/>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550,561</w:t>
            </w:r>
          </w:p>
        </w:tc>
        <w:tc>
          <w:tcPr>
            <w:tcW w:w="326" w:type="dxa"/>
            <w:tcBorders/>
            <w:vAlign w:val="center"/>
          </w:tcPr>
          <w:p>
            <w:pPr>
              <w:pStyle w:val="TableContents"/>
              <w:bidi w:val="0"/>
              <w:spacing w:lineRule="auto" w:line="285" w:before="0" w:after="0"/>
              <w:ind w:left="0" w:right="0" w:hanging="0"/>
              <w:jc w:val="center"/>
              <w:rPr/>
            </w:pPr>
            <w:r>
              <w:rPr/>
              <w:t>    </w:t>
            </w:r>
          </w:p>
        </w:tc>
        <w:tc>
          <w:tcPr>
            <w:tcW w:w="1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53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debt securities in unrealized loss position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681,294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922,307</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1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7"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122</w:t>
            </w:r>
          </w:p>
        </w:tc>
      </w:tr>
    </w:tbl>
    <w:p>
      <w:pPr>
        <w:pStyle w:val="TextBody"/>
        <w:shd w:fill="FFFFFF" w:val="clear"/>
        <w:bidi w:val="0"/>
        <w:spacing w:lineRule="auto" w:line="285" w:before="0" w:after="0"/>
        <w:ind w:left="0" w:right="0" w:hanging="0"/>
        <w:jc w:val="left"/>
        <w:rPr/>
      </w:pPr>
      <w:r>
        <w:rPr/>
        <w:t> </w:t>
      </w:r>
    </w:p>
    <w:p>
      <w:pPr>
        <w:pStyle w:val="TextBody"/>
        <w:shd w:fill="FFFFFF" w:val="clear"/>
        <w:bidi w:val="0"/>
        <w:spacing w:lineRule="auto" w:line="285" w:before="0" w:after="0"/>
        <w:ind w:left="0" w:right="0" w:hanging="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has the intent and ability to hold its debt securities until recovery. As a result, the Company did not record any charges for credit-related impairments for its marketable debt securities for the three and nine months ended September 30, 2023 and 2022.</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amortized cost basis and estimated fair value of the Company’s available-for-sale securities by contractual maturity as of September 30, 2023</w:t>
      </w:r>
      <w:r>
        <w:rPr>
          <w:rFonts w:ascii="Times New Roman;Times;serif" w:hAnsi="Times New Roman;Times;serif"/>
          <w:color w:val="212529"/>
          <w:sz w:val="20"/>
        </w:rPr>
        <w:t xml:space="preserve"> and December 31, 2022 (in thousands):</w:t>
      </w:r>
    </w:p>
    <w:p>
      <w:pPr>
        <w:pStyle w:val="TextBody"/>
        <w:bidi w:val="0"/>
        <w:spacing w:lineRule="auto" w:line="285" w:before="0" w:after="0"/>
        <w:ind w:left="0" w:right="0" w:hanging="0"/>
        <w:jc w:val="left"/>
        <w:rPr>
          <w:color w:val="212529"/>
        </w:rPr>
      </w:pPr>
      <w:r>
        <w:rPr>
          <w:color w:val="212529"/>
        </w:rPr>
        <w:t>​</w:t>
      </w:r>
    </w:p>
    <w:tbl>
      <w:tblPr>
        <w:tblW w:w="7763" w:type="dxa"/>
        <w:jc w:val="left"/>
        <w:tblInd w:w="0" w:type="dxa"/>
        <w:tblLayout w:type="fixed"/>
        <w:tblCellMar>
          <w:top w:w="0" w:type="dxa"/>
          <w:left w:w="0" w:type="dxa"/>
          <w:bottom w:w="0" w:type="dxa"/>
          <w:right w:w="0" w:type="dxa"/>
        </w:tblCellMar>
      </w:tblPr>
      <w:tblGrid>
        <w:gridCol w:w="2386"/>
        <w:gridCol w:w="326"/>
        <w:gridCol w:w="211"/>
        <w:gridCol w:w="781"/>
        <w:gridCol w:w="326"/>
        <w:gridCol w:w="211"/>
        <w:gridCol w:w="781"/>
        <w:gridCol w:w="326"/>
        <w:gridCol w:w="211"/>
        <w:gridCol w:w="781"/>
        <w:gridCol w:w="326"/>
        <w:gridCol w:w="211"/>
        <w:gridCol w:w="88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515110" cy="175260"/>
                      <wp:effectExtent l="0" t="0" r="0" b="0"/>
                      <wp:wrapNone/>
                      <wp:docPr id="102" name="Frame102"/>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11"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62610" cy="175260"/>
                      <wp:effectExtent l="0" t="0" r="0" b="0"/>
                      <wp:wrapNone/>
                      <wp:docPr id="114" name="Frame1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lineRule="auto" w:line="285" w:before="0" w:after="0"/>
              <w:ind w:left="0" w:right="0" w:hanging="0"/>
              <w:jc w:val="center"/>
              <w:rPr/>
            </w:pPr>
            <w:r>
              <w:rPr/>
              <w:t>    </w:t>
            </w:r>
          </w:p>
        </w:tc>
        <w:tc>
          <w:tcPr>
            <w:tcW w:w="24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center"/>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658,760</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657,012</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834,440</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825,283</w:t>
            </w:r>
          </w:p>
        </w:tc>
      </w:tr>
      <w:tr>
        <w:trPr/>
        <w:tc>
          <w:tcPr>
            <w:tcW w:w="2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After one through five years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114,818</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114,242</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134,272</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133,480</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773,578</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771,254</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968,712</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958,763</w:t>
            </w:r>
          </w:p>
        </w:tc>
      </w:tr>
    </w:tbl>
    <w:p>
      <w:pPr>
        <w:pStyle w:val="TextBody"/>
        <w:bidi w:val="0"/>
        <w:spacing w:lineRule="auto" w:line="285" w:before="0" w:after="0"/>
        <w:ind w:left="0" w:right="0" w:hanging="0"/>
        <w:jc w:val="left"/>
        <w:rPr>
          <w:color w:val="212529"/>
        </w:rPr>
      </w:pPr>
      <w:r>
        <w:rPr>
          <w:color w:val="212529"/>
        </w:rPr>
        <w:t> </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color w:val="212529"/>
          <w:sz w:val="20"/>
        </w:rPr>
      </w:pPr>
      <w:bookmarkStart w:id="865" w:name="Tc_p0oVQMLbcUmJ2RYhJh2uMg_4_11"/>
      <w:bookmarkStart w:id="866" w:name="Tc_cPMKZx2lPEW7rxq4owylWQ_4_8"/>
      <w:bookmarkStart w:id="867" w:name="Tc_I67ZG-_YPUaZEIJGkdE1WQ_4_5"/>
      <w:bookmarkStart w:id="868" w:name="Tc_hInZpCaf5UmoBJC1zdNBQg_4_2"/>
      <w:bookmarkStart w:id="869" w:name="Tc_M2jPwo2MdE2fS8yxnO3jGw_4_0"/>
      <w:bookmarkStart w:id="870" w:name="Tc_pfOXZPmTlkWEPLkMAniQlg_3_11"/>
      <w:bookmarkStart w:id="871" w:name="Tc_QgKbDjM3D0aCP3J0SKRYiA_3_8"/>
      <w:bookmarkStart w:id="872" w:name="Tc_wQ95j7RNrU-qVcvhbfnFgw_3_5"/>
      <w:bookmarkStart w:id="873" w:name="Tc_Ps6mPnh7JkWIMgvY6VbQDA_3_2"/>
      <w:bookmarkStart w:id="874" w:name="Tc_gWJr0eB4jEWg6HjvOik7WA_2_8"/>
      <w:bookmarkStart w:id="875" w:name="Tc_9ssPxDpmVkqvzYcSLZJYig_2_2"/>
      <w:bookmarkStart w:id="876" w:name="Tc_vBpcbcxZ9U2J9u_YZ_fb4Q_1_8"/>
      <w:bookmarkStart w:id="877" w:name="Tc_OAnOPXxhtU61GcK0n7aaqA_1_2"/>
      <w:bookmarkStart w:id="878" w:name="_b98b8ac1_72eb_4c61_95c1_9717eff02116"/>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rFonts w:ascii="Times New Roman;Times;serif" w:hAnsi="Times New Roman;Times;serif"/>
          <w:color w:val="212529"/>
          <w:sz w:val="20"/>
        </w:rPr>
        <w:t>The following table summarizes the proceeds from maturities of debt securities during the three and nine months ended September 30, 2023 and 2022 (in thousands):</w:t>
      </w:r>
    </w:p>
    <w:p>
      <w:pPr>
        <w:pStyle w:val="TextBody"/>
        <w:bidi w:val="0"/>
        <w:spacing w:lineRule="auto" w:line="285" w:before="0" w:after="0"/>
        <w:ind w:left="0" w:right="0" w:hanging="0"/>
        <w:jc w:val="left"/>
        <w:rPr/>
      </w:pPr>
      <w:r>
        <w:rPr/>
        <w:t>​</w:t>
      </w:r>
    </w:p>
    <w:tbl>
      <w:tblPr>
        <w:tblW w:w="8056" w:type="dxa"/>
        <w:jc w:val="left"/>
        <w:tblInd w:w="0" w:type="dxa"/>
        <w:tblLayout w:type="fixed"/>
        <w:tblCellMar>
          <w:top w:w="0" w:type="dxa"/>
          <w:left w:w="0" w:type="dxa"/>
          <w:bottom w:w="0" w:type="dxa"/>
          <w:right w:w="0" w:type="dxa"/>
        </w:tblCellMar>
      </w:tblPr>
      <w:tblGrid>
        <w:gridCol w:w="3541"/>
        <w:gridCol w:w="109"/>
        <w:gridCol w:w="211"/>
        <w:gridCol w:w="781"/>
        <w:gridCol w:w="146"/>
        <w:gridCol w:w="211"/>
        <w:gridCol w:w="676"/>
        <w:gridCol w:w="146"/>
        <w:gridCol w:w="211"/>
        <w:gridCol w:w="781"/>
        <w:gridCol w:w="146"/>
        <w:gridCol w:w="211"/>
        <w:gridCol w:w="88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248535" cy="175260"/>
                      <wp:effectExtent l="0" t="0" r="0" b="0"/>
                      <wp:wrapNone/>
                      <wp:docPr id="115" name="Frame115"/>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5935" cy="175260"/>
                      <wp:effectExtent l="0" t="0" r="0" b="0"/>
                      <wp:wrapNone/>
                      <wp:docPr id="118" name="Frame1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92710" cy="175260"/>
                      <wp:effectExtent l="0" t="0" r="0" b="0"/>
                      <wp:wrapNone/>
                      <wp:docPr id="119" name="Frame1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260" cy="175260"/>
                      <wp:effectExtent l="0" t="0" r="0" b="0"/>
                      <wp:wrapNone/>
                      <wp:docPr id="121" name="Frame1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92710" cy="175260"/>
                      <wp:effectExtent l="0" t="0" r="0" b="0"/>
                      <wp:wrapNone/>
                      <wp:docPr id="122" name="Frame12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95935" cy="175260"/>
                      <wp:effectExtent l="0" t="0" r="0" b="0"/>
                      <wp:wrapNone/>
                      <wp:docPr id="124" name="Frame1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92710" cy="175260"/>
                      <wp:effectExtent l="0" t="0" r="0" b="0"/>
                      <wp:wrapNone/>
                      <wp:docPr id="125" name="Frame1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2610" cy="175260"/>
                      <wp:effectExtent l="0" t="0" r="0" b="0"/>
                      <wp:wrapNone/>
                      <wp:docPr id="127" name="Frame12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 </w:t>
            </w:r>
          </w:p>
        </w:tc>
        <w:tc>
          <w:tcPr>
            <w:tcW w:w="223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6" w:type="dxa"/>
            <w:tcBorders/>
            <w:vAlign w:val="center"/>
          </w:tcPr>
          <w:p>
            <w:pPr>
              <w:pStyle w:val="TableContents"/>
              <w:bidi w:val="0"/>
              <w:spacing w:lineRule="auto" w:line="285" w:before="0" w:after="0"/>
              <w:ind w:left="0" w:right="0" w:hanging="0"/>
              <w:jc w:val="left"/>
              <w:rPr/>
            </w:pPr>
            <w:r>
              <w:rPr/>
              <w:t> </w:t>
            </w:r>
          </w:p>
        </w:tc>
        <w:tc>
          <w:tcPr>
            <w:tcW w:w="223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maturities of debt securities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237,600</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90,500</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855,365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170,123</w:t>
            </w:r>
          </w:p>
        </w:tc>
      </w:tr>
    </w:tbl>
    <w:p>
      <w:pPr>
        <w:pStyle w:val="TextBody"/>
        <w:bidi w:val="0"/>
        <w:spacing w:lineRule="auto" w:line="285" w:before="0" w:after="0"/>
        <w:ind w:left="0" w:right="0" w:hanging="0"/>
        <w:jc w:val="left"/>
        <w:rPr>
          <w:color w:val="212529"/>
        </w:rPr>
      </w:pPr>
      <w:r>
        <w:rPr>
          <w:color w:val="212529"/>
        </w:rPr>
        <w:t> </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0"/>
        <w:ind w:left="0" w:right="0" w:firstLine="720"/>
        <w:jc w:val="left"/>
        <w:rPr>
          <w:color w:val="212529"/>
        </w:rPr>
      </w:pPr>
      <w:r>
        <w:rPr>
          <w:color w:val="212529"/>
        </w:rPr>
        <w:t>​</w:t>
      </w:r>
    </w:p>
    <w:p>
      <w:pPr>
        <w:pStyle w:val="TextBody"/>
        <w:bidi w:val="0"/>
        <w:spacing w:lineRule="auto" w:line="285" w:before="0" w:after="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The Company did not realize any gains or losses from maturities of debt securities for the three and nine months ended September 30, 2023 and 2022.</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160"/>
        <w:ind w:left="0" w:right="0" w:hanging="0"/>
        <w:jc w:val="left"/>
        <w:rPr>
          <w:rFonts w:ascii="Times New Roman;Times;serif" w:hAnsi="Times New Roman;Times;serif"/>
          <w:b/>
          <w:sz w:val="20"/>
        </w:rPr>
      </w:pPr>
      <w:bookmarkStart w:id="879" w:name="Tc_2uN4JS0eb0eRni4pv14TAw_10_12"/>
      <w:bookmarkStart w:id="880" w:name="Tc_I3W8x69sd0uHmJdUCXc0EA_10_11"/>
      <w:bookmarkStart w:id="881" w:name="Tc_o6EM1ehHVkuOune6JlbZiA_10_8"/>
      <w:bookmarkStart w:id="882" w:name="Tc_B5uKLXX1rE6FV0cSqI03NA_10_5"/>
      <w:bookmarkStart w:id="883" w:name="Tc_QMUz21yfPkSal8c9GPtEIg_10_2"/>
      <w:bookmarkStart w:id="884" w:name="Tc_huAvBaxhd0KXLtMYQn7wog_10_0"/>
      <w:bookmarkStart w:id="885" w:name="Tc_plM_VU4V00ajnZWq2W_vLg_9_12"/>
      <w:bookmarkStart w:id="886" w:name="Tc_aXbI6qTvXEm_X78ArI97zA_9_9"/>
      <w:bookmarkStart w:id="887" w:name="Tc_EqoJBcnIBUaTfVptQGv-Ow_9_0"/>
      <w:bookmarkStart w:id="888" w:name="Tc_nw1w-hyrc0SSbOUs9guAKw_8_12"/>
      <w:bookmarkStart w:id="889" w:name="Tc_uBVbVSuH3UO-iGpa9LU-jA_8_6"/>
      <w:bookmarkStart w:id="890" w:name="Tc_ljMnRimz3E2Kiedp3ROwVQ_8_0"/>
      <w:bookmarkStart w:id="891" w:name="Tc_bD_33Ct2hk27tIYrL2KDLA_7_0"/>
      <w:bookmarkStart w:id="892" w:name="Tc_df9sccz_kE6mBN1ruzrwpA_6_12"/>
      <w:bookmarkStart w:id="893" w:name="Tc_PeT66yqHlk283irb4iZX7w_6_9"/>
      <w:bookmarkStart w:id="894" w:name="Tc_1cNyNG-5wECEcLebUcSxrw_6_0"/>
      <w:bookmarkStart w:id="895" w:name="Tc_GD_jBo5lZ02dpcXbYj1TRg_5_12"/>
      <w:bookmarkStart w:id="896" w:name="Tc_H3sw4t3i20WgmK20ASawXg_5_11"/>
      <w:bookmarkStart w:id="897" w:name="Tc_ZBTn0y5JnE-d-gSz56WqFA_5_9"/>
      <w:bookmarkStart w:id="898" w:name="Tc_Q6jnkdWNQ06YvMMQOZEd1w_5_8"/>
      <w:bookmarkStart w:id="899" w:name="Tc_WKK6n8Hfq0WCMNJY-yR7GA_5_5"/>
      <w:bookmarkStart w:id="900" w:name="Tc_SomsCNuWpUqYhPMB86-Okg_5_2"/>
      <w:bookmarkStart w:id="901" w:name="Tc_v1UsmC8X3k-wOPMOTJqtFA_5_0"/>
      <w:bookmarkStart w:id="902" w:name="Tc_meyCjpTRqEui5JNfdkVy7w_4_0"/>
      <w:bookmarkStart w:id="903" w:name="Tc_ruBb5_gt20-TrADOH2-4zg_3_11"/>
      <w:bookmarkStart w:id="904" w:name="Tc_h5gkJTXKcEGkTs5ElhqErQ_3_8"/>
      <w:bookmarkStart w:id="905" w:name="Tc_mwMGl2TVj0elQIkywB7U7A_3_5"/>
      <w:bookmarkStart w:id="906" w:name="Tc_dMi0RbpoZkSklt6dqN320Q_3_2"/>
      <w:bookmarkStart w:id="907" w:name="Tc_75m6YzqVSk2gXxoT2HRD1w_3_0"/>
      <w:bookmarkStart w:id="908" w:name="Tc_l0vpS0zqtEO7CqG-VqNL5w_2_11"/>
      <w:bookmarkStart w:id="909" w:name="Tc__0AZFHfmXkyAzRfEo1NWWg_2_8"/>
      <w:bookmarkStart w:id="910" w:name="Tc_f0w8kuqnfEueJfdEPU6c7A_2_5"/>
      <w:bookmarkStart w:id="911" w:name="Tc_M7j4Cv4CfkKaUy8aLIUdKA_2_2"/>
      <w:bookmarkStart w:id="912" w:name="Tc_74rGwxszIEes-0V6nvdfig_1_11"/>
      <w:bookmarkStart w:id="913" w:name="Tc_dQgfa1gYfUCdQbZMQR-0Dg_1_8"/>
      <w:bookmarkStart w:id="914" w:name="Tc_ajj3tBkdC0u3z2NMOXA6TQ_1_5"/>
      <w:bookmarkStart w:id="915" w:name="_0afdae7e_a779_4cc8_9b24_c3cb770e6a44"/>
      <w:bookmarkStart w:id="916" w:name="Tc_j6uQv4wgNU61pIaKgFs7JA_9_12"/>
      <w:bookmarkStart w:id="917" w:name="Tc_vH2lzp3o-EiJlvhDFLg1rA_9_11"/>
      <w:bookmarkStart w:id="918" w:name="Tc_LBUUIQPuqUKVSHZkkyWTXw_9_8"/>
      <w:bookmarkStart w:id="919" w:name="Tc_2HGbekAnxkax9W0XxbhkSQ_9_5"/>
      <w:bookmarkStart w:id="920" w:name="Tc_kk8IxmwxcUybCztjLwINKQ_9_2"/>
      <w:bookmarkStart w:id="921" w:name="Tc_MXU0JucJykWNpKLC-xqcGQ_9_0"/>
      <w:bookmarkStart w:id="922" w:name="Tc_YTidl98iZ0q7ZOJPFM5bZw_8_12"/>
      <w:bookmarkStart w:id="923" w:name="Tc_NA7t9_DqKEy0ZiohF8p6dA_8_9"/>
      <w:bookmarkStart w:id="924" w:name="Tc_vuoA0o8U_Um68MqOhKqZqg_8_0"/>
      <w:bookmarkStart w:id="925" w:name="Tc_NgjAA-J3Dkeasn0aA6cDRg_7_12"/>
      <w:bookmarkStart w:id="926" w:name="Tc_pq1oYKxjkkyS6UruZsCVig_7_6"/>
      <w:bookmarkStart w:id="927" w:name="Tc_dT_3L_FWMkulOAnN07u_9g_7_0"/>
      <w:bookmarkStart w:id="928" w:name="Tc_NFoHsxPSRU6f1YbQXqR4wg_6_0"/>
      <w:bookmarkStart w:id="929" w:name="Tc_8nX3gnBvSkOSmwDYopjgJw_5_12"/>
      <w:bookmarkStart w:id="930" w:name="Tc_3H5LiMZ18UifoJaAQquOSQ_5_11"/>
      <w:bookmarkStart w:id="931" w:name="Tc_HM0ywltZukOGobicSkmyng_5_9"/>
      <w:bookmarkStart w:id="932" w:name="Tc_-KYqKqJ0x0GnojZmsdK1iA_5_2"/>
      <w:bookmarkStart w:id="933" w:name="Tc_41lMe8h5pEa4p1Mdn9lOSA_5_0"/>
      <w:bookmarkStart w:id="934" w:name="Tc_PrmyrS6BWEKbEBwlIIdfzA_4_0"/>
      <w:bookmarkStart w:id="935" w:name="Tc_w0GMoAX9UkqdhZ914XmpHQ_3_11"/>
      <w:bookmarkStart w:id="936" w:name="Tc_miJcHMaa70OIqRjsiSv79Q_3_8"/>
      <w:bookmarkStart w:id="937" w:name="Tc_3IDr_cdjXUWmuLkNQ9BAng_3_5"/>
      <w:bookmarkStart w:id="938" w:name="Tc_1myR6O79OESBnyC3LkMS1w_3_2"/>
      <w:bookmarkStart w:id="939" w:name="Tc_yhgVcAiXnUWUZIU2j4yBQg_3_0"/>
      <w:bookmarkStart w:id="940" w:name="Tc_Xyd7pCZdbEG8vhvgdS36ZQ_2_11"/>
      <w:bookmarkStart w:id="941" w:name="Tc_Hl5VXrzpJ0OSeIbgVHwwRQ_2_8"/>
      <w:bookmarkStart w:id="942" w:name="Tc_jb6RpvOC7UWjp9hn9Rcbkg_2_5"/>
      <w:bookmarkStart w:id="943" w:name="Tc_q-TsHmYr6EOlUTllzC8OWA_2_2"/>
      <w:bookmarkStart w:id="944" w:name="Tc_O_yqAfBrsEedsTRBZsUXxQ_1_11"/>
      <w:bookmarkStart w:id="945" w:name="Tc_ySBb385o-EKstG72vNbBoA_1_8"/>
      <w:bookmarkStart w:id="946" w:name="Tc_pKwDc7E5QE2qRHNtXUK3ow_1_5"/>
      <w:bookmarkStart w:id="947" w:name="_b5e410fc_a25f_4f8e_8cc7_95c591eab7c9"/>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r>
        <w:rPr>
          <w:rFonts w:ascii="Times New Roman;Times;serif" w:hAnsi="Times New Roman;Times;serif"/>
          <w:b/>
          <w:sz w:val="20"/>
        </w:rPr>
        <w:t>5. Fair Value of Financial Instruments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cash equivalents and marketable securities measured at fair value on a recurring basis as of September 30, 2023 (in thousands):</w:t>
      </w:r>
    </w:p>
    <w:tbl>
      <w:tblPr>
        <w:tblW w:w="9035" w:type="dxa"/>
        <w:jc w:val="left"/>
        <w:tblInd w:w="0" w:type="dxa"/>
        <w:tblLayout w:type="fixed"/>
        <w:tblCellMar>
          <w:top w:w="0" w:type="dxa"/>
          <w:left w:w="0" w:type="dxa"/>
          <w:bottom w:w="0" w:type="dxa"/>
          <w:right w:w="0" w:type="dxa"/>
        </w:tblCellMar>
      </w:tblPr>
      <w:tblGrid>
        <w:gridCol w:w="3421"/>
        <w:gridCol w:w="326"/>
        <w:gridCol w:w="252"/>
        <w:gridCol w:w="933"/>
        <w:gridCol w:w="326"/>
        <w:gridCol w:w="211"/>
        <w:gridCol w:w="781"/>
        <w:gridCol w:w="326"/>
        <w:gridCol w:w="211"/>
        <w:gridCol w:w="781"/>
        <w:gridCol w:w="32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72335" cy="175260"/>
                      <wp:effectExtent l="0" t="0" r="0" b="0"/>
                      <wp:wrapNone/>
                      <wp:docPr id="128" name="Frame12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60020" cy="175260"/>
                      <wp:effectExtent l="0" t="0" r="0" b="0"/>
                      <wp:wrapNone/>
                      <wp:docPr id="130" name="Frame13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92455" cy="175260"/>
                      <wp:effectExtent l="0" t="0" r="0" b="0"/>
                      <wp:wrapNone/>
                      <wp:docPr id="131" name="Frame131"/>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5935" cy="175260"/>
                      <wp:effectExtent l="0" t="0" r="0" b="0"/>
                      <wp:wrapNone/>
                      <wp:docPr id="134"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95935" cy="175260"/>
                      <wp:effectExtent l="0" t="0" r="0" b="0"/>
                      <wp:wrapNone/>
                      <wp:docPr id="137" name="Frame1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30505" cy="175260"/>
                      <wp:effectExtent l="0" t="0" r="0" b="0"/>
                      <wp:wrapNone/>
                      <wp:docPr id="139" name="Frame139"/>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4030" cy="175260"/>
                      <wp:effectExtent l="0" t="0" r="0" b="0"/>
                      <wp:wrapNone/>
                      <wp:docPr id="140" name="Frame140"/>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52" w:type="dxa"/>
            <w:tcBorders/>
            <w:vAlign w:val="center"/>
          </w:tcPr>
          <w:p>
            <w:pPr>
              <w:pStyle w:val="TableContents"/>
              <w:bidi w:val="0"/>
              <w:spacing w:lineRule="auto" w:line="285" w:before="0" w:after="0"/>
              <w:ind w:left="0" w:right="0" w:hanging="0"/>
              <w:jc w:val="center"/>
              <w:rPr/>
            </w:pPr>
            <w:r>
              <w:rPr/>
              <w:t>​</w:t>
            </w:r>
          </w:p>
        </w:tc>
        <w:tc>
          <w:tcPr>
            <w:tcW w:w="933"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lineRule="auto" w:line="285" w:before="0" w:after="0"/>
              <w:ind w:left="0" w:right="0" w:hanging="0"/>
              <w:jc w:val="center"/>
              <w:rPr/>
            </w:pPr>
            <w:r>
              <w:rPr/>
              <w:t>    </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47,510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47,510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pPr>
            <w:r>
              <w:rPr/>
              <w:t>​</w:t>
            </w:r>
          </w:p>
        </w:tc>
        <w:tc>
          <w:tcPr>
            <w:tcW w:w="933"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200,863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200,863</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570,391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570,391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818,764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617,901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200,863</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cash equivalents and marketable securities measured at fair value on a recurring basis as of December 31, 2022 (in thousands):</w:t>
      </w:r>
    </w:p>
    <w:tbl>
      <w:tblPr>
        <w:tblW w:w="8992" w:type="dxa"/>
        <w:jc w:val="left"/>
        <w:tblInd w:w="0" w:type="dxa"/>
        <w:tblLayout w:type="fixed"/>
        <w:tblCellMar>
          <w:top w:w="0" w:type="dxa"/>
          <w:left w:w="0" w:type="dxa"/>
          <w:bottom w:w="0" w:type="dxa"/>
          <w:right w:w="0" w:type="dxa"/>
        </w:tblCellMar>
      </w:tblPr>
      <w:tblGrid>
        <w:gridCol w:w="3421"/>
        <w:gridCol w:w="326"/>
        <w:gridCol w:w="211"/>
        <w:gridCol w:w="931"/>
        <w:gridCol w:w="326"/>
        <w:gridCol w:w="211"/>
        <w:gridCol w:w="781"/>
        <w:gridCol w:w="326"/>
        <w:gridCol w:w="211"/>
        <w:gridCol w:w="781"/>
        <w:gridCol w:w="32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72335" cy="175260"/>
                      <wp:effectExtent l="0" t="0" r="0" b="0"/>
                      <wp:wrapNone/>
                      <wp:docPr id="141" name="Frame141"/>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91185" cy="175260"/>
                      <wp:effectExtent l="0" t="0" r="0" b="0"/>
                      <wp:wrapNone/>
                      <wp:docPr id="144" name="Frame1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95935" cy="175260"/>
                      <wp:effectExtent l="0" t="0" r="0" b="0"/>
                      <wp:wrapNone/>
                      <wp:docPr id="147" name="Frame1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95935" cy="175260"/>
                      <wp:effectExtent l="0" t="0" r="0" b="0"/>
                      <wp:wrapNone/>
                      <wp:docPr id="150" name="Frame1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0505" cy="175260"/>
                      <wp:effectExtent l="0" t="0" r="0" b="0"/>
                      <wp:wrapNone/>
                      <wp:docPr id="152" name="Frame15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94030" cy="175260"/>
                      <wp:effectExtent l="0" t="0" r="0" b="0"/>
                      <wp:wrapNone/>
                      <wp:docPr id="153" name="Frame153"/>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lineRule="auto" w:line="285" w:before="0" w:after="0"/>
              <w:ind w:left="0" w:right="0" w:hanging="0"/>
              <w:jc w:val="center"/>
              <w:rPr/>
            </w:pPr>
            <w:r>
              <w:rPr/>
              <w:t>    </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4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lineRule="auto" w:line="285"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95,198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95,198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586,092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586,092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1,058,950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686,279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6. Product Revenue Reserves and Allowances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January 2020, the U.S. Food and Drug Administration (FDA) approved AYVAKIT for the treatment of adults with unresectable or metastatic gastrointestinal stromal tumor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(ASM), SM with an associated hematological neoplasm (SM-AHN) and mast cell leukemia (MCL). </w:t>
      </w:r>
      <w:r>
        <w:rPr>
          <w:rFonts w:ascii="Times New Roman;Times;serif" w:hAnsi="Times New Roman;Times;serif"/>
          <w:sz w:val="20"/>
          <w:shd w:fill="FFFFFF" w:val="clear"/>
        </w:rPr>
        <w:t>In March 2022, the European Commission expanded the marketing authorization for AYVAKYT to include the treatment of adult patients with ASM, SM-AHN, or MCL, after at least one systemic therapy. In May 2023, the FDA approved AYVAKIT for the treatment of adult patients with indolent SM.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firstLine="720"/>
        <w:jc w:val="left"/>
        <w:rPr>
          <w:rFonts w:ascii="Times New Roman;Times;serif" w:hAnsi="Times New Roman;Times;serif"/>
          <w:sz w:val="20"/>
        </w:rPr>
      </w:pPr>
      <w:bookmarkStart w:id="948" w:name="Tc_hsPf1QvYyEWeFzuUmphV-A_5_4"/>
      <w:bookmarkStart w:id="949" w:name="Tc_qPchwChpGkeTFQH3p-9DfA_5_1"/>
      <w:bookmarkStart w:id="950" w:name="Tc_bvRQR01gDESt01ypCrGlYA_5_0"/>
      <w:bookmarkStart w:id="951" w:name="Tc_d8MrJEOf_U-pxm5S4wHPlQ_4_0"/>
      <w:bookmarkStart w:id="952" w:name="Tc_xpFwPwutMketSjEvs8Y5bg_3_4"/>
      <w:bookmarkStart w:id="953" w:name="Tc_xR7qkoQSFEWeBKGo4ytRbw_3_1"/>
      <w:bookmarkStart w:id="954" w:name="Tc_sYkPOHXV6UyOaKubt98FTw_3_0"/>
      <w:bookmarkStart w:id="955" w:name="Tc_3yBYuTr7ok2smjO27kswGA_2_4"/>
      <w:bookmarkStart w:id="956" w:name="Tc_FSJ-cZAASk6I4UiOktq4Nw_2_1"/>
      <w:bookmarkStart w:id="957" w:name="Tc_n2zt3gxolUCBQqvWOrwchw_1_4"/>
      <w:bookmarkStart w:id="958" w:name="Tc_WrCQ5Vh2xUS_86ETq0IKkA_1_1"/>
      <w:bookmarkStart w:id="959" w:name="_3eb0aa7b_e73c_424a_85f3_66599e7395d7"/>
      <w:bookmarkStart w:id="960" w:name="Tc_0wORQbRbCEyIIzynT4vcdg_7_4"/>
      <w:bookmarkStart w:id="961" w:name="Tc_fWb18CnTBUiRdlTh4ZXQ8g_7_1"/>
      <w:bookmarkStart w:id="962" w:name="Tc_tjiamZEYTkals13kC4Uh2Q_7_0"/>
      <w:bookmarkStart w:id="963" w:name="Tc_-FNmvDWiP0KDSKGGg1kZPw_6_0"/>
      <w:bookmarkStart w:id="964" w:name="Tc_uEIk7VTeXUCzZKJ6Z0TYsg_5_0"/>
      <w:bookmarkStart w:id="965" w:name="Tc_REFbnwxqE0qim9wRLqpOgQ_4_0"/>
      <w:bookmarkStart w:id="966" w:name="Tc_K7NxUfHTBEOtnL5BlXxQcQ_3_4"/>
      <w:bookmarkStart w:id="967" w:name="Tc_Ti74aiInXEORwNWlJUJ8ig_3_1"/>
      <w:bookmarkStart w:id="968" w:name="Tc_a4LKSej8H0K0nTcNRJVSMg_3_0"/>
      <w:bookmarkStart w:id="969" w:name="Tc_Dsg0FEUQFEyxVm8YJyJppw_2_4"/>
      <w:bookmarkStart w:id="970" w:name="Tc_joGtvri2a02q-lYHmEB6Xw_2_1"/>
      <w:bookmarkStart w:id="971" w:name="Tc_t5ip-D7KmUKttnZGLDIO7Q_1_1"/>
      <w:bookmarkStart w:id="972" w:name="_d00bc77d_91c8_4927_a4fc_082d25fa463b"/>
      <w:bookmarkStart w:id="973" w:name="Tc_T-yZ_grpSUSzE1oLMcHnlA_6_6"/>
      <w:bookmarkStart w:id="974" w:name="Tc_YSptcoEB2EWiRmEsUPnXxw_6_2"/>
      <w:bookmarkStart w:id="975" w:name="Tc_ZCCzULM9SE-uaxPXwxuqtg_6_0"/>
      <w:bookmarkStart w:id="976" w:name="Tc_cISAGU7JX025Zb8vpSusRA_5_5"/>
      <w:bookmarkStart w:id="977" w:name="Tc_g-673LeeYUOr9JAod9YTQA_5_3"/>
      <w:bookmarkStart w:id="978" w:name="Tc_q3hOO21QpkOBnoQErZ42Og_5_0"/>
      <w:bookmarkStart w:id="979" w:name="Tc_ZCa1haL_lU2weM3_ZKG0iw_4_6"/>
      <w:bookmarkStart w:id="980" w:name="Tc_CV4gIFgidkmpXHzimyd7xg_4_3"/>
      <w:bookmarkStart w:id="981" w:name="Tc_8_aCWr1SykOQ2bknNHP8nw_4_0"/>
      <w:bookmarkStart w:id="982" w:name="Tc_kHLOtv0CNUedLGW-kPeayQ_3_6"/>
      <w:bookmarkStart w:id="983" w:name="Tc_084zEMcPqUG-tBjFrI62nQ_3_3"/>
      <w:bookmarkStart w:id="984" w:name="Tc_xBSHWGYJdUusF_CVtcQcIw_3_0"/>
      <w:bookmarkStart w:id="985" w:name="Tc_Rm45Wg7Qe0K7FxyMEv4Rvg_2_5"/>
      <w:bookmarkStart w:id="986" w:name="Tc_n0W79eWDPkqBraoXX6Uzeg_2_2"/>
      <w:bookmarkStart w:id="987" w:name="Tc_NiCt3vmg2EGET6eh4J_qYg_1_5"/>
      <w:bookmarkStart w:id="988" w:name="Tc_LVAV5YAeq0yVw53Xenaqxg_1_2"/>
      <w:bookmarkStart w:id="989" w:name="_a1a58f02_3031_4162_b27f_e1fa279840aa"/>
      <w:bookmarkStart w:id="990" w:name="Tc_TcS4RQ0HzkmXPnfVmW7Ojw_5_12"/>
      <w:bookmarkStart w:id="991" w:name="Tc_aizuUpf2SUSotQmBDbxl6A_5_9"/>
      <w:bookmarkStart w:id="992" w:name="Tc_Rmqx1iIp0Uanj0sqAi2IWg_5_6"/>
      <w:bookmarkStart w:id="993" w:name="Tc_sezen_dBu02plNNupmNmmA_5_3"/>
      <w:bookmarkStart w:id="994" w:name="Tc_Nqt7pMFB_ESOYJz1-cdHMQ_5_0"/>
      <w:bookmarkStart w:id="995" w:name="Tc_feAYXZrlFUmSDxdPuQKpYQ_4_12"/>
      <w:bookmarkStart w:id="996" w:name="Tc_vTTYhdMLo0-Oo4d6F8O66w_4_9"/>
      <w:bookmarkStart w:id="997" w:name="Tc_M72DMhPPUEOf_Ey_tYE2wA_4_6"/>
      <w:bookmarkStart w:id="998" w:name="Tc_dJBlaAefKE2oYxLIxz8WuQ_4_3"/>
      <w:bookmarkStart w:id="999" w:name="Tc_S_74jok0YUSY1iJJN4-hog_4_0"/>
      <w:bookmarkStart w:id="1000" w:name="Tc_T_hzrseImEGc99je3MF0HA_3_11"/>
      <w:bookmarkStart w:id="1001" w:name="Tc_y06g-9Ej7kmw6_FXRaKQJw_3_8"/>
      <w:bookmarkStart w:id="1002" w:name="Tc_VRF7J-5vdkSEluvyuQZjKA_3_5"/>
      <w:bookmarkStart w:id="1003" w:name="Tc_saRqG7rqjUSX5Wpbtc9qlg_3_2"/>
      <w:bookmarkStart w:id="1004" w:name="Tc_X7B_ex7UOkaGtQakPpGrIQ_2_8"/>
      <w:bookmarkStart w:id="1005" w:name="Tc_qbIYlR8_VkaLkFJWjYlBSw_2_2"/>
      <w:bookmarkStart w:id="1006" w:name="Tc_pDR9dwM0s06rG2mul9sEFw_1_8"/>
      <w:bookmarkStart w:id="1007" w:name="Tc_61MAzCoxuU-n7RwLLLX2CA_1_2"/>
      <w:bookmarkStart w:id="1008" w:name="_231d1b25_7a39_47c2_b0c9_3df0070d3269"/>
      <w:bookmarkStart w:id="1009" w:name="Tc_Y1TtH6TlykygM-gXCezasw_6_11"/>
      <w:bookmarkStart w:id="1010" w:name="Tc_sRZQTN6i90C3Msc79jQRag_6_8"/>
      <w:bookmarkStart w:id="1011" w:name="Tc__EsMHd_qMEqGkNMTTFZJJw_6_5"/>
      <w:bookmarkStart w:id="1012" w:name="Tc_iDKpaL6a-kSt_LzJktzMKw_6_2"/>
      <w:bookmarkStart w:id="1013" w:name="Tc_SM3k6QlAV06cSusPQeIKOw_6_0"/>
      <w:bookmarkStart w:id="1014" w:name="Tc_lXOp9plsxUe7CpNV5_s9dQ_5_0"/>
      <w:bookmarkStart w:id="1015" w:name="Tc_ZbF_AXl3vEu6xZBhTHrlqQ_4_11"/>
      <w:bookmarkStart w:id="1016" w:name="Tc_t3VjzANlk0-H_vEEVaU5dw_4_8"/>
      <w:bookmarkStart w:id="1017" w:name="Tc_tqSsaklnUEajZZ0EKjdGDw_4_5"/>
      <w:bookmarkStart w:id="1018" w:name="Tc_ypJiVC8HAEia-1UcSy14Gg_4_2"/>
      <w:bookmarkStart w:id="1019" w:name="Tc_048E-vxMv0K_XIFyNuk1Tg_4_0"/>
      <w:bookmarkStart w:id="1020" w:name="Tc_1J3cChr0Sk6T1VwfpTUkGQ_3_11"/>
      <w:bookmarkStart w:id="1021" w:name="Tc_g-B4Crbwa0acEV-llnE1eA_3_8"/>
      <w:bookmarkStart w:id="1022" w:name="Tc_vBz0WHK970CsKAtWBb-Kkg_3_5"/>
      <w:bookmarkStart w:id="1023" w:name="Tc_ljemwO7pzkms3AtxBv9YVA_3_2"/>
      <w:bookmarkStart w:id="1024" w:name="Tc_vQL9fRblYk2-WxGTUVtjSQ_2_8"/>
      <w:bookmarkStart w:id="1025" w:name="Tc_ZASxX8KOPUqFdJjNIz46kg_2_2"/>
      <w:bookmarkStart w:id="1026" w:name="Tc_F1aWG_0Yi0eaXgBTjuzKPQ_1_8"/>
      <w:bookmarkStart w:id="1027" w:name="Tc_vFxoU2obHUWTJcZo_Qpb_g_1_2"/>
      <w:bookmarkStart w:id="1028" w:name="_483b36b5_f382_4a75_a007_12579aa38640"/>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rPr>
          <w:rFonts w:ascii="Times New Roman;Times;serif" w:hAnsi="Times New Roman;Times;serif"/>
          <w:sz w:val="20"/>
        </w:rPr>
        <w:t xml:space="preserve">The following table summarizes revenue recognized from product sales for the three and nine months ended September 30, 2023 and 2022 (in thousands): </w:t>
      </w:r>
    </w:p>
    <w:p>
      <w:pPr>
        <w:pStyle w:val="TextBody"/>
        <w:bidi w:val="0"/>
        <w:spacing w:lineRule="auto" w:line="285" w:before="0" w:after="0"/>
        <w:ind w:left="0" w:right="0" w:hanging="0"/>
        <w:jc w:val="left"/>
        <w:rPr/>
      </w:pPr>
      <w:r>
        <w:rPr/>
        <w:t>​</w:t>
      </w:r>
    </w:p>
    <w:tbl>
      <w:tblPr>
        <w:tblW w:w="6226" w:type="dxa"/>
        <w:jc w:val="left"/>
        <w:tblInd w:w="0" w:type="dxa"/>
        <w:tblLayout w:type="fixed"/>
        <w:tblCellMar>
          <w:top w:w="0" w:type="dxa"/>
          <w:left w:w="0" w:type="dxa"/>
          <w:bottom w:w="0" w:type="dxa"/>
          <w:right w:w="0" w:type="dxa"/>
        </w:tblCellMar>
      </w:tblPr>
      <w:tblGrid>
        <w:gridCol w:w="1921"/>
        <w:gridCol w:w="109"/>
        <w:gridCol w:w="211"/>
        <w:gridCol w:w="676"/>
        <w:gridCol w:w="146"/>
        <w:gridCol w:w="211"/>
        <w:gridCol w:w="676"/>
        <w:gridCol w:w="146"/>
        <w:gridCol w:w="211"/>
        <w:gridCol w:w="781"/>
        <w:gridCol w:w="146"/>
        <w:gridCol w:w="211"/>
        <w:gridCol w:w="78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19835" cy="175260"/>
                      <wp:effectExtent l="0" t="0" r="0" b="0"/>
                      <wp:wrapNone/>
                      <wp:docPr id="154" name="Frame154"/>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29260" cy="175260"/>
                      <wp:effectExtent l="0" t="0" r="0" b="0"/>
                      <wp:wrapNone/>
                      <wp:docPr id="157" name="Frame1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2710" cy="175260"/>
                      <wp:effectExtent l="0" t="0" r="0" b="0"/>
                      <wp:wrapNone/>
                      <wp:docPr id="158" name="Frame15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29260" cy="175260"/>
                      <wp:effectExtent l="0" t="0" r="0" b="0"/>
                      <wp:wrapNone/>
                      <wp:docPr id="160" name="Frame1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2710" cy="175260"/>
                      <wp:effectExtent l="0" t="0" r="0" b="0"/>
                      <wp:wrapNone/>
                      <wp:docPr id="161" name="Frame1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3" name="Frame1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2710" cy="175260"/>
                      <wp:effectExtent l="0" t="0" r="0" b="0"/>
                      <wp:wrapNone/>
                      <wp:docPr id="164" name="Frame1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95935" cy="175260"/>
                      <wp:effectExtent l="0" t="0" r="0" b="0"/>
                      <wp:wrapNone/>
                      <wp:docPr id="166" name="Frame1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2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 </w:t>
            </w:r>
          </w:p>
        </w:tc>
        <w:tc>
          <w:tcPr>
            <w:tcW w:w="213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6" w:type="dxa"/>
            <w:tcBorders/>
            <w:vAlign w:val="center"/>
          </w:tcPr>
          <w:p>
            <w:pPr>
              <w:pStyle w:val="TableContents"/>
              <w:bidi w:val="0"/>
              <w:spacing w:lineRule="auto" w:line="285" w:before="0" w:after="0"/>
              <w:ind w:left="0" w:right="0" w:hanging="0"/>
              <w:jc w:val="left"/>
              <w:rPr/>
            </w:pPr>
            <w:r>
              <w:rPr/>
              <w:t> </w:t>
            </w:r>
          </w:p>
        </w:tc>
        <w:tc>
          <w:tcPr>
            <w:tcW w:w="21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49,121</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25,054</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118,355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70,888</w:t>
            </w:r>
          </w:p>
        </w:tc>
      </w:tr>
      <w:tr>
        <w:trP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5,107</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3,580</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14,818</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10,041</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product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54,228</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28,634</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133,173</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80,929</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The Company primarily sells AYVAKIT/AYVAKYT through specialty distributors and specialty pharmacies. The following table summarizes the customers that represent 10% or greater of gross product revenue for the three and nine months ended September 30, 2023, and 2022 (in thousands):</w:t>
      </w:r>
    </w:p>
    <w:p>
      <w:pPr>
        <w:pStyle w:val="TextBody"/>
        <w:bidi w:val="0"/>
        <w:spacing w:lineRule="auto" w:line="285" w:before="0" w:after="0"/>
        <w:ind w:left="0" w:right="0" w:hanging="0"/>
        <w:jc w:val="left"/>
        <w:rPr/>
      </w:pPr>
      <w:r>
        <w:rPr/>
        <w:t>​</w:t>
      </w:r>
    </w:p>
    <w:tbl>
      <w:tblPr>
        <w:tblW w:w="4556" w:type="dxa"/>
        <w:jc w:val="left"/>
        <w:tblInd w:w="0" w:type="dxa"/>
        <w:tblLayout w:type="fixed"/>
        <w:tblCellMar>
          <w:top w:w="0" w:type="dxa"/>
          <w:left w:w="0" w:type="dxa"/>
          <w:bottom w:w="0" w:type="dxa"/>
          <w:right w:w="0" w:type="dxa"/>
        </w:tblCellMar>
      </w:tblPr>
      <w:tblGrid>
        <w:gridCol w:w="1051"/>
        <w:gridCol w:w="109"/>
        <w:gridCol w:w="395"/>
        <w:gridCol w:w="338"/>
        <w:gridCol w:w="182"/>
        <w:gridCol w:w="395"/>
        <w:gridCol w:w="338"/>
        <w:gridCol w:w="146"/>
        <w:gridCol w:w="371"/>
        <w:gridCol w:w="318"/>
        <w:gridCol w:w="171"/>
        <w:gridCol w:w="371"/>
        <w:gridCol w:w="37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67385" cy="175260"/>
                      <wp:effectExtent l="0" t="0" r="0" b="0"/>
                      <wp:wrapNone/>
                      <wp:docPr id="167" name="Frame16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50825" cy="175260"/>
                      <wp:effectExtent l="0" t="0" r="0" b="0"/>
                      <wp:wrapNone/>
                      <wp:docPr id="169" name="Frame169"/>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4630" cy="175260"/>
                      <wp:effectExtent l="0" t="0" r="0" b="0"/>
                      <wp:wrapNone/>
                      <wp:docPr id="170" name="Frame17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15570" cy="175260"/>
                      <wp:effectExtent l="0" t="0" r="0" b="0"/>
                      <wp:wrapNone/>
                      <wp:docPr id="171" name="Frame171"/>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50825" cy="175260"/>
                      <wp:effectExtent l="0" t="0" r="0" b="0"/>
                      <wp:wrapNone/>
                      <wp:docPr id="172" name="Frame172"/>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4630" cy="175260"/>
                      <wp:effectExtent l="0" t="0" r="0" b="0"/>
                      <wp:wrapNone/>
                      <wp:docPr id="173" name="Frame17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2710" cy="175260"/>
                      <wp:effectExtent l="0" t="0" r="0" b="0"/>
                      <wp:wrapNone/>
                      <wp:docPr id="174" name="Frame1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35585" cy="175260"/>
                      <wp:effectExtent l="0" t="0" r="0" b="0"/>
                      <wp:wrapNone/>
                      <wp:docPr id="175" name="Frame17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1930" cy="175260"/>
                      <wp:effectExtent l="0" t="0" r="0" b="0"/>
                      <wp:wrapNone/>
                      <wp:docPr id="176" name="Frame17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08585" cy="175260"/>
                      <wp:effectExtent l="0" t="0" r="0" b="0"/>
                      <wp:wrapNone/>
                      <wp:docPr id="177" name="Frame177"/>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35585" cy="175260"/>
                      <wp:effectExtent l="0" t="0" r="0" b="0"/>
                      <wp:wrapNone/>
                      <wp:docPr id="178" name="Frame17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35585" cy="175260"/>
                      <wp:effectExtent l="0" t="0" r="0" b="0"/>
                      <wp:wrapNone/>
                      <wp:docPr id="179" name="Frame17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64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 </w:t>
            </w:r>
          </w:p>
        </w:tc>
        <w:tc>
          <w:tcPr>
            <w:tcW w:w="1602"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64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6" w:type="dxa"/>
            <w:tcBorders/>
            <w:vAlign w:val="center"/>
          </w:tcPr>
          <w:p>
            <w:pPr>
              <w:pStyle w:val="TableContents"/>
              <w:bidi w:val="0"/>
              <w:spacing w:lineRule="auto" w:line="285" w:before="0" w:after="0"/>
              <w:ind w:left="0" w:right="0" w:hanging="0"/>
              <w:jc w:val="left"/>
              <w:rPr/>
            </w:pPr>
            <w:r>
              <w:rPr/>
              <w:t> </w:t>
            </w:r>
          </w:p>
        </w:tc>
        <w:tc>
          <w:tcPr>
            <w:tcW w:w="1602"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82" w:type="dxa"/>
            <w:tcBorders/>
            <w:vAlign w:val="center"/>
          </w:tcPr>
          <w:p>
            <w:pPr>
              <w:pStyle w:val="TableContents"/>
              <w:bidi w:val="0"/>
              <w:spacing w:lineRule="auto" w:line="285" w:before="0" w:after="0"/>
              <w:ind w:left="0" w:right="0" w:hanging="0"/>
              <w:jc w:val="left"/>
              <w:rPr/>
            </w:pPr>
            <w:r>
              <w:rPr/>
              <w:t> </w:t>
            </w:r>
          </w:p>
        </w:tc>
        <w:tc>
          <w:tcPr>
            <w:tcW w:w="7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lineRule="auto" w:line="285" w:before="0" w:after="0"/>
              <w:ind w:left="0" w:right="0" w:hanging="0"/>
              <w:jc w:val="left"/>
              <w:rPr/>
            </w:pPr>
            <w:r>
              <w:rPr/>
              <w:t> </w:t>
            </w:r>
          </w:p>
        </w:tc>
        <w:tc>
          <w:tcPr>
            <w:tcW w:w="68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71" w:type="dxa"/>
            <w:tcBorders/>
            <w:vAlign w:val="center"/>
          </w:tcPr>
          <w:p>
            <w:pPr>
              <w:pStyle w:val="TableContents"/>
              <w:bidi w:val="0"/>
              <w:spacing w:lineRule="auto" w:line="285" w:before="0" w:after="0"/>
              <w:ind w:left="0" w:right="0" w:hanging="0"/>
              <w:jc w:val="left"/>
              <w:rPr/>
            </w:pPr>
            <w:r>
              <w:rPr/>
              <w:t> </w:t>
            </w:r>
          </w:p>
        </w:tc>
        <w:tc>
          <w:tcPr>
            <w:tcW w:w="7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3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3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 w:type="dxa"/>
            <w:tcBorders/>
            <w:shd w:fill="CCEEFF" w:val="clear"/>
            <w:vAlign w:val="center"/>
          </w:tcPr>
          <w:p>
            <w:pPr>
              <w:pStyle w:val="TableContents"/>
              <w:bidi w:val="0"/>
              <w:spacing w:lineRule="auto" w:line="285" w:before="0" w:after="0"/>
              <w:ind w:left="0" w:right="0" w:hanging="0"/>
              <w:jc w:val="left"/>
              <w:rPr/>
            </w:pPr>
            <w:r>
              <w:rPr/>
              <w:t>​</w:t>
            </w:r>
          </w:p>
        </w:tc>
        <w:tc>
          <w:tcPr>
            <w:tcW w:w="3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109" w:type="dxa"/>
            <w:tcBorders/>
            <w:vAlign w:val="center"/>
          </w:tcPr>
          <w:p>
            <w:pPr>
              <w:pStyle w:val="TableContents"/>
              <w:bidi w:val="0"/>
              <w:spacing w:lineRule="auto" w:line="285" w:before="0" w:after="0"/>
              <w:ind w:left="0" w:right="0" w:hanging="0"/>
              <w:jc w:val="left"/>
              <w:rPr/>
            </w:pPr>
            <w:r>
              <w:rPr/>
              <w:t>​</w:t>
            </w:r>
          </w:p>
        </w:tc>
        <w:tc>
          <w:tcPr>
            <w:tcW w:w="39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lineRule="auto" w:line="285" w:before="0" w:after="0"/>
              <w:ind w:left="0" w:right="0" w:hanging="0"/>
              <w:jc w:val="left"/>
              <w:rPr/>
            </w:pPr>
            <w:r>
              <w:rPr/>
              <w:t>​</w:t>
            </w:r>
          </w:p>
        </w:tc>
        <w:tc>
          <w:tcPr>
            <w:tcW w:w="39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 w:type="dxa"/>
            <w:tcBorders/>
            <w:vAlign w:val="center"/>
          </w:tcPr>
          <w:p>
            <w:pPr>
              <w:pStyle w:val="TableContents"/>
              <w:bidi w:val="0"/>
              <w:spacing w:lineRule="auto" w:line="285" w:before="0" w:after="0"/>
              <w:ind w:left="0" w:right="0" w:hanging="0"/>
              <w:jc w:val="left"/>
              <w:rPr/>
            </w:pPr>
            <w:r>
              <w:rPr/>
              <w:t>​</w:t>
            </w:r>
          </w:p>
        </w:tc>
        <w:tc>
          <w:tcPr>
            <w:tcW w:w="3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 w:type="dxa"/>
            <w:tcBorders/>
            <w:vAlign w:val="center"/>
          </w:tcPr>
          <w:p>
            <w:pPr>
              <w:pStyle w:val="TableContents"/>
              <w:bidi w:val="0"/>
              <w:spacing w:lineRule="auto" w:line="285" w:before="0" w:after="0"/>
              <w:ind w:left="0" w:right="0" w:hanging="0"/>
              <w:jc w:val="left"/>
              <w:rPr/>
            </w:pPr>
            <w:r>
              <w:rPr/>
              <w:t>​</w:t>
            </w:r>
          </w:p>
        </w:tc>
        <w:tc>
          <w:tcPr>
            <w:tcW w:w="3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The following table summarizes the customers with amounts due that represent 10% or greater of the accounts receivable associated with the Company’s product sales as of September 30, 2023 and December 31, 2022 (in thousands):</w:t>
      </w:r>
    </w:p>
    <w:p>
      <w:pPr>
        <w:pStyle w:val="TextBody"/>
        <w:bidi w:val="0"/>
        <w:spacing w:lineRule="auto" w:line="285" w:before="0" w:after="0"/>
        <w:ind w:left="0" w:right="0" w:hanging="0"/>
        <w:jc w:val="left"/>
        <w:rPr/>
      </w:pPr>
      <w:r>
        <w:rPr/>
        <w:t>​</w:t>
      </w:r>
    </w:p>
    <w:tbl>
      <w:tblPr>
        <w:tblW w:w="3640" w:type="dxa"/>
        <w:jc w:val="left"/>
        <w:tblInd w:w="0" w:type="dxa"/>
        <w:tblLayout w:type="fixed"/>
        <w:tblCellMar>
          <w:top w:w="0" w:type="dxa"/>
          <w:left w:w="0" w:type="dxa"/>
          <w:bottom w:w="0" w:type="dxa"/>
          <w:right w:w="0" w:type="dxa"/>
        </w:tblCellMar>
      </w:tblPr>
      <w:tblGrid>
        <w:gridCol w:w="1051"/>
        <w:gridCol w:w="109"/>
        <w:gridCol w:w="638"/>
        <w:gridCol w:w="547"/>
        <w:gridCol w:w="109"/>
        <w:gridCol w:w="593"/>
        <w:gridCol w:w="593"/>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67385" cy="175260"/>
                      <wp:effectExtent l="0" t="0" r="0" b="0"/>
                      <wp:wrapNone/>
                      <wp:docPr id="180" name="Frame18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05130" cy="175260"/>
                      <wp:effectExtent l="0" t="0" r="0" b="0"/>
                      <wp:wrapNone/>
                      <wp:docPr id="182" name="Frame182"/>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47345" cy="175260"/>
                      <wp:effectExtent l="0" t="0" r="0" b="0"/>
                      <wp:wrapNone/>
                      <wp:docPr id="183" name="Frame183"/>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76555" cy="175260"/>
                      <wp:effectExtent l="0" t="0" r="0" b="0"/>
                      <wp:wrapNone/>
                      <wp:docPr id="185" name="Frame185"/>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76555" cy="175260"/>
                      <wp:effectExtent l="0" t="0" r="0" b="0"/>
                      <wp:wrapNone/>
                      <wp:docPr id="186" name="Frame186"/>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lineRule="auto" w:line="285" w:before="0" w:after="0"/>
              <w:ind w:left="0" w:right="0" w:hanging="0"/>
              <w:jc w:val="left"/>
              <w:rPr/>
            </w:pPr>
            <w:r>
              <w:rPr/>
              <w:t>​</w:t>
            </w:r>
          </w:p>
        </w:tc>
        <w:tc>
          <w:tcPr>
            <w:tcW w:w="11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5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5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109" w:type="dxa"/>
            <w:tcBorders/>
            <w:vAlign w:val="center"/>
          </w:tcPr>
          <w:p>
            <w:pPr>
              <w:pStyle w:val="TableContents"/>
              <w:bidi w:val="0"/>
              <w:spacing w:lineRule="auto" w:line="285" w:before="0" w:after="0"/>
              <w:ind w:left="0" w:right="0" w:hanging="0"/>
              <w:jc w:val="left"/>
              <w:rPr/>
            </w:pPr>
            <w:r>
              <w:rPr/>
              <w:t>​</w:t>
            </w:r>
          </w:p>
        </w:tc>
        <w:tc>
          <w:tcPr>
            <w:tcW w:w="63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54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285" w:before="0" w:after="0"/>
              <w:ind w:left="0" w:right="0" w:hanging="0"/>
              <w:jc w:val="left"/>
              <w:rPr/>
            </w:pPr>
            <w:r>
              <w:rPr/>
              <w:t>​</w:t>
            </w:r>
          </w:p>
        </w:tc>
        <w:tc>
          <w:tcPr>
            <w:tcW w:w="5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lineRule="auto" w:line="285" w:before="0" w:after="0"/>
              <w:ind w:left="0" w:right="0" w:hanging="0"/>
              <w:jc w:val="left"/>
              <w:rPr/>
            </w:pPr>
            <w:r>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4</w:t>
            </w:r>
          </w:p>
        </w:tc>
        <w:tc>
          <w:tcPr>
            <w:tcW w:w="109" w:type="dxa"/>
            <w:tcBorders/>
            <w:vAlign w:val="center"/>
          </w:tcPr>
          <w:p>
            <w:pPr>
              <w:pStyle w:val="TableContents"/>
              <w:bidi w:val="0"/>
              <w:spacing w:lineRule="auto" w:line="285" w:before="0" w:after="0"/>
              <w:ind w:left="0" w:right="0" w:hanging="0"/>
              <w:jc w:val="left"/>
              <w:rPr/>
            </w:pPr>
            <w:r>
              <w:rPr/>
              <w:t>​</w:t>
            </w:r>
          </w:p>
        </w:tc>
        <w:tc>
          <w:tcPr>
            <w:tcW w:w="63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4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0"/>
        <w:ind w:left="0" w:right="0" w:hanging="0"/>
        <w:jc w:val="left"/>
        <w:rPr/>
      </w:pPr>
      <w:r>
        <w:rPr/>
        <w:t> </w:t>
      </w:r>
    </w:p>
    <w:p>
      <w:pPr>
        <w:pStyle w:val="TextBody"/>
        <w:bidi w:val="0"/>
        <w:spacing w:lineRule="auto" w:line="307" w:before="0" w:after="160"/>
        <w:ind w:left="0" w:right="0" w:hanging="0"/>
        <w:jc w:val="left"/>
        <w:rPr>
          <w:rFonts w:ascii="Times New Roman;Times;serif" w:hAnsi="Times New Roman;Times;serif"/>
          <w:sz w:val="18"/>
        </w:rPr>
      </w:pPr>
      <w:r>
        <w:rPr>
          <w:rFonts w:ascii="Times New Roman;Times;serif" w:hAnsi="Times New Roman;Times;serif"/>
          <w:sz w:val="18"/>
        </w:rPr>
        <w:t xml:space="preserve">* Indicates the customer’s share is under 10%. </w:t>
      </w:r>
    </w:p>
    <w:p>
      <w:pPr>
        <w:pStyle w:val="TextBody"/>
        <w:bidi w:val="0"/>
        <w:spacing w:lineRule="auto" w:line="285" w:before="24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activity in each of the product revenue allowance and reserve categories for the nine months ended September 30, 2023 and 2022 (in thousands):</w:t>
      </w:r>
    </w:p>
    <w:p>
      <w:pPr>
        <w:pStyle w:val="TextBody"/>
        <w:bidi w:val="0"/>
        <w:spacing w:lineRule="auto" w:line="285" w:before="0" w:after="0"/>
        <w:ind w:left="0" w:right="0" w:hanging="0"/>
        <w:jc w:val="left"/>
        <w:rPr/>
      </w:pPr>
      <w:r>
        <w:rPr/>
        <w:t>​</w:t>
      </w:r>
    </w:p>
    <w:tbl>
      <w:tblPr>
        <w:tblW w:w="6524" w:type="dxa"/>
        <w:jc w:val="left"/>
        <w:tblInd w:w="0" w:type="dxa"/>
        <w:tblLayout w:type="fixed"/>
        <w:tblCellMar>
          <w:top w:w="0" w:type="dxa"/>
          <w:left w:w="0" w:type="dxa"/>
          <w:bottom w:w="0" w:type="dxa"/>
          <w:right w:w="0" w:type="dxa"/>
        </w:tblCellMar>
      </w:tblPr>
      <w:tblGrid>
        <w:gridCol w:w="3841"/>
        <w:gridCol w:w="274"/>
        <w:gridCol w:w="1036"/>
        <w:gridCol w:w="141"/>
        <w:gridCol w:w="274"/>
        <w:gridCol w:w="958"/>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39035" cy="175260"/>
                      <wp:effectExtent l="0" t="0" r="0" b="0"/>
                      <wp:wrapNone/>
                      <wp:docPr id="187" name="Frame187"/>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3990" cy="175260"/>
                      <wp:effectExtent l="0" t="0" r="0" b="0"/>
                      <wp:wrapNone/>
                      <wp:docPr id="188" name="Frame18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57860" cy="175260"/>
                      <wp:effectExtent l="0" t="0" r="0" b="0"/>
                      <wp:wrapNone/>
                      <wp:docPr id="189" name="Frame1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89535" cy="175260"/>
                      <wp:effectExtent l="0" t="0" r="0" b="0"/>
                      <wp:wrapNone/>
                      <wp:docPr id="190" name="Frame190"/>
                      <a:graphic xmlns:a="http://schemas.openxmlformats.org/drawingml/2006/main">
                        <a:graphicData uri="http://schemas.microsoft.com/office/word/2010/wordprocessingShape">
                          <wps:wsp>
                            <wps:cNvSpPr txBox="1"/>
                            <wps:spPr>
                              <a:xfrm>
                                <a:off x="0" y="0"/>
                                <a:ext cx="89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73990" cy="175260"/>
                      <wp:effectExtent l="0" t="0" r="0" b="0"/>
                      <wp:wrapNone/>
                      <wp:docPr id="191" name="Frame19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08330" cy="175260"/>
                      <wp:effectExtent l="0" t="0" r="0" b="0"/>
                      <wp:wrapNone/>
                      <wp:docPr id="192" name="Frame192"/>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lineRule="auto" w:line="285"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841" w:type="dxa"/>
            <w:tcBorders/>
            <w:vAlign w:val="center"/>
          </w:tcPr>
          <w:p>
            <w:pPr>
              <w:pStyle w:val="TableContents"/>
              <w:bidi w:val="0"/>
              <w:spacing w:lineRule="auto" w:line="285" w:before="0" w:after="0"/>
              <w:ind w:left="0" w:right="0" w:hanging="0"/>
              <w:jc w:val="left"/>
              <w:rPr/>
            </w:pPr>
            <w:r>
              <w:rPr/>
              <w:t>​</w:t>
            </w:r>
          </w:p>
        </w:tc>
        <w:tc>
          <w:tcPr>
            <w:tcW w:w="131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1" w:type="dxa"/>
            <w:tcBorders/>
            <w:vAlign w:val="center"/>
          </w:tcPr>
          <w:p>
            <w:pPr>
              <w:pStyle w:val="TableContents"/>
              <w:bidi w:val="0"/>
              <w:spacing w:lineRule="auto" w:line="285" w:before="0" w:after="0"/>
              <w:ind w:left="0" w:right="0" w:hanging="0"/>
              <w:jc w:val="left"/>
              <w:rPr/>
            </w:pPr>
            <w:r>
              <w:rPr/>
              <w:t>​</w:t>
            </w:r>
          </w:p>
        </w:tc>
        <w:tc>
          <w:tcPr>
            <w:tcW w:w="12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 at January 1</w:t>
            </w:r>
          </w:p>
        </w:tc>
        <w:tc>
          <w:tcPr>
            <w:tcW w:w="2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9,788</w:t>
            </w:r>
          </w:p>
        </w:tc>
        <w:tc>
          <w:tcPr>
            <w:tcW w:w="141" w:type="dxa"/>
            <w:tcBorders/>
            <w:shd w:fill="CCEEFF" w:val="clear"/>
            <w:vAlign w:val="center"/>
          </w:tcPr>
          <w:p>
            <w:pPr>
              <w:pStyle w:val="TableContents"/>
              <w:bidi w:val="0"/>
              <w:spacing w:lineRule="auto" w:line="285" w:before="0" w:after="0"/>
              <w:ind w:left="0" w:right="0" w:hanging="0"/>
              <w:jc w:val="left"/>
              <w:rPr/>
            </w:pPr>
            <w:r>
              <w:rPr/>
              <w:t>​</w:t>
            </w:r>
          </w:p>
        </w:tc>
        <w:tc>
          <w:tcPr>
            <w:tcW w:w="2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4,345</w:t>
            </w:r>
          </w:p>
        </w:tc>
      </w:tr>
      <w:tr>
        <w:trPr/>
        <w:tc>
          <w:tcPr>
            <w:tcW w:w="3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related to sales in the current period</w:t>
            </w:r>
          </w:p>
        </w:tc>
        <w:tc>
          <w:tcPr>
            <w:tcW w:w="274" w:type="dxa"/>
            <w:tcBorders/>
            <w:vAlign w:val="center"/>
          </w:tcPr>
          <w:p>
            <w:pPr>
              <w:pStyle w:val="TableContents"/>
              <w:bidi w:val="0"/>
              <w:spacing w:lineRule="auto" w:line="285" w:before="0" w:after="0"/>
              <w:ind w:left="0" w:right="0" w:hanging="0"/>
              <w:jc w:val="righ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25,874</w:t>
            </w:r>
          </w:p>
        </w:tc>
        <w:tc>
          <w:tcPr>
            <w:tcW w:w="141" w:type="dxa"/>
            <w:tcBorders/>
            <w:vAlign w:val="center"/>
          </w:tcPr>
          <w:p>
            <w:pPr>
              <w:pStyle w:val="TableContents"/>
              <w:bidi w:val="0"/>
              <w:spacing w:lineRule="auto" w:line="285" w:before="0" w:after="0"/>
              <w:ind w:left="0" w:right="0" w:hanging="0"/>
              <w:jc w:val="left"/>
              <w:rPr/>
            </w:pPr>
            <w:r>
              <w:rPr/>
              <w:t>​</w:t>
            </w:r>
          </w:p>
        </w:tc>
        <w:tc>
          <w:tcPr>
            <w:tcW w:w="274" w:type="dxa"/>
            <w:tcBorders/>
            <w:vAlign w:val="center"/>
          </w:tcPr>
          <w:p>
            <w:pPr>
              <w:pStyle w:val="TableContents"/>
              <w:bidi w:val="0"/>
              <w:spacing w:lineRule="auto" w:line="285" w:before="0" w:after="0"/>
              <w:ind w:left="0" w:right="0" w:hanging="0"/>
              <w:jc w:val="left"/>
              <w:rPr/>
            </w:pPr>
            <w:r>
              <w:rPr/>
              <w:t>​</w:t>
            </w:r>
          </w:p>
        </w:tc>
        <w:tc>
          <w:tcPr>
            <w:tcW w:w="9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13,606</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 related to prior periods sales</w:t>
            </w:r>
          </w:p>
        </w:tc>
        <w:tc>
          <w:tcPr>
            <w:tcW w:w="274" w:type="dxa"/>
            <w:tcBorders/>
            <w:shd w:fill="CCEEFF" w:val="clear"/>
            <w:vAlign w:val="center"/>
          </w:tcPr>
          <w:p>
            <w:pPr>
              <w:pStyle w:val="TableContents"/>
              <w:bidi w:val="0"/>
              <w:spacing w:lineRule="auto" w:line="285" w:before="0" w:after="0"/>
              <w:ind w:left="0" w:right="0" w:hanging="0"/>
              <w:jc w:val="righ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141" w:type="dxa"/>
            <w:tcBorders/>
            <w:shd w:fill="CCEEFF" w:val="clear"/>
            <w:vAlign w:val="center"/>
          </w:tcPr>
          <w:p>
            <w:pPr>
              <w:pStyle w:val="TableContents"/>
              <w:bidi w:val="0"/>
              <w:spacing w:lineRule="auto" w:line="285" w:before="0" w:after="0"/>
              <w:ind w:left="0" w:right="0" w:hanging="0"/>
              <w:jc w:val="left"/>
              <w:rPr/>
            </w:pPr>
            <w:r>
              <w:rPr/>
              <w:t>​</w:t>
            </w:r>
          </w:p>
        </w:tc>
        <w:tc>
          <w:tcPr>
            <w:tcW w:w="274" w:type="dxa"/>
            <w:tcBorders/>
            <w:shd w:fill="CCEEFF" w:val="clear"/>
            <w:vAlign w:val="center"/>
          </w:tcPr>
          <w:p>
            <w:pPr>
              <w:pStyle w:val="TableContents"/>
              <w:bidi w:val="0"/>
              <w:spacing w:lineRule="auto" w:line="285" w:before="0" w:after="0"/>
              <w:ind w:left="0" w:right="0" w:hanging="0"/>
              <w:jc w:val="left"/>
              <w:rPr/>
            </w:pPr>
            <w:r>
              <w:rPr/>
              <w:t>​</w:t>
            </w:r>
          </w:p>
        </w:tc>
        <w:tc>
          <w:tcPr>
            <w:tcW w:w="9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(645)</w:t>
            </w:r>
          </w:p>
        </w:tc>
      </w:tr>
      <w:tr>
        <w:trPr/>
        <w:tc>
          <w:tcPr>
            <w:tcW w:w="3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Credits and payments made</w:t>
            </w:r>
          </w:p>
        </w:tc>
        <w:tc>
          <w:tcPr>
            <w:tcW w:w="2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(17,469)</w:t>
            </w:r>
          </w:p>
        </w:tc>
        <w:tc>
          <w:tcPr>
            <w:tcW w:w="141" w:type="dxa"/>
            <w:tcBorders/>
            <w:vAlign w:val="center"/>
          </w:tcPr>
          <w:p>
            <w:pPr>
              <w:pStyle w:val="TableContents"/>
              <w:bidi w:val="0"/>
              <w:spacing w:lineRule="auto" w:line="285"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(9,980)</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 at September 30</w:t>
            </w:r>
          </w:p>
        </w:tc>
        <w:tc>
          <w:tcPr>
            <w:tcW w:w="2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17,648</w:t>
            </w:r>
          </w:p>
        </w:tc>
        <w:tc>
          <w:tcPr>
            <w:tcW w:w="141" w:type="dxa"/>
            <w:tcBorders/>
            <w:shd w:fill="CCEEFF" w:val="clear"/>
            <w:vAlign w:val="center"/>
          </w:tcPr>
          <w:p>
            <w:pPr>
              <w:pStyle w:val="TableContents"/>
              <w:bidi w:val="0"/>
              <w:spacing w:lineRule="auto" w:line="285"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7,326</w:t>
            </w:r>
          </w:p>
        </w:tc>
      </w:tr>
    </w:tbl>
    <w:p>
      <w:pPr>
        <w:pStyle w:val="TextBody"/>
        <w:bidi w:val="0"/>
        <w:spacing w:lineRule="auto" w:line="285" w:before="0" w:after="160"/>
        <w:ind w:left="0" w:right="0" w:hanging="0"/>
        <w:jc w:val="left"/>
        <w:rPr/>
      </w:pPr>
      <w:r>
        <w:rPr/>
        <w: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total reserves that are included in the Company’s unaudited condensed consolidated balance sheets as of September 30, 2023 and December 31, 2022, are summarized as follows (in thousands):</w:t>
      </w:r>
    </w:p>
    <w:p>
      <w:pPr>
        <w:pStyle w:val="TextBody"/>
        <w:bidi w:val="0"/>
        <w:spacing w:lineRule="auto" w:line="285" w:before="0" w:after="0"/>
        <w:ind w:left="0" w:right="0" w:hanging="0"/>
        <w:jc w:val="left"/>
        <w:rPr/>
      </w:pPr>
      <w:r>
        <w:rPr/>
        <w:t>​</w:t>
      </w:r>
    </w:p>
    <w:tbl>
      <w:tblPr>
        <w:tblW w:w="5660" w:type="dxa"/>
        <w:jc w:val="left"/>
        <w:tblInd w:w="0" w:type="dxa"/>
        <w:tblLayout w:type="fixed"/>
        <w:tblCellMar>
          <w:top w:w="0" w:type="dxa"/>
          <w:left w:w="0" w:type="dxa"/>
          <w:bottom w:w="0" w:type="dxa"/>
          <w:right w:w="0" w:type="dxa"/>
        </w:tblCellMar>
      </w:tblPr>
      <w:tblGrid>
        <w:gridCol w:w="3181"/>
        <w:gridCol w:w="281"/>
        <w:gridCol w:w="904"/>
        <w:gridCol w:w="109"/>
        <w:gridCol w:w="281"/>
        <w:gridCol w:w="90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19935" cy="175260"/>
                      <wp:effectExtent l="0" t="0" r="0" b="0"/>
                      <wp:wrapNone/>
                      <wp:docPr id="193" name="Frame193"/>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8435" cy="175260"/>
                      <wp:effectExtent l="0" t="0" r="0" b="0"/>
                      <wp:wrapNone/>
                      <wp:docPr id="194" name="Frame19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74040" cy="175260"/>
                      <wp:effectExtent l="0" t="0" r="0" b="0"/>
                      <wp:wrapNone/>
                      <wp:docPr id="195" name="Frame195"/>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8435" cy="175260"/>
                      <wp:effectExtent l="0" t="0" r="0" b="0"/>
                      <wp:wrapNone/>
                      <wp:docPr id="197" name="Frame19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74040" cy="175260"/>
                      <wp:effectExtent l="0" t="0" r="0" b="0"/>
                      <wp:wrapNone/>
                      <wp:docPr id="198" name="Frame19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Reduction of accounts receivable, net</w:t>
            </w:r>
          </w:p>
        </w:tc>
        <w:tc>
          <w:tcPr>
            <w:tcW w:w="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Component of accrued expenses</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16,101</w:t>
            </w:r>
          </w:p>
        </w:tc>
        <w:tc>
          <w:tcPr>
            <w:tcW w:w="109" w:type="dxa"/>
            <w:tcBorders/>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9,046</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revenue-related reserves</w:t>
            </w:r>
          </w:p>
        </w:tc>
        <w:tc>
          <w:tcPr>
            <w:tcW w:w="2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17,648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9,788</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029" w:name="Tc_mcDV9hKRoEOjmJJ237LJOQ_5_5"/>
      <w:bookmarkStart w:id="1030" w:name="Tc_q1dSaNXCME2M4twGfQuCRg_5_2"/>
      <w:bookmarkStart w:id="1031" w:name="Tc_nnSNKnaIzEyj_lelsaMPVA_5_0"/>
      <w:bookmarkStart w:id="1032" w:name="Tc_T7p-FZiNmEu0fDF67PTVbg_4_0"/>
      <w:bookmarkStart w:id="1033" w:name="Tc_1IWGa2M-uUaGOSnneWP5Rw_3_5"/>
      <w:bookmarkStart w:id="1034" w:name="Tc_ND1FnWMVhEeZ875-bGueSw_3_2"/>
      <w:bookmarkStart w:id="1035" w:name="Tc_zbEttwWYR0m5uHN36SMfjQ_3_0"/>
      <w:bookmarkStart w:id="1036" w:name="Tc_eA2Fat8uOkm_3Y4IL-C2zw_2_5"/>
      <w:bookmarkStart w:id="1037" w:name="Tc_-Npc-w-M2EqVKpO-hF9srw_2_2"/>
      <w:bookmarkStart w:id="1038" w:name="Tc_Od4wS5ropEewnPVJ5deQCg_1_5"/>
      <w:bookmarkStart w:id="1039" w:name="Tc_fpQAAJ4JjEeaZUQamFIcAQ_1_2"/>
      <w:bookmarkStart w:id="1040" w:name="_23691ca8_8b90_4e0e_b51d_ba7190972267"/>
      <w:bookmarkStart w:id="1041" w:name="Tc_0mDVkYNEZ0eqx3zxCs75UA_6_5"/>
      <w:bookmarkStart w:id="1042" w:name="Tc__wNJVDRjeE6-uYH0CgZzDg_6_2"/>
      <w:bookmarkStart w:id="1043" w:name="Tc__asRpIekAUCG7XehDF1Ybw_6_0"/>
      <w:bookmarkStart w:id="1044" w:name="Tc_Qq1vwPlzxE-wOXE0lqnAMg_5_0"/>
      <w:bookmarkStart w:id="1045" w:name="Tc_eCUBcuzKnEez2EiKZj6edg_4_0"/>
      <w:bookmarkStart w:id="1046" w:name="Tc_0VvB2jWTY02pLLG-oVATzw_3_5"/>
      <w:bookmarkStart w:id="1047" w:name="Tc_BejAl2t-706LLHGCjvMbGw_3_2"/>
      <w:bookmarkStart w:id="1048" w:name="Tc_bSOSEid_gkeYR1-03YkQgw_3_0"/>
      <w:bookmarkStart w:id="1049" w:name="Tc_wZHj2wQj1keDNBMEafnIBw_2_5"/>
      <w:bookmarkStart w:id="1050" w:name="Tc_45J2CsHOOE-CJcUNtyp63A_2_2"/>
      <w:bookmarkStart w:id="1051" w:name="Tc_MLJXQg4PyESRVdHamPYMVw_1_5"/>
      <w:bookmarkStart w:id="1052" w:name="Tc_sxGsiffPLUmS6UKLXdj95g_1_2"/>
      <w:bookmarkStart w:id="1053" w:name="_69d59e8b_f1d5_47bc_9495_264411eb0e87"/>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r>
        <w:rPr>
          <w:rFonts w:ascii="Times New Roman;Times;serif" w:hAnsi="Times New Roman;Times;serif"/>
          <w:b/>
          <w:sz w:val="20"/>
        </w:rPr>
        <w:t xml:space="preserve">7. Inventory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Capitalized inventory consists of the following at September 30, 2023 and December 31, 2022 (in thousands):</w:t>
      </w:r>
    </w:p>
    <w:p>
      <w:pPr>
        <w:pStyle w:val="TextBody"/>
        <w:bidi w:val="0"/>
        <w:spacing w:lineRule="auto" w:line="285" w:before="0" w:after="0"/>
        <w:ind w:left="0" w:right="0" w:hanging="0"/>
        <w:jc w:val="left"/>
        <w:rPr/>
      </w:pPr>
      <w:r>
        <w:rPr/>
        <w:t>​</w:t>
      </w:r>
    </w:p>
    <w:tbl>
      <w:tblPr>
        <w:tblW w:w="4231" w:type="dxa"/>
        <w:jc w:val="left"/>
        <w:tblInd w:w="0" w:type="dxa"/>
        <w:tblLayout w:type="fixed"/>
        <w:tblCellMar>
          <w:top w:w="0" w:type="dxa"/>
          <w:left w:w="0" w:type="dxa"/>
          <w:bottom w:w="0" w:type="dxa"/>
          <w:right w:w="0" w:type="dxa"/>
        </w:tblCellMar>
      </w:tblPr>
      <w:tblGrid>
        <w:gridCol w:w="1426"/>
        <w:gridCol w:w="109"/>
        <w:gridCol w:w="281"/>
        <w:gridCol w:w="904"/>
        <w:gridCol w:w="326"/>
        <w:gridCol w:w="252"/>
        <w:gridCol w:w="933"/>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05510" cy="175260"/>
                      <wp:effectExtent l="0" t="0" r="0" b="0"/>
                      <wp:wrapNone/>
                      <wp:docPr id="199" name="Frame19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78435" cy="175260"/>
                      <wp:effectExtent l="0" t="0" r="0" b="0"/>
                      <wp:wrapNone/>
                      <wp:docPr id="201" name="Frame20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74040" cy="175260"/>
                      <wp:effectExtent l="0" t="0" r="0" b="0"/>
                      <wp:wrapNone/>
                      <wp:docPr id="202" name="Frame202"/>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0020" cy="175260"/>
                      <wp:effectExtent l="0" t="0" r="0" b="0"/>
                      <wp:wrapNone/>
                      <wp:docPr id="204" name="Frame20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92455" cy="175260"/>
                      <wp:effectExtent l="0" t="0" r="0" b="0"/>
                      <wp:wrapNone/>
                      <wp:docPr id="205" name="Frame205"/>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Raw materials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4,967</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109"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w:t>
            </w:r>
          </w:p>
        </w:tc>
        <w:tc>
          <w:tcPr>
            <w:tcW w:w="9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29,335</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28,427</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3,475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2,791</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34,409</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36,185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Balance sheet classification</w:t>
      </w:r>
    </w:p>
    <w:tbl>
      <w:tblPr>
        <w:tblW w:w="3886" w:type="dxa"/>
        <w:jc w:val="left"/>
        <w:tblInd w:w="0" w:type="dxa"/>
        <w:tblLayout w:type="fixed"/>
        <w:tblCellMar>
          <w:top w:w="0" w:type="dxa"/>
          <w:left w:w="0" w:type="dxa"/>
          <w:bottom w:w="0" w:type="dxa"/>
          <w:right w:w="0" w:type="dxa"/>
        </w:tblCellMar>
      </w:tblPr>
      <w:tblGrid>
        <w:gridCol w:w="1081"/>
        <w:gridCol w:w="109"/>
        <w:gridCol w:w="281"/>
        <w:gridCol w:w="904"/>
        <w:gridCol w:w="326"/>
        <w:gridCol w:w="252"/>
        <w:gridCol w:w="933"/>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86435" cy="175260"/>
                      <wp:effectExtent l="0" t="0" r="0" b="0"/>
                      <wp:wrapNone/>
                      <wp:docPr id="206" name="Frame20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8435" cy="175260"/>
                      <wp:effectExtent l="0" t="0" r="0" b="0"/>
                      <wp:wrapNone/>
                      <wp:docPr id="208" name="Frame20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74040" cy="175260"/>
                      <wp:effectExtent l="0" t="0" r="0" b="0"/>
                      <wp:wrapNone/>
                      <wp:docPr id="209" name="Frame209"/>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60020" cy="175260"/>
                      <wp:effectExtent l="0" t="0" r="0" b="0"/>
                      <wp:wrapNone/>
                      <wp:docPr id="211" name="Frame21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92455" cy="175260"/>
                      <wp:effectExtent l="0" t="0" r="0" b="0"/>
                      <wp:wrapNone/>
                      <wp:docPr id="212" name="Frame21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16,457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29,697</w:t>
            </w:r>
          </w:p>
        </w:tc>
      </w:tr>
      <w:tr>
        <w:trPr/>
        <w:tc>
          <w:tcPr>
            <w:tcW w:w="10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17,952</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6,488</w:t>
            </w:r>
          </w:p>
        </w:tc>
      </w:tr>
      <w:tr>
        <w:trPr/>
        <w:tc>
          <w:tcPr>
            <w:tcW w:w="1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34,409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36,185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Inventory amounts written down as a result of excess, obsolescence, unmarketability or other reasons are charged to cost of sales. The Company recognized a write-down of $0.1 million and $2.2 million for the three and nine months ended September 30, 2023, respectively. The Company did not recognize any write-down for the three and nine months ended September 30, 2022. Long-term inventory, which primarily consists of work in process and raw materials, is included in other assets in the unaudited condensed consolidated balance sheets.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8. Restricted Cash</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September 30, 2023 and December 31, 2022, $9.7 million and $5.2 million, respectively, of the Company’s cash is restricted by a financial institution primarily related to funds held to satisfy the requirements of certain government agreements and the security deposits for the lease agreements for the Company’s office and laboratory spaces.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054" w:name="Tc_3ubuviQ1BUiyrWhGON5sQw_8_5"/>
      <w:bookmarkStart w:id="1055" w:name="Tc_hQYHbkFT8Ee2eegvU9VPOQ_8_2"/>
      <w:bookmarkStart w:id="1056" w:name="Tc_47V7rDjq-k2scmuCobCruw_8_0"/>
      <w:bookmarkStart w:id="1057" w:name="Tc_2jBE6vCawUWvXjF_w8mmlw_7_0"/>
      <w:bookmarkStart w:id="1058" w:name="Tc_-vcwXQjsIU2BwWXk062sUw_6_0"/>
      <w:bookmarkStart w:id="1059" w:name="Tc_C-_xB7spakK_NYnEoDyw_A_5_0"/>
      <w:bookmarkStart w:id="1060" w:name="Tc_ZuK6eHoeEUybOeig-XOScQ_4_0"/>
      <w:bookmarkStart w:id="1061" w:name="Tc__zq3H-ACsEyvaZdIrNGxVg_3_5"/>
      <w:bookmarkStart w:id="1062" w:name="Tc_VwrGkMSJr0Ck3nZhNQDoUQ_3_2"/>
      <w:bookmarkStart w:id="1063" w:name="Tc_Bt6KTEdhGkCmkeMEeJtqQg_3_0"/>
      <w:bookmarkStart w:id="1064" w:name="Tc_fn9t2hAKJUOa1EBbuI9F1Q_2_5"/>
      <w:bookmarkStart w:id="1065" w:name="Tc_tdQhZr2PYECf4j-n3fbweg_2_2"/>
      <w:bookmarkStart w:id="1066" w:name="Tc_YqJ-Tm1qjk69WfD2K-mrvQ_1_5"/>
      <w:bookmarkStart w:id="1067" w:name="Tc_ozbufeYRVkqbpAuBC48Qpg_1_2"/>
      <w:bookmarkStart w:id="1068" w:name="_9a254f94_f439_4e02_a769_8974d5e53ad5"/>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r>
        <w:rPr>
          <w:rFonts w:ascii="Times New Roman;Times;serif" w:hAnsi="Times New Roman;Times;serif"/>
          <w:b/>
          <w:sz w:val="20"/>
        </w:rPr>
        <w:t>9. Accrued Expenses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lineRule="auto" w:line="285" w:before="0" w:after="0"/>
        <w:ind w:left="0" w:right="0" w:hanging="0"/>
        <w:jc w:val="left"/>
        <w:rPr/>
      </w:pPr>
      <w:r>
        <w:rPr/>
        <w:t>​</w:t>
      </w:r>
    </w:p>
    <w:tbl>
      <w:tblPr>
        <w:tblW w:w="7523" w:type="dxa"/>
        <w:jc w:val="left"/>
        <w:tblInd w:w="0" w:type="dxa"/>
        <w:tblLayout w:type="fixed"/>
        <w:tblCellMar>
          <w:top w:w="0" w:type="dxa"/>
          <w:left w:w="0" w:type="dxa"/>
          <w:bottom w:w="0" w:type="dxa"/>
          <w:right w:w="0" w:type="dxa"/>
        </w:tblCellMar>
      </w:tblPr>
      <w:tblGrid>
        <w:gridCol w:w="4501"/>
        <w:gridCol w:w="326"/>
        <w:gridCol w:w="252"/>
        <w:gridCol w:w="933"/>
        <w:gridCol w:w="326"/>
        <w:gridCol w:w="228"/>
        <w:gridCol w:w="957"/>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858135" cy="175260"/>
                      <wp:effectExtent l="0" t="0" r="0" b="0"/>
                      <wp:wrapNone/>
                      <wp:docPr id="213" name="Frame213"/>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60020" cy="175260"/>
                      <wp:effectExtent l="0" t="0" r="0" b="0"/>
                      <wp:wrapNone/>
                      <wp:docPr id="215" name="Frame21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92455" cy="175260"/>
                      <wp:effectExtent l="0" t="0" r="0" b="0"/>
                      <wp:wrapNone/>
                      <wp:docPr id="216" name="Frame21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44780" cy="175260"/>
                      <wp:effectExtent l="0" t="0" r="0" b="0"/>
                      <wp:wrapNone/>
                      <wp:docPr id="218" name="Frame21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07695" cy="175260"/>
                      <wp:effectExtent l="0" t="0" r="0" b="0"/>
                      <wp:wrapNone/>
                      <wp:docPr id="219" name="Frame21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development and commercial contract costs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38,699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66,041</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34,517</w:t>
            </w:r>
          </w:p>
        </w:tc>
        <w:tc>
          <w:tcPr>
            <w:tcW w:w="32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w:t>
            </w:r>
          </w:p>
        </w:tc>
        <w:tc>
          <w:tcPr>
            <w:tcW w:w="9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30,744</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pPr>
            <w:r>
              <w:rPr/>
              <w:t> </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14,592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9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17,588</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Revenue-related reserves </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16,101</w:t>
            </w:r>
          </w:p>
        </w:tc>
        <w:tc>
          <w:tcPr>
            <w:tcW w:w="32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w:t>
            </w:r>
          </w:p>
        </w:tc>
        <w:tc>
          <w:tcPr>
            <w:tcW w:w="9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9,046</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6,527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7,704</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110,436</w:t>
            </w:r>
          </w:p>
        </w:tc>
        <w:tc>
          <w:tcPr>
            <w:tcW w:w="326" w:type="dxa"/>
            <w:tcBorders/>
            <w:vAlign w:val="center"/>
          </w:tcPr>
          <w:p>
            <w:pPr>
              <w:pStyle w:val="TableContents"/>
              <w:bidi w:val="0"/>
              <w:spacing w:lineRule="auto" w:line="285"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131,123</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10. Collaboration and License Agreements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IDRx</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August 2022, the Company entered into </w:t>
      </w:r>
      <w:r>
        <w:rPr>
          <w:rFonts w:ascii="Times New Roman;Times;serif" w:hAnsi="Times New Roman;Times;serif"/>
          <w:sz w:val="20"/>
          <w:shd w:fill="FFFFFF" w:val="clear"/>
        </w:rPr>
        <w:t>a license agreement with IDRx, Inc. (IDRx), pursuant to which the Company granted IDRx an exclusive, worldwide, royalty-bearing license to exploit the Company’s internally discovered KIT exon 13 inhibitor IDRX-73 (IDRx License Agreement). IDRx is a clinical-stage biopharmaceutical company and a</w:t>
      </w:r>
      <w:r>
        <w:rPr>
          <w:rFonts w:ascii="Times New Roman;Times;serif" w:hAnsi="Times New Roman;Times;serif"/>
          <w:sz w:val="20"/>
        </w:rPr>
        <w:t xml:space="preserve">mong IDRx’s founders are Alexis Borisy, George Demetri, M.D., and Nicholas Lydon, Ph.D., who were each members of the Company’s board of directors at the time. Due to these relationships, the transaction with IDRx is a related party transaction.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 connection with the IDRx License Agreement, the Company also entered into a stock purchase agreement with IDRx (IDRx Stock Purchase Agreement), pursuant to which the Company received 4,509,105 shares of IDRx’s Series A preferred stock with the right to receive additional shares of IDRx’s Series A preferred stock through an anti-dilution provision subject to a defined financing cap. In July 2023, the Company received 192,282 additional shares under the anti-dilution provision.</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 </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10th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 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intellectual property of IDRx to continue to exploit the compound and terminated product, subject to a royalty that will be negotiated at the time of termination.</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 shares of IDRx’s Series A preferred stock and the anti-dilution right to receive additional shares should be attributed to the transaction price of the IDRx License Agreement.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purposes of ASC 606, the transaction price of the IDRx License Agreement at the contract inception was determined to be $27.5 million and recorded as license revenue-related party on the consolidated statements of operations and comprehensive loss during the year ended December 31, 2022. The fair value was derived from IDRx’s most recent financing transaction with unrelated investors. 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concluded the preferred stock investment should be accounted for as an equity investment as it is not mandatorily redeemable nor does the Company have the unilateral right to redeem the preferred stock, and the Company, along with its related parties, do not have a controlling financial interest in IDRx nor have the ability to influence the financial and operating policies through the ownership of preferred stock. IDRx’s preferred stock is not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exchange-traded and does not have a readily determinable fair value. Therefore, the Company accounts for the preferred stock investment under the measurement alternative for equity investments that do not have a readily determinable fair value, which is at cost of $27.8 million including transaction costs of $0.3 million. As of September 30, 2023, the cost of the investment in IDRx’s preferred stock was $27.8 million and was recorded as equity investment on the condensed consolidated balance sheets. As of September 30, 2023, no adjustments have been recognized related to the preferred stock investment as a result of the application of the measurement alternative.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Proteovant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2022, the Company entered into </w:t>
      </w:r>
      <w:r>
        <w:rPr>
          <w:rFonts w:ascii="Times New Roman;Times;serif" w:hAnsi="Times New Roman;Times;serif"/>
          <w:sz w:val="20"/>
          <w:shd w:fill="FFFFFF" w:val="clear"/>
        </w:rPr>
        <w:t>an exclusive</w:t>
      </w:r>
      <w:r>
        <w:rPr>
          <w:rFonts w:ascii="Times New Roman;Times;serif" w:hAnsi="Times New Roman;Times;serif"/>
          <w:sz w:val="20"/>
        </w:rPr>
        <w:t xml:space="preserve"> collaboration agreement (the Proteovant collaboration agreement) with Oncopia Therapeutics, Inc., d/b/a Proteovant Therapeutics, Inc. (Proteovant), to jointly research and advance up to two novel protein degrader therapies into development candidates, </w:t>
      </w:r>
      <w:r>
        <w:rPr>
          <w:rFonts w:ascii="Times New Roman;Times;serif" w:hAnsi="Times New Roman;Times;serif"/>
          <w:sz w:val="20"/>
          <w:shd w:fill="FFFFFF" w:val="clear"/>
        </w:rPr>
        <w:t>as well as up to two additional novel protein degrader target programs as may be mutually agreed to by the Company and Proteovant (each program is referred to as a target program)</w:t>
      </w:r>
      <w:r>
        <w:rPr>
          <w:rFonts w:ascii="Times New Roman;Times;serif" w:hAnsi="Times New Roman;Times;serif"/>
          <w:sz w:val="20"/>
        </w:rPr>
        <w:t xml:space="preserve">. </w:t>
      </w:r>
      <w:r>
        <w:rPr>
          <w:rFonts w:ascii="Times New Roman;Times;serif" w:hAnsi="Times New Roman;Times;serif"/>
          <w:sz w:val="20"/>
          <w:shd w:fill="FFFFFF" w:val="clear"/>
        </w:rPr>
        <w:t xml:space="preserve">On a target program-by-target program basis, the Company has an exclusive option to obtain a worldwide, exclusive license to develop and commercialize any licensed compound and licensed product under each target program. Proteovant has the right to opt into the global development and U.S. commercialization of certain licensed compounds and licensed products under the second target program that the Company options, and if the parties add additional target programs, Proteovant will have the same opt-in right for the fourth target program that the Company options.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paid Proteovant an upfront payment of $20.0 million in connection with the execution of the agreement and Proteovant will be eligible to receive up to an additional $632.0 million in contingent milestone payments including specified research, development, regulatory and commercialization milestones and tiered percentage royalties on a licensed product-by-licensed product basis ranging from the mid- to high-single digits on net sales on the first two target programs, subject to adjustment in specified circumstances. If Proteovant opts in to the second target program, the parties will split profits and losses of that program equally in the U.S. along with development costs and the milestone payments for the program will be reduced accordingly. Proteovant will be eligible to receive milestone payments and royalties on ex-U.S. sales. In addition, the parties may jointly extend the collaboration, with the same structure and financial terms, to two additional program targets through additional funding by the Company.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concluded that Proteovant is providing the Company with research services throughout the period until the Company can exercise its option to </w:t>
      </w:r>
      <w:r>
        <w:rPr>
          <w:rFonts w:ascii="Times New Roman;Times;serif" w:hAnsi="Times New Roman;Times;serif"/>
          <w:sz w:val="20"/>
          <w:shd w:fill="FFFFFF" w:val="clear"/>
        </w:rPr>
        <w:t>obtain a worldwide, exclusive license to develop and commercialize any licensed compound</w:t>
      </w:r>
      <w:r>
        <w:rPr>
          <w:rFonts w:ascii="Times New Roman;Times;serif" w:hAnsi="Times New Roman;Times;serif"/>
          <w:sz w:val="20"/>
        </w:rPr>
        <w:t xml:space="preserve">. Therefore, the Company recorded the $20.0 million upfront payment as an asset on the unaudited condensed consolidated financial statements and records it as research and development expense over the expected research period. The Company reevaluates the expected research period at the end of each reporting period and prospectively adjusts the amortization of the asset for changes in the expected research period. Each research and development milestone payment is accrued and expensed when probable. During the three and nine months ended September 30, 2023, the Company recorded research and development expense of $0.6 million and $6.2 million, respectively, under the Proteovant collaboration agreement. During the three and nine months ended September 30, 2022, the Company recorded research and development expense of $1.4 million and $2.9 million, respectively, under the Proteovant collaboration agreement.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Zai Lab</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2021, the Company entered into a collaboration (the Zai Lab agreement) with Zai Lab (Shanghai) Co., Ltd., (Zai Lab) to develop and commercialize certain licensed products for the treatment of EGFR-driven non-small cell lung cancer in Greater China, including Mainland China, Hong Kong, Macau and Taiwan (collectively, the Zai Lab Territory). The collaboration aims to accelerate and expand global development of the licensed products, which currently include BLU-945 and BLU-525 (which served as a back-up candidate for BLU-701). The Company retains exclusive rights to the licensed products outside the Zai Lab Territory.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clinical trials in the Zai Lab Territory, other than the specified shared services costs as defined in the Zai Lab agreement which are shared by the Company and Zai Lab.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Zai Lab agreement will continue on a licensed product-by-product and region-by-region basis until the later of (i) the 12</w:t>
      </w:r>
      <w:r>
        <w:rPr>
          <w:rFonts w:ascii="Times New Roman;Times;serif" w:hAnsi="Times New Roman;Times;serif"/>
          <w:sz w:val="15"/>
        </w:rPr>
        <w:t>th</w:t>
      </w:r>
      <w:r>
        <w:rPr>
          <w:rFonts w:ascii="Times New Roman;Times;serif" w:hAnsi="Times New Roman;Times;serif"/>
          <w:sz w:val="20"/>
        </w:rPr>
        <w:t xml:space="preserve"> anniversary of the date of the first commercial sale of a licensed product in the Zai Lab Territory, (ii) the date of expiration of the last valid patent claim related to the Company’s patent rights of the product in the Zai Lab Territory, and (iii) the expiration of the last regulatory exclusivity for that product in a region in the Zai Lab Territory. Zai Lab may terminate the agreement for convenience by giving a written notice after the </w:t>
      </w:r>
      <w:r>
        <w:rPr>
          <w:rFonts w:ascii="Times New Roman;Times;serif" w:hAnsi="Times New Roman;Times;serif"/>
          <w:b w:val="false"/>
          <w:i w:val="false"/>
          <w:caps w:val="false"/>
          <w:smallCaps w:val="false"/>
          <w:sz w:val="20"/>
        </w:rPr>
        <w:t>second</w:t>
      </w:r>
      <w:r>
        <w:rPr>
          <w:rFonts w:ascii="Times New Roman;Times;serif" w:hAnsi="Times New Roman;Times;serif"/>
          <w:sz w:val="20"/>
        </w:rPr>
        <w:t xml:space="preserve">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Zai Lab agreement to determine whether it is a collaborative arrangement in the scope of ASC 808. 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the parties’ participation in the global development of the licensed products. The Company used the criteria specified in ASC 606 to determine which of the components of the Zai Lab agreement are performance obligations with a customer and concluded that Zai Lab is the Company’s customer for the licenses and related activities in the Zai Lab Territory under ASC 606. The global development activities under the agreement does not present a transaction with a customer and the payments received by the Company for global development activities, including manufacturing, are accounted for as a reduction of related expenses. During the three and nine months ended September 30, 2023, the Company did not record such reductions of expenses under the Zai Lab agreement. During the three and nine months ended September 30, 2022, the Company recorded $0.2 million and $0.5 million, respectively, in reductions of expenses under the Zai Lab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Zai Lab Territory specific licenses and related activities under ASC 606 as these transactions are considered transactions with a customer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Company further evaluated the material promise associated with manufacturing activities related to development and commercial supply of the licensed products in the Zai Lab Territory, given Zai Lab is not obligated to purchase any minimum amount or quantities of the development and commercial supply from the Company, the Company concluded that, for the purpose of ASC 606, the provision of manufacturing activities related to development and commercial supply of the licensed product in Zai Lab Territory was an option but not a performance obligation of the Company at the inception of the Zai Lab collaboration agreement and will be accounted for if and when exercised. The Company also concluded that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license under ASC 606 and concluded that the license is a functional intellectual property license. The Company determined that Zai Lab benefited from the license along with the initial know-how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transfer at the time of grant, and therefore the related performance obligation is satisfied at a point in time. Additionally, the Company is entitled to sales milestones and royalties from Zai Lab upon future sales of the licensed products in the Zai Lab Territory, and revenue will be recognized when the related sales occur. Costs that are incurred associated with Zai Lab Territory specific activities are reimbursable from Zai Lab and are recognized as revenue. The revenue recognized under the Zai Lab agreement during the three and nine months ended September 30, 2023 was negligible. During the three and nine months ended September 30, 2022, the Company recorded $0.2 million and $0.8 million, respectively, in revenue related to Zai Lab Territory specific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purposes of ASC 606, the transaction price of the Zai Lab agreement at the outset of the arrangement was determined to be $25.0 million, which consisted of the upfront cash payment. The other potential milestone payments that the Company is eligible to receive were excluded from the transaction price, as all milestone amounts were fully constrained based on the probability of achievement. The Company satisfied the performance obligation upon delivery of the licenses and initial know-how transfer, and recognized the upfront payment of $25.0 million as revenue in 2021.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Roche – Pralsetinib Collaboration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Roche pralsetinib collaboration agreement, the Company received an upfront cash payment of $675.0 million, and through September 30, 2023, the Company received an aggregate of $105.0 million in specified regulatory and commercialization milestones. In February 2023, the Company received written notice from Roche of their election to terminate for convenience the Roche pralsetinib collaboration agreement. The termination will become effective in February 2024, at which time the Company will regain commercialization and development rights to GAVRETO from Roche worldwide excluding the CStone Territory. Until the termination of the collaboration agreement is effective, the parties continue to perform their respective obligations under the collaboration agreement, including with respect to the development and commercialization of GAVRETO. The Company will not be entitled to receive payment for milestones, if any, achieved during the period between the receipt of the notice of termination and the effective date of termination. The termination of the collaboration agreement does not have an impact on the Company’s current accounting treatment related to the Roche pralsetinib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also agreed to co-develop pralsetinib globally in RET-altered solid tumors, including non-small cell lung cancer, medullary thyroid carcinoma and other thyroid cancers, as well as other solid tumors. The Company and Roche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Roche collaboration agreement, on July 13, 2020, the Company also entered into a stock purchase agreement with Roche Holdings, Inc. (Roche Holdings) pursuant to which the Company issued and sold an aggregate of 1,035,519 shares of common stock to Roche Holdings at a purchase price of $96.57 per share and received an aggregate of $100.0 million in the third quarter of 2020. The closing for a minority portion of the equity investment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occurred following the expiration of the waiting period under the Hart-Scott-Rodino Antitrust Improvements Act of 1976, as amended, and other customary closing conditions.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that the Roche pralsetinib collaboration agreement contained four material components: (i) 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Roche Territory activities under ASC 606 and identified one material promise 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is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the revenue is recognized when the related sales occur. Costs that are incurred associated with the Roche Territory activities are reimbursable from Roche and are recognized as revenue.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purposes of ASC 606, the transaction price of the Roche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September 30, 2023, the Company has achieved an aggregate of $105.0 million in specified regulatory and commercialization milestones which were added to the estimated transaction price of the Roche pralsetinib agreement.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069" w:name="Tc_MF0fWZT7e0KD4cek70-Jsg_5_11"/>
      <w:bookmarkStart w:id="1070" w:name="Tc_91xUgTr_uUeeWIITg9nygQ_5_8"/>
      <w:bookmarkStart w:id="1071" w:name="Tc__RXjTCC_nUCiGZSX3G0yhw_5_5"/>
      <w:bookmarkStart w:id="1072" w:name="Tc_fs1EbSBceky5mznN8jvoyA_5_2"/>
      <w:bookmarkStart w:id="1073" w:name="Tc_wCKX-en0-k23Nom6YPxjTQ_5_0"/>
      <w:bookmarkStart w:id="1074" w:name="Tc_xQclNQpRsk6aV9YciHY_Kg_4_11"/>
      <w:bookmarkStart w:id="1075" w:name="Tc_JyCShUwGx0uGUPSdzeMn8Q_4_8"/>
      <w:bookmarkStart w:id="1076" w:name="Tc_F5EIMvdQs0C_cCOpo5zkFA_4_5"/>
      <w:bookmarkStart w:id="1077" w:name="Tc_AcqvYlURx0GKf8glqUOyNQ_4_2"/>
      <w:bookmarkStart w:id="1078" w:name="Tc_tMJb_j_dUkOB3BZu2070Sw_4_0"/>
      <w:bookmarkStart w:id="1079" w:name="Tc_SF4HSOqOp06dj-6NqBPP5A_3_11"/>
      <w:bookmarkStart w:id="1080" w:name="Tc_rEub0e8ZUUC9k7oJ6Tg8bQ_3_8"/>
      <w:bookmarkStart w:id="1081" w:name="Tc_gloaHjf3OkGvh2cODqjC9w_3_5"/>
      <w:bookmarkStart w:id="1082" w:name="Tc_lsuliETbDUOewJv_fgPGog_3_2"/>
      <w:bookmarkStart w:id="1083" w:name="Tc_qPZwYB71B0eaWsn0io25VA_2_8"/>
      <w:bookmarkStart w:id="1084" w:name="Tc_OZ8vZxIV-06udvAu3jISNg_2_2"/>
      <w:bookmarkStart w:id="1085" w:name="Tc_UkFWTpm-NEOaLMw0U1NuyA_1_8"/>
      <w:bookmarkStart w:id="1086" w:name="Tc_G7OtyrsbDEigTtBUwg8WVA_1_2"/>
      <w:bookmarkStart w:id="1087" w:name="_00025dc3_85e2_44ee_8e6d_8ae36a4434b9"/>
      <w:bookmarkStart w:id="1088" w:name="Tc_WWMdJ6VYb0eH9TagP5ITgQ_4_11"/>
      <w:bookmarkStart w:id="1089" w:name="Tc_S43lyENHMEOLm84ica5i6A_4_8"/>
      <w:bookmarkStart w:id="1090" w:name="Tc_y9YPivWHxkqq8JxytDybtA_4_5"/>
      <w:bookmarkStart w:id="1091" w:name="Tc_xgjhp2FPQ0ynfEU5SIEqjA_4_2"/>
      <w:bookmarkStart w:id="1092" w:name="Tc_PcG9OerEEkW9pdBld52_aA_4_0"/>
      <w:bookmarkStart w:id="1093" w:name="Tc_KkDQyAf9fkiqZlMwIojfEQ_3_11"/>
      <w:bookmarkStart w:id="1094" w:name="Tc_-AnCIXU99UO4nB_FyaJK7Q_3_8"/>
      <w:bookmarkStart w:id="1095" w:name="Tc_GxdyzJ4y80id2HTdIIpDlA_3_5"/>
      <w:bookmarkStart w:id="1096" w:name="Tc_tUd0x_yA00ifVwrt-qaJOw_3_2"/>
      <w:bookmarkStart w:id="1097" w:name="Tc_IVo2Mus2IUSLsZ_cPsZTbw_2_8"/>
      <w:bookmarkStart w:id="1098" w:name="Tc_HXXFKalHM0edK9HYkSeVqQ_2_2"/>
      <w:bookmarkStart w:id="1099" w:name="Tc_c5WA--KlFEiof_u1-xS9_Q_1_8"/>
      <w:bookmarkStart w:id="1100" w:name="Tc_TFbum6-GbkWFxwPS7TecxA_1_2"/>
      <w:bookmarkStart w:id="1101" w:name="_450579cf_a67a_4660_8d54_63a0c8d8e414"/>
      <w:bookmarkStart w:id="1102" w:name="_cp_change_4211"/>
      <w:bookmarkStart w:id="1103" w:name="Tc_8hW0JivwIEKLItRZfmoHzw_6_11"/>
      <w:bookmarkStart w:id="1104" w:name="Tc_p3KJsnLmYUeSq9IT1YN4Gg_6_8"/>
      <w:bookmarkStart w:id="1105" w:name="Tc_Vzx0VQXpokuGjvZAr0aB6w_6_5"/>
      <w:bookmarkStart w:id="1106" w:name="Tc_uLIHT-wpV0Ksaeb3l3MIJw_6_2"/>
      <w:bookmarkStart w:id="1107" w:name="Tc_dGXxUk6UY0SXdsNLZi8bQg_6_0"/>
      <w:bookmarkStart w:id="1108" w:name="Tc_F6MWb8MxVU67Kb_kET2DpA_5_0"/>
      <w:bookmarkStart w:id="1109" w:name="Tc_y3UD67fo5U2wxUSIm9DhGA_4_11"/>
      <w:bookmarkStart w:id="1110" w:name="Tc_Is57drndOUqulEUOPs5Wdw_4_8"/>
      <w:bookmarkStart w:id="1111" w:name="Tc_aWkXRh1o3UK0NCsMGykR-A_4_5"/>
      <w:bookmarkStart w:id="1112" w:name="Tc_p17kV5R3CU-l9NhUz3ga2A_4_2"/>
      <w:bookmarkStart w:id="1113" w:name="Tc_f1KaKZkQ4UqMWrjUoEvGFQ_4_0"/>
      <w:bookmarkStart w:id="1114" w:name="Tc_UbAPs16UEU2b23weIQygUQ_3_11"/>
      <w:bookmarkStart w:id="1115" w:name="Tc_IpR3ShHpiE2mnQBfchq0hw_3_8"/>
      <w:bookmarkStart w:id="1116" w:name="Tc_WBOkNCP2ekOSppLW1zeXIg_3_5"/>
      <w:bookmarkStart w:id="1117" w:name="Tc_uEA-eo4caEGC_rFL_NzE_w_3_2"/>
      <w:bookmarkStart w:id="1118" w:name="Tc_37DSZrlkFkmohSaakN3ciA_2_8"/>
      <w:bookmarkStart w:id="1119" w:name="Tc_IpQr-JO3X0iAmK7TSPuc5A_2_2"/>
      <w:bookmarkStart w:id="1120" w:name="Tc_hiNVmnb5_0KevRfQvxQi1Q_1_8"/>
      <w:bookmarkStart w:id="1121" w:name="Tc_QHT228q4xUCOrQ5OYqdIUQ_1_2"/>
      <w:bookmarkStart w:id="1122" w:name="_23bcc73e_3cd5_428c_b3db_7b219b91b00c"/>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r>
        <w:rPr>
          <w:rFonts w:ascii="Times New Roman;Times;serif" w:hAnsi="Times New Roman;Times;serif"/>
          <w:sz w:val="20"/>
        </w:rPr>
        <w:t xml:space="preserve">The following table summarizes revenue recognized under the Roche pralsetinib collaboration during the three and nine months ended September 30, 2023 and 2022 (in thousands): </w:t>
      </w:r>
    </w:p>
    <w:p>
      <w:pPr>
        <w:pStyle w:val="TextBody"/>
        <w:bidi w:val="0"/>
        <w:spacing w:lineRule="auto" w:line="285" w:before="0" w:after="0"/>
        <w:ind w:left="0" w:right="0" w:hanging="0"/>
        <w:jc w:val="left"/>
        <w:rPr/>
      </w:pPr>
      <w:r>
        <w:rPr/>
        <w:t>​</w:t>
      </w:r>
    </w:p>
    <w:tbl>
      <w:tblPr>
        <w:tblW w:w="9142" w:type="dxa"/>
        <w:jc w:val="left"/>
        <w:tblInd w:w="0" w:type="dxa"/>
        <w:tblLayout w:type="fixed"/>
        <w:tblCellMar>
          <w:top w:w="0" w:type="dxa"/>
          <w:left w:w="0" w:type="dxa"/>
          <w:bottom w:w="0" w:type="dxa"/>
          <w:right w:w="0" w:type="dxa"/>
        </w:tblCellMar>
      </w:tblPr>
      <w:tblGrid>
        <w:gridCol w:w="5386"/>
        <w:gridCol w:w="146"/>
        <w:gridCol w:w="223"/>
        <w:gridCol w:w="445"/>
        <w:gridCol w:w="154"/>
        <w:gridCol w:w="223"/>
        <w:gridCol w:w="604"/>
        <w:gridCol w:w="146"/>
        <w:gridCol w:w="211"/>
        <w:gridCol w:w="571"/>
        <w:gridCol w:w="146"/>
        <w:gridCol w:w="211"/>
        <w:gridCol w:w="676"/>
      </w:tblGrid>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92710" cy="175260"/>
                      <wp:effectExtent l="0" t="0" r="0" b="0"/>
                      <wp:wrapNone/>
                      <wp:docPr id="220" name="Frame2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41605" cy="175260"/>
                      <wp:effectExtent l="0" t="0" r="0" b="0"/>
                      <wp:wrapNone/>
                      <wp:docPr id="221" name="Frame22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82575" cy="175260"/>
                      <wp:effectExtent l="0" t="0" r="0" b="0"/>
                      <wp:wrapNone/>
                      <wp:docPr id="222" name="Frame222"/>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97790" cy="175260"/>
                      <wp:effectExtent l="0" t="0" r="0" b="0"/>
                      <wp:wrapNone/>
                      <wp:docPr id="223" name="Frame22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1605" cy="175260"/>
                      <wp:effectExtent l="0" t="0" r="0" b="0"/>
                      <wp:wrapNone/>
                      <wp:docPr id="224" name="Frame22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83540" cy="175260"/>
                      <wp:effectExtent l="0" t="0" r="0" b="0"/>
                      <wp:wrapNone/>
                      <wp:docPr id="225" name="Frame225"/>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2710" cy="175260"/>
                      <wp:effectExtent l="0" t="0" r="0" b="0"/>
                      <wp:wrapNone/>
                      <wp:docPr id="226" name="Frame2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62585" cy="175260"/>
                      <wp:effectExtent l="0" t="0" r="0" b="0"/>
                      <wp:wrapNone/>
                      <wp:docPr id="228" name="Frame2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2710" cy="175260"/>
                      <wp:effectExtent l="0" t="0" r="0" b="0"/>
                      <wp:wrapNone/>
                      <wp:docPr id="229" name="Frame2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9260" cy="175260"/>
                      <wp:effectExtent l="0" t="0" r="0" b="0"/>
                      <wp:wrapNone/>
                      <wp:docPr id="231" name="Frame2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649"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w:t>
            </w:r>
          </w:p>
        </w:tc>
        <w:tc>
          <w:tcPr>
            <w:tcW w:w="181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64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6" w:type="dxa"/>
            <w:tcBorders/>
            <w:vAlign w:val="center"/>
          </w:tcPr>
          <w:p>
            <w:pPr>
              <w:pStyle w:val="TableContents"/>
              <w:bidi w:val="0"/>
              <w:spacing w:lineRule="auto" w:line="285" w:before="0" w:after="0"/>
              <w:ind w:left="0" w:right="0" w:hanging="0"/>
              <w:jc w:val="left"/>
              <w:rPr/>
            </w:pPr>
            <w:r>
              <w:rPr/>
              <w:t>​</w:t>
            </w:r>
          </w:p>
        </w:tc>
        <w:tc>
          <w:tcPr>
            <w:tcW w:w="18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 </w:t>
            </w:r>
          </w:p>
        </w:tc>
        <w:tc>
          <w:tcPr>
            <w:tcW w:w="66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lineRule="auto" w:line="285"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Manufacturing and research and development services related to </w:t>
              <w:br/>
              <w:t>ex-US territory-specific activities</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154"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3,971</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4,663</w:t>
            </w:r>
          </w:p>
        </w:tc>
      </w:tr>
      <w:tr>
        <w:trPr/>
        <w:tc>
          <w:tcPr>
            <w:tcW w:w="5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Royalty revenue</w:t>
            </w:r>
          </w:p>
        </w:tc>
        <w:tc>
          <w:tcPr>
            <w:tcW w:w="146" w:type="dxa"/>
            <w:tcBorders/>
            <w:vAlign w:val="center"/>
          </w:tcPr>
          <w:p>
            <w:pPr>
              <w:pStyle w:val="TableContents"/>
              <w:bidi w:val="0"/>
              <w:spacing w:lineRule="auto" w:line="285" w:before="0" w:after="0"/>
              <w:ind w:left="0" w:right="0" w:hanging="0"/>
              <w:jc w:val="left"/>
              <w:rPr/>
            </w:pPr>
            <w:r>
              <w:rPr/>
              <w:t> </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54" w:type="dxa"/>
            <w:tcBorders/>
            <w:vAlign w:val="center"/>
          </w:tcPr>
          <w:p>
            <w:pPr>
              <w:pStyle w:val="TableContents"/>
              <w:bidi w:val="0"/>
              <w:spacing w:lineRule="auto" w:line="285" w:before="0" w:after="0"/>
              <w:ind w:left="0" w:right="0" w:hanging="0"/>
              <w:jc w:val="left"/>
              <w:rPr/>
            </w:pPr>
            <w:r>
              <w:rPr/>
              <w:t> </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910</w:t>
            </w:r>
          </w:p>
        </w:tc>
      </w:tr>
      <w:tr>
        <w:trPr/>
        <w:tc>
          <w:tcPr>
            <w:tcW w:w="5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Roche pralsetinib collaboration revenue</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154"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4,282</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1,672</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5,573</w:t>
            </w:r>
          </w:p>
        </w:tc>
      </w:tr>
    </w:tbl>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September 2020, the FDA granted accelerated approval of GAVRETO for the treatment of adult patients with metastatic RET fusion-positive non-small cell lung cancer (NSCLC) as detected by an FDA approved test. In December 2020, the FDA granted a subsequent accelerated approval for GAVRETO, expanding the labeled indications to include adult and pediatric patients 12 years of age and older with advanced or metastatic RET-mutant medullary thyroid cancer (MTC) who require systemic therapy (which indication was subsequently voluntarily withdrawn by Roche in June 2023, followed by the official FDA withdrawal on July 20, 2023), or with advanced or metastatic RET fusion-positive thyroid cancer who require systemic therapy and who are radioactive iodine-refractory (if radioactive iodine is appropriate). In August 2023, the FDA converted the accelerated approval of GAVRETO to full regular approval for the treatment of adult patients with metastatic RET fusion-positive NSCLC.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Prior to July 1, 2021, the Company was the principal for product sales to customers in the U.S. and recognized revenues on sales to third parties in product revenue, net in its consolidated statements of operations and comprehensive loss. On July 1, 2021, Roche took over certain responsibilities associated with product sales to customers, pricing and distribution matters for GAVRETO in the U.S. and became the principal for recording product sales to customers in the U.S., and the Company recognized its portion of the commercial losses sharing as collaboration loss sharing in its consolidated statements of operations and comprehensive loss.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amount recognized from loss sharing from product sales of GAVRETO to customers in the U.S. during the three and nine months ended September 30, 2023 and 2022 (in thousands): </w:t>
      </w:r>
    </w:p>
    <w:p>
      <w:pPr>
        <w:pStyle w:val="TextBody"/>
        <w:bidi w:val="0"/>
        <w:spacing w:lineRule="auto" w:line="285" w:before="0" w:after="0"/>
        <w:ind w:left="0" w:right="0" w:hanging="0"/>
        <w:jc w:val="left"/>
        <w:rPr/>
      </w:pPr>
      <w:r>
        <w:rPr/>
        <w:t>​</w:t>
      </w:r>
    </w:p>
    <w:tbl>
      <w:tblPr>
        <w:tblW w:w="8686" w:type="dxa"/>
        <w:jc w:val="left"/>
        <w:tblInd w:w="0" w:type="dxa"/>
        <w:tblLayout w:type="fixed"/>
        <w:tblCellMar>
          <w:top w:w="0" w:type="dxa"/>
          <w:left w:w="0" w:type="dxa"/>
          <w:bottom w:w="0" w:type="dxa"/>
          <w:right w:w="0" w:type="dxa"/>
        </w:tblCellMar>
      </w:tblPr>
      <w:tblGrid>
        <w:gridCol w:w="4486"/>
        <w:gridCol w:w="266"/>
        <w:gridCol w:w="211"/>
        <w:gridCol w:w="571"/>
        <w:gridCol w:w="266"/>
        <w:gridCol w:w="211"/>
        <w:gridCol w:w="571"/>
        <w:gridCol w:w="109"/>
        <w:gridCol w:w="211"/>
        <w:gridCol w:w="571"/>
        <w:gridCol w:w="326"/>
        <w:gridCol w:w="211"/>
        <w:gridCol w:w="676"/>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848610" cy="175260"/>
                      <wp:effectExtent l="0" t="0" r="0" b="0"/>
                      <wp:wrapNone/>
                      <wp:docPr id="232" name="Frame232"/>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68910" cy="175260"/>
                      <wp:effectExtent l="0" t="0" r="0" b="0"/>
                      <wp:wrapNone/>
                      <wp:docPr id="233" name="Frame23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62585" cy="175260"/>
                      <wp:effectExtent l="0" t="0" r="0" b="0"/>
                      <wp:wrapNone/>
                      <wp:docPr id="235" name="Frame2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8910" cy="175260"/>
                      <wp:effectExtent l="0" t="0" r="0" b="0"/>
                      <wp:wrapNone/>
                      <wp:docPr id="236" name="Frame23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62585" cy="175260"/>
                      <wp:effectExtent l="0" t="0" r="0" b="0"/>
                      <wp:wrapNone/>
                      <wp:docPr id="238" name="Frame2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62585" cy="175260"/>
                      <wp:effectExtent l="0" t="0" r="0" b="0"/>
                      <wp:wrapNone/>
                      <wp:docPr id="241" name="Frame2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29260" cy="175260"/>
                      <wp:effectExtent l="0" t="0" r="0" b="0"/>
                      <wp:wrapNone/>
                      <wp:docPr id="244" name="Frame2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83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left"/>
              <w:rPr/>
            </w:pPr>
            <w:r>
              <w:rPr/>
              <w:t>​</w:t>
            </w:r>
          </w:p>
        </w:tc>
        <w:tc>
          <w:tcPr>
            <w:tcW w:w="19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48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18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lineRule="auto" w:line="285"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48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Company's share of loss in the U.S. for pralsetinib</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1,771</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7,076</w:t>
            </w:r>
          </w:p>
        </w:tc>
      </w:tr>
    </w:tbl>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amounts recognized as reductions to selling, general and administrative expenses related to the commercialization of GAVRETO in the U.S. and increases in research and development expenses related to global development activities for pralsetinib under the Roche pralsetinib collaboration during the three and nine months ended September 30, 2023 and 2022 (in thousands): </w:t>
      </w:r>
    </w:p>
    <w:p>
      <w:pPr>
        <w:pStyle w:val="TextBody"/>
        <w:bidi w:val="0"/>
        <w:spacing w:lineRule="auto" w:line="285" w:before="0" w:after="0"/>
        <w:ind w:left="0" w:right="0" w:hanging="0"/>
        <w:jc w:val="left"/>
        <w:rPr/>
      </w:pPr>
      <w:r>
        <w:rPr/>
        <w:t>​</w:t>
      </w:r>
    </w:p>
    <w:tbl>
      <w:tblPr>
        <w:tblW w:w="9143" w:type="dxa"/>
        <w:jc w:val="left"/>
        <w:tblInd w:w="0" w:type="dxa"/>
        <w:tblLayout w:type="fixed"/>
        <w:tblCellMar>
          <w:top w:w="0" w:type="dxa"/>
          <w:left w:w="0" w:type="dxa"/>
          <w:bottom w:w="0" w:type="dxa"/>
          <w:right w:w="0" w:type="dxa"/>
        </w:tblCellMar>
      </w:tblPr>
      <w:tblGrid>
        <w:gridCol w:w="4936"/>
        <w:gridCol w:w="266"/>
        <w:gridCol w:w="211"/>
        <w:gridCol w:w="571"/>
        <w:gridCol w:w="266"/>
        <w:gridCol w:w="211"/>
        <w:gridCol w:w="571"/>
        <w:gridCol w:w="146"/>
        <w:gridCol w:w="211"/>
        <w:gridCol w:w="676"/>
        <w:gridCol w:w="146"/>
        <w:gridCol w:w="211"/>
        <w:gridCol w:w="721"/>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134360" cy="175260"/>
                      <wp:effectExtent l="0" t="0" r="0" b="0"/>
                      <wp:wrapNone/>
                      <wp:docPr id="245" name="Frame245"/>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68910" cy="175260"/>
                      <wp:effectExtent l="0" t="0" r="0" b="0"/>
                      <wp:wrapNone/>
                      <wp:docPr id="246" name="Frame24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62585" cy="175260"/>
                      <wp:effectExtent l="0" t="0" r="0" b="0"/>
                      <wp:wrapNone/>
                      <wp:docPr id="248" name="Frame2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68910" cy="175260"/>
                      <wp:effectExtent l="0" t="0" r="0" b="0"/>
                      <wp:wrapNone/>
                      <wp:docPr id="249" name="Frame24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62585" cy="175260"/>
                      <wp:effectExtent l="0" t="0" r="0" b="0"/>
                      <wp:wrapNone/>
                      <wp:docPr id="251" name="Frame2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92710" cy="175260"/>
                      <wp:effectExtent l="0" t="0" r="0" b="0"/>
                      <wp:wrapNone/>
                      <wp:docPr id="252" name="Frame25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29260" cy="175260"/>
                      <wp:effectExtent l="0" t="0" r="0" b="0"/>
                      <wp:wrapNone/>
                      <wp:docPr id="254" name="Frame2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92710" cy="175260"/>
                      <wp:effectExtent l="0" t="0" r="0" b="0"/>
                      <wp:wrapNone/>
                      <wp:docPr id="255" name="Frame25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57835" cy="175260"/>
                      <wp:effectExtent l="0" t="0" r="0" b="0"/>
                      <wp:wrapNone/>
                      <wp:docPr id="257" name="Frame25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83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 </w:t>
            </w:r>
          </w:p>
        </w:tc>
        <w:tc>
          <w:tcPr>
            <w:tcW w:w="196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8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6" w:type="dxa"/>
            <w:tcBorders/>
            <w:vAlign w:val="center"/>
          </w:tcPr>
          <w:p>
            <w:pPr>
              <w:pStyle w:val="TableContents"/>
              <w:bidi w:val="0"/>
              <w:spacing w:lineRule="auto" w:line="285" w:before="0" w:after="0"/>
              <w:ind w:left="0" w:right="0" w:hanging="0"/>
              <w:jc w:val="left"/>
              <w:rPr/>
            </w:pPr>
            <w:r>
              <w:rPr/>
              <w:t> </w:t>
            </w:r>
          </w:p>
        </w:tc>
        <w:tc>
          <w:tcPr>
            <w:tcW w:w="196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Reductions to selling, general and administrative expenses </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3,063</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3,560</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8,618</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12,808</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Increases in research and development expenses </w:t>
            </w:r>
          </w:p>
        </w:tc>
        <w:tc>
          <w:tcPr>
            <w:tcW w:w="26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7,603</w:t>
            </w:r>
          </w:p>
        </w:tc>
        <w:tc>
          <w:tcPr>
            <w:tcW w:w="26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6,111</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21,226</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9,815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123" w:name="Tc_0-n0xVEtokSVf1E5V_s2LA_4_5"/>
      <w:bookmarkStart w:id="1124" w:name="Tc_adQ8Q2q1uUiLC-7luRBWMw_4_2"/>
      <w:bookmarkStart w:id="1125" w:name="Tc_s_HME8u-U0q4goqUkmuDZQ_4_0"/>
      <w:bookmarkStart w:id="1126" w:name="Tc_Xoae9ymQBkagrNUBZtK80g_3_6"/>
      <w:bookmarkStart w:id="1127" w:name="Tc_wREJImrAnEOc95Qesv1YUw_3_5"/>
      <w:bookmarkStart w:id="1128" w:name="Tc_ItDqxcoaEkCsD7k6syEm7g_3_2"/>
      <w:bookmarkStart w:id="1129" w:name="Tc_lupexBUeNk6PY-DijegzvA_3_0"/>
      <w:bookmarkStart w:id="1130" w:name="Tc_Yqg-kCpETkyBfPu97TZHPw_2_5"/>
      <w:bookmarkStart w:id="1131" w:name="Tc_pWR2Ey9OwkiihIUw1S4BRA_2_2"/>
      <w:bookmarkStart w:id="1132" w:name="Tc_UtMhRUPFUUiqa6njYgfI_A_1_5"/>
      <w:bookmarkStart w:id="1133" w:name="Tc_O307tO8bd0yAYWvxt84Vbw_1_2"/>
      <w:bookmarkStart w:id="1134" w:name="_ae5bef59_caac_4227_9802_22a61cb455c4"/>
      <w:bookmarkEnd w:id="1123"/>
      <w:bookmarkEnd w:id="1124"/>
      <w:bookmarkEnd w:id="1125"/>
      <w:bookmarkEnd w:id="1126"/>
      <w:bookmarkEnd w:id="1127"/>
      <w:bookmarkEnd w:id="1128"/>
      <w:bookmarkEnd w:id="1129"/>
      <w:bookmarkEnd w:id="1130"/>
      <w:bookmarkEnd w:id="1131"/>
      <w:bookmarkEnd w:id="1132"/>
      <w:bookmarkEnd w:id="1133"/>
      <w:bookmarkEnd w:id="1134"/>
      <w:r>
        <w:rPr>
          <w:rFonts w:ascii="Times New Roman;Times;serif" w:hAnsi="Times New Roman;Times;serif"/>
          <w:sz w:val="20"/>
        </w:rPr>
        <w:t>The following table summarizes the contract assets and liability associated with the Roche pralsetinib collaboration as of September 30, 2023 and December 31, 2022 (in thousands):</w:t>
      </w:r>
    </w:p>
    <w:p>
      <w:pPr>
        <w:pStyle w:val="TextBody"/>
        <w:bidi w:val="0"/>
        <w:spacing w:lineRule="auto" w:line="285" w:before="0" w:after="0"/>
        <w:ind w:left="0" w:right="0" w:hanging="0"/>
        <w:jc w:val="left"/>
        <w:rPr/>
      </w:pPr>
      <w:r>
        <w:rPr/>
        <w:t>​</w:t>
      </w:r>
    </w:p>
    <w:tbl>
      <w:tblPr>
        <w:tblW w:w="5348" w:type="dxa"/>
        <w:jc w:val="left"/>
        <w:tblInd w:w="0" w:type="dxa"/>
        <w:tblLayout w:type="fixed"/>
        <w:tblCellMar>
          <w:top w:w="0" w:type="dxa"/>
          <w:left w:w="0" w:type="dxa"/>
          <w:bottom w:w="0" w:type="dxa"/>
          <w:right w:w="0" w:type="dxa"/>
        </w:tblCellMar>
      </w:tblPr>
      <w:tblGrid>
        <w:gridCol w:w="2491"/>
        <w:gridCol w:w="266"/>
        <w:gridCol w:w="319"/>
        <w:gridCol w:w="866"/>
        <w:gridCol w:w="266"/>
        <w:gridCol w:w="271"/>
        <w:gridCol w:w="869"/>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581785" cy="175260"/>
                      <wp:effectExtent l="0" t="0" r="0" b="0"/>
                      <wp:wrapNone/>
                      <wp:docPr id="258" name="Frame258"/>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68910" cy="175260"/>
                      <wp:effectExtent l="0" t="0" r="0" b="0"/>
                      <wp:wrapNone/>
                      <wp:docPr id="259" name="Frame25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2565" cy="175260"/>
                      <wp:effectExtent l="0" t="0" r="0" b="0"/>
                      <wp:wrapNone/>
                      <wp:docPr id="260" name="Frame26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49910" cy="175260"/>
                      <wp:effectExtent l="0" t="0" r="0" b="0"/>
                      <wp:wrapNone/>
                      <wp:docPr id="261" name="Frame261"/>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8910" cy="175260"/>
                      <wp:effectExtent l="0" t="0" r="0" b="0"/>
                      <wp:wrapNone/>
                      <wp:docPr id="262" name="Frame26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72085" cy="175260"/>
                      <wp:effectExtent l="0" t="0" r="0" b="0"/>
                      <wp:wrapNone/>
                      <wp:docPr id="263" name="Frame26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51815" cy="175260"/>
                      <wp:effectExtent l="0" t="0" r="0" b="0"/>
                      <wp:wrapNone/>
                      <wp:docPr id="264" name="Frame26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266" w:type="dxa"/>
            <w:tcBorders/>
            <w:vAlign w:val="center"/>
          </w:tcPr>
          <w:p>
            <w:pPr>
              <w:pStyle w:val="TableContents"/>
              <w:bidi w:val="0"/>
              <w:spacing w:lineRule="auto" w:line="285" w:before="0" w:after="0"/>
              <w:ind w:left="0" w:right="0" w:hanging="0"/>
              <w:jc w:val="center"/>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Unbilled accounts receivable</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3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r>
      <w:tr>
        <w:trPr/>
        <w:tc>
          <w:tcPr>
            <w:tcW w:w="24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266" w:type="dxa"/>
            <w:tcBorders/>
            <w:vAlign w:val="center"/>
          </w:tcPr>
          <w:p>
            <w:pPr>
              <w:pStyle w:val="TableContents"/>
              <w:bidi w:val="0"/>
              <w:spacing w:lineRule="auto" w:line="285" w:before="0" w:after="0"/>
              <w:ind w:left="0" w:right="0" w:hanging="0"/>
              <w:jc w:val="left"/>
              <w:rPr/>
            </w:pPr>
            <w:r>
              <w:rPr/>
              <w:t>   </w:t>
            </w:r>
          </w:p>
        </w:tc>
        <w:tc>
          <w:tcPr>
            <w:tcW w:w="3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6,221</w:t>
            </w:r>
          </w:p>
        </w:tc>
        <w:tc>
          <w:tcPr>
            <w:tcW w:w="266" w:type="dxa"/>
            <w:tcBorders/>
            <w:vAlign w:val="center"/>
          </w:tcPr>
          <w:p>
            <w:pPr>
              <w:pStyle w:val="TableContents"/>
              <w:bidi w:val="0"/>
              <w:spacing w:lineRule="auto" w:line="285" w:before="0" w:after="0"/>
              <w:ind w:left="0" w:right="0" w:hanging="0"/>
              <w:jc w:val="left"/>
              <w:rPr/>
            </w:pPr>
            <w:r>
              <w:rPr/>
              <w:t>   </w:t>
            </w:r>
          </w:p>
        </w:tc>
        <w:tc>
          <w:tcPr>
            <w:tcW w:w="2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6,519</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Although the Company sold its right to receive royalty payments from Roche’s sales of GAVRETO in Roche Territory to Royalty Pharma in June 2022, given the Company’s significant continuing involvement in the generation of future royalties, the Company continues to account for any royalties earned related to the Roche Territory activities under the Roche pralsetinib collaboration agreement as collaboration revenue on its consolidated statements of operations and comprehensive loss. For additional information, see Note 3 – </w:t>
      </w:r>
      <w:r>
        <w:rPr>
          <w:rFonts w:ascii="Times New Roman;Times;serif" w:hAnsi="Times New Roman;Times;serif"/>
          <w:i/>
          <w:sz w:val="20"/>
        </w:rPr>
        <w:t>Financing Arrangements</w:t>
      </w:r>
      <w:r>
        <w:rPr>
          <w:rFonts w:ascii="Times New Roman;Times;serif" w:hAnsi="Times New Roman;Times;serif"/>
          <w:sz w:val="20"/>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Clementia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Clementia agreement, the Company received an upfront cash payment of $25.0 million and through September 30, 2023, the Company has received an aggregate of $50.0 million in cash milestone payments. Subject to the terms of the Clementia agreement, in addition to the upfront and milestone payments received through September 30, 2023,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determined that the transaction price at the outset of the arrangement was $46.5 million, which was allocated to the three performance obligations on a relative stand-alone selling price basis, and was recognized as </w:t>
      </w:r>
      <w:r>
        <w:rPr>
          <w:rFonts w:ascii="Times New Roman;Times;serif" w:hAnsi="Times New Roman;Times;serif"/>
          <w:b w:val="false"/>
          <w:i w:val="false"/>
          <w:caps w:val="false"/>
          <w:smallCaps w:val="false"/>
          <w:sz w:val="20"/>
        </w:rPr>
        <w:t>revenue</w:t>
      </w:r>
      <w:r>
        <w:rPr>
          <w:rFonts w:ascii="Times New Roman;Times;serif" w:hAnsi="Times New Roman;Times;serif"/>
          <w:sz w:val="20"/>
        </w:rPr>
        <w:t xml:space="preserve"> during 2019 and 2020.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nine months ended September 30, 2023, and during the three months ended September 30, 2022, no revenue was recognized from the Clementia collaboration. During the nine months ended September 30, 2022, cash consideration associated with an achieved development milestone of $30.0 million was added to the estimated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transaction price for the Clementia agreement and recognized as revenue. The other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was no revenue deferred as a contract liability associated with the Clementia agreement as of September 30, 2023 and December 31, 2022.</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CStone Pharmaceuticals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received an upfront cash payment of $40.0 million, and through September 30, 2023, the Company has achieved an aggregate of $38.5 million in milestones under this collaboration. Subject to the terms of the CStone agreement, in addition to the upfront payments received and milestones achieved through September 30, 2023, the Company will be eligible to receive up to $307.5 million in contingent payments, including specified development, regulatory and sales-based milestones for licensed products. In addition, CStone is obligated to pay the Company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are shared by the Company and CStone.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have significant manufacturing and research and development services related to the global development activities during the three and nine months ended September 30, 2023. During the three and nine months ended September 30, 2022, the Company recognized a reduction of $0.5 million and $1.6 million, respectively, in expenses related to manufacturing and research and development activities, net of expenses payable to CStone.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Based on these assessments, the Company identified three distinct performance obligations at the outset of the CStone agreement, which consists of the following for each licensed product: (1) the exclusive license and (2) the initial know-how transfer.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achieve any milestones under the CStone agreement during the three months ended September 30, 2023 and 2022. During the nine months ended September 30, 2023 and 2022, cash considerations associated with the achieved regulatory milestones of $9.0 million and $4.0 million, respectively, were added to the estimated transaction price for the CStone agreement and recognized as revenue. The Company reevaluates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135" w:name="Tc_tP2WeLOVB0u7YOfUqzNf4Q_5_0"/>
      <w:bookmarkStart w:id="1136" w:name="Tc_WYjeA11Gb0SFndVuQrQDAQ_4_0"/>
      <w:bookmarkStart w:id="1137" w:name="Tc_9CTihM5FgEmnkxRA_P4jUg_3_5"/>
      <w:bookmarkStart w:id="1138" w:name="Tc_ApIF_eEci0m1HgIkgLj-yw_3_2"/>
      <w:bookmarkStart w:id="1139" w:name="Tc_udFqZbhtEka41294HthyFg_3_0"/>
      <w:bookmarkStart w:id="1140" w:name="Tc_vw-lcuBVE0yRLBammvUYWQ_2_5"/>
      <w:bookmarkStart w:id="1141" w:name="Tc_SDXNjyoacU6gcdPmxyF4mg_2_2"/>
      <w:bookmarkStart w:id="1142" w:name="Tc_Z30gVW5R5023FbgNPiVNug_1_5"/>
      <w:bookmarkStart w:id="1143" w:name="Tc_aAyYlbHq8Ua24C-DdRCAUg_1_2"/>
      <w:bookmarkStart w:id="1144" w:name="Tc_Y36-7dNBLkmP1AjssDItDg_6_11"/>
      <w:bookmarkStart w:id="1145" w:name="Tc_F1qhi4S0dUqcM7dIjjNegQ_6_8"/>
      <w:bookmarkStart w:id="1146" w:name="Tc_6Y5xn1Ta_UejWack9TQcAQ_6_5"/>
      <w:bookmarkStart w:id="1147" w:name="Tc_CzCSTutVzUiUvYIQ0DYFlg_6_2"/>
      <w:bookmarkStart w:id="1148" w:name="Tc_QgzCKsccAEqA9mZb38am0A_6_0"/>
      <w:bookmarkStart w:id="1149" w:name="Tc_pewbWjtbGkOlsRq70WwOSg_5_0"/>
      <w:bookmarkStart w:id="1150" w:name="Tc_4koCyyzo1Ue05V0_XKIjZA_4_11"/>
      <w:bookmarkStart w:id="1151" w:name="Tc_TC8NjsefB06CA5mqOidvbg_4_8"/>
      <w:bookmarkStart w:id="1152" w:name="Tc_TrDmTBB2VU-6yvT0JXjzkw_4_6"/>
      <w:bookmarkStart w:id="1153" w:name="Tc_slmic1UizkKxA5z1X2Cstw_4_5"/>
      <w:bookmarkStart w:id="1154" w:name="Tc_6TyuhGfA9U-iNHPB5pbdGQ_4_3"/>
      <w:bookmarkStart w:id="1155" w:name="Tc_uX7ZcAzZPkSlROVWVvp_5w_4_2"/>
      <w:bookmarkStart w:id="1156" w:name="Tc_tIZGVQo4IUSSPxvcPxOP8A_4_0"/>
      <w:bookmarkStart w:id="1157" w:name="Tc_LT957jo2IUa2_d1mqS7zyQ_3_11"/>
      <w:bookmarkStart w:id="1158" w:name="Tc__RMErvCC9UKdttoxBmCy6g_3_8"/>
      <w:bookmarkStart w:id="1159" w:name="Tc_SOAfBHvby0KJPAYLoFFqzg_3_5"/>
      <w:bookmarkStart w:id="1160" w:name="Tc_gnA-8psqdkS0Hcnv_dWanA_3_2"/>
      <w:bookmarkStart w:id="1161" w:name="Tc_MBUffWIBJEaIt8JBnBgJOw_2_8"/>
      <w:bookmarkStart w:id="1162" w:name="Tc_OXUjDeLu_ECfROMII3gosw_2_2"/>
      <w:bookmarkStart w:id="1163" w:name="Tc_g8gx2ZfuC0i0eWi4gJCgrA_1_8"/>
      <w:bookmarkStart w:id="1164" w:name="Tc_LfAwg0tf4E-r6htGr_ycIQ_1_2"/>
      <w:bookmarkStart w:id="1165" w:name="_d88ec593_5a02_4dba_bad7_805e5d135439"/>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r>
        <w:rPr>
          <w:rFonts w:ascii="Times New Roman;Times;serif" w:hAnsi="Times New Roman;Times;serif"/>
          <w:sz w:val="20"/>
        </w:rPr>
        <w:t xml:space="preserve">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Subsequent to the CStone agreement, the Company entered into various commercial supply and manufacturing technology transfer agreements for avapritinib and pralsetinib related to supply of drug substance and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drug substance and drug product to CStone.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summary of revenue recognized under the CStone agreement during the three and nine months ended September 30, 2023 and 2022 is as follows (in thousands): </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675"/>
        <w:gridCol w:w="109"/>
        <w:gridCol w:w="211"/>
        <w:gridCol w:w="571"/>
        <w:gridCol w:w="326"/>
        <w:gridCol w:w="211"/>
        <w:gridCol w:w="571"/>
        <w:gridCol w:w="326"/>
        <w:gridCol w:w="211"/>
        <w:gridCol w:w="676"/>
        <w:gridCol w:w="326"/>
        <w:gridCol w:w="211"/>
        <w:gridCol w:w="781"/>
      </w:tblGrid>
      <w:tr>
        <w:trPr/>
        <w:tc>
          <w:tcPr>
            <w:tcW w:w="5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603625" cy="175260"/>
                      <wp:effectExtent l="0" t="0" r="0" b="0"/>
                      <wp:wrapNone/>
                      <wp:docPr id="265" name="Frame265"/>
                      <a:graphic xmlns:a="http://schemas.openxmlformats.org/drawingml/2006/main">
                        <a:graphicData uri="http://schemas.microsoft.com/office/word/2010/wordprocessingShape">
                          <wps:wsp>
                            <wps:cNvSpPr txBox="1"/>
                            <wps:spPr>
                              <a:xfrm>
                                <a:off x="0" y="0"/>
                                <a:ext cx="36036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62585" cy="175260"/>
                      <wp:effectExtent l="0" t="0" r="0" b="0"/>
                      <wp:wrapNone/>
                      <wp:docPr id="268" name="Frame2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62585" cy="175260"/>
                      <wp:effectExtent l="0" t="0" r="0" b="0"/>
                      <wp:wrapNone/>
                      <wp:docPr id="271" name="Frame2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29260" cy="175260"/>
                      <wp:effectExtent l="0" t="0" r="0" b="0"/>
                      <wp:wrapNone/>
                      <wp:docPr id="274" name="Frame2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95935" cy="175260"/>
                      <wp:effectExtent l="0" t="0" r="0" b="0"/>
                      <wp:wrapNone/>
                      <wp:docPr id="277" name="Frame2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67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9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220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67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lineRule="auto" w:line="285" w:before="0" w:after="0"/>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67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6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License milestone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56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Manufacturing services and royalty revenue related to CStone Territory-specific activities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14,209</w:t>
            </w:r>
          </w:p>
        </w:tc>
      </w:tr>
      <w:tr>
        <w:trPr/>
        <w:tc>
          <w:tcPr>
            <w:tcW w:w="56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CStone collaboration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16,861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18,209</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contract assets and contract liability associated with the CStone collaboration as of September 30, 2023 and December 31, 2022 (in thousands):</w:t>
      </w:r>
    </w:p>
    <w:p>
      <w:pPr>
        <w:pStyle w:val="TextBody"/>
        <w:bidi w:val="0"/>
        <w:spacing w:lineRule="auto" w:line="285" w:before="0" w:after="0"/>
        <w:ind w:left="0" w:right="0" w:hanging="0"/>
        <w:jc w:val="left"/>
        <w:rPr/>
      </w:pPr>
      <w:r>
        <w:rPr/>
        <w:t>​</w:t>
      </w:r>
    </w:p>
    <w:tbl>
      <w:tblPr>
        <w:tblW w:w="5348" w:type="dxa"/>
        <w:jc w:val="left"/>
        <w:tblInd w:w="0" w:type="dxa"/>
        <w:tblLayout w:type="fixed"/>
        <w:tblCellMar>
          <w:top w:w="0" w:type="dxa"/>
          <w:left w:w="0" w:type="dxa"/>
          <w:bottom w:w="0" w:type="dxa"/>
          <w:right w:w="0" w:type="dxa"/>
        </w:tblCellMar>
      </w:tblPr>
      <w:tblGrid>
        <w:gridCol w:w="2491"/>
        <w:gridCol w:w="266"/>
        <w:gridCol w:w="319"/>
        <w:gridCol w:w="866"/>
        <w:gridCol w:w="266"/>
        <w:gridCol w:w="271"/>
        <w:gridCol w:w="869"/>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581785" cy="175260"/>
                      <wp:effectExtent l="0" t="0" r="0" b="0"/>
                      <wp:wrapNone/>
                      <wp:docPr id="278" name="Frame278"/>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68910" cy="175260"/>
                      <wp:effectExtent l="0" t="0" r="0" b="0"/>
                      <wp:wrapNone/>
                      <wp:docPr id="279" name="Frame27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2565" cy="175260"/>
                      <wp:effectExtent l="0" t="0" r="0" b="0"/>
                      <wp:wrapNone/>
                      <wp:docPr id="280" name="Frame28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49910" cy="175260"/>
                      <wp:effectExtent l="0" t="0" r="0" b="0"/>
                      <wp:wrapNone/>
                      <wp:docPr id="281" name="Frame281"/>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8910" cy="175260"/>
                      <wp:effectExtent l="0" t="0" r="0" b="0"/>
                      <wp:wrapNone/>
                      <wp:docPr id="282" name="Frame28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72085" cy="175260"/>
                      <wp:effectExtent l="0" t="0" r="0" b="0"/>
                      <wp:wrapNone/>
                      <wp:docPr id="283" name="Frame28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51815" cy="175260"/>
                      <wp:effectExtent l="0" t="0" r="0" b="0"/>
                      <wp:wrapNone/>
                      <wp:docPr id="284" name="Frame28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266"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lineRule="auto" w:line="285"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3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5,338</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4,991</w:t>
            </w:r>
          </w:p>
        </w:tc>
      </w:tr>
      <w:tr>
        <w:trPr/>
        <w:tc>
          <w:tcPr>
            <w:tcW w:w="24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Unbilled accounts receivable</w:t>
            </w:r>
          </w:p>
        </w:tc>
        <w:tc>
          <w:tcPr>
            <w:tcW w:w="266" w:type="dxa"/>
            <w:tcBorders/>
            <w:vAlign w:val="center"/>
          </w:tcPr>
          <w:p>
            <w:pPr>
              <w:pStyle w:val="TableContents"/>
              <w:bidi w:val="0"/>
              <w:spacing w:lineRule="auto" w:line="285" w:before="0" w:after="0"/>
              <w:ind w:left="0" w:right="0" w:hanging="0"/>
              <w:jc w:val="left"/>
              <w:rPr/>
            </w:pPr>
            <w:r>
              <w:rPr/>
              <w:t>   </w:t>
            </w:r>
          </w:p>
        </w:tc>
        <w:tc>
          <w:tcPr>
            <w:tcW w:w="319" w:type="dxa"/>
            <w:tcBorders/>
            <w:vAlign w:val="center"/>
          </w:tcPr>
          <w:p>
            <w:pPr>
              <w:pStyle w:val="TableContents"/>
              <w:bidi w:val="0"/>
              <w:spacing w:lineRule="auto" w:line="285" w:before="0" w:after="0"/>
              <w:ind w:left="0" w:right="0" w:hanging="0"/>
              <w:jc w:val="left"/>
              <w:rPr/>
            </w:pPr>
            <w:r>
              <w:rPr/>
              <w:t>​</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266" w:type="dxa"/>
            <w:tcBorders/>
            <w:vAlign w:val="center"/>
          </w:tcPr>
          <w:p>
            <w:pPr>
              <w:pStyle w:val="TableContents"/>
              <w:bidi w:val="0"/>
              <w:spacing w:lineRule="auto" w:line="285" w:before="0" w:after="0"/>
              <w:ind w:left="0" w:right="0" w:hanging="0"/>
              <w:jc w:val="left"/>
              <w:rPr/>
            </w:pPr>
            <w:r>
              <w:rPr/>
              <w:t>   </w:t>
            </w:r>
          </w:p>
        </w:tc>
        <w:tc>
          <w:tcPr>
            <w:tcW w:w="271"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1,529</w:t>
            </w:r>
          </w:p>
        </w:tc>
      </w:tr>
      <w:tr>
        <w:trPr/>
        <w:tc>
          <w:tcPr>
            <w:tcW w:w="24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liability</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0"/>
              <w:ind w:left="0" w:right="0" w:hanging="0"/>
              <w:jc w:val="left"/>
              <w:rPr/>
            </w:pPr>
            <w:r>
              <w:rPr/>
              <w:t>​</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3,010</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2,265</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contract liability associated with the CStone collaboration as of September 30, 2023 and December 31, 2022 resulted primarily from advance payments made by CStone in connection with commercial supply of pralsetinib for the CStone Territory.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Roche – Immunotherapy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Roche immunotherapy agreement, Roche was originally granted up to five option rights to obtain an exclusive license to exploit products derived from the collaboration programs in the field of cancer immunotherapy. Four of the five development programs were ended in prior reporting periods and on April 30, 2023, the Company and Roche entered into a mutual termination agreement to terminate the Roche immunotherapy agreement, and licenses granted by the Company to Roche related to MAP4K1 (BLU-852) terminated in their entirety. Certain licenses granted by Roche to the Company survived and became exclusive, worldwide, perpetual, royalty-free and irrevocable. The Company retained ownership of the collaboration compounds directed to MAP4K1 and all of the other previously terminated kinase targets developed under the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Roche immunotherapy agreement represented a vendor-customer relationship under ASC 606 as the Company performed its one performance obligation at the outset of the Roche immunotherapy agreement, which consists of: (1) the non-exclusive license; (2) the research and development activities through Phase 1; and (3) regulatory responsibilities under Phase 1 clinical trials.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aggregate net transaction price of the Roche immunotherapy agreement was $64.7 million, which comprised of an upfront payment of $45.0 million, an aggregate of $25.0 million in research milestones achieved under the collaboration, and a reduction of $5.3 million as a result of the Company’s payment to Roche for certain clinical development costs. This payment resulted from a cost sharing under the clinical development plan for IND-enabling activities for BLU-852, which the Company and Roche endorsed in 2022.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recognized revenue associated with the performance obligation as the research and development services were provided using an input method, according to the costs incurred as related to the research and development activities on each program and the costs expected to be incurred in the future to satisfy the performance obligation for each respective period. The amounts received that had not yet been recognized as revenue were deferred as a contract liability on the Company’s consolidated balance sheet and recognized over the remaining research and development period until the performance obligation was satisfied. The performance obligation was completely satisfied as of June 30, 2023.</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September 30, 2023, the Company did not record any revenue under the Roche immunotherapy agreement. During the nine months ended September 30, 2023, the Company recognized research and development services revenue of $25.7 million under the Roche immunotherapy agreement, of which $16.0 million resulted from changes in contract liability balances as of December 31, 2022 and $9.7 million resulted from the catch-up revenue recognized as a result of the collaboration termination effective in April 2023. The collaboration agreement termination caused the reduction in the estimated lifetime cost to satisfy </w:t>
      </w:r>
      <w:r>
        <w:rPr>
          <w:rFonts w:ascii="Times New Roman;Times;serif" w:hAnsi="Times New Roman;Times;serif"/>
          <w:sz w:val="20"/>
          <w:shd w:fill="FFFFFF" w:val="clear"/>
        </w:rPr>
        <w:t>the Company’s performance obligation under the Roche immunotherapy collaboration</w:t>
      </w:r>
      <w:r>
        <w:rPr>
          <w:rFonts w:ascii="Times New Roman;Times;serif" w:hAnsi="Times New Roman;Times;serif"/>
          <w:sz w:val="20"/>
        </w:rPr>
        <w:t xml:space="preserve"> and the estimated cost to be shared with Roche for the IND-enabling activities for BLU-852, an</w:t>
      </w:r>
      <w:r>
        <w:rPr>
          <w:rFonts w:ascii="Times New Roman;Times;serif" w:hAnsi="Times New Roman;Times;serif"/>
          <w:sz w:val="20"/>
          <w:shd w:fill="FFFFFF" w:val="clear"/>
        </w:rPr>
        <w:t xml:space="preserve">d consequently, increased the transaction price and the percentage of completion of revenue to be recognized under the collaboration agreement.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the three and nine months ended September 30, 2022, the Company recognized $2.5 million and $1.7 million in revenue under the Roche immunotherapy agreement, respectively, of which, $1.4 million and $3.8 million was recognized due to the changes in the contract liability balances at the beginning of the respective periods, respectively.</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As of September 30, 2023, the Company did not have any liabilities related to the Roche immunotherapy collaboration. As of December 31, 2022, the Company had revenue deferred as a contract liability related to the Roche immunotherapy agreement of $16.0 million, of which $2.4 million was included in current liabilities, and accrued expenses of $11.2 million, of which $4.0 million was included in current liabilities.</w:t>
      </w:r>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11. Stock-based Compensation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2015 Stock Option and Incentive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performance-based restricted stock units, unrestricted stock, performance-based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2023, the number of shares reserved for issuance under the 2015 Plan was increased by 2,398,356 shares. In addition, the total number of shares reserved for issuance is subject to adjustment in the event of a stock split, stock dividend or other change in the Company’s capitalization. As of September 30, 2023, there were 4,896,334 shares available for future grant under the 2015 Plan.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2020 Inducement Plan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166" w:name="Tc_UfVghq-QPEOKSbVk-hrL7A_7_4"/>
      <w:bookmarkStart w:id="1167" w:name="Tc_gvCdEYpcY0ql7I1kas7Ldg_7_0"/>
      <w:bookmarkStart w:id="1168" w:name="Tc_qhE-4UQ-K0CFYVh6IM-LIw_6_0"/>
      <w:bookmarkStart w:id="1169" w:name="Tc_D_pTElz2fkOp6g9BZ7kIxg_5_0"/>
      <w:bookmarkStart w:id="1170" w:name="Tc_JAQg9wD6rEiYzun_GeI8vA_4_0"/>
      <w:bookmarkStart w:id="1171" w:name="Tc_yfDBaAKf30q-eTA5dWitRQ_3_4"/>
      <w:bookmarkStart w:id="1172" w:name="Tc_c_Mn7FEWuUCwMiRcF5M0IA_3_0"/>
      <w:bookmarkStart w:id="1173" w:name="Tc_QRPJS0cJEUy5eEKduh23cg_2_4"/>
      <w:bookmarkStart w:id="1174" w:name="Tc_oZyv2Lf7KkC0gZx1JLUXfg_2_2"/>
      <w:bookmarkStart w:id="1175" w:name="Tc_Td-rUVZ1cUaoph3WlQiJZQ_1_4"/>
      <w:bookmarkStart w:id="1176" w:name="_6323d5ce_e14c_49c4_8c48_f733001a8abf"/>
      <w:bookmarkStart w:id="1177" w:name="Tc_7gGGl6wFlkKsEYtO6YBDsg_8_4"/>
      <w:bookmarkStart w:id="1178" w:name="Tc_cX8qDLrsBE29RW6w7j4vkA_8_0"/>
      <w:bookmarkStart w:id="1179" w:name="Tc_DNUHrniuE0WRa8NzpFSsOg_7_4"/>
      <w:bookmarkStart w:id="1180" w:name="Tc_Pyx6upMPOkOQWez9eU7wpA_7_0"/>
      <w:bookmarkStart w:id="1181" w:name="Tc_PL6pDdcMJkSLbP55hAKoOg_6_0"/>
      <w:bookmarkStart w:id="1182" w:name="Tc_oUCrXsEFN0-mY_sfn43NfQ_5_0"/>
      <w:bookmarkStart w:id="1183" w:name="Tc_TKkJpYVfHUO997sEX9WLDA_4_0"/>
      <w:bookmarkStart w:id="1184" w:name="Tc_ALEkGsfBbUOViTlwIuCeww_3_4"/>
      <w:bookmarkStart w:id="1185" w:name="Tc_ac3rj2nVwUm4nby3j1mc-Q_3_0"/>
      <w:bookmarkStart w:id="1186" w:name="Tc_-COYRgw75US_e1f3ji7jSQ_2_5"/>
      <w:bookmarkStart w:id="1187" w:name="Tc_F23krpdDCUeZiugmFKas2w_2_2"/>
      <w:bookmarkStart w:id="1188" w:name="Tc_fFx99R-9mkKNbn41VGTgpQ_1_4"/>
      <w:bookmarkStart w:id="1189" w:name="_0733e19e_562f_4b2f_afce_0eb1e22d93e9"/>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r>
        <w:rPr>
          <w:rFonts w:ascii="Times New Roman;Times;serif" w:hAnsi="Times New Roman;Times;serif"/>
          <w:sz w:val="20"/>
        </w:rPr>
        <w:t>Company initially reserved a total of 1,000,000 shares of common stock for the issuance of awards under the Inducement Plan. In June 2022, the Company’s board of directors approved the reservation of an additional 1,500,000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September 30, 2023, there were 1,366,923 shares available for future grant under the Inducement Plan.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stock option activity for the nine months ended September 30, 2023: </w:t>
      </w:r>
    </w:p>
    <w:p>
      <w:pPr>
        <w:pStyle w:val="TextBody"/>
        <w:bidi w:val="0"/>
        <w:spacing w:lineRule="auto" w:line="285" w:before="0" w:after="0"/>
        <w:ind w:left="0" w:right="0" w:hanging="0"/>
        <w:jc w:val="left"/>
        <w:rPr/>
      </w:pPr>
      <w:r>
        <w:rPr/>
        <w:t>​</w:t>
      </w:r>
    </w:p>
    <w:tbl>
      <w:tblPr>
        <w:tblW w:w="5688" w:type="dxa"/>
        <w:jc w:val="left"/>
        <w:tblInd w:w="0" w:type="dxa"/>
        <w:tblLayout w:type="fixed"/>
        <w:tblCellMar>
          <w:top w:w="0" w:type="dxa"/>
          <w:left w:w="0" w:type="dxa"/>
          <w:bottom w:w="0" w:type="dxa"/>
          <w:right w:w="0" w:type="dxa"/>
        </w:tblCellMar>
      </w:tblPr>
      <w:tblGrid>
        <w:gridCol w:w="2986"/>
        <w:gridCol w:w="146"/>
        <w:gridCol w:w="931"/>
        <w:gridCol w:w="109"/>
        <w:gridCol w:w="332"/>
        <w:gridCol w:w="1184"/>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896110" cy="175260"/>
                      <wp:effectExtent l="0" t="0" r="0" b="0"/>
                      <wp:wrapNone/>
                      <wp:docPr id="285" name="Frame285"/>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92710" cy="175260"/>
                      <wp:effectExtent l="0" t="0" r="0" b="0"/>
                      <wp:wrapNone/>
                      <wp:docPr id="286" name="Frame2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91185" cy="175260"/>
                      <wp:effectExtent l="0" t="0" r="0" b="0"/>
                      <wp:wrapNone/>
                      <wp:docPr id="287" name="Frame2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0820" cy="175260"/>
                      <wp:effectExtent l="0" t="0" r="0" b="0"/>
                      <wp:wrapNone/>
                      <wp:docPr id="289" name="Frame289"/>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51840" cy="175260"/>
                      <wp:effectExtent l="0" t="0" r="0" b="0"/>
                      <wp:wrapNone/>
                      <wp:docPr id="290" name="Frame290"/>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9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lineRule="auto" w:line="285" w:before="0" w:after="0"/>
              <w:ind w:left="0" w:right="0" w:hanging="0"/>
              <w:jc w:val="center"/>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8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9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2022</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6,233,451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69.14</w:t>
            </w:r>
          </w:p>
        </w:tc>
      </w:tr>
      <w:tr>
        <w:trPr/>
        <w:tc>
          <w:tcPr>
            <w:tcW w:w="29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1,182,245</w:t>
            </w:r>
          </w:p>
        </w:tc>
        <w:tc>
          <w:tcPr>
            <w:tcW w:w="109"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left"/>
              <w:rPr/>
            </w:pPr>
            <w:r>
              <w:rPr/>
              <w:t>​</w:t>
            </w:r>
          </w:p>
        </w:tc>
        <w:tc>
          <w:tcPr>
            <w:tcW w:w="11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45.31</w:t>
            </w:r>
          </w:p>
        </w:tc>
      </w:tr>
      <w:tr>
        <w:trPr/>
        <w:tc>
          <w:tcPr>
            <w:tcW w:w="29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(154,433)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right"/>
              <w:rPr/>
            </w:pPr>
            <w:r>
              <w:rPr/>
              <w:t>​</w:t>
            </w:r>
          </w:p>
        </w:tc>
        <w:tc>
          <w:tcPr>
            <w:tcW w:w="11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22.02</w:t>
            </w:r>
          </w:p>
        </w:tc>
      </w:tr>
      <w:tr>
        <w:trPr/>
        <w:tc>
          <w:tcPr>
            <w:tcW w:w="29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14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(277,649)</w:t>
            </w:r>
          </w:p>
        </w:tc>
        <w:tc>
          <w:tcPr>
            <w:tcW w:w="109"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1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70.90</w:t>
            </w:r>
          </w:p>
        </w:tc>
      </w:tr>
      <w:tr>
        <w:trPr/>
        <w:tc>
          <w:tcPr>
            <w:tcW w:w="29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September 30, 2023</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6,983,614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66.08</w:t>
            </w:r>
          </w:p>
        </w:tc>
      </w:tr>
      <w:tr>
        <w:trPr/>
        <w:tc>
          <w:tcPr>
            <w:tcW w:w="29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Exercisable at September 30, 2023</w:t>
            </w:r>
          </w:p>
        </w:tc>
        <w:tc>
          <w:tcPr>
            <w:tcW w:w="146" w:type="dxa"/>
            <w:tcBorders/>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4,756,302</w:t>
            </w:r>
          </w:p>
        </w:tc>
        <w:tc>
          <w:tcPr>
            <w:tcW w:w="109" w:type="dxa"/>
            <w:tcBorders/>
            <w:vAlign w:val="center"/>
          </w:tcPr>
          <w:p>
            <w:pPr>
              <w:pStyle w:val="TableContents"/>
              <w:bidi w:val="0"/>
              <w:spacing w:lineRule="auto" w:line="285" w:before="0" w:after="0"/>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68.88</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the total unrecognized compensation expense related to unvested stock option awards was $69.2 million, which is expected to be recognized over a weighted-average period of approximately 2.61 years.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restricted stock units activity for the nine months ended September 30, 2023:</w:t>
      </w:r>
    </w:p>
    <w:p>
      <w:pPr>
        <w:pStyle w:val="TextBody"/>
        <w:bidi w:val="0"/>
        <w:spacing w:lineRule="auto" w:line="285" w:before="0" w:after="0"/>
        <w:ind w:left="0" w:right="0" w:hanging="0"/>
        <w:jc w:val="left"/>
        <w:rPr/>
      </w:pPr>
      <w:r>
        <w:rPr/>
        <w:t>​</w:t>
      </w:r>
    </w:p>
    <w:tbl>
      <w:tblPr>
        <w:tblW w:w="6684" w:type="dxa"/>
        <w:jc w:val="left"/>
        <w:tblInd w:w="0" w:type="dxa"/>
        <w:tblLayout w:type="fixed"/>
        <w:tblCellMar>
          <w:top w:w="0" w:type="dxa"/>
          <w:left w:w="0" w:type="dxa"/>
          <w:bottom w:w="0" w:type="dxa"/>
          <w:right w:w="0" w:type="dxa"/>
        </w:tblCellMar>
      </w:tblPr>
      <w:tblGrid>
        <w:gridCol w:w="3286"/>
        <w:gridCol w:w="326"/>
        <w:gridCol w:w="931"/>
        <w:gridCol w:w="326"/>
        <w:gridCol w:w="431"/>
        <w:gridCol w:w="1384"/>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86610" cy="175260"/>
                      <wp:effectExtent l="0" t="0" r="0" b="0"/>
                      <wp:wrapNone/>
                      <wp:docPr id="291" name="Frame291"/>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91185" cy="175260"/>
                      <wp:effectExtent l="0" t="0" r="0" b="0"/>
                      <wp:wrapNone/>
                      <wp:docPr id="293" name="Frame2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73685" cy="175260"/>
                      <wp:effectExtent l="0" t="0" r="0" b="0"/>
                      <wp:wrapNone/>
                      <wp:docPr id="295" name="Frame295"/>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878840" cy="175260"/>
                      <wp:effectExtent l="0" t="0" r="0" b="0"/>
                      <wp:wrapNone/>
                      <wp:docPr id="296" name="Frame296"/>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1,893,944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73.28</w:t>
            </w:r>
          </w:p>
        </w:tc>
      </w:tr>
      <w:tr>
        <w:trPr/>
        <w:tc>
          <w:tcPr>
            <w:tcW w:w="32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888,010</w:t>
            </w:r>
          </w:p>
        </w:tc>
        <w:tc>
          <w:tcPr>
            <w:tcW w:w="326" w:type="dxa"/>
            <w:tcBorders/>
            <w:vAlign w:val="center"/>
          </w:tcPr>
          <w:p>
            <w:pPr>
              <w:pStyle w:val="TableContents"/>
              <w:bidi w:val="0"/>
              <w:spacing w:lineRule="auto" w:line="285" w:before="0" w:after="0"/>
              <w:ind w:left="0" w:right="0" w:hanging="0"/>
              <w:jc w:val="left"/>
              <w:rPr/>
            </w:pPr>
            <w:r>
              <w:rPr/>
              <w:t>​</w:t>
            </w:r>
          </w:p>
        </w:tc>
        <w:tc>
          <w:tcPr>
            <w:tcW w:w="431" w:type="dxa"/>
            <w:tcBorders/>
            <w:vAlign w:val="center"/>
          </w:tcPr>
          <w:p>
            <w:pPr>
              <w:pStyle w:val="TableContents"/>
              <w:bidi w:val="0"/>
              <w:spacing w:lineRule="auto" w:line="285" w:before="0" w:after="0"/>
              <w:ind w:left="0" w:right="0" w:hanging="0"/>
              <w:jc w:val="right"/>
              <w:rPr/>
            </w:pPr>
            <w:r>
              <w:rPr/>
              <w:t> </w:t>
            </w:r>
          </w:p>
        </w:tc>
        <w:tc>
          <w:tcPr>
            <w:tcW w:w="13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44.78</w:t>
            </w:r>
          </w:p>
        </w:tc>
      </w:tr>
      <w:tr>
        <w:trPr/>
        <w:tc>
          <w:tcPr>
            <w:tcW w:w="32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(569,385)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right"/>
              <w:rPr/>
            </w:pPr>
            <w:r>
              <w:rPr/>
              <w:t> </w:t>
            </w:r>
          </w:p>
        </w:tc>
        <w:tc>
          <w:tcPr>
            <w:tcW w:w="13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72.64</w:t>
            </w:r>
          </w:p>
        </w:tc>
      </w:tr>
      <w:tr>
        <w:trPr/>
        <w:tc>
          <w:tcPr>
            <w:tcW w:w="32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(119,829)</w:t>
            </w:r>
          </w:p>
        </w:tc>
        <w:tc>
          <w:tcPr>
            <w:tcW w:w="326" w:type="dxa"/>
            <w:tcBorders/>
            <w:vAlign w:val="center"/>
          </w:tcPr>
          <w:p>
            <w:pPr>
              <w:pStyle w:val="TableContents"/>
              <w:bidi w:val="0"/>
              <w:spacing w:lineRule="auto" w:line="285"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3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64.97</w:t>
            </w:r>
          </w:p>
        </w:tc>
      </w:tr>
      <w:tr>
        <w:trPr/>
        <w:tc>
          <w:tcPr>
            <w:tcW w:w="32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September 30, 2023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2,092,740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61.85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the total unrecognized compensation expense related to unvested restricted stock units was $99.0 million, which is expected to be recognized over a weighted-average period of approximately 2.55 years.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units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first quarter of 2023, the Company began granting performance-based restricted stock units (PSUs) that will settle in stock. PSUs awarded to employees have a three-year performance period and vest on the </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Participants may ultimately earn between zero and 200.0% of the target number of PSUs granted based on the degree of achievement of the performance metric based on a three-year cumulative relative total shareholder return metric. Accordingly, additional PSUs may be issued or currently issued PSUs may be cancelled upon final determination of the number of units earned.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190" w:name="Tc_AuAuXICGG0Wh2PSqX0TVOQ_10_11"/>
      <w:bookmarkStart w:id="1191" w:name="Tc_ucgNVMrKk06SMjk05c5OEw_10_8"/>
      <w:bookmarkStart w:id="1192" w:name="Tc_bJdHqQ6Dikmufa4hyB0k8w_10_5"/>
      <w:bookmarkStart w:id="1193" w:name="Tc_4PyvAI4_KEKS3eZveH0W0A_10_2"/>
      <w:bookmarkStart w:id="1194" w:name="Tc_E5ltUh2jH0qkJ2F_kNE8pQ_10_0"/>
      <w:bookmarkStart w:id="1195" w:name="Tc_QcZUUFdYSUmCt_Yl7pLPbg_9_0"/>
      <w:bookmarkStart w:id="1196" w:name="Tc_4-Cr-QbyskqxnI2wZMybfg_8_0"/>
      <w:bookmarkStart w:id="1197" w:name="Tc_rIvZlT0pg0WVZ2qaal6D6A_7_0"/>
      <w:bookmarkStart w:id="1198" w:name="Tc_Init9HfdWk-pqgxCRcP_Bw_6_12"/>
      <w:bookmarkStart w:id="1199" w:name="Tc_GZhQL3Fcdk2g7zgK-D41EA_6_6"/>
      <w:bookmarkStart w:id="1200" w:name="Tc_nptwQBdPHkCGsRCL-4CddA_6_0"/>
      <w:bookmarkStart w:id="1201" w:name="Tc_spiCXTrO5kSGGwc9V9aP8g_5_0"/>
      <w:bookmarkStart w:id="1202" w:name="Tc_W2AZ8m3rgEGk2RwGpGfdgA_4_11"/>
      <w:bookmarkStart w:id="1203" w:name="Tc_eU7UK0rK_ES-uMgIG5cMqg_4_8"/>
      <w:bookmarkStart w:id="1204" w:name="Tc_gez0I7ZbbkS-r4cJYEX76g_4_5"/>
      <w:bookmarkStart w:id="1205" w:name="Tc_FW_PzEkPtUyT7bgpCcO0uw_4_2"/>
      <w:bookmarkStart w:id="1206" w:name="Tc_jEme3tm650yY_CJEeMSPIA_4_0"/>
      <w:bookmarkStart w:id="1207" w:name="Tc_JT2TvgUqHU-PfxWTIvZHeQ_3_11"/>
      <w:bookmarkStart w:id="1208" w:name="Tc_vVFppxMHTkupDj9kSnmNZw_3_8"/>
      <w:bookmarkStart w:id="1209" w:name="Tc_53D1Vs2n8kyl5RmuoNLjsQ_3_5"/>
      <w:bookmarkStart w:id="1210" w:name="Tc_OU01gPcHa0eFlhBAdgGAPA_3_2"/>
      <w:bookmarkStart w:id="1211" w:name="Tc_KL3v5evMWkG0XhepyXaKEg_2_8"/>
      <w:bookmarkStart w:id="1212" w:name="Tc_ShQDlNJaN0CBps_2BC9dGA_2_2"/>
      <w:bookmarkStart w:id="1213" w:name="Tc_-JQuozXRx0upnKkSYU1fpw_1_8"/>
      <w:bookmarkStart w:id="1214" w:name="Tc_RMzr-56i2Um7MuyJ1lopnQ_1_2"/>
      <w:bookmarkStart w:id="1215" w:name="_9038be8d_690a_42aa_8b26_e75f2f67ddec"/>
      <w:bookmarkStart w:id="1216" w:name="Tc_g2l3-EQW_ECgJooac00AdA_8_4"/>
      <w:bookmarkStart w:id="1217" w:name="Tc_mjlqVPzqAUSmQ9kUpisYLg_8_0"/>
      <w:bookmarkStart w:id="1218" w:name="Tc_lwFRl8Lj4Ee8Mf0n6-hEsw_7_5"/>
      <w:bookmarkStart w:id="1219" w:name="Tc_kjUh87KLHEWWgzzHjMdeLQ_7_2"/>
      <w:bookmarkStart w:id="1220" w:name="Tc_eNRoy9YuPU6JLBHCSN-O6g_7_0"/>
      <w:bookmarkStart w:id="1221" w:name="Tc_nW4ztMpebUCoE0CMbBrc_Q_6_5"/>
      <w:bookmarkStart w:id="1222" w:name="Tc_ykJP81THyEiQAryS_9QIug_6_2"/>
      <w:bookmarkStart w:id="1223" w:name="Tc_pHPX0qfvTkWVZkIjNyERlg_6_0"/>
      <w:bookmarkStart w:id="1224" w:name="Tc_e9568wGEmUqzLCk00P6tQg_5_0"/>
      <w:bookmarkStart w:id="1225" w:name="Tc_iZGpf7-Ma0KvwAaEjWqB2g_4_4"/>
      <w:bookmarkStart w:id="1226" w:name="Tc_NLNroYqrOUWVHyUkHxULFA_4_0"/>
      <w:bookmarkStart w:id="1227" w:name="Tc__Wi_VbI-xUGiQzmXvI6toA_3_4"/>
      <w:bookmarkStart w:id="1228" w:name="Tc_N5Z1loIdi02zwyXp_QvAOQ_3_2"/>
      <w:bookmarkStart w:id="1229" w:name="Tc_JKrvIqbVDEeehIh8lDDixg_2_4"/>
      <w:bookmarkStart w:id="1230" w:name="Tc_kVlKgIgMD0qvE2TaF5ApHw_1_4"/>
      <w:bookmarkStart w:id="1231" w:name="_25e15c4e_25cf_443e_951b_912d794bdd42"/>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r>
        <w:rPr>
          <w:rFonts w:ascii="Times New Roman;Times;serif" w:hAnsi="Times New Roman;Times;serif"/>
          <w:sz w:val="20"/>
        </w:rPr>
        <w:t>The following table summarizes the PSU activity for the nine months ended September 30, 2023:</w:t>
      </w:r>
    </w:p>
    <w:p>
      <w:pPr>
        <w:pStyle w:val="TextBody"/>
        <w:bidi w:val="0"/>
        <w:spacing w:lineRule="auto" w:line="285" w:before="0" w:after="0"/>
        <w:ind w:left="0" w:right="0" w:hanging="0"/>
        <w:jc w:val="left"/>
        <w:rPr/>
      </w:pPr>
      <w:r>
        <w:rPr/>
        <w:t>​</w:t>
      </w:r>
    </w:p>
    <w:tbl>
      <w:tblPr>
        <w:tblW w:w="6429" w:type="dxa"/>
        <w:jc w:val="left"/>
        <w:tblInd w:w="0" w:type="dxa"/>
        <w:tblLayout w:type="fixed"/>
        <w:tblCellMar>
          <w:top w:w="0" w:type="dxa"/>
          <w:left w:w="0" w:type="dxa"/>
          <w:bottom w:w="0" w:type="dxa"/>
          <w:right w:w="0" w:type="dxa"/>
        </w:tblCellMar>
      </w:tblPr>
      <w:tblGrid>
        <w:gridCol w:w="3286"/>
        <w:gridCol w:w="326"/>
        <w:gridCol w:w="676"/>
        <w:gridCol w:w="326"/>
        <w:gridCol w:w="431"/>
        <w:gridCol w:w="1384"/>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86610" cy="175260"/>
                      <wp:effectExtent l="0" t="0" r="0" b="0"/>
                      <wp:wrapNone/>
                      <wp:docPr id="297" name="Frame297"/>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29260" cy="175260"/>
                      <wp:effectExtent l="0" t="0" r="0" b="0"/>
                      <wp:wrapNone/>
                      <wp:docPr id="299" name="Frame2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73685" cy="175260"/>
                      <wp:effectExtent l="0" t="0" r="0" b="0"/>
                      <wp:wrapNone/>
                      <wp:docPr id="301" name="Frame301"/>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878840" cy="175260"/>
                      <wp:effectExtent l="0" t="0" r="0" b="0"/>
                      <wp:wrapNone/>
                      <wp:docPr id="302" name="Frame302"/>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67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67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lineRule="auto" w:line="285" w:before="0" w:after="0"/>
              <w:ind w:left="0" w:right="0" w:hanging="0"/>
              <w:jc w:val="right"/>
              <w:rPr/>
            </w:pPr>
            <w:r>
              <w:rPr/>
              <w:t>—</w:t>
            </w:r>
          </w:p>
        </w:tc>
      </w:tr>
      <w:tr>
        <w:trPr/>
        <w:tc>
          <w:tcPr>
            <w:tcW w:w="32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lineRule="auto" w:line="285" w:before="0" w:after="0"/>
              <w:ind w:left="0" w:right="0" w:hanging="0"/>
              <w:jc w:val="left"/>
              <w:rPr/>
            </w:pPr>
            <w:r>
              <w:rP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52,500</w:t>
            </w:r>
          </w:p>
        </w:tc>
        <w:tc>
          <w:tcPr>
            <w:tcW w:w="326" w:type="dxa"/>
            <w:tcBorders/>
            <w:vAlign w:val="center"/>
          </w:tcPr>
          <w:p>
            <w:pPr>
              <w:pStyle w:val="TableContents"/>
              <w:bidi w:val="0"/>
              <w:spacing w:lineRule="auto" w:line="285" w:before="0" w:after="0"/>
              <w:ind w:left="0" w:right="0" w:hanging="0"/>
              <w:jc w:val="left"/>
              <w:rPr/>
            </w:pPr>
            <w:r>
              <w:rPr/>
              <w:t>​</w:t>
            </w:r>
          </w:p>
        </w:tc>
        <w:tc>
          <w:tcPr>
            <w:tcW w:w="431" w:type="dxa"/>
            <w:tcBorders/>
            <w:vAlign w:val="center"/>
          </w:tcPr>
          <w:p>
            <w:pPr>
              <w:pStyle w:val="TableContents"/>
              <w:bidi w:val="0"/>
              <w:spacing w:lineRule="auto" w:line="285" w:before="0" w:after="0"/>
              <w:ind w:left="0" w:right="0" w:hanging="0"/>
              <w:jc w:val="right"/>
              <w:rPr/>
            </w:pPr>
            <w:r>
              <w:rPr/>
              <w:t> </w:t>
            </w:r>
          </w:p>
        </w:tc>
        <w:tc>
          <w:tcPr>
            <w:tcW w:w="13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59.32</w:t>
            </w:r>
          </w:p>
        </w:tc>
      </w:tr>
      <w:tr>
        <w:trPr/>
        <w:tc>
          <w:tcPr>
            <w:tcW w:w="32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right"/>
              <w:rPr/>
            </w:pPr>
            <w:r>
              <w:rPr/>
              <w:t> </w:t>
            </w:r>
          </w:p>
        </w:tc>
        <w:tc>
          <w:tcPr>
            <w:tcW w:w="1384" w:type="dxa"/>
            <w:tcBorders/>
            <w:shd w:fill="CCEEFF" w:val="clear"/>
            <w:vAlign w:val="center"/>
          </w:tcPr>
          <w:p>
            <w:pPr>
              <w:pStyle w:val="TableContents"/>
              <w:bidi w:val="0"/>
              <w:spacing w:lineRule="auto" w:line="285" w:before="0" w:after="0"/>
              <w:ind w:left="0" w:right="0" w:hanging="0"/>
              <w:jc w:val="right"/>
              <w:rPr/>
            </w:pPr>
            <w:r>
              <w:rPr/>
              <w:t>—</w:t>
            </w:r>
          </w:p>
        </w:tc>
      </w:tr>
      <w:tr>
        <w:trPr/>
        <w:tc>
          <w:tcPr>
            <w:tcW w:w="32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3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2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September 30, 2023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59.32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2023, the total unrecognized compensation expense related to unvested PSUs was $2.5 million, which is expected to be recognized over a weighted-average period of approximately 2.42 years.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 values PSUs on the grant date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2015 Employee Stock Purchase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2023, the number of shares reserved for issuance under the 2015 ESPP was increased by 599,589 shares. </w:t>
      </w:r>
    </w:p>
    <w:p>
      <w:pPr>
        <w:pStyle w:val="TextBody"/>
        <w:bidi w:val="0"/>
        <w:spacing w:lineRule="auto" w:line="307" w:before="0" w:after="16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recognized stock-based compensation expense of $23.1 million and $70.1 million for the three and nine months ended September 30, 2023, respectively, and $24.1 million and $72.9 million for the three and nine months ended September 30, 2022, respectively. Stock-based compensation expense by award type included within the unaudited condensed consolidated statements of operations and comprehensive loss was as follows (in thousands):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65"/>
        <w:gridCol w:w="109"/>
        <w:gridCol w:w="211"/>
        <w:gridCol w:w="676"/>
        <w:gridCol w:w="326"/>
        <w:gridCol w:w="211"/>
        <w:gridCol w:w="676"/>
        <w:gridCol w:w="326"/>
        <w:gridCol w:w="211"/>
        <w:gridCol w:w="676"/>
        <w:gridCol w:w="326"/>
        <w:gridCol w:w="211"/>
        <w:gridCol w:w="781"/>
      </w:tblGrid>
      <w:tr>
        <w:trPr/>
        <w:tc>
          <w:tcPr>
            <w:tcW w:w="5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470275" cy="175260"/>
                      <wp:effectExtent l="0" t="0" r="0" b="0"/>
                      <wp:wrapNone/>
                      <wp:docPr id="303" name="Frame303"/>
                      <a:graphic xmlns:a="http://schemas.openxmlformats.org/drawingml/2006/main">
                        <a:graphicData uri="http://schemas.microsoft.com/office/word/2010/wordprocessingShape">
                          <wps:wsp>
                            <wps:cNvSpPr txBox="1"/>
                            <wps:spPr>
                              <a:xfrm>
                                <a:off x="0" y="0"/>
                                <a:ext cx="3470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29260" cy="175260"/>
                      <wp:effectExtent l="0" t="0" r="0" b="0"/>
                      <wp:wrapNone/>
                      <wp:docPr id="306" name="Frame3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9260" cy="175260"/>
                      <wp:effectExtent l="0" t="0" r="0" b="0"/>
                      <wp:wrapNone/>
                      <wp:docPr id="309" name="Frame3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29260" cy="175260"/>
                      <wp:effectExtent l="0" t="0" r="0" b="0"/>
                      <wp:wrapNone/>
                      <wp:docPr id="312" name="Frame3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95935" cy="175260"/>
                      <wp:effectExtent l="0" t="0" r="0" b="0"/>
                      <wp:wrapNone/>
                      <wp:docPr id="315" name="Frame3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46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0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left"/>
              <w:rPr/>
            </w:pPr>
            <w:r>
              <w:rPr/>
              <w:t>​</w:t>
            </w:r>
          </w:p>
        </w:tc>
        <w:tc>
          <w:tcPr>
            <w:tcW w:w="220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46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465"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9,998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12,062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31,195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37,819</w:t>
            </w:r>
          </w:p>
        </w:tc>
      </w:tr>
      <w:tr>
        <w:trPr/>
        <w:tc>
          <w:tcPr>
            <w:tcW w:w="546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12,536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11,802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37,389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34,583</w:t>
            </w:r>
          </w:p>
        </w:tc>
      </w:tr>
      <w:tr>
        <w:trPr/>
        <w:tc>
          <w:tcPr>
            <w:tcW w:w="54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r>
      <w:tr>
        <w:trPr/>
        <w:tc>
          <w:tcPr>
            <w:tcW w:w="546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54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23,212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24,268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70,497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73,402</w:t>
            </w:r>
          </w:p>
        </w:tc>
      </w:tr>
      <w:tr>
        <w:trPr/>
        <w:tc>
          <w:tcPr>
            <w:tcW w:w="546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Capitalized stock-based compensation costs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lineRule="auto" w:line="285"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(547)</w:t>
            </w:r>
          </w:p>
        </w:tc>
      </w:tr>
      <w:tr>
        <w:trPr/>
        <w:tc>
          <w:tcPr>
            <w:tcW w:w="54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included in total cost and operating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24,109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70,087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72,855</w:t>
            </w:r>
          </w:p>
        </w:tc>
      </w:tr>
    </w:tbl>
    <w:p>
      <w:pPr>
        <w:pStyle w:val="TextBody"/>
        <w:bidi w:val="0"/>
        <w:spacing w:lineRule="auto" w:line="285" w:before="0" w:after="0"/>
        <w:ind w:left="0" w:right="0" w:hanging="0"/>
        <w:jc w:val="left"/>
        <w:rPr>
          <w:shd w:fill="FFFFFF" w:val="clear"/>
        </w:rPr>
      </w:pPr>
      <w:r>
        <w:rPr>
          <w:shd w:fill="FFFFFF" w:val="clear"/>
        </w:rPr>
        <w:t> </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232" w:name="Tc_62DkXmecNU-fxo278-i6SA_6_11"/>
      <w:bookmarkStart w:id="1233" w:name="Tc_yi_ReXE2fEm5AVgDDQEyPw_6_8"/>
      <w:bookmarkStart w:id="1234" w:name="Tc_8OblcAyM0kuTXIY8CDAh1w_6_5"/>
      <w:bookmarkStart w:id="1235" w:name="Tc_M8of9_uAU0-le-znmUfZUw_6_2"/>
      <w:bookmarkStart w:id="1236" w:name="Tc_EpgnvyGmU0iONeV3CiSaKw_6_0"/>
      <w:bookmarkStart w:id="1237" w:name="Tc_pC-8YXyngEydodHSEPGPlQ_5_0"/>
      <w:bookmarkStart w:id="1238" w:name="Tc_rUrvkjfYEkGBO1nPuiozug_4_11"/>
      <w:bookmarkStart w:id="1239" w:name="Tc_Vja84kIbPkmHXoznAtK-CQ_4_8"/>
      <w:bookmarkStart w:id="1240" w:name="Tc_kbu2sFhe_kiNLKe-UK5HcQ_4_5"/>
      <w:bookmarkStart w:id="1241" w:name="Tc_UCYSHcLkTU2VFs6koVn_zQ_4_2"/>
      <w:bookmarkStart w:id="1242" w:name="Tc_QEwddKJfd0-DpHOW_LGcdg_4_0"/>
      <w:bookmarkStart w:id="1243" w:name="Tc_z0JVliJza0q8Sjcl8j3CGw_3_11"/>
      <w:bookmarkStart w:id="1244" w:name="Tc_CGFQuDZ_gEayW_vXrjQVgQ_3_8"/>
      <w:bookmarkStart w:id="1245" w:name="Tc_Al4IYqgTrkyWaXHKpRFYLQ_3_5"/>
      <w:bookmarkStart w:id="1246" w:name="Tc_u-WqxgYITU2tE5reLzermg_3_2"/>
      <w:bookmarkStart w:id="1247" w:name="Tc_xiVr0cPuzkujsO_90BzrOQ_2_8"/>
      <w:bookmarkStart w:id="1248" w:name="Tc_hfO0HC4lNESbpEC4iXhjpg_2_2"/>
      <w:bookmarkStart w:id="1249" w:name="Tc_QQtiQILuXUyxPyOAToPSpw_1_8"/>
      <w:bookmarkStart w:id="1250" w:name="Tc_TnE7JPPMHkmuuysJq-Fqww_1_2"/>
      <w:bookmarkStart w:id="1251" w:name="_05dd9d58_7813_4929_9a4c_e1467b32a99b"/>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r>
        <w:rPr>
          <w:rFonts w:ascii="Times New Roman;Times;serif" w:hAnsi="Times New Roman;Times;serif"/>
          <w:sz w:val="20"/>
        </w:rPr>
        <w:t>Stock-based compensation expense,</w:t>
      </w:r>
      <w:r>
        <w:rPr>
          <w:rFonts w:ascii="Times New Roman;Times;serif" w:hAnsi="Times New Roman;Times;serif"/>
          <w:sz w:val="20"/>
          <w:shd w:fill="FFFFFF" w:val="clear"/>
        </w:rPr>
        <w:t> that is included in operating expenses,</w:t>
      </w:r>
      <w:r>
        <w:rPr>
          <w:rFonts w:ascii="Times New Roman;Times;serif" w:hAnsi="Times New Roman;Times;serif"/>
          <w:sz w:val="20"/>
        </w:rPr>
        <w:t xml:space="preserve"> by classification within the unaudited condensed consolidated statements of operations and comprehensive loss is as follows (in thousands):</w:t>
      </w:r>
    </w:p>
    <w:p>
      <w:pPr>
        <w:pStyle w:val="TextBody"/>
        <w:bidi w:val="0"/>
        <w:spacing w:lineRule="auto" w:line="285" w:before="0" w:after="0"/>
        <w:ind w:left="0" w:right="0" w:hanging="0"/>
        <w:jc w:val="left"/>
        <w:rPr/>
      </w:pPr>
      <w:r>
        <w:rPr/>
        <w:t>​</w:t>
      </w:r>
    </w:p>
    <w:tbl>
      <w:tblPr>
        <w:tblW w:w="7696" w:type="dxa"/>
        <w:jc w:val="left"/>
        <w:tblInd w:w="0" w:type="dxa"/>
        <w:tblLayout w:type="fixed"/>
        <w:tblCellMar>
          <w:top w:w="0" w:type="dxa"/>
          <w:left w:w="0" w:type="dxa"/>
          <w:bottom w:w="0" w:type="dxa"/>
          <w:right w:w="0" w:type="dxa"/>
        </w:tblCellMar>
      </w:tblPr>
      <w:tblGrid>
        <w:gridCol w:w="2956"/>
        <w:gridCol w:w="109"/>
        <w:gridCol w:w="211"/>
        <w:gridCol w:w="676"/>
        <w:gridCol w:w="326"/>
        <w:gridCol w:w="211"/>
        <w:gridCol w:w="676"/>
        <w:gridCol w:w="326"/>
        <w:gridCol w:w="211"/>
        <w:gridCol w:w="676"/>
        <w:gridCol w:w="326"/>
        <w:gridCol w:w="211"/>
        <w:gridCol w:w="78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877060" cy="175260"/>
                      <wp:effectExtent l="0" t="0" r="0" b="0"/>
                      <wp:wrapNone/>
                      <wp:docPr id="316" name="Frame316"/>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29260" cy="175260"/>
                      <wp:effectExtent l="0" t="0" r="0" b="0"/>
                      <wp:wrapNone/>
                      <wp:docPr id="319" name="Frame3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29260" cy="175260"/>
                      <wp:effectExtent l="0" t="0" r="0" b="0"/>
                      <wp:wrapNone/>
                      <wp:docPr id="322" name="Frame3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29260" cy="175260"/>
                      <wp:effectExtent l="0" t="0" r="0" b="0"/>
                      <wp:wrapNone/>
                      <wp:docPr id="325" name="Frame3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95935" cy="175260"/>
                      <wp:effectExtent l="0" t="0" r="0" b="0"/>
                      <wp:wrapNone/>
                      <wp:docPr id="328" name="Frame3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0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left"/>
              <w:rPr/>
            </w:pPr>
            <w:r>
              <w:rPr/>
              <w:t>​</w:t>
            </w:r>
          </w:p>
        </w:tc>
        <w:tc>
          <w:tcPr>
            <w:tcW w:w="220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11,169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10,010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31,512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30,548</w:t>
            </w:r>
          </w:p>
        </w:tc>
      </w:tr>
      <w:tr>
        <w:trPr/>
        <w:tc>
          <w:tcPr>
            <w:tcW w:w="2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11,902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14,099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38,575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42,307</w:t>
            </w:r>
          </w:p>
        </w:tc>
      </w:tr>
      <w:tr>
        <w:trPr/>
        <w:tc>
          <w:tcPr>
            <w:tcW w:w="2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24,109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70,087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72,855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252" w:name="Tc_1kKleGnr7kmaqqM4wThuRQ_7_0"/>
      <w:bookmarkStart w:id="1253" w:name="Tc_RZ92G9DFF0uFUqjqDh1wEQ_6_0"/>
      <w:bookmarkStart w:id="1254" w:name="Tc_fqBQeV2Htk62n5lqx5Nv4w_5_4"/>
      <w:bookmarkStart w:id="1255" w:name="Tc_ddQJunek6EWKLefHdzvgfA_5_0"/>
      <w:bookmarkStart w:id="1256" w:name="Tc_tLTsdYlBFEGFlVC9miRNhA_4_0"/>
      <w:bookmarkStart w:id="1257" w:name="Tc_PYRi26vb_UGcjRsrRlGklg_3_0"/>
      <w:bookmarkStart w:id="1258" w:name="Tc_mwVsDfrz6ECcqWTPoaZ58w_2_4"/>
      <w:bookmarkStart w:id="1259" w:name="Tc_bWuzSPOAXk6RuvF-zdi7uQ_2_2"/>
      <w:bookmarkStart w:id="1260" w:name="Tc_XSjBNl1TAUeo2ycTApmgQQ_1_2"/>
      <w:bookmarkStart w:id="1261" w:name="_a23eaf80_921e_4c4e_87f6_854b87d0f3a1"/>
      <w:bookmarkEnd w:id="1252"/>
      <w:bookmarkEnd w:id="1253"/>
      <w:bookmarkEnd w:id="1254"/>
      <w:bookmarkEnd w:id="1255"/>
      <w:bookmarkEnd w:id="1256"/>
      <w:bookmarkEnd w:id="1257"/>
      <w:bookmarkEnd w:id="1258"/>
      <w:bookmarkEnd w:id="1259"/>
      <w:bookmarkEnd w:id="1260"/>
      <w:bookmarkEnd w:id="1261"/>
      <w:r>
        <w:rPr>
          <w:rFonts w:ascii="Times New Roman;Times;serif" w:hAnsi="Times New Roman;Times;serif"/>
          <w:b/>
          <w:sz w:val="20"/>
        </w:rPr>
        <w:t xml:space="preserve">12. Net Loss per Share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PSUs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common stock equivalents were excluded from the calculation of diluted net loss per share for the three and nine months ended September 30, 2023 and 2022 because including them would have had an anti-dilutive effect (in thousands):</w:t>
      </w:r>
    </w:p>
    <w:p>
      <w:pPr>
        <w:pStyle w:val="TextBody"/>
        <w:bidi w:val="0"/>
        <w:spacing w:lineRule="auto" w:line="285" w:before="0" w:after="0"/>
        <w:ind w:left="0" w:right="0" w:hanging="0"/>
        <w:jc w:val="left"/>
        <w:rPr/>
      </w:pPr>
      <w:r>
        <w:rPr/>
        <w:t>​</w:t>
      </w:r>
    </w:p>
    <w:tbl>
      <w:tblPr>
        <w:tblW w:w="5275" w:type="dxa"/>
        <w:jc w:val="left"/>
        <w:tblInd w:w="0" w:type="dxa"/>
        <w:tblLayout w:type="fixed"/>
        <w:tblCellMar>
          <w:top w:w="0" w:type="dxa"/>
          <w:left w:w="0" w:type="dxa"/>
          <w:bottom w:w="0" w:type="dxa"/>
          <w:right w:w="0" w:type="dxa"/>
        </w:tblCellMar>
      </w:tblPr>
      <w:tblGrid>
        <w:gridCol w:w="3376"/>
        <w:gridCol w:w="326"/>
        <w:gridCol w:w="571"/>
        <w:gridCol w:w="326"/>
        <w:gridCol w:w="67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43760" cy="175260"/>
                      <wp:effectExtent l="0" t="0" r="0" b="0"/>
                      <wp:wrapNone/>
                      <wp:docPr id="329" name="Frame329"/>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62585" cy="175260"/>
                      <wp:effectExtent l="0" t="0" r="0" b="0"/>
                      <wp:wrapNone/>
                      <wp:docPr id="331" name="Frame3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29260" cy="175260"/>
                      <wp:effectExtent l="0" t="0" r="0" b="0"/>
                      <wp:wrapNone/>
                      <wp:docPr id="333" name="Frame3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573"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6,984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6,316</w:t>
            </w:r>
          </w:p>
        </w:tc>
      </w:tr>
      <w:tr>
        <w:trPr/>
        <w:tc>
          <w:tcPr>
            <w:tcW w:w="33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2,093</w:t>
            </w:r>
          </w:p>
        </w:tc>
        <w:tc>
          <w:tcPr>
            <w:tcW w:w="326"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1,838</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r>
      <w:tr>
        <w:trPr/>
        <w:tc>
          <w:tcPr>
            <w:tcW w:w="33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ESPP shares</w:t>
            </w:r>
          </w:p>
        </w:tc>
        <w:tc>
          <w:tcPr>
            <w:tcW w:w="326" w:type="dxa"/>
            <w:tcBorders/>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lineRule="auto" w:line="285"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9,177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8,200</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The Company provides a valuation allowance when it is more likely than not that deferred tax assets will not be realized.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September 30, 2023, the Company has a full valuation allowance applied against its U.S. and foreign deferred tax assets.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Effective January 1, 2022, a provision of the Tax Cuts and Jobs Act (TCJA) has taken effect creating a significant change to the treatment of research and experimental (R&amp;E) expenditures under Section 174 of the IRC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U.S to be capitalized and amortized over a five-year period. For expenses associated with research outside of the United States, Sec. 174 expenses will be capitalized and amortized over a 15-year period. The Company has included the tax impact of capitalizing and amortizing these costs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over the required periods for the nine months ended September 30, 2023.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June 30, 2022, the Company entered into a Royalty Purchase Agreement with Royalty Pharma and a Future Revenue Purchase Agreement with Sixth Street Partners. Pursuant to the agreements, the Company received gross proceeds of $175.0 million from Royalty Pharma in June 2022 and $250.0 million from Sixth Street Partners in July 2022 upon the transactions closing. The total cash consideration of $425.0 million, in its entirety, was considered taxable income for calendar year ended December 31, 2022. Therefore, the $425.0 million was included in the estimated taxable income calculation when estimating the Company’s forecasted 2022 annual effective tax rate. As of September 30, 2022, the Company expected to be in a taxable income position for the calendar year ended December 31, 2022, and recorded an income tax expense of $0.9 million and $4.2 million for the three and nine months ended September 30, 2022, respectively.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August 16, 2022, President Biden signed the Inflation Reduction Act (IRA) of 2022 (H.R. 5376) into law. It includes income tax incentives designed to encourage investment in renewable and alternative energy sources, adoption of electric vehicles, and improvement in the energy efficiency of buildings and communities. To finance these incentives, the law imposes a 15% corporate alternative minimum tax (CAMT) on adjusted financial statement income of corporations with profits over $1 billion. It also introduces a new excise tax on corporate stock buybacks of public US companies. The CAMT is effective for tax years beginning after December 31, 2022 while the excise tax on corporate stock buybacks is effective for repurchases of stock after December 31, 2022. The Company does not anticipate the IRA having a significant impact on the Company’s effective tax rate or income tax payable and deferred income tax positions.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the Company expects to be in a taxable loss position for the calendar year ended December 31, 2023, and has recorded an income tax expense of $0.2 million and $0.9 million for the three and nine months ended September 30, 2023. The Company recorded an income tax provision despite forecasting a taxable loss due to the impact of recording unfavorable discrete items in the period, and taxable income from the jurisdictions in which the Company is subject to tax.</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the Company had gross unrecognized tax benefit, excluding interest and penalties of approximately $0.2 million. As of December 31, 2022, the Company did not have any gross unrecognized tax benefit. The company recognizes interest and penalties related to unrecognized tax benefits in the provision for income taxes. As of September 30, 2023, the Company recorded an insignificant amount of interest and penalties related to uncertain tax positions. </w:t>
      </w:r>
    </w:p>
    <w:p>
      <w:pPr>
        <w:pStyle w:val="TextBody"/>
        <w:bidi w:val="0"/>
        <w:spacing w:lineRule="auto" w:line="285" w:before="0" w:after="240"/>
        <w:ind w:left="0" w:right="0" w:hanging="0"/>
        <w:jc w:val="left"/>
        <w:rPr>
          <w:rFonts w:ascii="Times New Roman;Times;serif" w:hAnsi="Times New Roman;Times;serif"/>
          <w:b/>
          <w:sz w:val="20"/>
        </w:rPr>
      </w:pPr>
      <w:bookmarkStart w:id="1262" w:name="Tc_V4gs_tmDG0esfkwH1EdJrQ_6_10"/>
      <w:bookmarkStart w:id="1263" w:name="Tc_XJpqimL_JEuQbi7NqHJLrw_6_7"/>
      <w:bookmarkStart w:id="1264" w:name="Tc_mYbEjymp60GEFqeoQHnnDA_6_4"/>
      <w:bookmarkStart w:id="1265" w:name="Tc_RdXcYmEJ90ScUW0-2ZhVyg_6_1"/>
      <w:bookmarkStart w:id="1266" w:name="Tc_LyJ3jLSOekSfNvNXfBlnJw_6_0"/>
      <w:bookmarkStart w:id="1267" w:name="Tc_JgSIPV0h_U6QaMTScd0IXg_5_8"/>
      <w:bookmarkStart w:id="1268" w:name="Tc__S8f_OWCGkme1jmXqWWsrQ_5_2"/>
      <w:bookmarkStart w:id="1269" w:name="Tc_AlDZkFWbe0yJPa5vAPm35A_5_0"/>
      <w:bookmarkStart w:id="1270" w:name="Tc_jdPOgSJhREykvtm9AgrIVA_4_10"/>
      <w:bookmarkStart w:id="1271" w:name="Tc_dV_Zf0fi5k-tvqd0A_XcPA_4_7"/>
      <w:bookmarkStart w:id="1272" w:name="Tc_ij7Z1rtj2UKw20fz5VPm-w_4_4"/>
      <w:bookmarkStart w:id="1273" w:name="Tc_QQtzMbBbl0SlDAMtmBMuVw_4_1"/>
      <w:bookmarkStart w:id="1274" w:name="Tc_ibgRIHbqskCbW3bkRoMEbA_4_0"/>
      <w:bookmarkStart w:id="1275" w:name="Tc_ym2zjGxHZkKQlOb6NsrmcQ_3_10"/>
      <w:bookmarkStart w:id="1276" w:name="Tc_0QWMmGH5eUecFIseS3w7hw_3_7"/>
      <w:bookmarkStart w:id="1277" w:name="Tc_OZDwiHNisUWan2WzpCQnBQ_3_4"/>
      <w:bookmarkStart w:id="1278" w:name="Tc_rsWVznn2dU2q9r4ovTk7Hg_3_1"/>
      <w:bookmarkStart w:id="1279" w:name="Tc_GXK4ehb6X0yYsRk5mjzv-w_3_0"/>
      <w:bookmarkStart w:id="1280" w:name="Tc_AhPWWFbPXUm1aQfvY4ZtAQ_2_7"/>
      <w:bookmarkStart w:id="1281" w:name="Tc_j1rVtli8Kkqf_8xL-Rcbpg_2_1"/>
      <w:bookmarkStart w:id="1282" w:name="Tc_krdq1CMYCUKEoOrwYpjXxw_1_7"/>
      <w:bookmarkStart w:id="1283" w:name="Tc_u1nIiQei0Ua4T-CoomHa8Q_1_1"/>
      <w:bookmarkStart w:id="1284" w:name="_f9d77b57_c84e_433b_a5a6_7ba588ab84e6"/>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r>
        <w:rPr>
          <w:rFonts w:ascii="Times New Roman;Times;serif" w:hAnsi="Times New Roman;Times;serif"/>
          <w:b/>
          <w:sz w:val="20"/>
        </w:rPr>
        <w:t>14. Leases</w:t>
      </w:r>
    </w:p>
    <w:p>
      <w:pPr>
        <w:pStyle w:val="TextBody"/>
        <w:bidi w:val="0"/>
        <w:spacing w:lineRule="auto" w:line="285" w:before="0" w:after="0"/>
        <w:ind w:left="0" w:right="0" w:hanging="0"/>
        <w:jc w:val="left"/>
        <w:rPr/>
      </w:pPr>
      <w:r>
        <w:rPr>
          <w:caps w:val="false"/>
          <w:smallCaps w:val="false"/>
          <w:shd w:fill="FFFFFF" w:val="clear"/>
        </w:rPr>
        <w:t> </w:t>
      </w:r>
      <w:r>
        <w:rPr>
          <w:rFonts w:ascii="Times New Roman;Times;serif" w:hAnsi="Times New Roman;Times;serif"/>
          <w:sz w:val="20"/>
          <w:shd w:fill="FFFFFF" w:val="clear"/>
        </w:rPr>
        <w:t>The Company’s building leases are comprised of office and laboratory spaces under non-cancelable operating leases. The lease agreements contain various clauses for renewal at the Company’s option and only certain exercised renewal options were included in the calculation of the operating lease assets and the operating lease liabilities, as other renewal options were not reasonably certain of being exercised as of September 30, 2023. The lease agreements do not contain residual value guarantees and t</w:t>
      </w:r>
      <w:r>
        <w:rPr>
          <w:rFonts w:ascii="Times New Roman;Times;serif" w:hAnsi="Times New Roman;Times;serif"/>
          <w:sz w:val="20"/>
        </w:rPr>
        <w:t>he components of lease cost for the three and nine months ended September 30, 2023 and 2022 were as follows (in thousands):</w:t>
      </w:r>
    </w:p>
    <w:p>
      <w:pPr>
        <w:pStyle w:val="TextBody"/>
        <w:bidi w:val="0"/>
        <w:spacing w:lineRule="auto" w:line="285" w:before="0" w:after="0"/>
        <w:ind w:left="0" w:right="0" w:hanging="0"/>
        <w:jc w:val="left"/>
        <w:rPr/>
      </w:pPr>
      <w:r>
        <w:rPr/>
        <w:t>​</w:t>
      </w:r>
    </w:p>
    <w:tbl>
      <w:tblPr>
        <w:tblW w:w="5301" w:type="dxa"/>
        <w:jc w:val="left"/>
        <w:tblInd w:w="0" w:type="dxa"/>
        <w:tblLayout w:type="fixed"/>
        <w:tblCellMar>
          <w:top w:w="0" w:type="dxa"/>
          <w:left w:w="0" w:type="dxa"/>
          <w:bottom w:w="0" w:type="dxa"/>
          <w:right w:w="0" w:type="dxa"/>
        </w:tblCellMar>
      </w:tblPr>
      <w:tblGrid>
        <w:gridCol w:w="1531"/>
        <w:gridCol w:w="211"/>
        <w:gridCol w:w="571"/>
        <w:gridCol w:w="109"/>
        <w:gridCol w:w="211"/>
        <w:gridCol w:w="571"/>
        <w:gridCol w:w="109"/>
        <w:gridCol w:w="211"/>
        <w:gridCol w:w="676"/>
        <w:gridCol w:w="109"/>
        <w:gridCol w:w="211"/>
        <w:gridCol w:w="781"/>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972185" cy="175260"/>
                      <wp:effectExtent l="0" t="0" r="0" b="0"/>
                      <wp:wrapNone/>
                      <wp:docPr id="334" name="Frame334"/>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62585" cy="175260"/>
                      <wp:effectExtent l="0" t="0" r="0" b="0"/>
                      <wp:wrapNone/>
                      <wp:docPr id="336" name="Frame3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62585" cy="175260"/>
                      <wp:effectExtent l="0" t="0" r="0" b="0"/>
                      <wp:wrapNone/>
                      <wp:docPr id="339" name="Frame3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29260" cy="175260"/>
                      <wp:effectExtent l="0" t="0" r="0" b="0"/>
                      <wp:wrapNone/>
                      <wp:docPr id="342" name="Frame3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5935" cy="175260"/>
                      <wp:effectExtent l="0" t="0" r="0" b="0"/>
                      <wp:wrapNone/>
                      <wp:docPr id="345" name="Frame3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lineRule="auto" w:line="285" w:before="0" w:after="0"/>
              <w:ind w:left="0" w:right="0" w:hanging="0"/>
              <w:jc w:val="left"/>
              <w:rPr/>
            </w:pPr>
            <w:r>
              <w:rPr/>
              <w:t>​</w:t>
            </w:r>
          </w:p>
        </w:tc>
        <w:tc>
          <w:tcPr>
            <w:tcW w:w="167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center"/>
              <w:rPr/>
            </w:pPr>
            <w:r>
              <w:rPr/>
              <w:t>​</w:t>
            </w:r>
          </w:p>
        </w:tc>
        <w:tc>
          <w:tcPr>
            <w:tcW w:w="198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1531" w:type="dxa"/>
            <w:tcBorders/>
            <w:vAlign w:val="center"/>
          </w:tcPr>
          <w:p>
            <w:pPr>
              <w:pStyle w:val="TableContents"/>
              <w:bidi w:val="0"/>
              <w:spacing w:lineRule="auto" w:line="285" w:before="0" w:after="0"/>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lineRule="auto" w:line="285" w:before="0" w:after="0"/>
              <w:ind w:left="0" w:right="0" w:hanging="0"/>
              <w:jc w:val="center"/>
              <w:rPr/>
            </w:pPr>
            <w:r>
              <w:rPr/>
              <w:t>​</w:t>
            </w:r>
          </w:p>
        </w:tc>
        <w:tc>
          <w:tcPr>
            <w:tcW w:w="198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15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cost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5,322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17,301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16,233</w:t>
            </w:r>
          </w:p>
        </w:tc>
      </w:tr>
      <w:tr>
        <w:trPr/>
        <w:tc>
          <w:tcPr>
            <w:tcW w:w="15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Sublease income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(2,132)</w:t>
            </w:r>
          </w:p>
        </w:tc>
      </w:tr>
      <w:tr>
        <w:trPr/>
        <w:tc>
          <w:tcPr>
            <w:tcW w:w="15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Net lease cost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4,722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17,301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14,101</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Company’s sublease agreements for the 38 Sidney Street property expired in 2022. The Company has not entered into any material short-term leases or financing leases as of September 30, 2023.</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60"/>
        <w:ind w:left="0" w:right="0" w:firstLine="720"/>
        <w:jc w:val="left"/>
        <w:rPr>
          <w:rFonts w:ascii="Times New Roman;Times;serif" w:hAnsi="Times New Roman;Times;serif"/>
          <w:sz w:val="20"/>
        </w:rPr>
      </w:pPr>
      <w:bookmarkStart w:id="1285" w:name="Tc_68Y9zkh2PU68bsGVX_dujQ_3_0"/>
      <w:bookmarkStart w:id="1286" w:name="Tc_O9E9wpCOs0mZRYPYZBnXxQ_2_0"/>
      <w:bookmarkStart w:id="1287" w:name="Tc_QohQfqhDUU2HqO9oBDOSQg_1_5"/>
      <w:bookmarkStart w:id="1288" w:name="_7e6dbf88_ddd8_4a57_ae63_a56a58037681"/>
      <w:bookmarkStart w:id="1289" w:name="Tc_a0-TGLa5AU-41IoL7qpxag_6_5"/>
      <w:bookmarkStart w:id="1290" w:name="Tc_K9p_NQ9NqUaPzxXxAeWs_Q_6_4"/>
      <w:bookmarkStart w:id="1291" w:name="Tc_vmGtRyf08kWwm7HutF6K9g_6_1"/>
      <w:bookmarkStart w:id="1292" w:name="Tc_JisNRsPQlEiBkpfZogL1lA_6_0"/>
      <w:bookmarkStart w:id="1293" w:name="Tc_eHiE6_-k6UeZcFTxapOPpw_5_0"/>
      <w:bookmarkStart w:id="1294" w:name="Tc_3OOSTExnikSsW9mx74t5zw_4_4"/>
      <w:bookmarkStart w:id="1295" w:name="Tc_o8-9ZPrFBkCOwJr8VoGuzA_4_1"/>
      <w:bookmarkStart w:id="1296" w:name="Tc_lo-GrEI7-EKEFDIP007ohg_4_0"/>
      <w:bookmarkStart w:id="1297" w:name="Tc_oiRhqporDE2Nt-P0Q0VVAQ_3_4"/>
      <w:bookmarkStart w:id="1298" w:name="Tc_c-AMsV7fs0aG1YuyF9T1NQ_3_1"/>
      <w:bookmarkStart w:id="1299" w:name="Tc_6A_cyp1IGESaZ3x0PNcoZA_2_1"/>
      <w:bookmarkStart w:id="1300" w:name="Tc_Nq4--ieVpkCk4dsWYy9z1w_1_1"/>
      <w:bookmarkStart w:id="1301" w:name="_31d6d202_f2b1_4003_b38a_fd64bb33044b"/>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r>
        <w:rPr>
          <w:rFonts w:ascii="Times New Roman;Times;serif" w:hAnsi="Times New Roman;Times;serif"/>
          <w:sz w:val="20"/>
        </w:rPr>
        <w:t>Supplemental cash flow information related to leases for the nine months ended September 30, 2023 and 2022 is as follows (in thousands):</w:t>
      </w:r>
    </w:p>
    <w:p>
      <w:pPr>
        <w:pStyle w:val="TextBody"/>
        <w:bidi w:val="0"/>
        <w:spacing w:lineRule="auto" w:line="285" w:before="0" w:after="0"/>
        <w:ind w:left="0" w:right="0" w:hanging="0"/>
        <w:jc w:val="left"/>
        <w:rPr/>
      </w:pPr>
      <w:r>
        <w:rPr/>
        <w:t>​</w:t>
      </w:r>
    </w:p>
    <w:tbl>
      <w:tblPr>
        <w:tblW w:w="7794" w:type="dxa"/>
        <w:jc w:val="left"/>
        <w:tblInd w:w="0" w:type="dxa"/>
        <w:tblLayout w:type="fixed"/>
        <w:tblCellMar>
          <w:top w:w="0" w:type="dxa"/>
          <w:left w:w="0" w:type="dxa"/>
          <w:bottom w:w="0" w:type="dxa"/>
          <w:right w:w="0" w:type="dxa"/>
        </w:tblCellMar>
      </w:tblPr>
      <w:tblGrid>
        <w:gridCol w:w="5866"/>
        <w:gridCol w:w="211"/>
        <w:gridCol w:w="676"/>
        <w:gridCol w:w="109"/>
        <w:gridCol w:w="211"/>
        <w:gridCol w:w="72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724910" cy="175260"/>
                      <wp:effectExtent l="0" t="0" r="0" b="0"/>
                      <wp:wrapNone/>
                      <wp:docPr id="346" name="Frame346"/>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29260" cy="175260"/>
                      <wp:effectExtent l="0" t="0" r="0" b="0"/>
                      <wp:wrapNone/>
                      <wp:docPr id="348" name="Frame3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9215" cy="175260"/>
                      <wp:effectExtent l="0" t="0" r="0" b="0"/>
                      <wp:wrapNone/>
                      <wp:docPr id="349"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57835" cy="175260"/>
                      <wp:effectExtent l="0" t="0" r="0" b="0"/>
                      <wp:wrapNone/>
                      <wp:docPr id="351" name="Frame35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92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92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13,249</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11,668</w:t>
            </w:r>
          </w:p>
        </w:tc>
      </w:tr>
      <w:tr>
        <w:trPr/>
        <w:tc>
          <w:tcPr>
            <w:tcW w:w="58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liabilities arising from obtaining right-of-use assets:</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r>
      <w:tr>
        <w:trPr/>
        <w:tc>
          <w:tcPr>
            <w:tcW w:w="58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weighted average remaining lease term and weighted average discount rate of the operating leases are as follows:</w:t>
      </w:r>
    </w:p>
    <w:p>
      <w:pPr>
        <w:pStyle w:val="TextBody"/>
        <w:bidi w:val="0"/>
        <w:spacing w:lineRule="auto" w:line="285" w:before="0" w:after="0"/>
        <w:ind w:left="0" w:right="0" w:hanging="0"/>
        <w:jc w:val="left"/>
        <w:rPr/>
      </w:pPr>
      <w:r>
        <w:rPr/>
        <w:t>​</w:t>
      </w:r>
    </w:p>
    <w:tbl>
      <w:tblPr>
        <w:tblW w:w="5913" w:type="dxa"/>
        <w:jc w:val="left"/>
        <w:tblInd w:w="0" w:type="dxa"/>
        <w:tblLayout w:type="fixed"/>
        <w:tblCellMar>
          <w:top w:w="0" w:type="dxa"/>
          <w:left w:w="0" w:type="dxa"/>
          <w:bottom w:w="0" w:type="dxa"/>
          <w:right w:w="0" w:type="dxa"/>
        </w:tblCellMar>
      </w:tblPr>
      <w:tblGrid>
        <w:gridCol w:w="3991"/>
        <w:gridCol w:w="109"/>
        <w:gridCol w:w="109"/>
        <w:gridCol w:w="109"/>
        <w:gridCol w:w="109"/>
        <w:gridCol w:w="148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534285" cy="175260"/>
                      <wp:effectExtent l="0" t="0" r="0" b="0"/>
                      <wp:wrapNone/>
                      <wp:docPr id="352" name="Frame352"/>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9215" cy="175260"/>
                      <wp:effectExtent l="0" t="0" r="0" b="0"/>
                      <wp:wrapNone/>
                      <wp:docPr id="354" name="Frame3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943610" cy="175260"/>
                      <wp:effectExtent l="0" t="0" r="0" b="0"/>
                      <wp:wrapNone/>
                      <wp:docPr id="357" name="Frame357"/>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r>
      <w:tr>
        <w:trPr/>
        <w:tc>
          <w:tcPr>
            <w:tcW w:w="39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4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9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7.4%</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Commitments Associated with Commercial Supply Agreements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color w:val="212529"/>
          <w:sz w:val="20"/>
          <w:shd w:fill="FFFFFF" w:val="clear"/>
        </w:rPr>
        <w:t>In connection with the commercialization of AYVAKIT/AYVAKYT, the Company has negotiated manufacturing agreements with certain vendors that require the Company to meet minimum purchase obligations on an annual basis. During the nine months ended September 30, 2023, there was a decrease of $7.3 million in the Company’s contractual obligations described</w:t>
      </w:r>
      <w:r>
        <w:rPr>
          <w:rFonts w:ascii="Times New Roman;Times;serif" w:hAnsi="Times New Roman;Times;serif"/>
          <w:sz w:val="20"/>
        </w:rPr>
        <w:t xml:space="preserve"> in Note 18 to the consolidated financial statements in the Company’s Annual Report on Form 10-K for the fiscal year ended December 31, 2022</w:t>
      </w:r>
      <w:r>
        <w:rPr>
          <w:rFonts w:ascii="Times New Roman;Times;serif" w:hAnsi="Times New Roman;Times;serif"/>
          <w:color w:val="212529"/>
          <w:sz w:val="20"/>
          <w:shd w:fill="FFFFFF" w:val="clear"/>
        </w:rPr>
        <w:t xml:space="preserve">. </w:t>
      </w:r>
    </w:p>
    <w:p>
      <w:pPr>
        <w:pStyle w:val="TextBody"/>
        <w:bidi w:val="0"/>
        <w:spacing w:lineRule="auto" w:line="285"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Legal Proceedings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w:t>
      </w:r>
    </w:p>
    <w:p>
      <w:pPr>
        <w:pStyle w:val="TextBody"/>
        <w:bidi w:val="0"/>
        <w:spacing w:lineRule="auto" w:line="285"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Indemnification Agreements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of the Company.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condensed consolidated financial statements as of September 30, 2023 or December 31, 2022.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bookmarkStart w:id="1302" w:name="_cfcc25fe_1e62_4926_bda6_703395e9968b"/>
      <w:bookmarkEnd w:id="1302"/>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240"/>
        <w:ind w:left="0" w:right="0" w:hanging="0"/>
        <w:jc w:val="left"/>
        <w:rPr>
          <w:rFonts w:ascii="Times New Roman;Times;serif" w:hAnsi="Times New Roman;Times;serif"/>
          <w:sz w:val="20"/>
        </w:rPr>
      </w:pPr>
      <w:bookmarkStart w:id="1303" w:name="MANAGEMENTSDISCUSSION_129894"/>
      <w:bookmarkEnd w:id="1303"/>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lineRule="auto" w:line="285"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2022, filed with the Securities and Exchange Commission (the SEC) on February 16,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are a global precision therapy company that invents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We have brought our approved medicines, AYVAKIT®/AYVAKYT® (avapritinib) and GAVRETO® (pralsetinib), to patients in the U.S. and Europe, and we are globally advancing multiple programs for mast cell disorders, including SM and chronic urticaria, breast cancer and other cancers vulnerable to CDK2 inhibition, as well as EGFR-mutant lung cancer.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hematology, and allergy and immunology to create a cycle of innovation.</w:t>
      </w:r>
    </w:p>
    <w:p>
      <w:pPr>
        <w:pStyle w:val="TextBody"/>
        <w:bidi w:val="0"/>
        <w:spacing w:lineRule="auto" w:line="240" w:before="280" w:after="0"/>
        <w:ind w:left="0" w:right="0" w:hanging="0"/>
        <w:jc w:val="left"/>
        <w:rPr>
          <w:rFonts w:ascii="Times New Roman;Times;serif" w:hAnsi="Times New Roman;Times;serif"/>
          <w:sz w:val="20"/>
        </w:rPr>
      </w:pPr>
      <w:r>
        <w:rPr>
          <w:rFonts w:ascii="Times New Roman;Times;serif" w:hAnsi="Times New Roman;Times;serif"/>
          <w:b/>
          <w:i/>
          <w:sz w:val="20"/>
        </w:rPr>
        <w:t>Systemic Mastocytosis and other Mast Cell Disorders — AYVAKIT</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 AYVAKYT</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(avapritinib), Elenestinib (BLU-263), and BLU-808</w:t>
      </w:r>
    </w:p>
    <w:p>
      <w:pPr>
        <w:pStyle w:val="TextBody"/>
        <w:pBdr/>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AYVAKIT®/AYVAKYT® (avapritinib)</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commercializing avapritinib for the treatment of advanced SM and indolent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w:t>
      </w:r>
    </w:p>
    <w:p>
      <w:pPr>
        <w:pStyle w:val="TextBody"/>
        <w:shd w:fill="FFFFFF" w:val="clear"/>
        <w:bidi w:val="0"/>
        <w:spacing w:lineRule="auto" w:line="285" w:before="0" w:after="0"/>
        <w:ind w:left="0" w:right="0" w:firstLine="720"/>
        <w:jc w:val="left"/>
        <w:rPr>
          <w:rFonts w:ascii="Times New Roman;Times;serif" w:hAnsi="Times New Roman;Times;serif"/>
          <w:sz w:val="20"/>
        </w:rPr>
      </w:pPr>
      <w:bookmarkStart w:id="1304" w:name="_cp_change_8273"/>
      <w:bookmarkEnd w:id="1304"/>
      <w:r>
        <w:rPr>
          <w:rFonts w:ascii="Times New Roman;Times;serif" w:hAnsi="Times New Roman;Times;serif"/>
          <w:sz w:val="20"/>
        </w:rPr>
        <w:t>The FDA approved avapritinib under the brand name AYVAKIT for the treatment of adult patients with advanced SM, including ASM, SM-AHN, and MCL in June 2021, and for adult patients with indolent SM in May 2023. In March 2022, the European Commission approved the marketing authorization for AYVAKYT for the treatment of adult patients with ASM, SM-AHN, or MCL, after at least one systemic therapy. These approvals in advanced SM were supported by our ongoing Phase 1 clinical trial in advanced SM, which we refer to as our EXPLORER trial, and our ongoing Phase 2 clinical trial in advanced SM, which we refer to as our PATHFINDER trial.</w:t>
      </w:r>
    </w:p>
    <w:p>
      <w:pPr>
        <w:pStyle w:val="TextBody"/>
        <w:bidi w:val="0"/>
        <w:spacing w:lineRule="auto" w:line="285" w:before="280" w:after="0"/>
        <w:ind w:left="0" w:right="0" w:firstLine="720"/>
        <w:jc w:val="left"/>
        <w:rPr>
          <w:rFonts w:ascii="Times New Roman;Times;serif" w:hAnsi="Times New Roman;Times;serif"/>
          <w:sz w:val="20"/>
        </w:rPr>
      </w:pPr>
      <w:bookmarkStart w:id="1305" w:name="_cp_change_8305"/>
      <w:bookmarkStart w:id="1306" w:name="_cp_change_8303"/>
      <w:bookmarkEnd w:id="1305"/>
      <w:bookmarkEnd w:id="1306"/>
      <w:r>
        <w:rPr>
          <w:rFonts w:ascii="Times New Roman;Times;serif" w:hAnsi="Times New Roman;Times;serif"/>
          <w:sz w:val="20"/>
        </w:rPr>
        <w:t xml:space="preserve">The FDA’s approval of AYVAKIT for the treatment of patients with indolent SM, was supported by data from our Phase 2 clinical trial in indolent SM, which we refer to as the PIONEER trial. The European Medicines Agency, or EMA, validated a type II variation marketing authorization application (MAA) for AYVAKYT in indolent SM with a start of procedure date of January 27, 2023. In February 2023, we presented registrational PIONEER trial data for AYVAKIT in indolent SM at the American Academy of Allergy, Asthma and Immunology, or AAAAI, Annual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Meeting. In May 2023, the New England Journal of Medicine Group published detailed results from the PIONEER trial of AYVAKIT in patients with indolent SM.</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 </w:t>
      </w:r>
    </w:p>
    <w:p>
      <w:pPr>
        <w:pStyle w:val="TextBody"/>
        <w:bidi w:val="0"/>
        <w:spacing w:lineRule="auto" w:line="285" w:before="280" w:after="0"/>
        <w:ind w:left="0" w:right="0" w:hanging="0"/>
        <w:jc w:val="left"/>
        <w:rPr>
          <w:rFonts w:ascii="Times New Roman;Times;serif" w:hAnsi="Times New Roman;Times;serif"/>
          <w:i/>
          <w:sz w:val="20"/>
        </w:rPr>
      </w:pPr>
      <w:bookmarkStart w:id="1307" w:name="_cp_change_8307"/>
      <w:bookmarkStart w:id="1308" w:name="_cp_change_8306"/>
      <w:bookmarkEnd w:id="1307"/>
      <w:bookmarkEnd w:id="1308"/>
      <w:r>
        <w:rPr>
          <w:rFonts w:ascii="Times New Roman;Times;serif" w:hAnsi="Times New Roman;Times;serif"/>
          <w:i/>
          <w:sz w:val="20"/>
        </w:rPr>
        <w:t>Elenestinib (BLU-263)</w:t>
      </w:r>
    </w:p>
    <w:p>
      <w:pPr>
        <w:pStyle w:val="TextBody"/>
        <w:bidi w:val="0"/>
        <w:spacing w:lineRule="auto" w:line="285" w:before="280" w:after="0"/>
        <w:ind w:left="0" w:right="0" w:firstLine="720"/>
        <w:jc w:val="left"/>
        <w:rPr>
          <w:rFonts w:ascii="Times New Roman;Times;serif" w:hAnsi="Times New Roman;Times;serif"/>
          <w:sz w:val="20"/>
        </w:rPr>
      </w:pPr>
      <w:bookmarkStart w:id="1309" w:name="_cp_change_8323"/>
      <w:bookmarkStart w:id="1310" w:name="_cp_change_8313"/>
      <w:bookmarkStart w:id="1311" w:name="_cp_change_8308"/>
      <w:bookmarkEnd w:id="1309"/>
      <w:bookmarkEnd w:id="1310"/>
      <w:bookmarkEnd w:id="1311"/>
      <w:r>
        <w:rPr>
          <w:rFonts w:ascii="Times New Roman;Times;serif" w:hAnsi="Times New Roman;Times;serif"/>
          <w:sz w:val="20"/>
        </w:rPr>
        <w:t>We are developing elenestinib, or BLU-263, an investigational, orally available, potent and highly selective KIT inhibitor, for the treatment of indolent SM and other mast cell disorders. Elenestinib is designed to have equivalent potency as avapritinib, with low off-target activity and lower penetration of the central nervous system (CNS) relative to avapritinib based on preclinical data.</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We are evaluating elenestinib in an ongoing Phase 2/3 clinical trial in indolent SM, which we refer to as our HARBOR trial. In December 2022, we announced top-line, 12-week data from the dose-finding Part 1 of the HARBOR trial. Elenestinib showed improved measures of mast cell burden and patient-reported symptoms, and safety data were consistent with the preclinical profile of elenestinib and a completed Phase 1 healthy volunteer trial. We plan to present HARBOR Part 1 trial data for elenestinib in indolent SM at the American Society of Hematology Annual Meeting in December 2023.</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Wild-Type KIT Inhibition (BLU-808)</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Mast cells are the primary effector cells in several allergic-inflammatory diseases, including both inducible and spontaneous chronic urticaria, and wild-type KIT plays a central role in mast cell survival, proliferation, and activation. In the first half of 2023, we nominated the development candidate BLU-808 from our discovery programs, an oral, highly potent and selective wild-type KIT inhibitor. We plan to develop BLU-808 as a potential first- and best-in-class treatment for mast cell disorders, including chronic urticaria, a debilitating inflammatory skin disorder characterized by wheals (hives), and sleep disruption, stress and anxiety due to severe itching are major contributors to disease burden, as well as other potential related allergic-inflammatory indications.</w:t>
      </w:r>
    </w:p>
    <w:p>
      <w:pPr>
        <w:pStyle w:val="TextBody"/>
        <w:pBdr/>
        <w:bidi w:val="0"/>
        <w:spacing w:lineRule="auto" w:line="240" w:before="280" w:after="0"/>
        <w:ind w:left="0" w:right="0" w:hanging="0"/>
        <w:jc w:val="left"/>
        <w:rPr>
          <w:rFonts w:ascii="Times New Roman;Times;serif" w:hAnsi="Times New Roman;Times;serif"/>
          <w:sz w:val="20"/>
        </w:rPr>
      </w:pPr>
      <w:r>
        <w:rPr>
          <w:rFonts w:ascii="Times New Roman;Times;serif" w:hAnsi="Times New Roman;Times;serif"/>
          <w:b/>
          <w:i/>
          <w:sz w:val="20"/>
        </w:rPr>
        <w:t>PDGFRA-Driven Gastrointestinal Stromal Tumors — AYVAKIT</w:t>
      </w:r>
      <w:r>
        <w:rPr>
          <w:rFonts w:ascii="Times New Roman;Times;serif" w:hAnsi="Times New Roman;Times;serif"/>
          <w:b/>
          <w:i/>
          <w:sz w:val="15"/>
        </w:rPr>
        <w:t>®</w:t>
      </w:r>
      <w:r>
        <w:rPr>
          <w:rFonts w:ascii="Times New Roman;Times;serif" w:hAnsi="Times New Roman;Times;serif"/>
          <w:sz w:val="20"/>
        </w:rPr>
        <w:t> </w:t>
      </w:r>
      <w:r>
        <w:rPr>
          <w:rFonts w:ascii="Times New Roman;Times;serif" w:hAnsi="Times New Roman;Times;serif"/>
          <w:b/>
          <w:i/>
          <w:sz w:val="20"/>
        </w:rPr>
        <w:t>/ AYVAKYT</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(avapritinib)</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commercializing avapritinib for the treatment of patients with PDGFRA exon 18 mutant gastrointestinal stromal tumors (GIST), a rare disease that is a sarcoma, or tumor of bone or connective tissue, of the gastrointestinal tract. Avapritinib is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Through our collaboration with CStone, China’s National Medicinal Products Administration (NMPA) approved AYVAKIT for the treatment of adults with unresectable or metastatic GIST harboring a PDGFRA exon 18 mutation, including PDGFRA D842V mutations. AYVAKIT also received accelerated approval from the Taiwan Food and Drug Administration (TFDA) and approval in Hong Kong, both for adults with unresectable or metastatic GIST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harboring PDGFRA D842V mutations.</w:t>
      </w:r>
    </w:p>
    <w:p>
      <w:pPr>
        <w:pStyle w:val="TextBody"/>
        <w:bidi w:val="0"/>
        <w:spacing w:lineRule="auto" w:line="285" w:before="28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pStyle w:val="TextBody"/>
        <w:pBdr/>
        <w:bidi w:val="0"/>
        <w:spacing w:lineRule="auto" w:line="240" w:before="280" w:after="0"/>
        <w:ind w:left="0" w:right="0" w:hanging="0"/>
        <w:jc w:val="left"/>
        <w:rPr>
          <w:rFonts w:ascii="Times New Roman;Times;serif" w:hAnsi="Times New Roman;Times;serif"/>
          <w:sz w:val="20"/>
        </w:rPr>
      </w:pPr>
      <w:r>
        <w:rPr>
          <w:rFonts w:ascii="Times New Roman;Times;serif" w:hAnsi="Times New Roman;Times;serif"/>
          <w:b/>
          <w:i/>
          <w:sz w:val="20"/>
        </w:rPr>
        <w:t>RET-altered Cancers — GAVRETO</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(pralsetinib)</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developing and commercializing pralsetinib for the treatment of RET fusion-positive non-small cell lung cancer (NSCLC), and for the treatment of RET-altered thyroid carcinoma. We are also developing pralsetinib for the treatment of other RET-altered solid tumors. We granted exclusive licenses to F. Hoffmann-La Roche Ltd and Genentech, Inc., a member of the Roche Group (which we refer to together as Roche), and CStone Pharmaceuticals (CStone) to develop and commercialize pralsetinib in their respective territories. In February 2023, we received written notice from Roche of their election to terminate for convenience the Roche pralsetinib collaboration agreement. The termination will become effective in February 2024, at which time we will regain commercialization and development rights for GAVRETO from Roche in the U.S. and Roche Territory. In conjunction with the termination, we have initiated the process of re-partnering GAVRETO for future development and commercialization. See “—Collaborations and Licenses Summary” below.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The FDA granted accelerated approval of pralsetinib in the U.S. under the brand name GAVRETO for the treatment of (i) adult patients with metastatic RET fusion-positive NSCLC as detected by an FDA approved test, (ii) adult and pediatric patients 12 years of age and older with advanced or metastatic RET-mutant medullary thyroid cancer (MTC) who require systemic therapy, and (iii) adult and pediatric patients 12 years of age and older with advanced or metastatic RET fusion-positive thyroid cancer who require systemic therapy and who are radioactive iodine-refractory (if radioactive iodine is appropriate). In June 2023, Roche voluntarily withdrew the indication of GAVRETO for the treatment of adult and pediatric patients 12 years of age and older with advanced or metastatic RET-mutant MTC. The decision to withdraw the indication was made in consultation with the FDA</w:t>
      </w:r>
      <w:r>
        <w:rPr>
          <w:rFonts w:ascii="Times New Roman;Times;serif" w:hAnsi="Times New Roman;Times;serif"/>
          <w:sz w:val="20"/>
        </w:rPr>
        <w:t>, in accordance with the requirements of the FDA’s Accelerated Approval Program, with the official FDA withdrawal of the indication occurring on July 20, 2023. Specifically, AcceleRET-MTC, a Phase 3 clinical trial required by the FDA to convert the accelerated approval of GAVRETO for MTC to a full approval, will no longer be pursued due to lack of feasibility. The decision to withdraw the indication was not due to any new safety or efficacy data for GAVRETO or a product safety or quality issue, and other approved indications for GAVRETO in the U.S. are unaffected. In August 2023, the FDA converted the accelerated approval of</w:t>
      </w:r>
      <w:r>
        <w:rPr>
          <w:rFonts w:ascii="Times New Roman;Times;serif" w:hAnsi="Times New Roman;Times;serif"/>
          <w:sz w:val="20"/>
          <w:shd w:fill="FFFFFF" w:val="clear"/>
        </w:rPr>
        <w:t xml:space="preserve"> GAVRETO</w:t>
      </w:r>
      <w:r>
        <w:rPr>
          <w:rFonts w:ascii="Times New Roman;Times;serif" w:hAnsi="Times New Roman;Times;serif"/>
          <w:sz w:val="20"/>
        </w:rPr>
        <w:t xml:space="preserve"> to full regular approval for the treatment of </w:t>
      </w:r>
      <w:r>
        <w:rPr>
          <w:rFonts w:ascii="Times New Roman;Times;serif" w:hAnsi="Times New Roman;Times;serif"/>
          <w:sz w:val="20"/>
          <w:shd w:fill="FFFFFF" w:val="clear"/>
        </w:rPr>
        <w:t>adult patients with metastatic RET fusion-positive NSCLC</w:t>
      </w:r>
      <w:r>
        <w:rPr>
          <w:rFonts w:ascii="Times New Roman;Times;serif" w:hAnsi="Times New Roman;Times;serif"/>
          <w:sz w:val="20"/>
        </w:rPr>
        <w:t xml:space="preserve">. The confirmatory studies to meet the commitments required to convert </w:t>
      </w:r>
      <w:r>
        <w:rPr>
          <w:rFonts w:ascii="Times New Roman;Times;serif" w:hAnsi="Times New Roman;Times;serif"/>
          <w:sz w:val="20"/>
          <w:shd w:fill="FFFFFF" w:val="clear"/>
        </w:rPr>
        <w:t>RET fusion-positive thyroid cancer</w:t>
      </w:r>
      <w:r>
        <w:rPr>
          <w:rFonts w:ascii="Times New Roman;Times;serif" w:hAnsi="Times New Roman;Times;serif"/>
          <w:sz w:val="20"/>
        </w:rPr>
        <w:t xml:space="preserve"> for GAVRETO, also approved under accelerated approval, to full approval, are ongoing. </w:t>
      </w:r>
    </w:p>
    <w:p>
      <w:pPr>
        <w:pStyle w:val="TextBody"/>
        <w:pBdr/>
        <w:shd w:fill="FFFFFF" w:val="clear"/>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Through our collaboration with Roche, the European Commission granted conditional marketing authorization for GAVRETO as a monotherapy for the treatment of adults with RET fusion-positive advanced NSCLC not previously treated with a RET inhibitor. In November 2022, Roche withdrew its type II variation MAA to the EMA for pralsetinib for RET-altered thyroid cancers in the second-line. Roche stated a change in strategy as the reason for the withdrawal, and that it was unrelated to product quality, efficacy or safety.</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March 2021, through our collaboration with CStone, China’s NMPA approved GAVRETO for the treatment of patients with RET fusion-positive NSCLC patients previously treated with platinum-based chemotherapy. In March 2022, China’s NMPA approved GAVRETO for the treatment of RET-mutant MTC and RET fusion-positive thyroid cancer. GAVRETO was approved in Hong Kong in July 2022 for the treatment of RET fusion-positive NSCLC. In January 2023, the TFDA approved GAVRETO for the treatment of patients with RET fusion-positive locally advanced or metastatic NSCLC, RET-mutant MTC and RET fusion-positive thyroid cancer. In June 2023, China’s NMPA approved GAVRETO for the first-line treatment of adults with locally advanced or metastatic RET fusion-positive NSCLC.</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FDA has granted breakthrough therapy designation to pralsetinib for (i) the treatment of patients with RET fusion-positive NSCLC that has progressed following platinum-based chemotherapy, and (ii) the treatment of patients with RET mutation-positive MTC that requires systemic treatment and for which there are no acceptable alternative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treatments. In addition, the FDA has granted orphan drug designation to pralsetinib for the treatment of RET-rearranged NSCLC, JAK1/2-positive NSCLC or TRKC-positive NSCLC</w:t>
      </w:r>
      <w:r>
        <w:rPr>
          <w:rFonts w:ascii="Arial;Helvetica;sans-serif" w:hAnsi="Arial;Helvetica;sans-serif"/>
          <w:sz w:val="20"/>
        </w:rPr>
        <w:t>.</w:t>
      </w:r>
      <w:r>
        <w:rPr>
          <w:rFonts w:ascii="Times New Roman;Times;serif" w:hAnsi="Times New Roman;Times;serif"/>
          <w:sz w:val="20"/>
        </w:rPr>
        <w:t xml:space="preserve"> </w:t>
      </w:r>
    </w:p>
    <w:p>
      <w:pPr>
        <w:pStyle w:val="TextBody"/>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i/>
          <w:sz w:val="20"/>
        </w:rPr>
        <w:t>EGFR-Mutated NSCLC — BLU-945, BLU-525 and BLU-451</w:t>
      </w:r>
      <w:r>
        <w:rPr>
          <w:rFonts w:ascii="Times New Roman;Times;serif" w:hAnsi="Times New Roman;Times;serif"/>
          <w:sz w:val="20"/>
        </w:rPr>
        <w:t>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are developing a portfolio of investigational epidermal growth factor receptor (EGFR) inhibitors with the potential to address a spectrum of common and uncommon EGFR activating mutations, including exon 19 deletions, the L858R mutation, and exon 20 insertions. Patients with EGFR-driven NSCLC have high medical needs despite current standards of care. First, osimertinib has demonstrated shorter overall survival and progression-free survival in patients whose tumors have activating L858R mutations, and there are limited treatment options for exon 20 insertion-driven NSCLC. Second, the majority of patients will ultimately progress due to tumor resistance, and preventing mutations from emerging is an important treatment goal. Third, the brain is a common site of disease progression that has proven difficult to treat. We are working to address these challenges and prolong patient benefit by advancing development of rational combinations with our investigational EGFR therapies. Ultimately, we are seeking to address the significant medical needs in EGFR-mutant NSCLC that affect approximately 60,000 patients in major markets, including the U.S., European Union (EU), the UK, and Japan.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EGFR-Positive NSCLC — BLU-945</w:t>
      </w:r>
      <w:r>
        <w:rPr>
          <w:rFonts w:ascii="Times New Roman;Times;serif" w:hAnsi="Times New Roman;Times;serif"/>
          <w:sz w:val="20"/>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BLU-945 is a selective and potent investigational inhibitor of the activating EGFR L858R mutation and on-target T790M and C797X resistance mutations. We are currently evaluating BLU-945 in the Phase 1/2 SYMPHONY trial in patients with EGFR-driven NSCLC. In June 2023, we presented updated monotherapy dose escalation data from the SYMPHONY trial at the American Society of Clinical Oncology (ASCO) Annual Meeting, and initial combination therapy data evaluating BLU-945 in combination with osimertinib in patients with late-line, osimertinib-refractory, EGFR-mutant NSCLC. BLU-945 monotherapy and in combination with osimertinib showed evidence of clinical activity and was generally well tolerated, with infrequent adverse events (AEs) associated with wildtype EGFR inhibition. Dose escalation studies are ongoing to reach the recommended Phase 2 dose (RP2D) and progress to dose expansion with BLU-945 in combination with osimertinib for first-line treatment of patients with EGFR L858R-positive NSCLC.</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EGFR-Positive NSCLC — BLU-525</w:t>
      </w:r>
      <w:r>
        <w:rPr>
          <w:rFonts w:ascii="Times New Roman;Times;serif" w:hAnsi="Times New Roman;Times;serif"/>
          <w:sz w:val="20"/>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BLU-525 is a next-generation EGFR inhibitor that, based on preclinical data, has a distinct chemical structure with improved kinome selectivity and differentiated metabolism, and equivalent EGFR mutation coverage, wild-type EGFR selectivity, and CNS penetration compared to BLU-701, which was previously in development for EGFR-positive NSCLC. Data supporting the preclinical profile of BLU-525 were reported at the EORTC-NCI-AACR Molecular Targets and Cancer Therapeutics Symposium in October 2022. In March 2023, the FDA accepted our investigational new drug application, or IND, for BLU-525. </w:t>
      </w:r>
    </w:p>
    <w:p>
      <w:pPr>
        <w:pStyle w:val="TextBody"/>
        <w:bidi w:val="0"/>
        <w:spacing w:lineRule="auto" w:line="285" w:before="0" w:after="0"/>
        <w:ind w:left="0" w:right="0" w:firstLine="72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EGFR Exon 20 Insertion-Positive NSCLC — BLU-451</w:t>
      </w:r>
      <w:r>
        <w:rPr>
          <w:rFonts w:ascii="Times New Roman;Times;serif" w:hAnsi="Times New Roman;Times;serif"/>
          <w:sz w:val="20"/>
        </w:rPr>
        <w:t>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BLU-451 is a selective and potent investigational inhibitor under development for the treatment of EGFR exon 20 insertion-positive NSCLC and atypical EGFR mutations that we acquired in December 2021, through our acquisition of Lengo Therapeutics, Inc. In April 2022, we presented the first preclinical data for BLU-451 at the AACR Annual Meeting demonstrating that BLU-451 is a wild-type EGFR-sparing, CNS penetrant molecule which potently inhibited a broad range of exon 20 insertions and uncommon oncogenic point mutations. In addition, BLU-451 led to measurable tumor regression in a preclinical intracranial tumor model. Based on these foundational preclinical data, in March 2022 we initiated the Phase 1/2 trial of BLU-451 in patients with EGFR-driven NSCLC harboring exon 20 insertion mutations, which we refer to as our CONCERTO trial. In June 2023, we presented initial dose escalation data from the CONCERTO trial of BLU-451 at the ASCO Annual Meeting, demonstrating evidence of safety and clinical benefit, including CNS activity, in patients with exon 20 insertion-positive NSCLC, and emerging dose-dependent ctDNA clearance and tumor shrinkage in patients with atypical EGFR mutations. Dose escalation is ongoing to determine a RP2D.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i/>
          <w:sz w:val="20"/>
        </w:rPr>
        <w:t>Cancers Vulnerable to CDK2 Inhibition — BLU-222</w:t>
      </w:r>
      <w:r>
        <w:rPr>
          <w:rFonts w:ascii="Times New Roman;Times;serif" w:hAnsi="Times New Roman;Times;serif"/>
          <w:sz w:val="20"/>
        </w:rPr>
        <w:t> </w:t>
      </w:r>
      <w:r>
        <w:rPr>
          <w:rFonts w:ascii="Times New Roman;Times;serif" w:hAnsi="Times New Roman;Times;serif"/>
          <w:sz w:val="20"/>
          <w:shd w:fill="FFFFFF" w:val="clear"/>
        </w:rPr>
        <w:t xml:space="preserve">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We are developing an investigational inhibitor, BLU-222, targeting CDK2 for the treatment of patients with cancers vulnerable to CDK2 inhibition. CDK2 is a cell cycle regulator and an important cancer target, with relevance across multiple malignancies, including hormone-receptor-positive breast cancer and other cancers, such as subsets of ovarian and endometrial cancer. Across multiple cancer types, aberrant CCNE1 hyperactivates CDK2, resulting in cell cycle dysregulation and tumor proliferation. Aberrant CCNE1 has been observed as a primary driver of disease, as well as a mechanism of resistance to CDK4/6 inhibitors and other therapies.</w:t>
      </w:r>
      <w:r>
        <w:rPr>
          <w:rFonts w:ascii="Times New Roman;Times;serif" w:hAnsi="Times New Roman;Times;serif"/>
          <w:sz w:val="20"/>
        </w:rPr>
        <w:t xml:space="preserve"> </w:t>
      </w:r>
    </w:p>
    <w:p>
      <w:pPr>
        <w:pStyle w:val="TextBody"/>
        <w:bidi w:val="0"/>
        <w:spacing w:lineRule="auto" w:line="285"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At the AACR Annual Meeting in April 2022, we presented preclinical data showing BLU-222 demonstrated significant antitumor activity in a CCNE1-amplified ovarian cancer model. BLU-222 in combination with standard of care agents, including chemotherapy and the PARP inhibitor olaparib, led to sustained tumor regression even after treatment cessation. At the San Antonio Breast Cancer Symposium, in December 2022, we reported preclinical results showing BLU-222 in combination with ribociclib led to sustained antitumor activity, in preclinical models of CDK4/6 inhibitor-naïve and resistant HR+/HER2 breast cancer, supporting the clinical development of this combination regimen.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In the first quarter of 2022, we initiated the Phase 1/2 trial of BLU-222 in cancers vulnerable to CDK2 inhibition, which we refer to as our VELA trial. BLU-222 is being developed as monotherapy and in combination with other agents, including CDK4/6 inhibitors and estrogen receptors, antagonists, in hormone-receptor-positive, HER2-negative breast cancer (HR+/HER- BC), and as a single agent and in combination in CCNE1-amplified tumor types</w:t>
      </w:r>
      <w:r>
        <w:rPr>
          <w:rFonts w:ascii="Times New Roman;Times;serif" w:hAnsi="Times New Roman;Times;serif"/>
          <w:sz w:val="20"/>
        </w:rPr>
        <w:t>. In June 2023, we presented initial clinical data from the VELA trial at the ASCO Annual Meeting, showing that BLU-222 was generally well-tolerated with evidence of cell cycle pathway modulation and a confirmed partial response in a monotherapy-treated patient with HR+/HER2- metastatic breast cancer who previously received five lines of therapy, including the CDK4/6 inhibitors palbociclib and abemaciclib. We are continuing monotherapy dose escalation to identify a maximum tolerated dose and have initiated dose escalation of BLU-222 in combination with the CDK4/6 inhibitor, ribociclib, and the estrogen receptor antagonist, fulvestrant, in patients with HR+/HER2- metastatic breast cancer.</w:t>
      </w:r>
    </w:p>
    <w:p>
      <w:pPr>
        <w:pStyle w:val="TextBody"/>
        <w:bidi w:val="0"/>
        <w:spacing w:lineRule="auto" w:line="285" w:before="28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Advanced Cancers — BLU-852</w:t>
      </w:r>
    </w:p>
    <w:p>
      <w:pPr>
        <w:pStyle w:val="TextBody"/>
        <w:bidi w:val="0"/>
        <w:spacing w:lineRule="auto" w:line="285"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BLU-852 is a selective and potent investigational inhibitor of MAP4K1, a well-characterized immunokinase that is believed to play a role in T cell regulation, developed under our cancer immunotherapy collaboration with Roche. Following the termination of our collaboration agreement with Roche, we have deprioritized advancement of BLU-852 and are exploring opportunities to re-partner the asset for future development.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Discovery Platform</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continue to leverage our discovery platform to systematically and reproducibly identify kinases that are drivers of diseases in genomically defined patient populations, and craft drug candidates that potently and selectively target these kinases. In addition, we are expanding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2022, we started several degrader research programs, including three internal programs and two programs under our targeted protein degradation collaboration with Proteovant. Through the Proteovant collaboration, we plan to research and advance up to two novel protein degrader programs into development, with the option to expand to two additional programs. See “—</w:t>
      </w:r>
      <w:r>
        <w:rPr>
          <w:rFonts w:ascii="Times New Roman;Times;serif" w:hAnsi="Times New Roman;Times;serif"/>
          <w:i/>
          <w:sz w:val="20"/>
        </w:rPr>
        <w:t>Collaborations and Licenses</w:t>
      </w:r>
      <w:r>
        <w:rPr>
          <w:rFonts w:ascii="Times New Roman;Times;serif" w:hAnsi="Times New Roman;Times;serif"/>
          <w:sz w:val="20"/>
        </w:rPr>
        <w:t xml:space="preserve">” Summary below.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Development and Commercialization Rights</w:t>
      </w:r>
    </w:p>
    <w:p>
      <w:pPr>
        <w:pStyle w:val="TextBody"/>
        <w:bidi w:val="0"/>
        <w:spacing w:lineRule="auto" w:line="285"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currently have worldwide development and commercialization rights to avapritinib, other than the rights licensed to CStone in Mainland China, Hong Kong, Macau and Taiwan (the CStone Territory). We have entered into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distribution agreements for certain countries in which we do not have our own infrastructure, and we plan to pursue additional regulatory approvals and commercialization of avapritinib in additional countries, including through additional distribution agreements. We have granted CStone an exclusive license to develop and commercialize pralsetinib and BLU-554 in the CStone Territory. </w:t>
      </w:r>
    </w:p>
    <w:p>
      <w:pPr>
        <w:pStyle w:val="TextBody"/>
        <w:bidi w:val="0"/>
        <w:spacing w:lineRule="auto" w:line="285"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granted Roche an exclusive license to develop and commercialize pralsetinib worldwide, excluding the CStone Territory and the U.S., and a co-exclusive license in the U.S. to develop and commercialize pralsetinib. In February 2023, we received written notice from Roche of their election to terminate for convenience the Roche pralsetinib collaboration agreement. The termination will become effective in February 2024, at which time we will regain commercialization and development rights for GAVRETO from Roche in the U.S. and Roche Territory and have initiated the process of re-partnering GAVRETO for future development and commercialization. We will not be entitled to receive payment for milestones, if any, achieved after the receipt of the notice of termination but before the effective date of termination.</w:t>
      </w:r>
    </w:p>
    <w:p>
      <w:pPr>
        <w:pStyle w:val="TextBody"/>
        <w:pBdr/>
        <w:shd w:fill="FFFFFF" w:val="clear"/>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currently have worldwide development and commercialization rights to BLU-945 and BLU-525, and any back-up forms thereof, other than the rights licensed to Zai Lab for these drug candidates in Mainland China, Hong Kong, Macau, and Taiwan (collectively, the Zai Lab Territory).</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have worldwide development and commercialization rights to all of our development and discovery programs, including elenestinib (BLU-263), BLU-451, BLU-222, BLU-852 and BLU-808.</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granted an exclusive worldwide license to Clementia to develop and commercialize BLU-782.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have granted an exclusive worldwide license to IDRx for a development candidate-stage KIT exon 13 inhibitor, IDRX-73.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Collaborations and Licenses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Roche—Immunotherapy Collaboration. </w:t>
      </w:r>
      <w:r>
        <w:rPr>
          <w:rFonts w:ascii="Times New Roman;Times;serif" w:hAnsi="Times New Roman;Times;serif"/>
          <w:sz w:val="20"/>
        </w:rPr>
        <w:t>In March 2016, we entered into a collaboration with Roche to discover, develop and commercialize small molecule therapeutics targeting kinases believed to be important in cancer immunotherapy, including the kinase target MAP4K1, as single products or possibly in combination with other therapeutics. I</w:t>
      </w:r>
      <w:r>
        <w:rPr>
          <w:rFonts w:ascii="Times New Roman;Times;serif" w:hAnsi="Times New Roman;Times;serif"/>
          <w:sz w:val="20"/>
          <w:shd w:fill="FFFFFF" w:val="clear"/>
        </w:rPr>
        <w:t>n 2022, Roche endorsed a clinical development plan for IND-enabling activities for BLU-852, as a single agent and in combination with atezolizumab, in advanced cancers.</w:t>
      </w:r>
      <w:r>
        <w:rPr>
          <w:rFonts w:ascii="Times New Roman;Times;serif" w:hAnsi="Times New Roman;Times;serif"/>
          <w:sz w:val="20"/>
        </w:rPr>
        <w:t xml:space="preserve"> On April 30, 2023, we entered into a mutual termination agreement with Roche, which we refer to as the Termination Agreement, pursuant to which the parties mutually agreed to terminate the Roche immunotherapy agreement such that the rights and licenses granted to Roche related to MAP4K1 have terminated in their entirety and we retained the rights to any and all compounds developed under the collaboration. Further, we retain the flexibility to research, develop, manufacture, commercialize and otherwise exploit the assets developed under the collaboration. We have deprioritized advancement of the program and are exploring opportunities to re-partner the asset for future development.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Roche—Pralsetinib Collaboration. </w:t>
      </w:r>
      <w:r>
        <w:rPr>
          <w:rFonts w:ascii="Times New Roman;Times;serif" w:hAnsi="Times New Roman;Times;serif"/>
          <w:sz w:val="20"/>
        </w:rPr>
        <w:t xml:space="preserve">In July 2020, we entered into a collaboration with Roche to develop and commercialize pralsetinib for the treatment of RET-altered cancers. Under the collaboration, we and Genentech are co-commercializing GAVRETO in the U.S., and Roche was granted exclusive commercialization rights for pralsetinib outside of the U.S., excluding the CStone Territory, which consists of Mainland China, Hong Kong, Macau and Taiwan. In February 2023, we received written notice from Roche of their election to terminate for convenience the Roche pralsetinib collaboration agreement. The termination will become effective in February 2024, at which time we will regain commercialization and development rights for GAVRETO from Roche in the U.S. and Roche Territory. Until the termination of the collaboration agreement is effective, the parties will continue to perform their respective obligations under the collaboration agreement, including with respect to the development and commercialization of GAVRETO. The parties will enter into a transition plan to facilitate the reversion of the product, including reasonable allocation of costs and expenses. </w:t>
      </w:r>
      <w:r>
        <w:rPr>
          <w:rFonts w:ascii="Times New Roman;Times;serif" w:hAnsi="Times New Roman;Times;serif"/>
          <w:sz w:val="20"/>
          <w:shd w:fill="FFFFFF" w:val="clear"/>
        </w:rPr>
        <w:t xml:space="preserve">We will not be entitled to receive payment for milestones, if any, achieved after the receipt of the notice of termination but before the effective date of termination. </w:t>
      </w:r>
      <w:r>
        <w:rPr>
          <w:rFonts w:ascii="Times New Roman;Times;serif" w:hAnsi="Times New Roman;Times;serif"/>
          <w:sz w:val="20"/>
        </w:rPr>
        <w:t>Upon the termination becoming effective, our exclusivity obligations under the collaboration agreement will terminate and we have initiated the process of re-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partnering GAVRETO for future development and commercialization. </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i/>
          <w:sz w:val="20"/>
        </w:rPr>
        <w:t xml:space="preserve">CStone. </w:t>
      </w:r>
      <w:r>
        <w:rPr>
          <w:rFonts w:ascii="Times New Roman;Times;serif" w:hAnsi="Times New Roman;Times;serif"/>
          <w:sz w:val="20"/>
        </w:rPr>
        <w:t xml:space="preserve">In June 2018, we entered into a collaboration with CStone to develop and commercialize avapritinib, pralsetinib and fisogatinib, as well as back-up forms and certain other forms, in the CStone Territory either as a monotherapy or as part of a combination therapy.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Clementia.</w:t>
      </w:r>
      <w:r>
        <w:rPr>
          <w:rFonts w:ascii="Times New Roman;Times;serif" w:hAnsi="Times New Roman;Times;serif"/>
          <w:sz w:val="20"/>
        </w:rPr>
        <w:t xml:space="preserve"> In October 2019, we entered into a license agreement with Clementia. Under the collaboration, we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(ALK2) in development for the treatment of fibrodysplasia ossificans progressiva (FOP). The FDA has granted a rare pediatric disease designation, orphan drug designation and fast track designation to BLU-782, each for the treatment of FOP. Clementia initiated patient dosing in a Phase 2 clinical trial of BLU-782, now referred to as fidrisertib, in the first quarter of 2022.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Zai Lab</w:t>
      </w:r>
      <w:r>
        <w:rPr>
          <w:rFonts w:ascii="Times New Roman;Times;serif" w:hAnsi="Times New Roman;Times;serif"/>
          <w:sz w:val="20"/>
        </w:rPr>
        <w:t xml:space="preserve">. In November 2021, we entered into a collaboration with Zai Lab to develop and commercialize certain licensed products for the treatment of EGFR-driven NSCLC in Greater China, including Mainland China, Hong Kong, Macau and Taiwan. The collaboration aims to accelerate and expand global development of the licensed products, which currently includes BLU-945 and BLU-525 (which served as a back-up candidate for BLU-701).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Proteovant</w:t>
      </w:r>
      <w:r>
        <w:rPr>
          <w:rFonts w:ascii="Times New Roman;Times;serif" w:hAnsi="Times New Roman;Times;serif"/>
          <w:sz w:val="20"/>
        </w:rPr>
        <w:t>. In February 2022, we entered into an exclusive collaboration with Proteovant to jointly research and advance up to two novel targeted protein degrader therapies as well as up to two additional novel protein degrader target programs as we may mutually agree with Proteovant (each such program is referred to as a target program). On a target program-by-target program basis, we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the second target program that we option, and, if we expand to additional target programs, Proteovant will have the same opt-in right for the fourth target program that we option.</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IDRx. </w:t>
      </w:r>
      <w:r>
        <w:rPr>
          <w:rFonts w:ascii="Times New Roman;Times;serif" w:hAnsi="Times New Roman;Times;serif"/>
          <w:sz w:val="20"/>
        </w:rPr>
        <w:t xml:space="preserve">In August 2022, we entered into a license agreement with IDRx, Inc., or IDRx, which we refer to as the IDRx License Agreement. Pursuant to the IDRx License Agreement, we granted IDRx an exclusive, worldwide, royalty-bearing license to exploit our internally discovered development candidate-stage KIT exon 13 inhibitor, IDRX-73. </w:t>
      </w:r>
    </w:p>
    <w:p>
      <w:pPr>
        <w:pStyle w:val="TextBody"/>
        <w:bidi w:val="0"/>
        <w:spacing w:lineRule="auto" w:line="285" w:before="280" w:after="0"/>
        <w:ind w:left="0" w:right="0" w:firstLine="720"/>
        <w:jc w:val="left"/>
        <w:rPr>
          <w:rFonts w:ascii="Times New Roman;Times;serif" w:hAnsi="Times New Roman;Times;serif"/>
          <w:sz w:val="20"/>
        </w:rPr>
      </w:pPr>
      <w:bookmarkStart w:id="1312" w:name="_cp_change_8521"/>
      <w:bookmarkEnd w:id="1312"/>
      <w:r>
        <w:rPr>
          <w:rFonts w:ascii="Times New Roman;Times;serif" w:hAnsi="Times New Roman;Times;serif"/>
          <w:sz w:val="20"/>
        </w:rPr>
        <w:t>In connection with the IDRx License Agreement, we also entered into a stock purchase agreement with IDRx, which we refer to as the IDRx Stock Purchase Agreement, pursuant to which we received 4,509,105 shares of IDRx’s Series A preferred stock and the right to receive additional shares of IDRx’s Series A preferred stock through an anti-dilution provision subject to a defined financing cap and the eligibility to receive up to $217.5 million in contingent cash payments, i</w:t>
      </w:r>
      <w:r>
        <w:rPr>
          <w:rFonts w:ascii="Times New Roman;Times;serif" w:hAnsi="Times New Roman;Times;serif"/>
          <w:sz w:val="20"/>
          <w:shd w:fill="FFFFFF" w:val="clear"/>
        </w:rPr>
        <w:t>ncluding specified development, regulatory and sales-based milestone payments and tiered royalty payments. In July 2023, we received an additional 192,282 shares pursuant to the anti-dilution provision in the IDRx Stock Purchase Agreement.</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Mergers &amp; Acquisitions Summary</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Lengo Therapeutics</w:t>
      </w:r>
      <w:r>
        <w:rPr>
          <w:rFonts w:ascii="Times New Roman;Times;serif" w:hAnsi="Times New Roman;Times;serif"/>
          <w:sz w:val="20"/>
        </w:rPr>
        <w:t>. In December 2021, we completed our acquisition of Lengo Therapeutics, Inc., along with its lead compound LNG-451, now known as BLU-451, which is in development for the treatment of NSCLC in patients with EGFR exon 20 insertion mutations. The acquisition also included additional undisclosed preclinical precision oncology programs and research tools, including a catalog of covalent, highly brain penetrant kinase inhibitors that we plan to add to our proprietary compound library to further enable future drug discovery efforts.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will continue to evaluate additional collaborations, acquisitions, partnerships and licenses that could maximize the value of our programs and allow us to leverage the expertise of strategic collaborators, partners and licensors, including in additional geographies where we may not have current operations or expertise. We are also focused on engaging in collaborations, acquisitions, partnerships and license agreements to capitalize on or expand our discovery platform.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Financing Arrangements Summary</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i/>
          <w:sz w:val="20"/>
        </w:rPr>
        <w:t xml:space="preserve">Royalty Purchase Agreement. </w:t>
      </w:r>
      <w:r>
        <w:rPr>
          <w:rFonts w:ascii="Times New Roman;Times;serif" w:hAnsi="Times New Roman;Times;serif"/>
          <w:sz w:val="20"/>
        </w:rPr>
        <w:t xml:space="preserve">In June 2022, we entered into a purchase and sale agreement, which we refer to as the Royalty Purchase Agreement, with Royalty Pharma. Pursuant to this Royalty Purchase Agreement, we received an upfront cash payment of $175.0 million and the right to receive up to $165.0 million in certain milestone payments, </w:t>
      </w:r>
      <w:r>
        <w:rPr>
          <w:rFonts w:ascii="Times New Roman;Times;serif" w:hAnsi="Times New Roman;Times;serif"/>
          <w:sz w:val="20"/>
          <w:shd w:fill="FFFFFF" w:val="clear"/>
        </w:rPr>
        <w:t xml:space="preserve">subject to the achievement of specified net sales milestones by Roche, in exchange for </w:t>
      </w:r>
      <w:r>
        <w:rPr>
          <w:rFonts w:ascii="Times New Roman;Times;serif" w:hAnsi="Times New Roman;Times;serif"/>
          <w:sz w:val="20"/>
        </w:rPr>
        <w:t xml:space="preserve">all of our existing rights to receive royalty payments on the net sales of GAVRETO worldwide excluding the CStone Territory and U.S. territory under the terms of the Roche pralsetinib collaboration agreement. However, in February 2023, Roche provided written notice of its election to terminate the Roche pralsetinib collaboration agreement for convenience. Following the termination of the Roche pralsetinib collaboration agreement, if the specified net sales milestone thresholds under the Royalty Purchase Agreement with Royalty Pharma are not otherwise met, we may no longer be eligible to receive any of the contingent milestone payments under the Royalty Purchase Agreement. </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i/>
          <w:sz w:val="20"/>
        </w:rPr>
        <w:t>Synthetic Royalty Facility.</w:t>
      </w:r>
      <w:r>
        <w:rPr>
          <w:rFonts w:ascii="Times New Roman;Times;serif" w:hAnsi="Times New Roman;Times;serif"/>
          <w:sz w:val="20"/>
        </w:rPr>
        <w:t xml:space="preserve"> In June 2022, we entered into a purchase and sale agreement, which we refer to as the Future Revenue Purchase Agreement with Sixth Street Partners.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Debt Facility. </w:t>
      </w:r>
      <w:r>
        <w:rPr>
          <w:rFonts w:ascii="Times New Roman;Times;serif" w:hAnsi="Times New Roman;Times;serif"/>
          <w:sz w:val="20"/>
        </w:rPr>
        <w:t xml:space="preserve">In June 2022, we entered into a Financing Agreement for up to $660.0 million with Sixth Street Partners. The Financing Agreement, as amended,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addition, we may at any time request an incremental term loan in an amount not to exceed $260.0 million on terms to be agreed and subject to the consent of the lenders providing such incremental term loan. In August 2023, we received the first tranche of the senior secured delayed draw term loan facility in the amount of $100.0 million in gross proceeds. </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To date, we have financed our operations primarily through public offerings of our common stock, private placements of our convertible preferred and common stock, collaboration and license agreements, future royalty and revenue monetization, and a term loan. Through September 30, 2023, we have received an aggregate of $3.7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and milestone payments under our collaborations with Roche, CStone and Zai Lab, our license agreement with Clementia and our former collaboration with Alexion Pharma Holding, or Alexion, and $250.0 million in gross proceeds from a term loan from Sixth Street Partners. In addition, since January 2020, we have also generated revenue through the sales of our approved drug products.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Since inception, we have incurred significant operating losses. Our net loss was $396.1 million for the nine months ended September 30, 2023. Our net losses were $557.5 million and $644.1 million for the years ended December 31, 2022 and 2021, respectively. As of September 30, 2023, we had an accumulated deficit of $2,229.0 million. We expect to continue to incur significant expenses and operating losses over the next few years. We anticipate variability in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our expenses in future periods in connection with our ongoing activities, particularly as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expand our sales, marketing and distribution infrastructure to continue to commercialize our drug and any current or future drug candidates for which we may obtain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 for avapritinib in additional geographies, particularly for indolent SM in geographies outside of the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advance clinical development activities for other current or future drug candidates as monotherapies or in combination with other agents;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discover, validate and develop additional drug candidates or development candidates, including elenestinib (BLU-263), BLU-945, BLU-525, BLU-451, BLU-222 and BLU-808;</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continue to manufacture increasing quantities of drug substance and drug product material for use in preclinical studies, clinical trials and commercialization and to purchase quantities of other agents for use in our clinical trial as we develop our drugs and drug candidates as potential combination therapies or for use as comparator agents; </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research and development activities under our collaborations with Zai Lab and Proteovant;</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additional businesses, technologies, drugs or drug candidates, form strategic alliances or create joint ventures with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research, clinical, quality, manufacturing, regulatory, commercial and general and administrative personnel.</w:t>
            </w:r>
          </w:p>
        </w:tc>
      </w:tr>
    </w:tbl>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ASM, SM-AHN and MCL. In March 2022, the European Commission expanded the marketing authorization for AYVAKYT to include the treatment of adult patients with ASM, SM-AHN, or MCL, after at least one systemic therapy. In May 2023, the FDA approved AYVAKIT for the treatment of adult patients with indolent SM.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nine months ended September 30, 2023, our revenue primarily consisted of product sales of AYVAKIT/AYVAKYT as well as some collaboration and license revenue under our collaboration agreements with our collaboration partners. During the nine months ended September 30, 2023, our collaboration and license revenue primarily included amounts that were recognized related to an achieved milestone payment under our collaboration with CStone and research and development services under our immunotherapy collaboration with Roche.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 and license agreements, including revenues related to the supply of our drug candidates or approved drugs to our various collaboration partners. We anticipate variability in revenue in the future as a result of the timing and amount of product sales, license fees, manufacturing services, and achievement of milestones or other payments under our collaboration or license agreements, if any.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2023, we expect net product revenues to increase, as compared to 2022, as we continue to add new patients onto AYVAKIT/AYVAKYT, including advanced SM and indolent SM with the recent label expansion.</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Prior to receiving the initial FDA approval for AYVAKIT in January 2020, and subsequent approval in June 2021, we manufactured inventory to be sold upon commercialization and recorded approximately $31.0 million related to this inventory as research and development expense. As a result, the manufacturing costs related to the inventory build-up incurred before FDA approval were expensed in prior periods and are therefore excluded from the cost of goods sold for the three and nine months ended September 30, 2023 and 2022, respectively. We estimate our cost of goods sold related to product revenue as a percentage of net product revenue will continue to be positively impacted as we sell through certain inventory that was previously expensed prior to FDA approval. We expect to sell through our pre-launch inventory in the near term. Once the low-cost inventory balances are sold through, we estimate our costs of goods sold related to product sales to remain in the mid-single digit percentage range. Cost of goods sold related to sales of drug products to our collaboration partners are at lower margins and partially offset the positive impact of the previously expensed inventory.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Expenses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On July 1, 2021, Roche took over certain responsibilities associated with product sales to customers, pricing and distribution matters related to GAVRETO in the U.S. and became the principal for recording product sales to customers in the U.S. Collaboration loss sharing consists of our share of the losses incurred from sales of GAVRETO to customers in the U.S. under our collaboration for pralsetinib with Roche. For additional information, see Note 10</w:t>
      </w:r>
      <w:r>
        <w:rPr>
          <w:rFonts w:ascii="Times New Roman;Times;serif" w:hAnsi="Times New Roman;Times;serif"/>
          <w:i/>
          <w:sz w:val="20"/>
        </w:rPr>
        <w:t>, Collaboration and License Agreements</w:t>
      </w:r>
      <w:r>
        <w:rPr>
          <w:rFonts w:ascii="Times New Roman;Times;serif" w:hAnsi="Times New Roman;Times;serif"/>
          <w:sz w:val="20"/>
        </w:rPr>
        <w:t xml:space="preserve">, to our unaudited condensed consolidated financial statements. We anticipate variability in collaboration loss sharing from period to period as a result of the timing and amount of GAVRETO sales.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and development activities, including our drug discovery efforts, and the development of our drug candidates, which include:</w:t>
      </w:r>
    </w:p>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to acquire in-process research and development asset with no alternative future use;</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that conduct research and development, preclinical activities, clinical activities and manufacturing on our behalf;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development activities under our collaboration for pralsetinib with Roche and research and development activities under our collaboration with Proteovant;</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cost of consultants in connection with our research and development activities</w:t>
            </w:r>
            <w:r>
              <w:rPr>
                <w:rFonts w:ascii="Times New Roman;Times;serif" w:hAnsi="Times New Roman;Times;serif"/>
                <w:b w:val="false"/>
                <w:i w:val="false"/>
                <w:caps w:val="false"/>
                <w:smallCaps w:val="false"/>
                <w:sz w:val="20"/>
              </w:rPr>
              <w:t>;</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associated with regulatory quality assurance and quality control operations;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lab supplies and acquiring, developing and manufacturing preclinical study materials, clinical trial materials and commercial supply materials;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direct and allocated expenses for rent and maintenance of facilities, insurance, and other operating costs in support of research and development activities.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material net cash inflows will commence from the sale of our current or future drug candidates for which we received marketing approval. This is due to the numerous risks and uncertainties associated with developing drugs, including the uncertainty of:</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 with IND-enabling toxicology studies;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initiation, enrollment in, and completion of clinical trials;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applicable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manufacturing capabilities or making arrangements with third-party manufacturers to ensure adequate clinical and commercial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and regulatory exclusivity for AYVAKIT/AYVAKYT, GAVRETO and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commercializing AYVAKIT/AYVAKYT, GAVRETO and our drug candidates, if and when approved, whether alone or in collaboration with others; </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AYVAKIT/AYVAKYT, GAVRETO and any future drug we may commercialize; and</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acceptable safety profile of the drugs following approval.</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any of our drug candidates would significantly change the costs and timing associated with the development of that drug candidate.</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summarize our research and development expenses by program for the three and nine months ended September 30, 2023 and 2022. Other development and pre-development candidate expenses, unallocated expenses and internal research and development expenses have been classified separately.</w:t>
      </w:r>
    </w:p>
    <w:tbl>
      <w:tblPr>
        <w:tblW w:w="10205" w:type="dxa"/>
        <w:jc w:val="left"/>
        <w:tblInd w:w="0" w:type="dxa"/>
        <w:tblLayout w:type="fixed"/>
        <w:tblCellMar>
          <w:top w:w="0" w:type="dxa"/>
          <w:left w:w="0" w:type="dxa"/>
          <w:bottom w:w="0" w:type="dxa"/>
          <w:right w:w="0" w:type="dxa"/>
        </w:tblCellMar>
      </w:tblPr>
      <w:tblGrid>
        <w:gridCol w:w="4529"/>
        <w:gridCol w:w="386"/>
        <w:gridCol w:w="228"/>
        <w:gridCol w:w="843"/>
        <w:gridCol w:w="416"/>
        <w:gridCol w:w="228"/>
        <w:gridCol w:w="843"/>
        <w:gridCol w:w="386"/>
        <w:gridCol w:w="223"/>
        <w:gridCol w:w="817"/>
        <w:gridCol w:w="386"/>
        <w:gridCol w:w="483"/>
        <w:gridCol w:w="437"/>
      </w:tblGrid>
      <w:tr>
        <w:trPr/>
        <w:tc>
          <w:tcPr>
            <w:tcW w:w="4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875915" cy="175260"/>
                      <wp:effectExtent l="0" t="0" r="0" b="0"/>
                      <wp:wrapNone/>
                      <wp:docPr id="358" name="Frame358"/>
                      <a:graphic xmlns:a="http://schemas.openxmlformats.org/drawingml/2006/main">
                        <a:graphicData uri="http://schemas.microsoft.com/office/word/2010/wordprocessingShape">
                          <wps:wsp>
                            <wps:cNvSpPr txBox="1"/>
                            <wps:spPr>
                              <a:xfrm>
                                <a:off x="0" y="0"/>
                                <a:ext cx="2875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45110" cy="175260"/>
                      <wp:effectExtent l="0" t="0" r="0" b="0"/>
                      <wp:wrapNone/>
                      <wp:docPr id="359" name="Frame35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44780" cy="175260"/>
                      <wp:effectExtent l="0" t="0" r="0" b="0"/>
                      <wp:wrapNone/>
                      <wp:docPr id="360" name="Frame36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35305" cy="175260"/>
                      <wp:effectExtent l="0" t="0" r="0" b="0"/>
                      <wp:wrapNone/>
                      <wp:docPr id="361" name="Frame361"/>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64160" cy="175260"/>
                      <wp:effectExtent l="0" t="0" r="0" b="0"/>
                      <wp:wrapNone/>
                      <wp:docPr id="362" name="Frame362"/>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44780" cy="175260"/>
                      <wp:effectExtent l="0" t="0" r="0" b="0"/>
                      <wp:wrapNone/>
                      <wp:docPr id="363" name="Frame36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35305" cy="175260"/>
                      <wp:effectExtent l="0" t="0" r="0" b="0"/>
                      <wp:wrapNone/>
                      <wp:docPr id="364" name="Frame364"/>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45110" cy="175260"/>
                      <wp:effectExtent l="0" t="0" r="0" b="0"/>
                      <wp:wrapNone/>
                      <wp:docPr id="365" name="Frame36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41605" cy="175260"/>
                      <wp:effectExtent l="0" t="0" r="0" b="0"/>
                      <wp:wrapNone/>
                      <wp:docPr id="366" name="Frame36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18795" cy="175260"/>
                      <wp:effectExtent l="0" t="0" r="0" b="0"/>
                      <wp:wrapNone/>
                      <wp:docPr id="367" name="Frame367"/>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45110" cy="175260"/>
                      <wp:effectExtent l="0" t="0" r="0" b="0"/>
                      <wp:wrapNone/>
                      <wp:docPr id="368" name="Frame36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06705" cy="175260"/>
                      <wp:effectExtent l="0" t="0" r="0" b="0"/>
                      <wp:wrapNone/>
                      <wp:docPr id="369" name="Frame369"/>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77495" cy="175260"/>
                      <wp:effectExtent l="0" t="0" r="0" b="0"/>
                      <wp:wrapNone/>
                      <wp:docPr id="370" name="Frame370"/>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29"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2558"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86" w:type="dxa"/>
            <w:tcBorders/>
            <w:vAlign w:val="center"/>
          </w:tcPr>
          <w:p>
            <w:pPr>
              <w:pStyle w:val="TableContents"/>
              <w:bidi w:val="0"/>
              <w:spacing w:lineRule="auto" w:line="285" w:before="0" w:after="0"/>
              <w:ind w:left="0" w:right="0" w:hanging="0"/>
              <w:jc w:val="center"/>
              <w:rPr/>
            </w:pPr>
            <w:r>
              <w:rPr/>
              <w:t>​</w:t>
            </w:r>
          </w:p>
        </w:tc>
        <w:tc>
          <w:tcPr>
            <w:tcW w:w="1909" w:type="dxa"/>
            <w:gridSpan w:val="4"/>
            <w:tcBorders/>
            <w:vAlign w:val="center"/>
          </w:tcPr>
          <w:p>
            <w:pPr>
              <w:pStyle w:val="TableContents"/>
              <w:bidi w:val="0"/>
              <w:spacing w:lineRule="auto" w:line="285" w:before="0" w:after="0"/>
              <w:ind w:left="0" w:right="0" w:hanging="0"/>
              <w:jc w:val="center"/>
              <w:rPr/>
            </w:pPr>
            <w:r>
              <w:rPr/>
              <w:t>​</w:t>
            </w:r>
          </w:p>
        </w:tc>
        <w:tc>
          <w:tcPr>
            <w:tcW w:w="437" w:type="dxa"/>
            <w:tcBorders/>
            <w:vAlign w:val="center"/>
          </w:tcPr>
          <w:p>
            <w:pPr>
              <w:pStyle w:val="TableContents"/>
              <w:bidi w:val="0"/>
              <w:spacing w:lineRule="auto" w:line="285" w:before="0" w:after="0"/>
              <w:ind w:left="0" w:right="0" w:hanging="0"/>
              <w:jc w:val="center"/>
              <w:rPr/>
            </w:pPr>
            <w:r>
              <w:rPr/>
              <w:t>​</w:t>
            </w:r>
          </w:p>
        </w:tc>
      </w:tr>
      <w:tr>
        <w:trPr/>
        <w:tc>
          <w:tcPr>
            <w:tcW w:w="4529"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6" w:type="dxa"/>
            <w:tcBorders/>
            <w:vAlign w:val="center"/>
          </w:tcPr>
          <w:p>
            <w:pPr>
              <w:pStyle w:val="TableContents"/>
              <w:bidi w:val="0"/>
              <w:spacing w:lineRule="auto" w:line="285" w:before="0" w:after="1"/>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lineRule="auto" w:line="285" w:before="0" w:after="1"/>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52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Avapritinib external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5,618</w:t>
            </w:r>
          </w:p>
        </w:tc>
        <w:tc>
          <w:tcPr>
            <w:tcW w:w="416" w:type="dxa"/>
            <w:tcBorders/>
            <w:shd w:fill="CCEEFF" w:val="clear"/>
            <w:vAlign w:val="center"/>
          </w:tcPr>
          <w:p>
            <w:pPr>
              <w:pStyle w:val="TableContents"/>
              <w:bidi w:val="0"/>
              <w:spacing w:lineRule="auto" w:line="285" w:before="0" w:after="1"/>
              <w:ind w:left="0" w:right="0" w:hanging="0"/>
              <w:jc w:val="left"/>
              <w:rPr/>
            </w:pPr>
            <w:r>
              <w:rPr/>
              <w:t>     </w:t>
            </w:r>
          </w:p>
        </w:tc>
        <w:tc>
          <w:tcPr>
            <w:tcW w:w="22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17,240</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(11,622)</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43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529"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Pralsetinib external expenses</w:t>
            </w:r>
          </w:p>
        </w:tc>
        <w:tc>
          <w:tcPr>
            <w:tcW w:w="386" w:type="dxa"/>
            <w:tcBorders/>
            <w:vAlign w:val="center"/>
          </w:tcPr>
          <w:p>
            <w:pPr>
              <w:pStyle w:val="TableContents"/>
              <w:bidi w:val="0"/>
              <w:spacing w:lineRule="auto" w:line="285" w:before="0" w:after="1"/>
              <w:ind w:left="0" w:right="0" w:hanging="0"/>
              <w:jc w:val="left"/>
              <w:rPr/>
            </w:pPr>
            <w:r>
              <w:rPr/>
              <w:t>     </w:t>
            </w:r>
          </w:p>
        </w:tc>
        <w:tc>
          <w:tcPr>
            <w:tcW w:w="228" w:type="dxa"/>
            <w:tcBorders/>
            <w:vAlign w:val="center"/>
          </w:tcPr>
          <w:p>
            <w:pPr>
              <w:pStyle w:val="TableContents"/>
              <w:bidi w:val="0"/>
              <w:spacing w:lineRule="auto" w:line="285" w:before="0" w:after="0"/>
              <w:ind w:left="0" w:right="0" w:hanging="0"/>
              <w:jc w:val="right"/>
              <w:rPr/>
            </w:pPr>
            <w:r>
              <w:rPr/>
              <w:t>​</w:t>
            </w:r>
          </w:p>
        </w:tc>
        <w:tc>
          <w:tcPr>
            <w:tcW w:w="84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7,602</w:t>
            </w:r>
          </w:p>
        </w:tc>
        <w:tc>
          <w:tcPr>
            <w:tcW w:w="416" w:type="dxa"/>
            <w:tcBorders/>
            <w:vAlign w:val="center"/>
          </w:tcPr>
          <w:p>
            <w:pPr>
              <w:pStyle w:val="TableContents"/>
              <w:bidi w:val="0"/>
              <w:spacing w:lineRule="auto" w:line="285" w:before="0" w:after="1"/>
              <w:ind w:left="0" w:right="0" w:hanging="0"/>
              <w:jc w:val="left"/>
              <w:rPr/>
            </w:pPr>
            <w:r>
              <w:rPr/>
              <w:t>     </w:t>
            </w:r>
          </w:p>
        </w:tc>
        <w:tc>
          <w:tcPr>
            <w:tcW w:w="228" w:type="dxa"/>
            <w:tcBorders/>
            <w:vAlign w:val="center"/>
          </w:tcPr>
          <w:p>
            <w:pPr>
              <w:pStyle w:val="TableContents"/>
              <w:bidi w:val="0"/>
              <w:spacing w:lineRule="auto" w:line="285" w:before="0" w:after="0"/>
              <w:ind w:left="0" w:right="0" w:hanging="0"/>
              <w:jc w:val="right"/>
              <w:rPr/>
            </w:pPr>
            <w:r>
              <w:rPr/>
              <w:t>​</w:t>
            </w:r>
          </w:p>
        </w:tc>
        <w:tc>
          <w:tcPr>
            <w:tcW w:w="84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3,028</w:t>
            </w:r>
          </w:p>
        </w:tc>
        <w:tc>
          <w:tcPr>
            <w:tcW w:w="386" w:type="dxa"/>
            <w:tcBorders/>
            <w:vAlign w:val="center"/>
          </w:tcPr>
          <w:p>
            <w:pPr>
              <w:pStyle w:val="TableContents"/>
              <w:bidi w:val="0"/>
              <w:spacing w:lineRule="auto" w:line="285" w:before="0" w:after="1"/>
              <w:ind w:left="0" w:right="0" w:hanging="0"/>
              <w:jc w:val="left"/>
              <w:rPr/>
            </w:pPr>
            <w:r>
              <w:rPr/>
              <w:t>     </w:t>
            </w:r>
          </w:p>
        </w:tc>
        <w:tc>
          <w:tcPr>
            <w:tcW w:w="223" w:type="dxa"/>
            <w:tcBorders/>
            <w:vAlign w:val="center"/>
          </w:tcPr>
          <w:p>
            <w:pPr>
              <w:pStyle w:val="TableContents"/>
              <w:bidi w:val="0"/>
              <w:spacing w:lineRule="auto" w:line="285" w:before="0" w:after="0"/>
              <w:ind w:left="0" w:right="0" w:hanging="0"/>
              <w:jc w:val="right"/>
              <w:rPr/>
            </w:pPr>
            <w:r>
              <w:rPr/>
              <w:t>​</w:t>
            </w:r>
          </w:p>
        </w:tc>
        <w:tc>
          <w:tcPr>
            <w:tcW w:w="817"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4,574</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437" w:type="dxa"/>
            <w:tcBorders/>
            <w:vAlign w:val="center"/>
          </w:tcPr>
          <w:p>
            <w:pPr>
              <w:pStyle w:val="TableContents"/>
              <w:bidi w:val="0"/>
              <w:spacing w:lineRule="auto" w:line="285" w:before="0" w:after="0"/>
              <w:ind w:left="0" w:right="0" w:hanging="0"/>
              <w:jc w:val="left"/>
              <w:rPr/>
            </w:pPr>
            <w:r>
              <w:rPr/>
              <w:t>​</w:t>
            </w:r>
          </w:p>
        </w:tc>
      </w:tr>
      <w:tr>
        <w:trPr/>
        <w:tc>
          <w:tcPr>
            <w:tcW w:w="452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BLU-263 external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8" w:type="dxa"/>
            <w:tcBorders/>
            <w:shd w:fill="CCEEFF" w:val="clear"/>
            <w:vAlign w:val="center"/>
          </w:tcPr>
          <w:p>
            <w:pPr>
              <w:pStyle w:val="TableContents"/>
              <w:bidi w:val="0"/>
              <w:spacing w:lineRule="auto" w:line="285" w:before="0" w:after="0"/>
              <w:ind w:left="0" w:right="0" w:hanging="0"/>
              <w:jc w:val="right"/>
              <w:rPr/>
            </w:pPr>
            <w:r>
              <w:rPr/>
              <w:t>​</w:t>
            </w:r>
          </w:p>
        </w:tc>
        <w:tc>
          <w:tcPr>
            <w:tcW w:w="8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6,092</w:t>
            </w:r>
          </w:p>
        </w:tc>
        <w:tc>
          <w:tcPr>
            <w:tcW w:w="416" w:type="dxa"/>
            <w:tcBorders/>
            <w:shd w:fill="CCEEFF" w:val="clear"/>
            <w:vAlign w:val="center"/>
          </w:tcPr>
          <w:p>
            <w:pPr>
              <w:pStyle w:val="TableContents"/>
              <w:bidi w:val="0"/>
              <w:spacing w:lineRule="auto" w:line="285" w:before="0" w:after="1"/>
              <w:ind w:left="0" w:right="0" w:hanging="0"/>
              <w:jc w:val="left"/>
              <w:rPr/>
            </w:pPr>
            <w:r>
              <w:rPr/>
              <w:t>     </w:t>
            </w:r>
          </w:p>
        </w:tc>
        <w:tc>
          <w:tcPr>
            <w:tcW w:w="228" w:type="dxa"/>
            <w:tcBorders/>
            <w:shd w:fill="CCEEFF" w:val="clear"/>
            <w:vAlign w:val="center"/>
          </w:tcPr>
          <w:p>
            <w:pPr>
              <w:pStyle w:val="TableContents"/>
              <w:bidi w:val="0"/>
              <w:spacing w:lineRule="auto" w:line="285" w:before="0" w:after="0"/>
              <w:ind w:left="0" w:right="0" w:hanging="0"/>
              <w:jc w:val="right"/>
              <w:rPr/>
            </w:pPr>
            <w:r>
              <w:rPr/>
              <w:t>​</w:t>
            </w:r>
          </w:p>
        </w:tc>
        <w:tc>
          <w:tcPr>
            <w:tcW w:w="8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10,574</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81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(4,482)</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529"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EGFR franchise (BLU-451/525/701/945) external expenses</w:t>
            </w:r>
          </w:p>
        </w:tc>
        <w:tc>
          <w:tcPr>
            <w:tcW w:w="386" w:type="dxa"/>
            <w:tcBorders/>
            <w:vAlign w:val="center"/>
          </w:tcPr>
          <w:p>
            <w:pPr>
              <w:pStyle w:val="TableContents"/>
              <w:bidi w:val="0"/>
              <w:spacing w:lineRule="auto" w:line="285" w:before="0" w:after="1"/>
              <w:ind w:left="0" w:right="0" w:hanging="0"/>
              <w:jc w:val="left"/>
              <w:rPr/>
            </w:pPr>
            <w:r>
              <w:rPr/>
              <w:t>     </w:t>
            </w:r>
          </w:p>
        </w:tc>
        <w:tc>
          <w:tcPr>
            <w:tcW w:w="228" w:type="dxa"/>
            <w:tcBorders/>
            <w:vAlign w:val="center"/>
          </w:tcPr>
          <w:p>
            <w:pPr>
              <w:pStyle w:val="TableContents"/>
              <w:bidi w:val="0"/>
              <w:spacing w:lineRule="auto" w:line="285" w:before="0" w:after="0"/>
              <w:ind w:left="0" w:right="0" w:hanging="0"/>
              <w:jc w:val="right"/>
              <w:rPr/>
            </w:pPr>
            <w:r>
              <w:rPr/>
              <w:t>​</w:t>
            </w:r>
          </w:p>
        </w:tc>
        <w:tc>
          <w:tcPr>
            <w:tcW w:w="84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11,917</w:t>
            </w:r>
          </w:p>
        </w:tc>
        <w:tc>
          <w:tcPr>
            <w:tcW w:w="416" w:type="dxa"/>
            <w:tcBorders/>
            <w:vAlign w:val="center"/>
          </w:tcPr>
          <w:p>
            <w:pPr>
              <w:pStyle w:val="TableContents"/>
              <w:bidi w:val="0"/>
              <w:spacing w:lineRule="auto" w:line="285" w:before="0" w:after="1"/>
              <w:ind w:left="0" w:right="0" w:hanging="0"/>
              <w:jc w:val="left"/>
              <w:rPr/>
            </w:pPr>
            <w:r>
              <w:rPr/>
              <w:t>     </w:t>
            </w:r>
          </w:p>
        </w:tc>
        <w:tc>
          <w:tcPr>
            <w:tcW w:w="228" w:type="dxa"/>
            <w:tcBorders/>
            <w:vAlign w:val="center"/>
          </w:tcPr>
          <w:p>
            <w:pPr>
              <w:pStyle w:val="TableContents"/>
              <w:bidi w:val="0"/>
              <w:spacing w:lineRule="auto" w:line="285" w:before="0" w:after="0"/>
              <w:ind w:left="0" w:right="0" w:hanging="0"/>
              <w:jc w:val="right"/>
              <w:rPr/>
            </w:pPr>
            <w:r>
              <w:rPr/>
              <w:t>​</w:t>
            </w:r>
          </w:p>
        </w:tc>
        <w:tc>
          <w:tcPr>
            <w:tcW w:w="84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22,864</w:t>
            </w:r>
          </w:p>
        </w:tc>
        <w:tc>
          <w:tcPr>
            <w:tcW w:w="386" w:type="dxa"/>
            <w:tcBorders/>
            <w:vAlign w:val="center"/>
          </w:tcPr>
          <w:p>
            <w:pPr>
              <w:pStyle w:val="TableContents"/>
              <w:bidi w:val="0"/>
              <w:spacing w:lineRule="auto" w:line="285" w:before="0" w:after="1"/>
              <w:ind w:left="0" w:right="0" w:hanging="0"/>
              <w:jc w:val="left"/>
              <w:rPr/>
            </w:pPr>
            <w:r>
              <w:rPr/>
              <w:t>     </w:t>
            </w:r>
          </w:p>
        </w:tc>
        <w:tc>
          <w:tcPr>
            <w:tcW w:w="223" w:type="dxa"/>
            <w:tcBorders/>
            <w:vAlign w:val="center"/>
          </w:tcPr>
          <w:p>
            <w:pPr>
              <w:pStyle w:val="TableContents"/>
              <w:bidi w:val="0"/>
              <w:spacing w:lineRule="auto" w:line="285" w:before="0" w:after="0"/>
              <w:ind w:left="0" w:right="0" w:hanging="0"/>
              <w:jc w:val="right"/>
              <w:rPr/>
            </w:pPr>
            <w:r>
              <w:rPr/>
              <w:t>​</w:t>
            </w:r>
          </w:p>
        </w:tc>
        <w:tc>
          <w:tcPr>
            <w:tcW w:w="817"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(10,947)</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437" w:type="dxa"/>
            <w:tcBorders/>
            <w:vAlign w:val="center"/>
          </w:tcPr>
          <w:p>
            <w:pPr>
              <w:pStyle w:val="TableContents"/>
              <w:bidi w:val="0"/>
              <w:spacing w:lineRule="auto" w:line="285" w:before="0" w:after="0"/>
              <w:ind w:left="0" w:right="0" w:hanging="0"/>
              <w:jc w:val="left"/>
              <w:rPr/>
            </w:pPr>
            <w:r>
              <w:rPr/>
              <w:t>​</w:t>
            </w:r>
          </w:p>
        </w:tc>
      </w:tr>
      <w:tr>
        <w:trPr/>
        <w:tc>
          <w:tcPr>
            <w:tcW w:w="452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BLU-222 external expenses </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8" w:type="dxa"/>
            <w:tcBorders/>
            <w:shd w:fill="CCEEFF" w:val="clear"/>
            <w:vAlign w:val="center"/>
          </w:tcPr>
          <w:p>
            <w:pPr>
              <w:pStyle w:val="TableContents"/>
              <w:bidi w:val="0"/>
              <w:spacing w:lineRule="auto" w:line="285" w:before="0" w:after="0"/>
              <w:ind w:left="0" w:right="0" w:hanging="0"/>
              <w:jc w:val="right"/>
              <w:rPr/>
            </w:pPr>
            <w:r>
              <w:rPr/>
              <w:t>​</w:t>
            </w:r>
          </w:p>
        </w:tc>
        <w:tc>
          <w:tcPr>
            <w:tcW w:w="8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11,951</w:t>
            </w:r>
          </w:p>
        </w:tc>
        <w:tc>
          <w:tcPr>
            <w:tcW w:w="416" w:type="dxa"/>
            <w:tcBorders/>
            <w:shd w:fill="CCEEFF" w:val="clear"/>
            <w:vAlign w:val="center"/>
          </w:tcPr>
          <w:p>
            <w:pPr>
              <w:pStyle w:val="TableContents"/>
              <w:bidi w:val="0"/>
              <w:spacing w:lineRule="auto" w:line="285" w:before="0" w:after="1"/>
              <w:ind w:left="0" w:right="0" w:hanging="0"/>
              <w:jc w:val="left"/>
              <w:rPr/>
            </w:pPr>
            <w:r>
              <w:rPr/>
              <w:t>     </w:t>
            </w:r>
          </w:p>
        </w:tc>
        <w:tc>
          <w:tcPr>
            <w:tcW w:w="228" w:type="dxa"/>
            <w:tcBorders/>
            <w:shd w:fill="CCEEFF" w:val="clear"/>
            <w:vAlign w:val="center"/>
          </w:tcPr>
          <w:p>
            <w:pPr>
              <w:pStyle w:val="TableContents"/>
              <w:bidi w:val="0"/>
              <w:spacing w:lineRule="auto" w:line="285" w:before="0" w:after="0"/>
              <w:ind w:left="0" w:right="0" w:hanging="0"/>
              <w:jc w:val="right"/>
              <w:rPr/>
            </w:pPr>
            <w:r>
              <w:rPr/>
              <w:t>​</w:t>
            </w:r>
          </w:p>
        </w:tc>
        <w:tc>
          <w:tcPr>
            <w:tcW w:w="8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11,454</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81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529"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BLU-808 external expenses</w:t>
            </w:r>
          </w:p>
        </w:tc>
        <w:tc>
          <w:tcPr>
            <w:tcW w:w="38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right"/>
              <w:rPr/>
            </w:pPr>
            <w:r>
              <w:rPr/>
              <w:t>​</w:t>
            </w:r>
          </w:p>
        </w:tc>
        <w:tc>
          <w:tcPr>
            <w:tcW w:w="84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3,278</w:t>
            </w:r>
          </w:p>
        </w:tc>
        <w:tc>
          <w:tcPr>
            <w:tcW w:w="41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right"/>
              <w:rPr/>
            </w:pPr>
            <w:r>
              <w:rPr/>
              <w:t>​</w:t>
            </w:r>
          </w:p>
        </w:tc>
        <w:tc>
          <w:tcPr>
            <w:tcW w:w="84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8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817"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2,458</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437" w:type="dxa"/>
            <w:tcBorders/>
            <w:vAlign w:val="center"/>
          </w:tcPr>
          <w:p>
            <w:pPr>
              <w:pStyle w:val="TableContents"/>
              <w:bidi w:val="0"/>
              <w:spacing w:lineRule="auto" w:line="285" w:before="0" w:after="0"/>
              <w:ind w:left="0" w:right="0" w:hanging="0"/>
              <w:jc w:val="left"/>
              <w:rPr/>
            </w:pPr>
            <w:r>
              <w:rPr/>
              <w:t>​</w:t>
            </w:r>
          </w:p>
        </w:tc>
      </w:tr>
      <w:tr>
        <w:trPr/>
        <w:tc>
          <w:tcPr>
            <w:tcW w:w="452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 development and pre-development candidate expenses and unallocated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8" w:type="dxa"/>
            <w:tcBorders/>
            <w:shd w:fill="CCEEFF" w:val="clear"/>
            <w:vAlign w:val="center"/>
          </w:tcPr>
          <w:p>
            <w:pPr>
              <w:pStyle w:val="TableContents"/>
              <w:bidi w:val="0"/>
              <w:spacing w:lineRule="auto" w:line="285" w:before="0" w:after="0"/>
              <w:ind w:left="0" w:right="0" w:hanging="0"/>
              <w:jc w:val="right"/>
              <w:rPr/>
            </w:pPr>
            <w:r>
              <w:rPr/>
              <w:t>​</w:t>
            </w:r>
          </w:p>
        </w:tc>
        <w:tc>
          <w:tcPr>
            <w:tcW w:w="8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25,385</w:t>
            </w:r>
          </w:p>
        </w:tc>
        <w:tc>
          <w:tcPr>
            <w:tcW w:w="416" w:type="dxa"/>
            <w:tcBorders/>
            <w:shd w:fill="CCEEFF" w:val="clear"/>
            <w:vAlign w:val="center"/>
          </w:tcPr>
          <w:p>
            <w:pPr>
              <w:pStyle w:val="TableContents"/>
              <w:bidi w:val="0"/>
              <w:spacing w:lineRule="auto" w:line="285" w:before="0" w:after="1"/>
              <w:ind w:left="0" w:right="0" w:hanging="0"/>
              <w:jc w:val="left"/>
              <w:rPr/>
            </w:pPr>
            <w:r>
              <w:rPr/>
              <w:t>     </w:t>
            </w:r>
          </w:p>
        </w:tc>
        <w:tc>
          <w:tcPr>
            <w:tcW w:w="228" w:type="dxa"/>
            <w:tcBorders/>
            <w:shd w:fill="CCEEFF" w:val="clear"/>
            <w:vAlign w:val="center"/>
          </w:tcPr>
          <w:p>
            <w:pPr>
              <w:pStyle w:val="TableContents"/>
              <w:bidi w:val="0"/>
              <w:spacing w:lineRule="auto" w:line="285" w:before="0" w:after="0"/>
              <w:ind w:left="0" w:right="0" w:hanging="0"/>
              <w:jc w:val="right"/>
              <w:rPr/>
            </w:pPr>
            <w:r>
              <w:rPr/>
              <w:t>​</w:t>
            </w:r>
          </w:p>
        </w:tc>
        <w:tc>
          <w:tcPr>
            <w:tcW w:w="84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28,111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81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(2,726)</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529"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Internal research and development expenses</w:t>
            </w:r>
          </w:p>
        </w:tc>
        <w:tc>
          <w:tcPr>
            <w:tcW w:w="386" w:type="dxa"/>
            <w:tcBorders/>
            <w:vAlign w:val="center"/>
          </w:tcPr>
          <w:p>
            <w:pPr>
              <w:pStyle w:val="TableContents"/>
              <w:bidi w:val="0"/>
              <w:spacing w:lineRule="auto" w:line="285" w:before="0" w:after="1"/>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 </w:t>
            </w:r>
          </w:p>
        </w:tc>
        <w:tc>
          <w:tcPr>
            <w:tcW w:w="84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38,409</w:t>
            </w:r>
          </w:p>
        </w:tc>
        <w:tc>
          <w:tcPr>
            <w:tcW w:w="416" w:type="dxa"/>
            <w:tcBorders/>
            <w:vAlign w:val="center"/>
          </w:tcPr>
          <w:p>
            <w:pPr>
              <w:pStyle w:val="TableContents"/>
              <w:bidi w:val="0"/>
              <w:spacing w:lineRule="auto" w:line="285" w:before="0" w:after="1"/>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 </w:t>
            </w:r>
          </w:p>
        </w:tc>
        <w:tc>
          <w:tcPr>
            <w:tcW w:w="84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33,890</w:t>
            </w:r>
          </w:p>
        </w:tc>
        <w:tc>
          <w:tcPr>
            <w:tcW w:w="386" w:type="dxa"/>
            <w:tcBorders/>
            <w:vAlign w:val="center"/>
          </w:tcPr>
          <w:p>
            <w:pPr>
              <w:pStyle w:val="TableContents"/>
              <w:bidi w:val="0"/>
              <w:spacing w:lineRule="auto" w:line="285" w:before="0" w:after="1"/>
              <w:ind w:left="0" w:right="0" w:hanging="0"/>
              <w:jc w:val="left"/>
              <w:rPr/>
            </w:pPr>
            <w:r>
              <w:rPr/>
              <w:t>     </w:t>
            </w:r>
          </w:p>
        </w:tc>
        <w:tc>
          <w:tcPr>
            <w:tcW w:w="22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 </w:t>
            </w:r>
          </w:p>
        </w:tc>
        <w:tc>
          <w:tcPr>
            <w:tcW w:w="81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4,519</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452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110,252</w:t>
            </w:r>
          </w:p>
        </w:tc>
        <w:tc>
          <w:tcPr>
            <w:tcW w:w="416" w:type="dxa"/>
            <w:tcBorders/>
            <w:shd w:fill="CCEEFF" w:val="clear"/>
            <w:vAlign w:val="center"/>
          </w:tcPr>
          <w:p>
            <w:pPr>
              <w:pStyle w:val="TableContents"/>
              <w:bidi w:val="0"/>
              <w:spacing w:lineRule="auto" w:line="285" w:before="0" w:after="1"/>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127,981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(17,729)</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37"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pBdr/>
        <w:bidi w:val="0"/>
        <w:spacing w:lineRule="auto" w:line="285" w:before="0" w:after="24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4829"/>
        <w:gridCol w:w="109"/>
        <w:gridCol w:w="225"/>
        <w:gridCol w:w="832"/>
        <w:gridCol w:w="411"/>
        <w:gridCol w:w="225"/>
        <w:gridCol w:w="832"/>
        <w:gridCol w:w="386"/>
        <w:gridCol w:w="225"/>
        <w:gridCol w:w="825"/>
        <w:gridCol w:w="386"/>
        <w:gridCol w:w="483"/>
        <w:gridCol w:w="437"/>
      </w:tblGrid>
      <w:tr>
        <w:trPr/>
        <w:tc>
          <w:tcPr>
            <w:tcW w:w="4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066415" cy="175260"/>
                      <wp:effectExtent l="0" t="0" r="0" b="0"/>
                      <wp:wrapNone/>
                      <wp:docPr id="371" name="Frame371"/>
                      <a:graphic xmlns:a="http://schemas.openxmlformats.org/drawingml/2006/main">
                        <a:graphicData uri="http://schemas.microsoft.com/office/word/2010/wordprocessingShape">
                          <wps:wsp>
                            <wps:cNvSpPr txBox="1"/>
                            <wps:spPr>
                              <a:xfrm>
                                <a:off x="0" y="0"/>
                                <a:ext cx="30664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9215" cy="175260"/>
                      <wp:effectExtent l="0" t="0" r="0" b="0"/>
                      <wp:wrapNone/>
                      <wp:docPr id="372" name="Frame3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42875" cy="175260"/>
                      <wp:effectExtent l="0" t="0" r="0" b="0"/>
                      <wp:wrapNone/>
                      <wp:docPr id="373" name="Frame37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28320" cy="175260"/>
                      <wp:effectExtent l="0" t="0" r="0" b="0"/>
                      <wp:wrapNone/>
                      <wp:docPr id="374" name="Frame374"/>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60985" cy="175260"/>
                      <wp:effectExtent l="0" t="0" r="0" b="0"/>
                      <wp:wrapNone/>
                      <wp:docPr id="375" name="Frame375"/>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42875" cy="175260"/>
                      <wp:effectExtent l="0" t="0" r="0" b="0"/>
                      <wp:wrapNone/>
                      <wp:docPr id="376" name="Frame37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28320" cy="175260"/>
                      <wp:effectExtent l="0" t="0" r="0" b="0"/>
                      <wp:wrapNone/>
                      <wp:docPr id="377" name="Frame377"/>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45110" cy="175260"/>
                      <wp:effectExtent l="0" t="0" r="0" b="0"/>
                      <wp:wrapNone/>
                      <wp:docPr id="378" name="Frame37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42875" cy="175260"/>
                      <wp:effectExtent l="0" t="0" r="0" b="0"/>
                      <wp:wrapNone/>
                      <wp:docPr id="379" name="Frame37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23875" cy="175260"/>
                      <wp:effectExtent l="0" t="0" r="0" b="0"/>
                      <wp:wrapNone/>
                      <wp:docPr id="380" name="Frame380"/>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45110" cy="175260"/>
                      <wp:effectExtent l="0" t="0" r="0" b="0"/>
                      <wp:wrapNone/>
                      <wp:docPr id="381" name="Frame38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06705" cy="175260"/>
                      <wp:effectExtent l="0" t="0" r="0" b="0"/>
                      <wp:wrapNone/>
                      <wp:docPr id="382" name="Frame382"/>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77495" cy="175260"/>
                      <wp:effectExtent l="0" t="0" r="0" b="0"/>
                      <wp:wrapNone/>
                      <wp:docPr id="383" name="Frame383"/>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8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25"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86" w:type="dxa"/>
            <w:tcBorders/>
            <w:vAlign w:val="center"/>
          </w:tcPr>
          <w:p>
            <w:pPr>
              <w:pStyle w:val="TableContents"/>
              <w:bidi w:val="0"/>
              <w:spacing w:lineRule="auto" w:line="285" w:before="0" w:after="0"/>
              <w:ind w:left="0" w:right="0" w:hanging="0"/>
              <w:jc w:val="center"/>
              <w:rPr/>
            </w:pPr>
            <w:r>
              <w:rPr/>
              <w:t>​</w:t>
            </w:r>
          </w:p>
        </w:tc>
        <w:tc>
          <w:tcPr>
            <w:tcW w:w="1919" w:type="dxa"/>
            <w:gridSpan w:val="4"/>
            <w:tcBorders/>
            <w:vAlign w:val="center"/>
          </w:tcPr>
          <w:p>
            <w:pPr>
              <w:pStyle w:val="TableContents"/>
              <w:bidi w:val="0"/>
              <w:spacing w:lineRule="auto" w:line="285" w:before="0" w:after="0"/>
              <w:ind w:left="0" w:right="0" w:hanging="0"/>
              <w:jc w:val="center"/>
              <w:rPr/>
            </w:pPr>
            <w:r>
              <w:rPr/>
              <w:t>​</w:t>
            </w:r>
          </w:p>
        </w:tc>
        <w:tc>
          <w:tcPr>
            <w:tcW w:w="437" w:type="dxa"/>
            <w:tcBorders/>
            <w:vAlign w:val="center"/>
          </w:tcPr>
          <w:p>
            <w:pPr>
              <w:pStyle w:val="TableContents"/>
              <w:bidi w:val="0"/>
              <w:spacing w:lineRule="auto" w:line="285" w:before="0" w:after="0"/>
              <w:ind w:left="0" w:right="0" w:hanging="0"/>
              <w:jc w:val="center"/>
              <w:rPr/>
            </w:pPr>
            <w:r>
              <w:rPr/>
              <w:t>​</w:t>
            </w:r>
          </w:p>
        </w:tc>
      </w:tr>
      <w:tr>
        <w:trPr/>
        <w:tc>
          <w:tcPr>
            <w:tcW w:w="48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5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1" w:type="dxa"/>
            <w:tcBorders/>
            <w:vAlign w:val="center"/>
          </w:tcPr>
          <w:p>
            <w:pPr>
              <w:pStyle w:val="TableContents"/>
              <w:bidi w:val="0"/>
              <w:spacing w:lineRule="auto" w:line="285" w:before="0" w:after="1"/>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lineRule="auto" w:line="285" w:before="0" w:after="1"/>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82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Avapritinib external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26,059</w:t>
            </w:r>
          </w:p>
        </w:tc>
        <w:tc>
          <w:tcPr>
            <w:tcW w:w="4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41,174</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(15,115)</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43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829"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Pralsetinib external expenses</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w:t>
            </w:r>
          </w:p>
        </w:tc>
        <w:tc>
          <w:tcPr>
            <w:tcW w:w="83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17,066</w:t>
            </w:r>
          </w:p>
        </w:tc>
        <w:tc>
          <w:tcPr>
            <w:tcW w:w="411"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w:t>
            </w:r>
          </w:p>
        </w:tc>
        <w:tc>
          <w:tcPr>
            <w:tcW w:w="83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22,658</w:t>
            </w:r>
          </w:p>
        </w:tc>
        <w:tc>
          <w:tcPr>
            <w:tcW w:w="38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w:t>
            </w:r>
          </w:p>
        </w:tc>
        <w:tc>
          <w:tcPr>
            <w:tcW w:w="82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(5,592)</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437" w:type="dxa"/>
            <w:tcBorders/>
            <w:vAlign w:val="center"/>
          </w:tcPr>
          <w:p>
            <w:pPr>
              <w:pStyle w:val="TableContents"/>
              <w:bidi w:val="0"/>
              <w:spacing w:lineRule="auto" w:line="285" w:before="0" w:after="0"/>
              <w:ind w:left="0" w:right="0" w:hanging="0"/>
              <w:jc w:val="right"/>
              <w:rPr/>
            </w:pPr>
            <w:r>
              <w:rPr/>
              <w:t>​</w:t>
            </w:r>
          </w:p>
        </w:tc>
      </w:tr>
      <w:tr>
        <w:trPr/>
        <w:tc>
          <w:tcPr>
            <w:tcW w:w="482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BLU-263 external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19,822</w:t>
            </w:r>
          </w:p>
        </w:tc>
        <w:tc>
          <w:tcPr>
            <w:tcW w:w="4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28,595</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2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(8,773)</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829"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EGFR franchise (BLU-451/525/701/945) external expenses</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right"/>
              <w:rPr/>
            </w:pPr>
            <w:r>
              <w:rPr/>
              <w:t>​</w:t>
            </w:r>
          </w:p>
        </w:tc>
        <w:tc>
          <w:tcPr>
            <w:tcW w:w="83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45,061</w:t>
            </w:r>
          </w:p>
        </w:tc>
        <w:tc>
          <w:tcPr>
            <w:tcW w:w="411"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right"/>
              <w:rPr/>
            </w:pPr>
            <w:r>
              <w:rPr/>
              <w:t>​</w:t>
            </w:r>
          </w:p>
        </w:tc>
        <w:tc>
          <w:tcPr>
            <w:tcW w:w="83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66,304</w:t>
            </w:r>
          </w:p>
        </w:tc>
        <w:tc>
          <w:tcPr>
            <w:tcW w:w="38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right"/>
              <w:rPr/>
            </w:pPr>
            <w:r>
              <w:rPr/>
              <w:t>​</w:t>
            </w:r>
          </w:p>
        </w:tc>
        <w:tc>
          <w:tcPr>
            <w:tcW w:w="82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(21,243)</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37" w:type="dxa"/>
            <w:tcBorders/>
            <w:vAlign w:val="center"/>
          </w:tcPr>
          <w:p>
            <w:pPr>
              <w:pStyle w:val="TableContents"/>
              <w:bidi w:val="0"/>
              <w:spacing w:lineRule="auto" w:line="285" w:before="0" w:after="0"/>
              <w:ind w:left="0" w:right="0" w:hanging="0"/>
              <w:jc w:val="left"/>
              <w:rPr/>
            </w:pPr>
            <w:r>
              <w:rPr/>
              <w:t>​</w:t>
            </w:r>
          </w:p>
        </w:tc>
      </w:tr>
      <w:tr>
        <w:trPr/>
        <w:tc>
          <w:tcPr>
            <w:tcW w:w="482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BLU-222 external expenses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33,819</w:t>
            </w:r>
          </w:p>
        </w:tc>
        <w:tc>
          <w:tcPr>
            <w:tcW w:w="4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32,173</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2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1,646</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829"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BLU-808 external expenses</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right"/>
              <w:rPr/>
            </w:pPr>
            <w:r>
              <w:rPr/>
              <w:t>​</w:t>
            </w:r>
          </w:p>
        </w:tc>
        <w:tc>
          <w:tcPr>
            <w:tcW w:w="83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6,501</w:t>
            </w:r>
          </w:p>
        </w:tc>
        <w:tc>
          <w:tcPr>
            <w:tcW w:w="411"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right"/>
              <w:rPr/>
            </w:pPr>
            <w:r>
              <w:rPr/>
              <w:t>​</w:t>
            </w:r>
          </w:p>
        </w:tc>
        <w:tc>
          <w:tcPr>
            <w:tcW w:w="83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38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right"/>
              <w:rPr/>
            </w:pPr>
            <w:r>
              <w:rPr/>
              <w:t>​</w:t>
            </w:r>
          </w:p>
        </w:tc>
        <w:tc>
          <w:tcPr>
            <w:tcW w:w="82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5,045</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437" w:type="dxa"/>
            <w:tcBorders/>
            <w:vAlign w:val="center"/>
          </w:tcPr>
          <w:p>
            <w:pPr>
              <w:pStyle w:val="TableContents"/>
              <w:bidi w:val="0"/>
              <w:spacing w:lineRule="auto" w:line="285" w:before="0" w:after="0"/>
              <w:ind w:left="0" w:right="0" w:hanging="0"/>
              <w:jc w:val="left"/>
              <w:rPr/>
            </w:pPr>
            <w:r>
              <w:rPr/>
              <w:t>​</w:t>
            </w:r>
          </w:p>
        </w:tc>
      </w:tr>
      <w:tr>
        <w:trPr/>
        <w:tc>
          <w:tcPr>
            <w:tcW w:w="482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 development and pre-development candidate expenses and unallocated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69,864</w:t>
            </w:r>
          </w:p>
        </w:tc>
        <w:tc>
          <w:tcPr>
            <w:tcW w:w="4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3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67,884</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2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1,980</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829"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Internal research and development expenses</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3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111,992</w:t>
            </w:r>
          </w:p>
        </w:tc>
        <w:tc>
          <w:tcPr>
            <w:tcW w:w="411" w:type="dxa"/>
            <w:tcBorders/>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3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99,335</w:t>
            </w:r>
          </w:p>
        </w:tc>
        <w:tc>
          <w:tcPr>
            <w:tcW w:w="38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right"/>
              <w:rPr/>
            </w:pPr>
            <w:r>
              <w:rPr/>
              <w:t>​</w:t>
            </w:r>
          </w:p>
        </w:tc>
        <w:tc>
          <w:tcPr>
            <w:tcW w:w="82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12,657</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482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330,184</w:t>
            </w:r>
          </w:p>
        </w:tc>
        <w:tc>
          <w:tcPr>
            <w:tcW w:w="411" w:type="dxa"/>
            <w:tcBorders/>
            <w:shd w:fill="CCEEFF" w:val="clear"/>
            <w:vAlign w:val="center"/>
          </w:tcPr>
          <w:p>
            <w:pPr>
              <w:pStyle w:val="TableContents"/>
              <w:bidi w:val="0"/>
              <w:spacing w:lineRule="auto" w:line="285" w:before="0" w:after="1"/>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359,579</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(29,395)</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437"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 xml:space="preserve">* </w:t>
            </w:r>
          </w:p>
        </w:tc>
        <w:tc>
          <w:tcPr>
            <w:tcW w:w="985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Pralsetinib external expenses include expenses reimbursable to Roche under our collaboration for pralsetinib with Roche, and other development and pre-development candidate expenses include expenses reimbursable to us under our other collaboration agreements.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variability in our research and development expenses in future periods as our drug candidate development programs progress. The costs related to the implementation and expansion of clinical trial sites and related patient enrollment, monitoring, program management and manufacturing expenses for active pharmaceutical ingredient, or API, drug product and drug substance for current and future clinical trials will vary depending on clinical data results and our resources allocation priorities. In addition, our research and development expenses may increase with potential new collaborations and future acquisitions.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2023, we expect our research and development expenses will decline, as compared to 2022, due to our focused approach towards optimizing operational efficiency across our portfolio while executing across our top priority programs.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costs include facility costs not otherwise included in research and development expenses, commercial development activities, insurance fees, legal fees related to intellectual property and corporate matters and fees for accounting and consulting services.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2023, we expect that selling, general and administrative expenses will increase, as compared to 2022, as we continue to build out our global commercial and compliance infrastructure and field team to support the launch of indolent SM.</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Interest Income (Expense), net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(expense), net consists primarily of interest expense related to our financing arrangements with Royalty Pharma and Sixth Street Partners. Interest expense on liabilities related to the sale of future royalties and revenues consists of the periodic interest calculated using the effective interest rate method over the future estimated royalty payments due to Royalty Pharma and Sixth Street Partners over the life of the agreements. Interest expense on the term loan with Sixth Street Partners results from the amortization of the debt liability using the effective interest method over the maturity of the term loan. We anticipate variability in interest expense from period to period as a result of the timing and amount of the sales of the underlying products and the changes in interest rates. For additional information, see Note 3, </w:t>
      </w:r>
      <w:r>
        <w:rPr>
          <w:rFonts w:ascii="Times New Roman;Times;serif" w:hAnsi="Times New Roman;Times;serif"/>
          <w:i/>
          <w:sz w:val="20"/>
        </w:rPr>
        <w:t>Financing Arrangements</w:t>
      </w:r>
      <w:r>
        <w:rPr>
          <w:rFonts w:ascii="Times New Roman;Times;serif" w:hAnsi="Times New Roman;Times;serif"/>
          <w:sz w:val="20"/>
        </w:rPr>
        <w:t xml:space="preserve">, to our unaudited condensed consolidated financial statements.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(expense), net also includes income earned on cash equivalents and marketable securities. Our interest income may fluctuate depending on the movement of interest rates and our total amount of cash equivalents and marketable securities.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Other income (expense), net consists of miscellaneous income and expenses unrelated to our core operations, including the impacts of foreign currency exchange differences.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consists of federal, state and foreign income taxes incurred.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For a description of our critical accounting policies and estimates, please see “Management’s Discussion and Analysis of Financial Condition and Results of Operations—Financial Operations Overview—Critical Accounting Policies and Estimates” in our Annual Report on Form 10-K for the year ended December 31, 2022. There have been no significant changes to our critical accounting policies and estimates since December 31, 2022 with the exception of the below new policy and estimate.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Performance-Based Restricted Stock Unit Awards</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Fair value of performance-based restricted stock unit awards (PSUs) at the grant date are estimated using a lattice model with a Monte Carlo simulation. This valuation methodology utilizes several key assumptions, the defined consecutive trading day average closing stock price on the grant date, expected volatility of our stock price, risk-free rates of return and expected dividend yield. The probability of actual shares expected to be earned is considered in the grant date valuation and the expense is not adjusted to reflect the actual units earned. The PSUs cliff vest at the end of the service period and therefore the compensation expense for PSUs is recognized straight-line over the applicable service period.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September 30, 2023 and 2022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our results of operations for the three months ended September 30, 2023 and 2022, together with the changes in those items in dollars and as a percentage (in thousands): </w:t>
      </w:r>
    </w:p>
    <w:tbl>
      <w:tblPr>
        <w:tblW w:w="8673" w:type="dxa"/>
        <w:jc w:val="left"/>
        <w:tblInd w:w="0" w:type="dxa"/>
        <w:tblLayout w:type="fixed"/>
        <w:tblCellMar>
          <w:top w:w="0" w:type="dxa"/>
          <w:left w:w="0" w:type="dxa"/>
          <w:bottom w:w="0" w:type="dxa"/>
          <w:right w:w="0" w:type="dxa"/>
        </w:tblCellMar>
      </w:tblPr>
      <w:tblGrid>
        <w:gridCol w:w="2881"/>
        <w:gridCol w:w="326"/>
        <w:gridCol w:w="225"/>
        <w:gridCol w:w="964"/>
        <w:gridCol w:w="349"/>
        <w:gridCol w:w="225"/>
        <w:gridCol w:w="964"/>
        <w:gridCol w:w="326"/>
        <w:gridCol w:w="293"/>
        <w:gridCol w:w="878"/>
        <w:gridCol w:w="326"/>
        <w:gridCol w:w="497"/>
        <w:gridCol w:w="419"/>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829435" cy="175260"/>
                      <wp:effectExtent l="0" t="0" r="0" b="0"/>
                      <wp:wrapNone/>
                      <wp:docPr id="384" name="Frame384"/>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42875" cy="175260"/>
                      <wp:effectExtent l="0" t="0" r="0" b="0"/>
                      <wp:wrapNone/>
                      <wp:docPr id="386" name="Frame38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12140" cy="175260"/>
                      <wp:effectExtent l="0" t="0" r="0" b="0"/>
                      <wp:wrapNone/>
                      <wp:docPr id="387" name="Frame387"/>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21615" cy="175260"/>
                      <wp:effectExtent l="0" t="0" r="0" b="0"/>
                      <wp:wrapNone/>
                      <wp:docPr id="388" name="Frame388"/>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42875" cy="175260"/>
                      <wp:effectExtent l="0" t="0" r="0" b="0"/>
                      <wp:wrapNone/>
                      <wp:docPr id="389" name="Frame38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12140" cy="175260"/>
                      <wp:effectExtent l="0" t="0" r="0" b="0"/>
                      <wp:wrapNone/>
                      <wp:docPr id="390" name="Frame390"/>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86055" cy="175260"/>
                      <wp:effectExtent l="0" t="0" r="0" b="0"/>
                      <wp:wrapNone/>
                      <wp:docPr id="392" name="Frame392"/>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57530" cy="175260"/>
                      <wp:effectExtent l="0" t="0" r="0" b="0"/>
                      <wp:wrapNone/>
                      <wp:docPr id="393" name="Frame393"/>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15595" cy="175260"/>
                      <wp:effectExtent l="0" t="0" r="0" b="0"/>
                      <wp:wrapNone/>
                      <wp:docPr id="395" name="Frame395"/>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66065" cy="175260"/>
                      <wp:effectExtent l="0" t="0" r="0" b="0"/>
                      <wp:wrapNone/>
                      <wp:docPr id="396" name="Frame396"/>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72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9" w:type="dxa"/>
            <w:tcBorders/>
            <w:vAlign w:val="center"/>
          </w:tcPr>
          <w:p>
            <w:pPr>
              <w:pStyle w:val="TableContents"/>
              <w:bidi w:val="0"/>
              <w:spacing w:lineRule="auto" w:line="285" w:before="0" w:after="0"/>
              <w:ind w:left="0" w:right="0" w:hanging="0"/>
              <w:jc w:val="center"/>
              <w:rPr/>
            </w:pPr>
            <w:r>
              <w:rPr/>
              <w:t>    </w:t>
            </w:r>
          </w:p>
        </w:tc>
        <w:tc>
          <w:tcPr>
            <w:tcW w:w="118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56,566</w:t>
            </w:r>
          </w:p>
        </w:tc>
        <w:tc>
          <w:tcPr>
            <w:tcW w:w="349" w:type="dxa"/>
            <w:tcBorders/>
            <w:shd w:fill="CCEEFF" w:val="clear"/>
            <w:vAlign w:val="center"/>
          </w:tcPr>
          <w:p>
            <w:pPr>
              <w:pStyle w:val="TableContents"/>
              <w:bidi w:val="0"/>
              <w:spacing w:lineRule="auto" w:line="285" w:before="0" w:after="0"/>
              <w:ind w:left="0" w:right="0" w:hanging="0"/>
              <w:jc w:val="left"/>
              <w:rPr/>
            </w:pPr>
            <w:r>
              <w:rPr/>
              <w:t>    </w:t>
            </w:r>
          </w:p>
        </w:tc>
        <w:tc>
          <w:tcPr>
            <w:tcW w:w="2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65,977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(9,411)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326" w:type="dxa"/>
            <w:tcBorders/>
            <w:vAlign w:val="center"/>
          </w:tcPr>
          <w:p>
            <w:pPr>
              <w:pStyle w:val="TableContents"/>
              <w:bidi w:val="0"/>
              <w:spacing w:lineRule="auto" w:line="285" w:before="0" w:after="0"/>
              <w:ind w:left="0" w:right="0" w:hanging="0"/>
              <w:jc w:val="left"/>
              <w:rPr/>
            </w:pPr>
            <w:r>
              <w:rPr/>
              <w:t>    </w:t>
            </w:r>
          </w:p>
        </w:tc>
        <w:tc>
          <w:tcPr>
            <w:tcW w:w="225" w:type="dxa"/>
            <w:tcBorders/>
            <w:vAlign w:val="center"/>
          </w:tcPr>
          <w:p>
            <w:pPr>
              <w:pStyle w:val="TableContents"/>
              <w:bidi w:val="0"/>
              <w:spacing w:lineRule="auto" w:line="285" w:before="0" w:after="0"/>
              <w:ind w:left="0" w:right="0" w:hanging="0"/>
              <w:jc w:val="left"/>
              <w:rPr/>
            </w:pPr>
            <w:r>
              <w:rPr/>
              <w:t> </w:t>
            </w:r>
          </w:p>
        </w:tc>
        <w:tc>
          <w:tcPr>
            <w:tcW w:w="96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185,546</w:t>
            </w:r>
          </w:p>
        </w:tc>
        <w:tc>
          <w:tcPr>
            <w:tcW w:w="349" w:type="dxa"/>
            <w:tcBorders/>
            <w:vAlign w:val="center"/>
          </w:tcPr>
          <w:p>
            <w:pPr>
              <w:pStyle w:val="TableContents"/>
              <w:bidi w:val="0"/>
              <w:spacing w:lineRule="auto" w:line="285" w:before="0" w:after="0"/>
              <w:ind w:left="0" w:right="0" w:hanging="0"/>
              <w:jc w:val="left"/>
              <w:rPr/>
            </w:pPr>
            <w:r>
              <w:rPr/>
              <w:t>    </w:t>
            </w:r>
          </w:p>
        </w:tc>
        <w:tc>
          <w:tcPr>
            <w:tcW w:w="225" w:type="dxa"/>
            <w:tcBorders/>
            <w:vAlign w:val="center"/>
          </w:tcPr>
          <w:p>
            <w:pPr>
              <w:pStyle w:val="TableContents"/>
              <w:bidi w:val="0"/>
              <w:spacing w:lineRule="auto" w:line="285" w:before="0" w:after="0"/>
              <w:ind w:left="0" w:right="0" w:hanging="0"/>
              <w:jc w:val="left"/>
              <w:rPr/>
            </w:pPr>
            <w:r>
              <w:rPr/>
              <w:t> </w:t>
            </w:r>
          </w:p>
        </w:tc>
        <w:tc>
          <w:tcPr>
            <w:tcW w:w="96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190,254</w:t>
            </w:r>
          </w:p>
        </w:tc>
        <w:tc>
          <w:tcPr>
            <w:tcW w:w="326" w:type="dxa"/>
            <w:tcBorders/>
            <w:vAlign w:val="center"/>
          </w:tcPr>
          <w:p>
            <w:pPr>
              <w:pStyle w:val="TableContents"/>
              <w:bidi w:val="0"/>
              <w:spacing w:lineRule="auto" w:line="285" w:before="0" w:after="0"/>
              <w:ind w:left="0" w:right="0" w:hanging="0"/>
              <w:jc w:val="left"/>
              <w:rPr/>
            </w:pPr>
            <w:r>
              <w:rPr/>
              <w:t>    </w:t>
            </w:r>
          </w:p>
        </w:tc>
        <w:tc>
          <w:tcPr>
            <w:tcW w:w="293" w:type="dxa"/>
            <w:tcBorders/>
            <w:vAlign w:val="center"/>
          </w:tcPr>
          <w:p>
            <w:pPr>
              <w:pStyle w:val="TableContents"/>
              <w:bidi w:val="0"/>
              <w:spacing w:lineRule="auto" w:line="285" w:before="0" w:after="0"/>
              <w:ind w:left="0" w:right="0" w:hanging="0"/>
              <w:jc w:val="left"/>
              <w:rPr/>
            </w:pPr>
            <w:r>
              <w:rPr/>
              <w:t> </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(4,708)</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(4,536)</w:t>
            </w:r>
          </w:p>
        </w:tc>
        <w:tc>
          <w:tcPr>
            <w:tcW w:w="349" w:type="dxa"/>
            <w:tcBorders/>
            <w:shd w:fill="CCEEFF" w:val="clear"/>
            <w:vAlign w:val="center"/>
          </w:tcPr>
          <w:p>
            <w:pPr>
              <w:pStyle w:val="TableContents"/>
              <w:bidi w:val="0"/>
              <w:spacing w:lineRule="auto" w:line="285"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3,464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lineRule="auto" w:line="285" w:before="0" w:after="0"/>
              <w:ind w:left="0" w:right="0" w:hanging="0"/>
              <w:jc w:val="left"/>
              <w:rPr/>
            </w:pPr>
            <w:r>
              <w:rPr/>
              <w:t>    </w:t>
            </w:r>
          </w:p>
        </w:tc>
        <w:tc>
          <w:tcPr>
            <w:tcW w:w="225" w:type="dxa"/>
            <w:tcBorders/>
            <w:vAlign w:val="center"/>
          </w:tcPr>
          <w:p>
            <w:pPr>
              <w:pStyle w:val="TableContents"/>
              <w:bidi w:val="0"/>
              <w:spacing w:lineRule="auto" w:line="285" w:before="0" w:after="0"/>
              <w:ind w:left="0" w:right="0" w:hanging="0"/>
              <w:jc w:val="left"/>
              <w:rPr/>
            </w:pPr>
            <w:r>
              <w:rPr/>
              <w:t> </w:t>
            </w:r>
          </w:p>
        </w:tc>
        <w:tc>
          <w:tcPr>
            <w:tcW w:w="96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(133,516)</w:t>
            </w:r>
          </w:p>
        </w:tc>
        <w:tc>
          <w:tcPr>
            <w:tcW w:w="349" w:type="dxa"/>
            <w:tcBorders/>
            <w:vAlign w:val="center"/>
          </w:tcPr>
          <w:p>
            <w:pPr>
              <w:pStyle w:val="TableContents"/>
              <w:bidi w:val="0"/>
              <w:spacing w:lineRule="auto" w:line="285" w:before="0" w:after="0"/>
              <w:ind w:left="0" w:right="0" w:hanging="0"/>
              <w:jc w:val="left"/>
              <w:rPr/>
            </w:pPr>
            <w:r>
              <w:rPr/>
              <w:t>    </w:t>
            </w:r>
          </w:p>
        </w:tc>
        <w:tc>
          <w:tcPr>
            <w:tcW w:w="225" w:type="dxa"/>
            <w:tcBorders/>
            <w:vAlign w:val="center"/>
          </w:tcPr>
          <w:p>
            <w:pPr>
              <w:pStyle w:val="TableContents"/>
              <w:bidi w:val="0"/>
              <w:spacing w:lineRule="auto" w:line="285" w:before="0" w:after="0"/>
              <w:ind w:left="0" w:right="0" w:hanging="0"/>
              <w:jc w:val="left"/>
              <w:rPr/>
            </w:pPr>
            <w:r>
              <w:rPr/>
              <w:t> </w:t>
            </w:r>
          </w:p>
        </w:tc>
        <w:tc>
          <w:tcPr>
            <w:tcW w:w="96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(132,277)</w:t>
            </w:r>
          </w:p>
        </w:tc>
        <w:tc>
          <w:tcPr>
            <w:tcW w:w="326" w:type="dxa"/>
            <w:tcBorders/>
            <w:vAlign w:val="center"/>
          </w:tcPr>
          <w:p>
            <w:pPr>
              <w:pStyle w:val="TableContents"/>
              <w:bidi w:val="0"/>
              <w:spacing w:lineRule="auto" w:line="285" w:before="0" w:after="0"/>
              <w:ind w:left="0" w:right="0" w:hanging="0"/>
              <w:jc w:val="left"/>
              <w:rPr/>
            </w:pPr>
            <w:r>
              <w:rPr/>
              <w:t>    </w:t>
            </w:r>
          </w:p>
        </w:tc>
        <w:tc>
          <w:tcPr>
            <w:tcW w:w="293" w:type="dxa"/>
            <w:tcBorders/>
            <w:vAlign w:val="center"/>
          </w:tcPr>
          <w:p>
            <w:pPr>
              <w:pStyle w:val="TableContents"/>
              <w:bidi w:val="0"/>
              <w:spacing w:lineRule="auto" w:line="285" w:before="0" w:after="0"/>
              <w:ind w:left="0" w:right="0" w:hanging="0"/>
              <w:jc w:val="left"/>
              <w:rPr/>
            </w:pPr>
            <w:r>
              <w:rPr/>
              <w:t> </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(1,239)</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9" w:type="dxa"/>
            <w:tcBorders/>
            <w:shd w:fill="CCEEFF" w:val="clear"/>
            <w:vAlign w:val="center"/>
          </w:tcPr>
          <w:p>
            <w:pPr>
              <w:pStyle w:val="TableContents"/>
              <w:bidi w:val="0"/>
              <w:spacing w:lineRule="auto" w:line="285"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4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lineRule="auto" w:line="285" w:before="0" w:after="0"/>
              <w:ind w:left="0" w:right="0" w:hanging="0"/>
              <w:jc w:val="left"/>
              <w:rPr/>
            </w:pPr>
            <w:r>
              <w:rPr/>
              <w:t>    </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(133,713)</w:t>
            </w:r>
          </w:p>
        </w:tc>
        <w:tc>
          <w:tcPr>
            <w:tcW w:w="349" w:type="dxa"/>
            <w:tcBorders/>
            <w:vAlign w:val="center"/>
          </w:tcPr>
          <w:p>
            <w:pPr>
              <w:pStyle w:val="TableContents"/>
              <w:bidi w:val="0"/>
              <w:spacing w:lineRule="auto" w:line="285" w:before="0" w:after="0"/>
              <w:ind w:left="0" w:right="0" w:hanging="0"/>
              <w:jc w:val="left"/>
              <w:rPr/>
            </w:pPr>
            <w:r>
              <w:rPr/>
              <w:t>    </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(133,163)</w:t>
            </w:r>
          </w:p>
        </w:tc>
        <w:tc>
          <w:tcPr>
            <w:tcW w:w="326" w:type="dxa"/>
            <w:tcBorders/>
            <w:vAlign w:val="center"/>
          </w:tcPr>
          <w:p>
            <w:pPr>
              <w:pStyle w:val="TableContents"/>
              <w:bidi w:val="0"/>
              <w:spacing w:lineRule="auto" w:line="285" w:before="0" w:after="0"/>
              <w:ind w:left="0" w:right="0" w:hanging="0"/>
              <w:jc w:val="left"/>
              <w:rPr/>
            </w:pPr>
            <w:r>
              <w:rPr/>
              <w:t>    </w:t>
            </w:r>
          </w:p>
        </w:tc>
        <w:tc>
          <w:tcPr>
            <w:tcW w:w="29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41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Total Revenues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Total revenues consist of the following (in thousands):</w:t>
      </w:r>
    </w:p>
    <w:tbl>
      <w:tblPr>
        <w:tblW w:w="8884" w:type="dxa"/>
        <w:jc w:val="left"/>
        <w:tblInd w:w="0" w:type="dxa"/>
        <w:tblLayout w:type="fixed"/>
        <w:tblCellMar>
          <w:top w:w="0" w:type="dxa"/>
          <w:left w:w="0" w:type="dxa"/>
          <w:bottom w:w="0" w:type="dxa"/>
          <w:right w:w="0" w:type="dxa"/>
        </w:tblCellMar>
      </w:tblPr>
      <w:tblGrid>
        <w:gridCol w:w="2911"/>
        <w:gridCol w:w="386"/>
        <w:gridCol w:w="266"/>
        <w:gridCol w:w="854"/>
        <w:gridCol w:w="488"/>
        <w:gridCol w:w="266"/>
        <w:gridCol w:w="854"/>
        <w:gridCol w:w="386"/>
        <w:gridCol w:w="260"/>
        <w:gridCol w:w="911"/>
        <w:gridCol w:w="386"/>
        <w:gridCol w:w="552"/>
        <w:gridCol w:w="364"/>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848485" cy="175260"/>
                      <wp:effectExtent l="0" t="0" r="0" b="0"/>
                      <wp:wrapNone/>
                      <wp:docPr id="397" name="Frame397"/>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45110" cy="175260"/>
                      <wp:effectExtent l="0" t="0" r="0" b="0"/>
                      <wp:wrapNone/>
                      <wp:docPr id="398" name="Frame39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68910" cy="175260"/>
                      <wp:effectExtent l="0" t="0" r="0" b="0"/>
                      <wp:wrapNone/>
                      <wp:docPr id="399" name="Frame39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42290" cy="175260"/>
                      <wp:effectExtent l="0" t="0" r="0" b="0"/>
                      <wp:wrapNone/>
                      <wp:docPr id="400" name="Frame400"/>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09880" cy="175260"/>
                      <wp:effectExtent l="0" t="0" r="0" b="0"/>
                      <wp:wrapNone/>
                      <wp:docPr id="401" name="Frame401"/>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68910" cy="175260"/>
                      <wp:effectExtent l="0" t="0" r="0" b="0"/>
                      <wp:wrapNone/>
                      <wp:docPr id="402" name="Frame40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42290" cy="175260"/>
                      <wp:effectExtent l="0" t="0" r="0" b="0"/>
                      <wp:wrapNone/>
                      <wp:docPr id="403" name="Frame403"/>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45110" cy="175260"/>
                      <wp:effectExtent l="0" t="0" r="0" b="0"/>
                      <wp:wrapNone/>
                      <wp:docPr id="404" name="Frame40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65100" cy="175260"/>
                      <wp:effectExtent l="0" t="0" r="0" b="0"/>
                      <wp:wrapNone/>
                      <wp:docPr id="405" name="Frame40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78485" cy="175260"/>
                      <wp:effectExtent l="0" t="0" r="0" b="0"/>
                      <wp:wrapNone/>
                      <wp:docPr id="406" name="Frame406"/>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45110" cy="175260"/>
                      <wp:effectExtent l="0" t="0" r="0" b="0"/>
                      <wp:wrapNone/>
                      <wp:docPr id="407" name="Frame40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50520" cy="175260"/>
                      <wp:effectExtent l="0" t="0" r="0" b="0"/>
                      <wp:wrapNone/>
                      <wp:docPr id="408" name="Frame408"/>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31140" cy="175260"/>
                      <wp:effectExtent l="0" t="0" r="0" b="0"/>
                      <wp:wrapNone/>
                      <wp:docPr id="409" name="Frame40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272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86" w:type="dxa"/>
            <w:tcBorders/>
            <w:vAlign w:val="center"/>
          </w:tcPr>
          <w:p>
            <w:pPr>
              <w:pStyle w:val="TableContents"/>
              <w:bidi w:val="0"/>
              <w:spacing w:lineRule="auto" w:line="285" w:before="0" w:after="0"/>
              <w:ind w:left="0" w:right="0" w:hanging="0"/>
              <w:jc w:val="left"/>
              <w:rPr/>
            </w:pPr>
            <w:r>
              <w:rPr/>
              <w:t>     </w:t>
            </w:r>
          </w:p>
        </w:tc>
        <w:tc>
          <w:tcPr>
            <w:tcW w:w="260"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11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88" w:type="dxa"/>
            <w:tcBorders/>
            <w:vAlign w:val="center"/>
          </w:tcPr>
          <w:p>
            <w:pPr>
              <w:pStyle w:val="TableContents"/>
              <w:bidi w:val="0"/>
              <w:spacing w:lineRule="auto" w:line="285" w:before="0" w:after="0"/>
              <w:ind w:left="0" w:right="0" w:hanging="0"/>
              <w:jc w:val="center"/>
              <w:rPr/>
            </w:pPr>
            <w:r>
              <w:rPr/>
              <w:t>   </w:t>
            </w:r>
          </w:p>
        </w:tc>
        <w:tc>
          <w:tcPr>
            <w:tcW w:w="11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54,228</w:t>
            </w:r>
          </w:p>
        </w:tc>
        <w:tc>
          <w:tcPr>
            <w:tcW w:w="488" w:type="dxa"/>
            <w:tcBorders/>
            <w:shd w:fill="CCEEFF" w:val="clear"/>
            <w:vAlign w:val="center"/>
          </w:tcPr>
          <w:p>
            <w:pPr>
              <w:pStyle w:val="TableContents"/>
              <w:bidi w:val="0"/>
              <w:spacing w:lineRule="auto" w:line="285" w:before="0" w:after="0"/>
              <w:ind w:left="0" w:right="0" w:hanging="0"/>
              <w:jc w:val="left"/>
              <w:rPr/>
            </w:pPr>
            <w:r>
              <w:rPr/>
              <w:t>     </w:t>
            </w:r>
          </w:p>
        </w:tc>
        <w:tc>
          <w:tcPr>
            <w:tcW w:w="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28,634</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25,594</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386" w:type="dxa"/>
            <w:tcBorders/>
            <w:vAlign w:val="center"/>
          </w:tcPr>
          <w:p>
            <w:pPr>
              <w:pStyle w:val="TableContents"/>
              <w:bidi w:val="0"/>
              <w:spacing w:lineRule="auto" w:line="285" w:before="0" w:after="0"/>
              <w:ind w:left="0" w:right="0" w:hanging="0"/>
              <w:jc w:val="left"/>
              <w:rPr/>
            </w:pPr>
            <w:r>
              <w:rPr/>
              <w:t>     </w:t>
            </w:r>
          </w:p>
        </w:tc>
        <w:tc>
          <w:tcPr>
            <w:tcW w:w="266" w:type="dxa"/>
            <w:tcBorders/>
            <w:vAlign w:val="center"/>
          </w:tcPr>
          <w:p>
            <w:pPr>
              <w:pStyle w:val="TableContents"/>
              <w:bidi w:val="0"/>
              <w:spacing w:lineRule="auto" w:line="285" w:before="0" w:after="0"/>
              <w:ind w:left="0" w:right="0" w:hanging="0"/>
              <w:jc w:val="left"/>
              <w:rPr/>
            </w:pPr>
            <w:r>
              <w:rPr/>
              <w:t> </w:t>
            </w:r>
          </w:p>
        </w:tc>
        <w:tc>
          <w:tcPr>
            <w:tcW w:w="85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2,338</w:t>
            </w:r>
          </w:p>
        </w:tc>
        <w:tc>
          <w:tcPr>
            <w:tcW w:w="488" w:type="dxa"/>
            <w:tcBorders/>
            <w:vAlign w:val="center"/>
          </w:tcPr>
          <w:p>
            <w:pPr>
              <w:pStyle w:val="TableContents"/>
              <w:bidi w:val="0"/>
              <w:spacing w:lineRule="auto" w:line="285" w:before="0" w:after="0"/>
              <w:ind w:left="0" w:right="0" w:hanging="0"/>
              <w:jc w:val="left"/>
              <w:rPr/>
            </w:pPr>
            <w:r>
              <w:rPr/>
              <w:t>     </w:t>
            </w:r>
          </w:p>
        </w:tc>
        <w:tc>
          <w:tcPr>
            <w:tcW w:w="266" w:type="dxa"/>
            <w:tcBorders/>
            <w:vAlign w:val="center"/>
          </w:tcPr>
          <w:p>
            <w:pPr>
              <w:pStyle w:val="TableContents"/>
              <w:bidi w:val="0"/>
              <w:spacing w:lineRule="auto" w:line="285" w:before="0" w:after="0"/>
              <w:ind w:left="0" w:right="0" w:hanging="0"/>
              <w:jc w:val="left"/>
              <w:rPr/>
            </w:pPr>
            <w:r>
              <w:rPr/>
              <w:t> </w:t>
            </w:r>
          </w:p>
        </w:tc>
        <w:tc>
          <w:tcPr>
            <w:tcW w:w="85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9,843</w:t>
            </w:r>
          </w:p>
        </w:tc>
        <w:tc>
          <w:tcPr>
            <w:tcW w:w="386" w:type="dxa"/>
            <w:tcBorders/>
            <w:vAlign w:val="center"/>
          </w:tcPr>
          <w:p>
            <w:pPr>
              <w:pStyle w:val="TableContents"/>
              <w:bidi w:val="0"/>
              <w:spacing w:lineRule="auto" w:line="285" w:before="0" w:after="0"/>
              <w:ind w:left="0" w:right="0" w:hanging="0"/>
              <w:jc w:val="left"/>
              <w:rPr/>
            </w:pPr>
            <w:r>
              <w:rPr/>
              <w:t>     </w:t>
            </w:r>
          </w:p>
        </w:tc>
        <w:tc>
          <w:tcPr>
            <w:tcW w:w="260" w:type="dxa"/>
            <w:tcBorders/>
            <w:vAlign w:val="center"/>
          </w:tcPr>
          <w:p>
            <w:pPr>
              <w:pStyle w:val="TableContents"/>
              <w:bidi w:val="0"/>
              <w:spacing w:lineRule="auto" w:line="285" w:before="0" w:after="0"/>
              <w:ind w:left="0" w:right="0" w:hanging="0"/>
              <w:jc w:val="left"/>
              <w:rPr/>
            </w:pPr>
            <w:r>
              <w:rPr/>
              <w:t> </w:t>
            </w:r>
          </w:p>
        </w:tc>
        <w:tc>
          <w:tcPr>
            <w:tcW w:w="9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(7,505)</w:t>
            </w:r>
          </w:p>
        </w:tc>
        <w:tc>
          <w:tcPr>
            <w:tcW w:w="38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License revenue - related party</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88" w:type="dxa"/>
            <w:tcBorders/>
            <w:shd w:fill="CCEEFF" w:val="clear"/>
            <w:vAlign w:val="center"/>
          </w:tcPr>
          <w:p>
            <w:pPr>
              <w:pStyle w:val="TableContents"/>
              <w:bidi w:val="0"/>
              <w:spacing w:lineRule="auto" w:line="285"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27,500</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(27,500)</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86" w:type="dxa"/>
            <w:tcBorders/>
            <w:vAlign w:val="center"/>
          </w:tcPr>
          <w:p>
            <w:pPr>
              <w:pStyle w:val="TableContents"/>
              <w:bidi w:val="0"/>
              <w:spacing w:lineRule="auto" w:line="285" w:before="0" w:after="0"/>
              <w:ind w:left="0" w:right="0" w:hanging="0"/>
              <w:jc w:val="left"/>
              <w:rPr/>
            </w:pPr>
            <w:r>
              <w:rPr/>
              <w:t>     </w:t>
            </w:r>
          </w:p>
        </w:tc>
        <w:tc>
          <w:tcPr>
            <w:tcW w:w="26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56,566</w:t>
            </w:r>
          </w:p>
        </w:tc>
        <w:tc>
          <w:tcPr>
            <w:tcW w:w="488" w:type="dxa"/>
            <w:tcBorders/>
            <w:vAlign w:val="center"/>
          </w:tcPr>
          <w:p>
            <w:pPr>
              <w:pStyle w:val="TableContents"/>
              <w:bidi w:val="0"/>
              <w:spacing w:lineRule="auto" w:line="285" w:before="0" w:after="0"/>
              <w:ind w:left="0" w:right="0" w:hanging="0"/>
              <w:jc w:val="left"/>
              <w:rPr/>
            </w:pPr>
            <w:r>
              <w:rPr/>
              <w:t>     </w:t>
            </w:r>
          </w:p>
        </w:tc>
        <w:tc>
          <w:tcPr>
            <w:tcW w:w="26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65,977</w:t>
            </w:r>
          </w:p>
        </w:tc>
        <w:tc>
          <w:tcPr>
            <w:tcW w:w="386" w:type="dxa"/>
            <w:tcBorders/>
            <w:vAlign w:val="center"/>
          </w:tcPr>
          <w:p>
            <w:pPr>
              <w:pStyle w:val="TableContents"/>
              <w:bidi w:val="0"/>
              <w:spacing w:lineRule="auto" w:line="285" w:before="0" w:after="0"/>
              <w:ind w:left="0" w:right="0" w:hanging="0"/>
              <w:jc w:val="left"/>
              <w:rPr/>
            </w:pPr>
            <w:r>
              <w:rPr/>
              <w:t>     </w:t>
            </w:r>
          </w:p>
        </w:tc>
        <w:tc>
          <w:tcPr>
            <w:tcW w:w="2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(9,411)</w:t>
            </w:r>
          </w:p>
        </w:tc>
        <w:tc>
          <w:tcPr>
            <w:tcW w:w="386" w:type="dxa"/>
            <w:tcBorders/>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4"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Product Revenue, Net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table summarizes revenue recognized from sales of AYVAKIT/AYVAKYT during the three months ended September 30, 2023 and 2022 (in thousands): </w:t>
      </w:r>
    </w:p>
    <w:tbl>
      <w:tblPr>
        <w:tblW w:w="7040" w:type="dxa"/>
        <w:jc w:val="left"/>
        <w:tblInd w:w="0" w:type="dxa"/>
        <w:tblLayout w:type="fixed"/>
        <w:tblCellMar>
          <w:top w:w="0" w:type="dxa"/>
          <w:left w:w="0" w:type="dxa"/>
          <w:bottom w:w="0" w:type="dxa"/>
          <w:right w:w="0" w:type="dxa"/>
        </w:tblCellMar>
      </w:tblPr>
      <w:tblGrid>
        <w:gridCol w:w="1246"/>
        <w:gridCol w:w="326"/>
        <w:gridCol w:w="274"/>
        <w:gridCol w:w="879"/>
        <w:gridCol w:w="423"/>
        <w:gridCol w:w="274"/>
        <w:gridCol w:w="879"/>
        <w:gridCol w:w="326"/>
        <w:gridCol w:w="278"/>
        <w:gridCol w:w="893"/>
        <w:gridCol w:w="326"/>
        <w:gridCol w:w="458"/>
        <w:gridCol w:w="458"/>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791210" cy="175260"/>
                      <wp:effectExtent l="0" t="0" r="0" b="0"/>
                      <wp:wrapNone/>
                      <wp:docPr id="410" name="Frame410"/>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73990" cy="175260"/>
                      <wp:effectExtent l="0" t="0" r="0" b="0"/>
                      <wp:wrapNone/>
                      <wp:docPr id="412" name="Frame41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58165" cy="175260"/>
                      <wp:effectExtent l="0" t="0" r="0" b="0"/>
                      <wp:wrapNone/>
                      <wp:docPr id="413" name="Frame413"/>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68605" cy="175260"/>
                      <wp:effectExtent l="0" t="0" r="0" b="0"/>
                      <wp:wrapNone/>
                      <wp:docPr id="414" name="Frame414"/>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73990" cy="175260"/>
                      <wp:effectExtent l="0" t="0" r="0" b="0"/>
                      <wp:wrapNone/>
                      <wp:docPr id="415" name="Frame41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558165" cy="175260"/>
                      <wp:effectExtent l="0" t="0" r="0" b="0"/>
                      <wp:wrapNone/>
                      <wp:docPr id="416" name="Frame416"/>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76530" cy="175260"/>
                      <wp:effectExtent l="0" t="0" r="0" b="0"/>
                      <wp:wrapNone/>
                      <wp:docPr id="418" name="Frame41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67055" cy="175260"/>
                      <wp:effectExtent l="0" t="0" r="0" b="0"/>
                      <wp:wrapNone/>
                      <wp:docPr id="419" name="Frame419"/>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90830" cy="175260"/>
                      <wp:effectExtent l="0" t="0" r="0" b="0"/>
                      <wp:wrapNone/>
                      <wp:docPr id="421" name="Frame421"/>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90830" cy="175260"/>
                      <wp:effectExtent l="0" t="0" r="0" b="0"/>
                      <wp:wrapNone/>
                      <wp:docPr id="422" name="Frame422"/>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lineRule="auto" w:line="285" w:before="0" w:after="0"/>
              <w:ind w:left="0" w:right="0" w:hanging="0"/>
              <w:jc w:val="center"/>
              <w:rPr/>
            </w:pPr>
            <w:r>
              <w:rPr/>
              <w:t>​</w:t>
            </w:r>
          </w:p>
        </w:tc>
        <w:tc>
          <w:tcPr>
            <w:tcW w:w="278"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458" w:type="dxa"/>
            <w:tcBorders/>
            <w:vAlign w:val="center"/>
          </w:tcPr>
          <w:p>
            <w:pPr>
              <w:pStyle w:val="TableContents"/>
              <w:bidi w:val="0"/>
              <w:spacing w:lineRule="auto" w:line="285" w:before="0" w:after="0"/>
              <w:ind w:left="0" w:right="0" w:hanging="0"/>
              <w:jc w:val="center"/>
              <w:rPr/>
            </w:pPr>
            <w:r>
              <w:rPr/>
              <w:t>​</w:t>
            </w:r>
          </w:p>
        </w:tc>
        <w:tc>
          <w:tcPr>
            <w:tcW w:w="458" w:type="dxa"/>
            <w:tcBorders/>
            <w:vAlign w:val="center"/>
          </w:tcPr>
          <w:p>
            <w:pPr>
              <w:pStyle w:val="TableContents"/>
              <w:bidi w:val="0"/>
              <w:spacing w:lineRule="auto" w:line="285" w:before="0" w:after="0"/>
              <w:ind w:left="0" w:right="0" w:hanging="0"/>
              <w:jc w:val="center"/>
              <w:rPr/>
            </w:pPr>
            <w:r>
              <w:rPr/>
              <w:t> </w: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3" w:type="dxa"/>
            <w:tcBorders/>
            <w:vAlign w:val="center"/>
          </w:tcPr>
          <w:p>
            <w:pPr>
              <w:pStyle w:val="TableContents"/>
              <w:bidi w:val="0"/>
              <w:spacing w:lineRule="auto" w:line="285" w:before="0" w:after="0"/>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49,121</w:t>
            </w:r>
          </w:p>
        </w:tc>
        <w:tc>
          <w:tcPr>
            <w:tcW w:w="423" w:type="dxa"/>
            <w:tcBorders/>
            <w:shd w:fill="CCEEFF" w:val="clear"/>
            <w:vAlign w:val="center"/>
          </w:tcPr>
          <w:p>
            <w:pPr>
              <w:pStyle w:val="TableContents"/>
              <w:bidi w:val="0"/>
              <w:spacing w:lineRule="auto" w:line="285" w:before="0" w:after="0"/>
              <w:ind w:left="0" w:right="0" w:hanging="0"/>
              <w:jc w:val="center"/>
              <w:rPr/>
            </w:pPr>
            <w:r>
              <w:rPr/>
              <w:t>​</w:t>
            </w:r>
          </w:p>
        </w:tc>
        <w:tc>
          <w:tcPr>
            <w:tcW w:w="2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25,054</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24,067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45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26" w:type="dxa"/>
            <w:tcBorders/>
            <w:vAlign w:val="center"/>
          </w:tcPr>
          <w:p>
            <w:pPr>
              <w:pStyle w:val="TableContents"/>
              <w:bidi w:val="0"/>
              <w:spacing w:lineRule="auto" w:line="285"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5,107</w:t>
            </w:r>
          </w:p>
        </w:tc>
        <w:tc>
          <w:tcPr>
            <w:tcW w:w="423" w:type="dxa"/>
            <w:tcBorders/>
            <w:vAlign w:val="center"/>
          </w:tcPr>
          <w:p>
            <w:pPr>
              <w:pStyle w:val="TableContents"/>
              <w:bidi w:val="0"/>
              <w:spacing w:lineRule="auto" w:line="285"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3,580</w:t>
            </w:r>
          </w:p>
        </w:tc>
        <w:tc>
          <w:tcPr>
            <w:tcW w:w="326" w:type="dxa"/>
            <w:tcBorders/>
            <w:vAlign w:val="center"/>
          </w:tcPr>
          <w:p>
            <w:pPr>
              <w:pStyle w:val="TableContents"/>
              <w:bidi w:val="0"/>
              <w:spacing w:lineRule="auto" w:line="285"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1,527</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54,228</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28,634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25,594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Product revenue, net increased during the three months ended September 30, 2023 as compared to the three months ended September 30, 2022 primarily driven by growth in the number of SM patients on therapy, including advanced SM and indolent SM with the recent label expansion.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60"/>
        <w:ind w:left="0" w:right="0" w:hanging="0"/>
        <w:jc w:val="left"/>
        <w:rPr>
          <w:rFonts w:ascii="Times New Roman;Times;serif" w:hAnsi="Times New Roman;Times;serif"/>
          <w:i/>
          <w:sz w:val="20"/>
        </w:rPr>
      </w:pPr>
      <w:r>
        <w:rPr>
          <w:rFonts w:ascii="Times New Roman;Times;serif" w:hAnsi="Times New Roman;Times;serif"/>
          <w:i/>
          <w:sz w:val="20"/>
        </w:rPr>
        <w:t>Collaboration and License Revenue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revenue recognized from our collaboration and license agreements during the three months ended September 30, 2023 and 2022 (in thousands):</w:t>
      </w:r>
    </w:p>
    <w:tbl>
      <w:tblPr>
        <w:tblW w:w="9169" w:type="dxa"/>
        <w:jc w:val="left"/>
        <w:tblInd w:w="0" w:type="dxa"/>
        <w:tblLayout w:type="fixed"/>
        <w:tblCellMar>
          <w:top w:w="0" w:type="dxa"/>
          <w:left w:w="0" w:type="dxa"/>
          <w:bottom w:w="0" w:type="dxa"/>
          <w:right w:w="0" w:type="dxa"/>
        </w:tblCellMar>
      </w:tblPr>
      <w:tblGrid>
        <w:gridCol w:w="3421"/>
        <w:gridCol w:w="326"/>
        <w:gridCol w:w="304"/>
        <w:gridCol w:w="825"/>
        <w:gridCol w:w="471"/>
        <w:gridCol w:w="304"/>
        <w:gridCol w:w="825"/>
        <w:gridCol w:w="326"/>
        <w:gridCol w:w="263"/>
        <w:gridCol w:w="862"/>
        <w:gridCol w:w="326"/>
        <w:gridCol w:w="552"/>
        <w:gridCol w:w="36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72335" cy="175260"/>
                      <wp:effectExtent l="0" t="0" r="0" b="0"/>
                      <wp:wrapNone/>
                      <wp:docPr id="423" name="Frame42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93040" cy="175260"/>
                      <wp:effectExtent l="0" t="0" r="0" b="0"/>
                      <wp:wrapNone/>
                      <wp:docPr id="425" name="Frame42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23875" cy="175260"/>
                      <wp:effectExtent l="0" t="0" r="0" b="0"/>
                      <wp:wrapNone/>
                      <wp:docPr id="426" name="Frame426"/>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99085" cy="175260"/>
                      <wp:effectExtent l="0" t="0" r="0" b="0"/>
                      <wp:wrapNone/>
                      <wp:docPr id="427" name="Frame427"/>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93040" cy="175260"/>
                      <wp:effectExtent l="0" t="0" r="0" b="0"/>
                      <wp:wrapNone/>
                      <wp:docPr id="428" name="Frame42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23875" cy="175260"/>
                      <wp:effectExtent l="0" t="0" r="0" b="0"/>
                      <wp:wrapNone/>
                      <wp:docPr id="429" name="Frame429"/>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67005" cy="175260"/>
                      <wp:effectExtent l="0" t="0" r="0" b="0"/>
                      <wp:wrapNone/>
                      <wp:docPr id="431" name="Frame43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47370" cy="175260"/>
                      <wp:effectExtent l="0" t="0" r="0" b="0"/>
                      <wp:wrapNone/>
                      <wp:docPr id="432" name="Frame432"/>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50520" cy="175260"/>
                      <wp:effectExtent l="0" t="0" r="0" b="0"/>
                      <wp:wrapNone/>
                      <wp:docPr id="434" name="Frame434"/>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31140" cy="175260"/>
                      <wp:effectExtent l="0" t="0" r="0" b="0"/>
                      <wp:wrapNone/>
                      <wp:docPr id="435" name="Frame43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1" w:type="dxa"/>
            <w:tcBorders/>
            <w:vAlign w:val="center"/>
          </w:tcPr>
          <w:p>
            <w:pPr>
              <w:pStyle w:val="TableContents"/>
              <w:bidi w:val="0"/>
              <w:spacing w:lineRule="auto" w:line="285"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CStone collaboration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1,820</w:t>
            </w:r>
          </w:p>
        </w:tc>
        <w:tc>
          <w:tcPr>
            <w:tcW w:w="471" w:type="dxa"/>
            <w:tcBorders/>
            <w:shd w:fill="CCEEFF" w:val="clear"/>
            <w:vAlign w:val="center"/>
          </w:tcPr>
          <w:p>
            <w:pPr>
              <w:pStyle w:val="TableContents"/>
              <w:bidi w:val="0"/>
              <w:spacing w:lineRule="auto" w:line="285" w:before="0" w:after="0"/>
              <w:ind w:left="0" w:right="0" w:hanging="0"/>
              <w:jc w:val="center"/>
              <w:rPr/>
            </w:pPr>
            <w:r>
              <w:rPr/>
              <w:t>​</w:t>
            </w:r>
          </w:p>
        </w:tc>
        <w:tc>
          <w:tcPr>
            <w:tcW w:w="3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with Roche for pralsetinib</w:t>
            </w:r>
          </w:p>
        </w:tc>
        <w:tc>
          <w:tcPr>
            <w:tcW w:w="326" w:type="dxa"/>
            <w:tcBorders/>
            <w:vAlign w:val="center"/>
          </w:tcPr>
          <w:p>
            <w:pPr>
              <w:pStyle w:val="TableContents"/>
              <w:bidi w:val="0"/>
              <w:spacing w:lineRule="auto" w:line="285" w:before="0" w:after="0"/>
              <w:ind w:left="0" w:right="0" w:hanging="0"/>
              <w:jc w:val="left"/>
              <w:rPr/>
            </w:pPr>
            <w:r>
              <w:rPr/>
              <w:t>​</w:t>
            </w:r>
          </w:p>
        </w:tc>
        <w:tc>
          <w:tcPr>
            <w:tcW w:w="304" w:type="dxa"/>
            <w:tcBorders/>
            <w:vAlign w:val="center"/>
          </w:tcPr>
          <w:p>
            <w:pPr>
              <w:pStyle w:val="TableContents"/>
              <w:bidi w:val="0"/>
              <w:spacing w:lineRule="auto" w:line="285" w:before="0" w:after="0"/>
              <w:ind w:left="0" w:right="0" w:hanging="0"/>
              <w:jc w:val="left"/>
              <w:rPr/>
            </w:pPr>
            <w:r>
              <w:rPr/>
              <w:t>​</w:t>
            </w:r>
          </w:p>
        </w:tc>
        <w:tc>
          <w:tcPr>
            <w:tcW w:w="82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471" w:type="dxa"/>
            <w:tcBorders/>
            <w:vAlign w:val="center"/>
          </w:tcPr>
          <w:p>
            <w:pPr>
              <w:pStyle w:val="TableContents"/>
              <w:bidi w:val="0"/>
              <w:spacing w:lineRule="auto" w:line="285" w:before="0" w:after="0"/>
              <w:ind w:left="0" w:right="0" w:hanging="0"/>
              <w:jc w:val="center"/>
              <w:rPr/>
            </w:pPr>
            <w:r>
              <w:rPr/>
              <w:t>​</w:t>
            </w:r>
          </w:p>
        </w:tc>
        <w:tc>
          <w:tcPr>
            <w:tcW w:w="304" w:type="dxa"/>
            <w:tcBorders/>
            <w:vAlign w:val="center"/>
          </w:tcPr>
          <w:p>
            <w:pPr>
              <w:pStyle w:val="TableContents"/>
              <w:bidi w:val="0"/>
              <w:spacing w:lineRule="auto" w:line="285" w:before="0" w:after="0"/>
              <w:ind w:left="0" w:right="0" w:hanging="0"/>
              <w:jc w:val="left"/>
              <w:rPr/>
            </w:pPr>
            <w:r>
              <w:rPr/>
              <w:t>​</w:t>
            </w:r>
          </w:p>
        </w:tc>
        <w:tc>
          <w:tcPr>
            <w:tcW w:w="82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4,282</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(3,769)</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Roche immunotherapy collaboration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4" w:type="dxa"/>
            <w:tcBorders/>
            <w:shd w:fill="CCEEFF" w:val="clear"/>
            <w:vAlign w:val="center"/>
          </w:tcPr>
          <w:p>
            <w:pPr>
              <w:pStyle w:val="TableContents"/>
              <w:bidi w:val="0"/>
              <w:spacing w:lineRule="auto" w:line="285" w:before="0" w:after="0"/>
              <w:ind w:left="0" w:right="0" w:hanging="0"/>
              <w:jc w:val="left"/>
              <w:rPr/>
            </w:pPr>
            <w:r>
              <w:rPr/>
              <w:t>​</w:t>
            </w:r>
          </w:p>
        </w:tc>
        <w:tc>
          <w:tcPr>
            <w:tcW w:w="825" w:type="dxa"/>
            <w:tcBorders/>
            <w:shd w:fill="CCEEFF" w:val="clear"/>
            <w:vAlign w:val="center"/>
          </w:tcPr>
          <w:p>
            <w:pPr>
              <w:pStyle w:val="TableContents"/>
              <w:bidi w:val="0"/>
              <w:spacing w:lineRule="auto" w:line="285" w:before="0" w:after="0"/>
              <w:ind w:left="0" w:right="0" w:hanging="0"/>
              <w:jc w:val="right"/>
              <w:rPr/>
            </w:pPr>
            <w:r>
              <w:rPr/>
              <w:t>—</w:t>
            </w:r>
          </w:p>
        </w:tc>
        <w:tc>
          <w:tcPr>
            <w:tcW w:w="471" w:type="dxa"/>
            <w:tcBorders/>
            <w:shd w:fill="CCEEFF" w:val="clear"/>
            <w:vAlign w:val="center"/>
          </w:tcPr>
          <w:p>
            <w:pPr>
              <w:pStyle w:val="TableContents"/>
              <w:bidi w:val="0"/>
              <w:spacing w:lineRule="auto" w:line="285" w:before="0" w:after="0"/>
              <w:ind w:left="0" w:right="0" w:hanging="0"/>
              <w:jc w:val="left"/>
              <w:rPr/>
            </w:pPr>
            <w:r>
              <w:rPr/>
              <w:t>​</w:t>
            </w:r>
          </w:p>
        </w:tc>
        <w:tc>
          <w:tcPr>
            <w:tcW w:w="304" w:type="dxa"/>
            <w:tcBorders/>
            <w:shd w:fill="CCEEFF" w:val="clear"/>
            <w:vAlign w:val="center"/>
          </w:tcPr>
          <w:p>
            <w:pPr>
              <w:pStyle w:val="TableContents"/>
              <w:bidi w:val="0"/>
              <w:spacing w:lineRule="auto" w:line="285" w:before="0" w:after="0"/>
              <w:ind w:left="0" w:right="0" w:hanging="0"/>
              <w:jc w:val="right"/>
              <w:rPr/>
            </w:pPr>
            <w:r>
              <w:rPr/>
              <w:t>​</w:t>
            </w:r>
          </w:p>
        </w:tc>
        <w:tc>
          <w:tcPr>
            <w:tcW w:w="8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shd w:fill="CCEEFF" w:val="clear"/>
            <w:vAlign w:val="center"/>
          </w:tcPr>
          <w:p>
            <w:pPr>
              <w:pStyle w:val="TableContents"/>
              <w:bidi w:val="0"/>
              <w:spacing w:lineRule="auto" w:line="285" w:before="0" w:after="0"/>
              <w:ind w:left="0" w:right="0" w:hanging="0"/>
              <w:jc w:val="center"/>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71" w:type="dxa"/>
            <w:tcBorders/>
            <w:vAlign w:val="center"/>
          </w:tcPr>
          <w:p>
            <w:pPr>
              <w:pStyle w:val="TableContents"/>
              <w:bidi w:val="0"/>
              <w:spacing w:lineRule="auto" w:line="285"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collaboration and license revenue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2,338</w:t>
            </w:r>
          </w:p>
        </w:tc>
        <w:tc>
          <w:tcPr>
            <w:tcW w:w="471" w:type="dxa"/>
            <w:tcBorders/>
            <w:shd w:fill="CCEEFF" w:val="clear"/>
            <w:vAlign w:val="center"/>
          </w:tcPr>
          <w:p>
            <w:pPr>
              <w:pStyle w:val="TableContents"/>
              <w:bidi w:val="0"/>
              <w:spacing w:lineRule="auto" w:line="285"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9,843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(7,505)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 recognized from our collaboration and license agreements decreased during the three months ended September 30, 2023 as compared to the three months ended September 30, 2022 primarily due to:</w:t>
      </w:r>
    </w:p>
    <w:p>
      <w:pPr>
        <w:pStyle w:val="TextBody"/>
        <w:bidi w:val="0"/>
        <w:spacing w:lineRule="auto" w:line="285"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revenue from our collaboration with Roche for pralsetinib during the three months ended September 30, 2023 as compared to the three months ended September 30, 2022 primarily due to a decrease in manufacturing services related to Roche Territory-specific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revenue from our CStone collaboration during the three months ended September 30, 2023 as compared to the three months ended September 30, 2022 primarily due to a decrease in manufacturing services and royalty revenue related to CStone Territory-specific activities.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revenue was recognized under the Roche immunotherapy agreement during the three months ended September 30, 2023 as a result of the collaboration agreement termination effective in April 2023.</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License revenue – related party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License revenue – related party decreased by $27.5 million during the three months ended September 30, 2023 as compared to the three months ended September 30, 2022. The decrease resulted from the license revenue recorded under the IDRx License Agreement that was executed during the three months ended September 30, 2022.</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Cost of Product Sales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cost of product sales during the three months ended September 30, 2023 and 2022 (in thousands): </w:t>
      </w:r>
    </w:p>
    <w:tbl>
      <w:tblPr>
        <w:tblW w:w="8029" w:type="dxa"/>
        <w:jc w:val="left"/>
        <w:tblInd w:w="0" w:type="dxa"/>
        <w:tblLayout w:type="fixed"/>
        <w:tblCellMar>
          <w:top w:w="0" w:type="dxa"/>
          <w:left w:w="0" w:type="dxa"/>
          <w:bottom w:w="0" w:type="dxa"/>
          <w:right w:w="0" w:type="dxa"/>
        </w:tblCellMar>
      </w:tblPr>
      <w:tblGrid>
        <w:gridCol w:w="2281"/>
        <w:gridCol w:w="326"/>
        <w:gridCol w:w="304"/>
        <w:gridCol w:w="825"/>
        <w:gridCol w:w="471"/>
        <w:gridCol w:w="304"/>
        <w:gridCol w:w="825"/>
        <w:gridCol w:w="326"/>
        <w:gridCol w:w="263"/>
        <w:gridCol w:w="862"/>
        <w:gridCol w:w="326"/>
        <w:gridCol w:w="523"/>
        <w:gridCol w:w="393"/>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448435" cy="175260"/>
                      <wp:effectExtent l="0" t="0" r="0" b="0"/>
                      <wp:wrapNone/>
                      <wp:docPr id="436" name="Frame436"/>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93040" cy="175260"/>
                      <wp:effectExtent l="0" t="0" r="0" b="0"/>
                      <wp:wrapNone/>
                      <wp:docPr id="438" name="Frame43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23875" cy="175260"/>
                      <wp:effectExtent l="0" t="0" r="0" b="0"/>
                      <wp:wrapNone/>
                      <wp:docPr id="439" name="Frame439"/>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99085" cy="175260"/>
                      <wp:effectExtent l="0" t="0" r="0" b="0"/>
                      <wp:wrapNone/>
                      <wp:docPr id="440" name="Frame440"/>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93040" cy="175260"/>
                      <wp:effectExtent l="0" t="0" r="0" b="0"/>
                      <wp:wrapNone/>
                      <wp:docPr id="441" name="Frame44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23875" cy="175260"/>
                      <wp:effectExtent l="0" t="0" r="0" b="0"/>
                      <wp:wrapNone/>
                      <wp:docPr id="442" name="Frame44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67005" cy="175260"/>
                      <wp:effectExtent l="0" t="0" r="0" b="0"/>
                      <wp:wrapNone/>
                      <wp:docPr id="444" name="Frame44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47370" cy="175260"/>
                      <wp:effectExtent l="0" t="0" r="0" b="0"/>
                      <wp:wrapNone/>
                      <wp:docPr id="445" name="Frame445"/>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32105" cy="175260"/>
                      <wp:effectExtent l="0" t="0" r="0" b="0"/>
                      <wp:wrapNone/>
                      <wp:docPr id="447" name="Frame44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49555" cy="175260"/>
                      <wp:effectExtent l="0" t="0" r="0" b="0"/>
                      <wp:wrapNone/>
                      <wp:docPr id="448" name="Frame44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1" w:type="dxa"/>
            <w:tcBorders/>
            <w:vAlign w:val="center"/>
          </w:tcPr>
          <w:p>
            <w:pPr>
              <w:pStyle w:val="TableContents"/>
              <w:bidi w:val="0"/>
              <w:spacing w:lineRule="auto" w:line="285" w:before="0" w:after="0"/>
              <w:ind w:left="0" w:right="0" w:hanging="0"/>
              <w:jc w:val="center"/>
              <w:rPr/>
            </w:pPr>
            <w:r>
              <w:rPr/>
              <w:t>    </w:t>
            </w:r>
          </w:p>
        </w:tc>
        <w:tc>
          <w:tcPr>
            <w:tcW w:w="11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1,685</w:t>
            </w:r>
          </w:p>
        </w:tc>
        <w:tc>
          <w:tcPr>
            <w:tcW w:w="471" w:type="dxa"/>
            <w:tcBorders/>
            <w:shd w:fill="CCEEFF" w:val="clear"/>
            <w:vAlign w:val="center"/>
          </w:tcPr>
          <w:p>
            <w:pPr>
              <w:pStyle w:val="TableContents"/>
              <w:bidi w:val="0"/>
              <w:spacing w:lineRule="auto" w:line="285" w:before="0" w:after="0"/>
              <w:ind w:left="0" w:right="0" w:hanging="0"/>
              <w:jc w:val="left"/>
              <w:rPr/>
            </w:pPr>
            <w:r>
              <w:rPr/>
              <w:t> </w:t>
            </w:r>
          </w:p>
        </w:tc>
        <w:tc>
          <w:tcPr>
            <w:tcW w:w="3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collaboration sales</w:t>
            </w:r>
          </w:p>
        </w:tc>
        <w:tc>
          <w:tcPr>
            <w:tcW w:w="326" w:type="dxa"/>
            <w:tcBorders/>
            <w:vAlign w:val="center"/>
          </w:tcPr>
          <w:p>
            <w:pPr>
              <w:pStyle w:val="TableContents"/>
              <w:bidi w:val="0"/>
              <w:spacing w:lineRule="auto" w:line="285"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471" w:type="dxa"/>
            <w:tcBorders/>
            <w:vAlign w:val="center"/>
          </w:tcPr>
          <w:p>
            <w:pPr>
              <w:pStyle w:val="TableContents"/>
              <w:bidi w:val="0"/>
              <w:spacing w:lineRule="auto" w:line="285"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2,290</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2,782</w:t>
            </w:r>
          </w:p>
        </w:tc>
        <w:tc>
          <w:tcPr>
            <w:tcW w:w="471" w:type="dxa"/>
            <w:tcBorders/>
            <w:shd w:fill="CCEEFF" w:val="clear"/>
            <w:vAlign w:val="center"/>
          </w:tcPr>
          <w:p>
            <w:pPr>
              <w:pStyle w:val="TableContents"/>
              <w:bidi w:val="0"/>
              <w:spacing w:lineRule="auto" w:line="285"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Cost of sales decreased during the three months ended September 30, 2023 as compared to the three months ended September 30, 2022 primarily due to a decrease in the cost of collaboration related sales which was primarily driven by a decrease in manufacturing services related to our collaboration partners. The increase in cost of product sales was primarily driven by an increase in product sales.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24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collaboration loss sharing expense during the three months ended September 30, 2023 and 2022 (in thousands):</w:t>
      </w:r>
    </w:p>
    <w:tbl>
      <w:tblPr>
        <w:tblW w:w="8060" w:type="dxa"/>
        <w:jc w:val="left"/>
        <w:tblInd w:w="0" w:type="dxa"/>
        <w:tblLayout w:type="fixed"/>
        <w:tblCellMar>
          <w:top w:w="0" w:type="dxa"/>
          <w:left w:w="0" w:type="dxa"/>
          <w:bottom w:w="0" w:type="dxa"/>
          <w:right w:w="0" w:type="dxa"/>
        </w:tblCellMar>
      </w:tblPr>
      <w:tblGrid>
        <w:gridCol w:w="2266"/>
        <w:gridCol w:w="326"/>
        <w:gridCol w:w="304"/>
        <w:gridCol w:w="825"/>
        <w:gridCol w:w="471"/>
        <w:gridCol w:w="304"/>
        <w:gridCol w:w="825"/>
        <w:gridCol w:w="326"/>
        <w:gridCol w:w="390"/>
        <w:gridCol w:w="781"/>
        <w:gridCol w:w="326"/>
        <w:gridCol w:w="366"/>
        <w:gridCol w:w="550"/>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438910" cy="175260"/>
                      <wp:effectExtent l="0" t="0" r="0" b="0"/>
                      <wp:wrapNone/>
                      <wp:docPr id="449" name="Frame449"/>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93040" cy="175260"/>
                      <wp:effectExtent l="0" t="0" r="0" b="0"/>
                      <wp:wrapNone/>
                      <wp:docPr id="451" name="Frame45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23875" cy="175260"/>
                      <wp:effectExtent l="0" t="0" r="0" b="0"/>
                      <wp:wrapNone/>
                      <wp:docPr id="452" name="Frame45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99085" cy="175260"/>
                      <wp:effectExtent l="0" t="0" r="0" b="0"/>
                      <wp:wrapNone/>
                      <wp:docPr id="453" name="Frame453"/>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93040" cy="175260"/>
                      <wp:effectExtent l="0" t="0" r="0" b="0"/>
                      <wp:wrapNone/>
                      <wp:docPr id="454" name="Frame45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23875" cy="175260"/>
                      <wp:effectExtent l="0" t="0" r="0" b="0"/>
                      <wp:wrapNone/>
                      <wp:docPr id="455" name="Frame455"/>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47650" cy="175260"/>
                      <wp:effectExtent l="0" t="0" r="0" b="0"/>
                      <wp:wrapNone/>
                      <wp:docPr id="457" name="Frame457"/>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95935" cy="175260"/>
                      <wp:effectExtent l="0" t="0" r="0" b="0"/>
                      <wp:wrapNone/>
                      <wp:docPr id="458" name="Frame4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32410" cy="175260"/>
                      <wp:effectExtent l="0" t="0" r="0" b="0"/>
                      <wp:wrapNone/>
                      <wp:docPr id="460" name="Frame460"/>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49250" cy="175260"/>
                      <wp:effectExtent l="0" t="0" r="0" b="0"/>
                      <wp:wrapNone/>
                      <wp:docPr id="461" name="Frame461"/>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390"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6" w:type="dxa"/>
            <w:tcBorders/>
            <w:vAlign w:val="center"/>
          </w:tcPr>
          <w:p>
            <w:pPr>
              <w:pStyle w:val="TableContents"/>
              <w:bidi w:val="0"/>
              <w:spacing w:lineRule="auto" w:line="285" w:before="0" w:after="0"/>
              <w:ind w:left="0" w:right="0" w:hanging="0"/>
              <w:jc w:val="left"/>
              <w:rPr/>
            </w:pPr>
            <w:r>
              <w:rPr/>
              <w:t>​</w:t>
            </w:r>
          </w:p>
        </w:tc>
        <w:tc>
          <w:tcPr>
            <w:tcW w:w="550" w:type="dxa"/>
            <w:tcBorders/>
            <w:vAlign w:val="center"/>
          </w:tcPr>
          <w:p>
            <w:pPr>
              <w:pStyle w:val="TableContents"/>
              <w:bidi w:val="0"/>
              <w:spacing w:lineRule="auto" w:line="285" w:before="0" w:after="0"/>
              <w:ind w:left="0" w:right="0" w:hanging="0"/>
              <w:jc w:val="left"/>
              <w:rPr/>
            </w:pPr>
            <w:r>
              <w:rPr/>
              <w:t>​</w:t>
            </w:r>
          </w:p>
        </w:tc>
      </w:tr>
      <w:tr>
        <w:trPr/>
        <w:tc>
          <w:tcPr>
            <w:tcW w:w="226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1" w:type="dxa"/>
            <w:tcBorders/>
            <w:vAlign w:val="center"/>
          </w:tcPr>
          <w:p>
            <w:pPr>
              <w:pStyle w:val="TableContents"/>
              <w:bidi w:val="0"/>
              <w:spacing w:lineRule="auto" w:line="285" w:before="0" w:after="0"/>
              <w:ind w:left="0" w:right="0" w:hanging="0"/>
              <w:jc w:val="center"/>
              <w:rPr/>
            </w:pPr>
            <w:r>
              <w:rPr/>
              <w:t>    </w:t>
            </w:r>
          </w:p>
        </w:tc>
        <w:tc>
          <w:tcPr>
            <w:tcW w:w="11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loss sharing</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1,771</w:t>
            </w:r>
          </w:p>
        </w:tc>
        <w:tc>
          <w:tcPr>
            <w:tcW w:w="471" w:type="dxa"/>
            <w:tcBorders/>
            <w:shd w:fill="CCEEFF" w:val="clear"/>
            <w:vAlign w:val="center"/>
          </w:tcPr>
          <w:p>
            <w:pPr>
              <w:pStyle w:val="TableContents"/>
              <w:bidi w:val="0"/>
              <w:spacing w:lineRule="auto" w:line="285"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9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55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Collaboration loss sharing under the collaboration with Roche for pralsetinib increased for the three months ended September 30, 2023 as compared to the three months ended September 30, 2022 primarily due to a decrease in GAVRETO product sales in the U.S. during the three months ended September 30, 2023 as compared to the three months ended September 30, 2022.</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research and development expenses during the three months ended September 30, 2023 and 2022 (in thousands):</w:t>
      </w:r>
    </w:p>
    <w:tbl>
      <w:tblPr>
        <w:tblW w:w="9499" w:type="dxa"/>
        <w:jc w:val="left"/>
        <w:tblInd w:w="0" w:type="dxa"/>
        <w:tblLayout w:type="fixed"/>
        <w:tblCellMar>
          <w:top w:w="0" w:type="dxa"/>
          <w:left w:w="0" w:type="dxa"/>
          <w:bottom w:w="0" w:type="dxa"/>
          <w:right w:w="0" w:type="dxa"/>
        </w:tblCellMar>
      </w:tblPr>
      <w:tblGrid>
        <w:gridCol w:w="3751"/>
        <w:gridCol w:w="326"/>
        <w:gridCol w:w="249"/>
        <w:gridCol w:w="923"/>
        <w:gridCol w:w="385"/>
        <w:gridCol w:w="249"/>
        <w:gridCol w:w="923"/>
        <w:gridCol w:w="326"/>
        <w:gridCol w:w="235"/>
        <w:gridCol w:w="890"/>
        <w:gridCol w:w="326"/>
        <w:gridCol w:w="497"/>
        <w:gridCol w:w="419"/>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381885" cy="175260"/>
                      <wp:effectExtent l="0" t="0" r="0" b="0"/>
                      <wp:wrapNone/>
                      <wp:docPr id="462" name="Frame462"/>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58115" cy="175260"/>
                      <wp:effectExtent l="0" t="0" r="0" b="0"/>
                      <wp:wrapNone/>
                      <wp:docPr id="464" name="Frame46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86105" cy="175260"/>
                      <wp:effectExtent l="0" t="0" r="0" b="0"/>
                      <wp:wrapNone/>
                      <wp:docPr id="465" name="Frame465"/>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44475" cy="175260"/>
                      <wp:effectExtent l="0" t="0" r="0" b="0"/>
                      <wp:wrapNone/>
                      <wp:docPr id="466" name="Frame46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58115" cy="175260"/>
                      <wp:effectExtent l="0" t="0" r="0" b="0"/>
                      <wp:wrapNone/>
                      <wp:docPr id="467" name="Frame46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86105" cy="175260"/>
                      <wp:effectExtent l="0" t="0" r="0" b="0"/>
                      <wp:wrapNone/>
                      <wp:docPr id="468" name="Frame468"/>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49225" cy="175260"/>
                      <wp:effectExtent l="0" t="0" r="0" b="0"/>
                      <wp:wrapNone/>
                      <wp:docPr id="470" name="Frame47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65150" cy="175260"/>
                      <wp:effectExtent l="0" t="0" r="0" b="0"/>
                      <wp:wrapNone/>
                      <wp:docPr id="471" name="Frame471"/>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15595" cy="175260"/>
                      <wp:effectExtent l="0" t="0" r="0" b="0"/>
                      <wp:wrapNone/>
                      <wp:docPr id="473" name="Frame47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66065" cy="175260"/>
                      <wp:effectExtent l="0" t="0" r="0" b="0"/>
                      <wp:wrapNone/>
                      <wp:docPr id="474" name="Frame474"/>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5" w:type="dxa"/>
            <w:tcBorders/>
            <w:vAlign w:val="center"/>
          </w:tcPr>
          <w:p>
            <w:pPr>
              <w:pStyle w:val="TableContents"/>
              <w:bidi w:val="0"/>
              <w:spacing w:lineRule="auto" w:line="285" w:before="0" w:after="0"/>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and manufacturing related activities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35,790</w:t>
            </w:r>
          </w:p>
        </w:tc>
        <w:tc>
          <w:tcPr>
            <w:tcW w:w="385"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54,531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(18,741)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left"/>
              <w:rPr/>
            </w:pPr>
            <w:r>
              <w:rPr/>
              <w:t> </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28,112</w:t>
            </w:r>
          </w:p>
        </w:tc>
        <w:tc>
          <w:tcPr>
            <w:tcW w:w="385"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right"/>
              <w:rPr/>
            </w:pPr>
            <w:r>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24,719</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3,393</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Early drug discovery and platform</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shd w:fill="CCEEFF" w:val="clear"/>
            <w:vAlign w:val="center"/>
          </w:tcPr>
          <w:p>
            <w:pPr>
              <w:pStyle w:val="TableContents"/>
              <w:bidi w:val="0"/>
              <w:spacing w:lineRule="auto" w:line="285" w:before="0" w:after="0"/>
              <w:ind w:left="0" w:right="0" w:hanging="0"/>
              <w:jc w:val="left"/>
              <w:rPr/>
            </w:pPr>
            <w:r>
              <w:rPr/>
              <w:t>​</w:t>
            </w:r>
          </w:p>
        </w:tc>
        <w:tc>
          <w:tcPr>
            <w:tcW w:w="9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17,515</w:t>
            </w:r>
          </w:p>
        </w:tc>
        <w:tc>
          <w:tcPr>
            <w:tcW w:w="385"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shd w:fill="CCEEFF" w:val="clear"/>
            <w:vAlign w:val="center"/>
          </w:tcPr>
          <w:p>
            <w:pPr>
              <w:pStyle w:val="TableContents"/>
              <w:bidi w:val="0"/>
              <w:spacing w:lineRule="auto" w:line="285" w:before="0" w:after="0"/>
              <w:ind w:left="0" w:right="0" w:hanging="0"/>
              <w:jc w:val="left"/>
              <w:rPr/>
            </w:pPr>
            <w:r>
              <w:rPr/>
              <w:t>​</w:t>
            </w:r>
          </w:p>
        </w:tc>
        <w:tc>
          <w:tcPr>
            <w:tcW w:w="9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20,787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left"/>
              <w:rPr/>
            </w:pPr>
            <w:r>
              <w:rPr/>
              <w:t> </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11,169</w:t>
            </w:r>
          </w:p>
        </w:tc>
        <w:tc>
          <w:tcPr>
            <w:tcW w:w="385"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right"/>
              <w:rPr/>
            </w:pPr>
            <w:r>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10,010</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1,159</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shd w:fill="CCEEFF" w:val="clear"/>
            <w:vAlign w:val="center"/>
          </w:tcPr>
          <w:p>
            <w:pPr>
              <w:pStyle w:val="TableContents"/>
              <w:bidi w:val="0"/>
              <w:spacing w:lineRule="auto" w:line="285" w:before="0" w:after="0"/>
              <w:ind w:left="0" w:right="0" w:hanging="0"/>
              <w:jc w:val="left"/>
              <w:rPr/>
            </w:pPr>
            <w:r>
              <w:rPr/>
              <w:t>​</w:t>
            </w:r>
          </w:p>
        </w:tc>
        <w:tc>
          <w:tcPr>
            <w:tcW w:w="9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7,731</w:t>
            </w:r>
          </w:p>
        </w:tc>
        <w:tc>
          <w:tcPr>
            <w:tcW w:w="385"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9,561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left"/>
              <w:rPr/>
            </w:pPr>
            <w:r>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8,764</w:t>
            </w:r>
          </w:p>
        </w:tc>
        <w:tc>
          <w:tcPr>
            <w:tcW w:w="385"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right"/>
              <w:rPr/>
            </w:pPr>
            <w:r>
              <w:rPr/>
              <w:t>​</w:t>
            </w:r>
          </w:p>
        </w:tc>
        <w:tc>
          <w:tcPr>
            <w:tcW w:w="9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7,086</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1,678</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1,171</w:t>
            </w:r>
          </w:p>
        </w:tc>
        <w:tc>
          <w:tcPr>
            <w:tcW w:w="385"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vAlign w:val="center"/>
          </w:tcPr>
          <w:p>
            <w:pPr>
              <w:pStyle w:val="TableContents"/>
              <w:bidi w:val="0"/>
              <w:spacing w:lineRule="auto" w:line="285" w:before="0" w:after="0"/>
              <w:ind w:left="0" w:right="0" w:hanging="0"/>
              <w:jc w:val="left"/>
              <w:rPr/>
            </w:pPr>
            <w:r>
              <w:rPr/>
              <w:t> </w:t>
            </w:r>
          </w:p>
        </w:tc>
        <w:tc>
          <w:tcPr>
            <w:tcW w:w="2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110,252</w:t>
            </w:r>
          </w:p>
        </w:tc>
        <w:tc>
          <w:tcPr>
            <w:tcW w:w="385" w:type="dxa"/>
            <w:tcBorders/>
            <w:vAlign w:val="center"/>
          </w:tcPr>
          <w:p>
            <w:pPr>
              <w:pStyle w:val="TableContents"/>
              <w:bidi w:val="0"/>
              <w:spacing w:lineRule="auto" w:line="285" w:before="0" w:after="0"/>
              <w:ind w:left="0" w:right="0" w:hanging="0"/>
              <w:jc w:val="left"/>
              <w:rPr/>
            </w:pPr>
            <w:r>
              <w:rPr/>
              <w:t> </w:t>
            </w:r>
          </w:p>
        </w:tc>
        <w:tc>
          <w:tcPr>
            <w:tcW w:w="2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127,981</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(17,729)</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1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 decreased for the three months ended September 30, 2023 as compared to the three months ended September 30, 2022 primarily due to a decrease of $18.7 million in clinical and manufacturing related activities primarily due to our focused approach towards optimizing operational efficiency across our portfolio while executing across our top priority programs as well as the timing of manufacturing of clinical trial materials.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sales, general and administrative expenses during the three months ended September 30, 2023 and 2022 (in thousands):</w:t>
      </w:r>
    </w:p>
    <w:tbl>
      <w:tblPr>
        <w:tblW w:w="9769" w:type="dxa"/>
        <w:jc w:val="left"/>
        <w:tblInd w:w="0" w:type="dxa"/>
        <w:tblLayout w:type="fixed"/>
        <w:tblCellMar>
          <w:top w:w="0" w:type="dxa"/>
          <w:left w:w="0" w:type="dxa"/>
          <w:bottom w:w="0" w:type="dxa"/>
          <w:right w:w="0" w:type="dxa"/>
        </w:tblCellMar>
      </w:tblPr>
      <w:tblGrid>
        <w:gridCol w:w="4021"/>
        <w:gridCol w:w="326"/>
        <w:gridCol w:w="274"/>
        <w:gridCol w:w="879"/>
        <w:gridCol w:w="423"/>
        <w:gridCol w:w="274"/>
        <w:gridCol w:w="879"/>
        <w:gridCol w:w="326"/>
        <w:gridCol w:w="263"/>
        <w:gridCol w:w="862"/>
        <w:gridCol w:w="326"/>
        <w:gridCol w:w="497"/>
        <w:gridCol w:w="419"/>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553335" cy="175260"/>
                      <wp:effectExtent l="0" t="0" r="0" b="0"/>
                      <wp:wrapNone/>
                      <wp:docPr id="475" name="Frame475"/>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73990" cy="175260"/>
                      <wp:effectExtent l="0" t="0" r="0" b="0"/>
                      <wp:wrapNone/>
                      <wp:docPr id="477" name="Frame47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58165" cy="175260"/>
                      <wp:effectExtent l="0" t="0" r="0" b="0"/>
                      <wp:wrapNone/>
                      <wp:docPr id="478" name="Frame478"/>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68605" cy="175260"/>
                      <wp:effectExtent l="0" t="0" r="0" b="0"/>
                      <wp:wrapNone/>
                      <wp:docPr id="479" name="Frame479"/>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73990" cy="175260"/>
                      <wp:effectExtent l="0" t="0" r="0" b="0"/>
                      <wp:wrapNone/>
                      <wp:docPr id="480" name="Frame48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558165" cy="175260"/>
                      <wp:effectExtent l="0" t="0" r="0" b="0"/>
                      <wp:wrapNone/>
                      <wp:docPr id="481" name="Frame481"/>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67005" cy="175260"/>
                      <wp:effectExtent l="0" t="0" r="0" b="0"/>
                      <wp:wrapNone/>
                      <wp:docPr id="483" name="Frame483"/>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47370" cy="175260"/>
                      <wp:effectExtent l="0" t="0" r="0" b="0"/>
                      <wp:wrapNone/>
                      <wp:docPr id="484" name="Frame484"/>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315595" cy="175260"/>
                      <wp:effectExtent l="0" t="0" r="0" b="0"/>
                      <wp:wrapNone/>
                      <wp:docPr id="486" name="Frame486"/>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66065" cy="175260"/>
                      <wp:effectExtent l="0" t="0" r="0" b="0"/>
                      <wp:wrapNone/>
                      <wp:docPr id="487" name="Frame487"/>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3" w:type="dxa"/>
            <w:tcBorders/>
            <w:vAlign w:val="center"/>
          </w:tcPr>
          <w:p>
            <w:pPr>
              <w:pStyle w:val="TableContents"/>
              <w:bidi w:val="0"/>
              <w:spacing w:lineRule="auto" w:line="285" w:before="0" w:after="0"/>
              <w:ind w:left="0" w:right="0" w:hanging="0"/>
              <w:jc w:val="center"/>
              <w:rPr/>
            </w:pPr>
            <w:r>
              <w:rPr/>
              <w:t>    </w:t>
            </w:r>
          </w:p>
        </w:tc>
        <w:tc>
          <w:tcPr>
            <w:tcW w:w="115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29,669</w:t>
            </w:r>
          </w:p>
        </w:tc>
        <w:tc>
          <w:tcPr>
            <w:tcW w:w="423" w:type="dxa"/>
            <w:tcBorders/>
            <w:shd w:fill="CCEEFF" w:val="clear"/>
            <w:vAlign w:val="center"/>
          </w:tcPr>
          <w:p>
            <w:pPr>
              <w:pStyle w:val="TableContents"/>
              <w:bidi w:val="0"/>
              <w:spacing w:lineRule="auto" w:line="285" w:before="0" w:after="0"/>
              <w:ind w:left="0" w:right="0" w:hanging="0"/>
              <w:jc w:val="left"/>
              <w:rPr/>
            </w:pPr>
            <w:r>
              <w:rPr/>
              <w:t> </w:t>
            </w:r>
          </w:p>
        </w:tc>
        <w:tc>
          <w:tcPr>
            <w:tcW w:w="274" w:type="dxa"/>
            <w:tcBorders/>
            <w:shd w:fill="CCEEFF" w:val="clear"/>
            <w:vAlign w:val="center"/>
          </w:tcPr>
          <w:p>
            <w:pPr>
              <w:pStyle w:val="TableContents"/>
              <w:bidi w:val="0"/>
              <w:spacing w:lineRule="auto" w:line="285" w:before="0" w:after="0"/>
              <w:ind w:left="0" w:right="0" w:hanging="0"/>
              <w:jc w:val="left"/>
              <w:rPr/>
            </w:pPr>
            <w:r>
              <w:rPr/>
              <w:t>​</w:t>
            </w:r>
          </w:p>
        </w:tc>
        <w:tc>
          <w:tcPr>
            <w:tcW w:w="8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21,661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8,008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74" w:type="dxa"/>
            <w:tcBorders/>
            <w:vAlign w:val="center"/>
          </w:tcPr>
          <w:p>
            <w:pPr>
              <w:pStyle w:val="TableContents"/>
              <w:bidi w:val="0"/>
              <w:spacing w:lineRule="auto" w:line="285" w:before="0" w:after="0"/>
              <w:ind w:left="0" w:right="0" w:hanging="0"/>
              <w:jc w:val="left"/>
              <w:rPr/>
            </w:pPr>
            <w:r>
              <w:rPr/>
              <w:t> </w:t>
            </w:r>
          </w:p>
        </w:tc>
        <w:tc>
          <w:tcPr>
            <w:tcW w:w="87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11,901</w:t>
            </w:r>
          </w:p>
        </w:tc>
        <w:tc>
          <w:tcPr>
            <w:tcW w:w="423" w:type="dxa"/>
            <w:tcBorders/>
            <w:vAlign w:val="center"/>
          </w:tcPr>
          <w:p>
            <w:pPr>
              <w:pStyle w:val="TableContents"/>
              <w:bidi w:val="0"/>
              <w:spacing w:lineRule="auto" w:line="285" w:before="0" w:after="0"/>
              <w:ind w:left="0" w:right="0" w:hanging="0"/>
              <w:jc w:val="left"/>
              <w:rPr/>
            </w:pPr>
            <w:r>
              <w:rPr/>
              <w:t> </w:t>
            </w:r>
          </w:p>
        </w:tc>
        <w:tc>
          <w:tcPr>
            <w:tcW w:w="274" w:type="dxa"/>
            <w:tcBorders/>
            <w:vAlign w:val="center"/>
          </w:tcPr>
          <w:p>
            <w:pPr>
              <w:pStyle w:val="TableContents"/>
              <w:bidi w:val="0"/>
              <w:spacing w:lineRule="auto" w:line="285" w:before="0" w:after="0"/>
              <w:ind w:left="0" w:right="0" w:hanging="0"/>
              <w:jc w:val="right"/>
              <w:rPr/>
            </w:pPr>
            <w:r>
              <w:rPr/>
              <w:t>​</w:t>
            </w:r>
          </w:p>
        </w:tc>
        <w:tc>
          <w:tcPr>
            <w:tcW w:w="87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14,099</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(2,198)</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Commercial and related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4" w:type="dxa"/>
            <w:tcBorders/>
            <w:shd w:fill="CCEEFF" w:val="clear"/>
            <w:vAlign w:val="center"/>
          </w:tcPr>
          <w:p>
            <w:pPr>
              <w:pStyle w:val="TableContents"/>
              <w:bidi w:val="0"/>
              <w:spacing w:lineRule="auto" w:line="285" w:before="0" w:after="0"/>
              <w:ind w:left="0" w:right="0" w:hanging="0"/>
              <w:jc w:val="left"/>
              <w:rPr/>
            </w:pPr>
            <w:r>
              <w:rPr/>
              <w:t>​</w:t>
            </w:r>
          </w:p>
        </w:tc>
        <w:tc>
          <w:tcPr>
            <w:tcW w:w="8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13,071</w:t>
            </w:r>
          </w:p>
        </w:tc>
        <w:tc>
          <w:tcPr>
            <w:tcW w:w="423" w:type="dxa"/>
            <w:tcBorders/>
            <w:shd w:fill="CCEEFF" w:val="clear"/>
            <w:vAlign w:val="center"/>
          </w:tcPr>
          <w:p>
            <w:pPr>
              <w:pStyle w:val="TableContents"/>
              <w:bidi w:val="0"/>
              <w:spacing w:lineRule="auto" w:line="285" w:before="0" w:after="0"/>
              <w:ind w:left="0" w:right="0" w:hanging="0"/>
              <w:jc w:val="left"/>
              <w:rPr/>
            </w:pPr>
            <w:r>
              <w:rPr/>
              <w:t> </w:t>
            </w:r>
          </w:p>
        </w:tc>
        <w:tc>
          <w:tcPr>
            <w:tcW w:w="274" w:type="dxa"/>
            <w:tcBorders/>
            <w:shd w:fill="CCEEFF" w:val="clear"/>
            <w:vAlign w:val="center"/>
          </w:tcPr>
          <w:p>
            <w:pPr>
              <w:pStyle w:val="TableContents"/>
              <w:bidi w:val="0"/>
              <w:spacing w:lineRule="auto" w:line="285" w:before="0" w:after="0"/>
              <w:ind w:left="0" w:right="0" w:hanging="0"/>
              <w:jc w:val="right"/>
              <w:rPr/>
            </w:pPr>
            <w:r>
              <w:rPr/>
              <w:t>​</w:t>
            </w:r>
          </w:p>
        </w:tc>
        <w:tc>
          <w:tcPr>
            <w:tcW w:w="8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7,719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5,352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vAlign w:val="center"/>
          </w:tcPr>
          <w:p>
            <w:pPr>
              <w:pStyle w:val="TableContents"/>
              <w:bidi w:val="0"/>
              <w:spacing w:lineRule="auto" w:line="285" w:before="0" w:after="0"/>
              <w:ind w:left="0" w:right="0" w:hanging="0"/>
              <w:jc w:val="left"/>
              <w:rPr/>
            </w:pPr>
            <w:r>
              <w:rPr/>
              <w:t> </w:t>
            </w:r>
          </w:p>
        </w:tc>
        <w:tc>
          <w:tcPr>
            <w:tcW w:w="274" w:type="dxa"/>
            <w:tcBorders/>
            <w:vAlign w:val="center"/>
          </w:tcPr>
          <w:p>
            <w:pPr>
              <w:pStyle w:val="TableContents"/>
              <w:bidi w:val="0"/>
              <w:spacing w:lineRule="auto" w:line="285" w:before="0" w:after="0"/>
              <w:ind w:left="0" w:right="0" w:hanging="0"/>
              <w:jc w:val="left"/>
              <w:rPr/>
            </w:pPr>
            <w:r>
              <w:rPr/>
              <w:t> </w:t>
            </w:r>
          </w:p>
        </w:tc>
        <w:tc>
          <w:tcPr>
            <w:tcW w:w="87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9,787</w:t>
            </w:r>
          </w:p>
        </w:tc>
        <w:tc>
          <w:tcPr>
            <w:tcW w:w="423" w:type="dxa"/>
            <w:tcBorders/>
            <w:vAlign w:val="center"/>
          </w:tcPr>
          <w:p>
            <w:pPr>
              <w:pStyle w:val="TableContents"/>
              <w:bidi w:val="0"/>
              <w:spacing w:lineRule="auto" w:line="285" w:before="0" w:after="0"/>
              <w:ind w:left="0" w:right="0" w:hanging="0"/>
              <w:jc w:val="left"/>
              <w:rPr/>
            </w:pPr>
            <w:r>
              <w:rPr/>
              <w:t> </w:t>
            </w:r>
          </w:p>
        </w:tc>
        <w:tc>
          <w:tcPr>
            <w:tcW w:w="274" w:type="dxa"/>
            <w:tcBorders/>
            <w:vAlign w:val="center"/>
          </w:tcPr>
          <w:p>
            <w:pPr>
              <w:pStyle w:val="TableContents"/>
              <w:bidi w:val="0"/>
              <w:spacing w:lineRule="auto" w:line="285" w:before="0" w:after="0"/>
              <w:ind w:left="0" w:right="0" w:hanging="0"/>
              <w:jc w:val="right"/>
              <w:rPr/>
            </w:pPr>
            <w:r>
              <w:rPr/>
              <w:t>​</w:t>
            </w:r>
          </w:p>
        </w:tc>
        <w:tc>
          <w:tcPr>
            <w:tcW w:w="87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8,131</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4" w:type="dxa"/>
            <w:tcBorders/>
            <w:shd w:fill="CCEEFF" w:val="clear"/>
            <w:vAlign w:val="center"/>
          </w:tcPr>
          <w:p>
            <w:pPr>
              <w:pStyle w:val="TableContents"/>
              <w:bidi w:val="0"/>
              <w:spacing w:lineRule="auto" w:line="285" w:before="0" w:after="0"/>
              <w:ind w:left="0" w:right="0" w:hanging="0"/>
              <w:jc w:val="left"/>
              <w:rPr/>
            </w:pPr>
            <w:r>
              <w:rPr/>
              <w:t>​</w:t>
            </w:r>
          </w:p>
        </w:tc>
        <w:tc>
          <w:tcPr>
            <w:tcW w:w="8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3,226</w:t>
            </w:r>
          </w:p>
        </w:tc>
        <w:tc>
          <w:tcPr>
            <w:tcW w:w="423" w:type="dxa"/>
            <w:tcBorders/>
            <w:shd w:fill="CCEEFF" w:val="clear"/>
            <w:vAlign w:val="center"/>
          </w:tcPr>
          <w:p>
            <w:pPr>
              <w:pStyle w:val="TableContents"/>
              <w:bidi w:val="0"/>
              <w:spacing w:lineRule="auto" w:line="285" w:before="0" w:after="0"/>
              <w:ind w:left="0" w:right="0" w:hanging="0"/>
              <w:jc w:val="left"/>
              <w:rPr/>
            </w:pPr>
            <w:r>
              <w:rPr/>
              <w:t> </w:t>
            </w:r>
          </w:p>
        </w:tc>
        <w:tc>
          <w:tcPr>
            <w:tcW w:w="274" w:type="dxa"/>
            <w:tcBorders/>
            <w:shd w:fill="CCEEFF" w:val="clear"/>
            <w:vAlign w:val="center"/>
          </w:tcPr>
          <w:p>
            <w:pPr>
              <w:pStyle w:val="TableContents"/>
              <w:bidi w:val="0"/>
              <w:spacing w:lineRule="auto" w:line="285" w:before="0" w:after="0"/>
              <w:ind w:left="0" w:right="0" w:hanging="0"/>
              <w:jc w:val="left"/>
              <w:rPr/>
            </w:pPr>
            <w:r>
              <w:rPr/>
              <w:t>​</w:t>
            </w:r>
          </w:p>
        </w:tc>
        <w:tc>
          <w:tcPr>
            <w:tcW w:w="8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3,087</w:t>
            </w:r>
          </w:p>
        </w:tc>
        <w:tc>
          <w:tcPr>
            <w:tcW w:w="423" w:type="dxa"/>
            <w:tcBorders/>
            <w:vAlign w:val="center"/>
          </w:tcPr>
          <w:p>
            <w:pPr>
              <w:pStyle w:val="TableContents"/>
              <w:bidi w:val="0"/>
              <w:spacing w:lineRule="auto" w:line="285"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3,461</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1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sales, general and administrative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70,741</w:t>
            </w:r>
          </w:p>
        </w:tc>
        <w:tc>
          <w:tcPr>
            <w:tcW w:w="423" w:type="dxa"/>
            <w:tcBorders/>
            <w:shd w:fill="CCEEFF" w:val="clear"/>
            <w:vAlign w:val="center"/>
          </w:tcPr>
          <w:p>
            <w:pPr>
              <w:pStyle w:val="TableContents"/>
              <w:bidi w:val="0"/>
              <w:spacing w:lineRule="auto" w:line="285" w:before="0" w:after="0"/>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57,608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13,133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 increased for the three months ended September 30, 2023 as compared to the three months ended September 30, 2022 primarily due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$8.0 million in compensation and related expenses driven by increased headcount in our field team to support our commercial activities related to indolent SM launch;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$5.4 million in commercial and related activities primarily related to the expansion of our commercial infrastructure for commercialization of AYVAKIT/AYVAKYT.</w:t>
            </w:r>
          </w:p>
        </w:tc>
      </w:tr>
    </w:tbl>
    <w:p>
      <w:pPr>
        <w:pStyle w:val="TextBody"/>
        <w:bidi w:val="0"/>
        <w:spacing w:lineRule="auto" w:line="285" w:before="240" w:after="16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lineRule="auto" w:line="285" w:before="24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interest expense, net, during the three months ended September 30, 2023 and 2022 (in thousands):</w:t>
      </w:r>
    </w:p>
    <w:tbl>
      <w:tblPr>
        <w:tblW w:w="7566" w:type="dxa"/>
        <w:jc w:val="left"/>
        <w:tblInd w:w="0" w:type="dxa"/>
        <w:tblLayout w:type="fixed"/>
        <w:tblCellMar>
          <w:top w:w="0" w:type="dxa"/>
          <w:left w:w="0" w:type="dxa"/>
          <w:bottom w:w="0" w:type="dxa"/>
          <w:right w:w="0" w:type="dxa"/>
        </w:tblCellMar>
      </w:tblPr>
      <w:tblGrid>
        <w:gridCol w:w="1771"/>
        <w:gridCol w:w="326"/>
        <w:gridCol w:w="246"/>
        <w:gridCol w:w="929"/>
        <w:gridCol w:w="380"/>
        <w:gridCol w:w="246"/>
        <w:gridCol w:w="929"/>
        <w:gridCol w:w="326"/>
        <w:gridCol w:w="293"/>
        <w:gridCol w:w="878"/>
        <w:gridCol w:w="326"/>
        <w:gridCol w:w="523"/>
        <w:gridCol w:w="393"/>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124585" cy="175260"/>
                      <wp:effectExtent l="0" t="0" r="0" b="0"/>
                      <wp:wrapNone/>
                      <wp:docPr id="488" name="Frame488"/>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56210" cy="175260"/>
                      <wp:effectExtent l="0" t="0" r="0" b="0"/>
                      <wp:wrapNone/>
                      <wp:docPr id="490" name="Frame490"/>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89915" cy="175260"/>
                      <wp:effectExtent l="0" t="0" r="0" b="0"/>
                      <wp:wrapNone/>
                      <wp:docPr id="491" name="Frame491"/>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41300" cy="175260"/>
                      <wp:effectExtent l="0" t="0" r="0" b="0"/>
                      <wp:wrapNone/>
                      <wp:docPr id="492" name="Frame492"/>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56210" cy="175260"/>
                      <wp:effectExtent l="0" t="0" r="0" b="0"/>
                      <wp:wrapNone/>
                      <wp:docPr id="493" name="Frame493"/>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89915" cy="175260"/>
                      <wp:effectExtent l="0" t="0" r="0" b="0"/>
                      <wp:wrapNone/>
                      <wp:docPr id="494" name="Frame494"/>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86055" cy="175260"/>
                      <wp:effectExtent l="0" t="0" r="0" b="0"/>
                      <wp:wrapNone/>
                      <wp:docPr id="496" name="Frame496"/>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557530" cy="175260"/>
                      <wp:effectExtent l="0" t="0" r="0" b="0"/>
                      <wp:wrapNone/>
                      <wp:docPr id="497" name="Frame497"/>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8"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332105" cy="175260"/>
                      <wp:effectExtent l="0" t="0" r="0" b="0"/>
                      <wp:wrapNone/>
                      <wp:docPr id="499" name="Frame499"/>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49555" cy="175260"/>
                      <wp:effectExtent l="0" t="0" r="0" b="0"/>
                      <wp:wrapNone/>
                      <wp:docPr id="500" name="Frame50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7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0" w:type="dxa"/>
            <w:tcBorders/>
            <w:vAlign w:val="center"/>
          </w:tcPr>
          <w:p>
            <w:pPr>
              <w:pStyle w:val="TableContents"/>
              <w:bidi w:val="0"/>
              <w:spacing w:lineRule="auto" w:line="285" w:before="0" w:after="0"/>
              <w:ind w:left="0" w:right="0" w:hanging="0"/>
              <w:jc w:val="center"/>
              <w:rPr/>
            </w:pPr>
            <w:r>
              <w:rPr/>
              <w:t>    </w:t>
            </w:r>
          </w:p>
        </w:tc>
        <w:tc>
          <w:tcPr>
            <w:tcW w:w="11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9,329</w:t>
            </w:r>
          </w:p>
        </w:tc>
        <w:tc>
          <w:tcPr>
            <w:tcW w:w="380" w:type="dxa"/>
            <w:tcBorders/>
            <w:shd w:fill="CCEEFF" w:val="clear"/>
            <w:vAlign w:val="center"/>
          </w:tcPr>
          <w:p>
            <w:pPr>
              <w:pStyle w:val="TableContents"/>
              <w:bidi w:val="0"/>
              <w:spacing w:lineRule="auto" w:line="285" w:before="0" w:after="0"/>
              <w:ind w:left="0" w:right="0" w:hanging="0"/>
              <w:jc w:val="left"/>
              <w:rPr/>
            </w:pPr>
            <w:r>
              <w:rPr/>
              <w:t> </w:t>
            </w:r>
          </w:p>
        </w:tc>
        <w:tc>
          <w:tcPr>
            <w:tcW w:w="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6,379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7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lineRule="auto" w:line="285" w:before="0" w:after="0"/>
              <w:ind w:left="0" w:right="0" w:hanging="0"/>
              <w:jc w:val="left"/>
              <w:rPr/>
            </w:pPr>
            <w:r>
              <w:rPr/>
              <w:t> </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(13,137)</w:t>
            </w:r>
          </w:p>
        </w:tc>
        <w:tc>
          <w:tcPr>
            <w:tcW w:w="380" w:type="dxa"/>
            <w:tcBorders/>
            <w:vAlign w:val="center"/>
          </w:tcPr>
          <w:p>
            <w:pPr>
              <w:pStyle w:val="TableContents"/>
              <w:bidi w:val="0"/>
              <w:spacing w:lineRule="auto" w:line="285" w:before="0" w:after="0"/>
              <w:ind w:left="0" w:right="0" w:hanging="0"/>
              <w:jc w:val="left"/>
              <w:rPr/>
            </w:pPr>
            <w:r>
              <w:rPr/>
              <w:t> </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(11,346)</w:t>
            </w:r>
          </w:p>
        </w:tc>
        <w:tc>
          <w:tcPr>
            <w:tcW w:w="326" w:type="dxa"/>
            <w:tcBorders/>
            <w:vAlign w:val="center"/>
          </w:tcPr>
          <w:p>
            <w:pPr>
              <w:pStyle w:val="TableContents"/>
              <w:bidi w:val="0"/>
              <w:spacing w:lineRule="auto" w:line="285" w:before="0" w:after="0"/>
              <w:ind w:left="0" w:right="0" w:hanging="0"/>
              <w:jc w:val="left"/>
              <w:rPr/>
            </w:pPr>
            <w:r>
              <w:rPr/>
              <w:t> </w:t>
            </w:r>
          </w:p>
        </w:tc>
        <w:tc>
          <w:tcPr>
            <w:tcW w:w="2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(1,791)</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(3,808)</w:t>
            </w:r>
          </w:p>
        </w:tc>
        <w:tc>
          <w:tcPr>
            <w:tcW w:w="380" w:type="dxa"/>
            <w:tcBorders/>
            <w:shd w:fill="CCEEFF" w:val="clear"/>
            <w:vAlign w:val="center"/>
          </w:tcPr>
          <w:p>
            <w:pPr>
              <w:pStyle w:val="TableContents"/>
              <w:bidi w:val="0"/>
              <w:spacing w:lineRule="auto" w:line="285" w:before="0" w:after="0"/>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(8,396)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4,588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Interest expense, net, decreased for the three months ended September 30, 2023 as compared to the three months ended September 30, 2022 primarily due to higher interest income earned on our investments, partially offset by higher interest charges on the liability related to the sale of future revenues and the term loan with Sixth Street Partners during the three months ended September 30, 2023 as compared to the three months ended September 30, 2022.</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other income (expense), net, during the three months ended September 30, 2023 and 2022 (in thousands):</w:t>
      </w:r>
    </w:p>
    <w:tbl>
      <w:tblPr>
        <w:tblW w:w="8179" w:type="dxa"/>
        <w:jc w:val="left"/>
        <w:tblInd w:w="0" w:type="dxa"/>
        <w:tblLayout w:type="fixed"/>
        <w:tblCellMar>
          <w:top w:w="0" w:type="dxa"/>
          <w:left w:w="0" w:type="dxa"/>
          <w:bottom w:w="0" w:type="dxa"/>
          <w:right w:w="0" w:type="dxa"/>
        </w:tblCellMar>
      </w:tblPr>
      <w:tblGrid>
        <w:gridCol w:w="2386"/>
        <w:gridCol w:w="326"/>
        <w:gridCol w:w="336"/>
        <w:gridCol w:w="864"/>
        <w:gridCol w:w="520"/>
        <w:gridCol w:w="336"/>
        <w:gridCol w:w="672"/>
        <w:gridCol w:w="326"/>
        <w:gridCol w:w="293"/>
        <w:gridCol w:w="878"/>
        <w:gridCol w:w="326"/>
        <w:gridCol w:w="552"/>
        <w:gridCol w:w="364"/>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515110" cy="175260"/>
                      <wp:effectExtent l="0" t="0" r="0" b="0"/>
                      <wp:wrapNone/>
                      <wp:docPr id="501" name="Frame501"/>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3360" cy="175260"/>
                      <wp:effectExtent l="0" t="0" r="0" b="0"/>
                      <wp:wrapNone/>
                      <wp:docPr id="503" name="Frame50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548640" cy="175260"/>
                      <wp:effectExtent l="0" t="0" r="0" b="0"/>
                      <wp:wrapNone/>
                      <wp:docPr id="504" name="Frame504"/>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330200" cy="175260"/>
                      <wp:effectExtent l="0" t="0" r="0" b="0"/>
                      <wp:wrapNone/>
                      <wp:docPr id="505" name="Frame505"/>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3360" cy="175260"/>
                      <wp:effectExtent l="0" t="0" r="0" b="0"/>
                      <wp:wrapNone/>
                      <wp:docPr id="506" name="Frame506"/>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26720" cy="175260"/>
                      <wp:effectExtent l="0" t="0" r="0" b="0"/>
                      <wp:wrapNone/>
                      <wp:docPr id="507" name="Frame507"/>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86055" cy="175260"/>
                      <wp:effectExtent l="0" t="0" r="0" b="0"/>
                      <wp:wrapNone/>
                      <wp:docPr id="509" name="Frame509"/>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57530" cy="175260"/>
                      <wp:effectExtent l="0" t="0" r="0" b="0"/>
                      <wp:wrapNone/>
                      <wp:docPr id="510" name="Frame510"/>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350520" cy="175260"/>
                      <wp:effectExtent l="0" t="0" r="0" b="0"/>
                      <wp:wrapNone/>
                      <wp:docPr id="512" name="Frame512"/>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31140" cy="175260"/>
                      <wp:effectExtent l="0" t="0" r="0" b="0"/>
                      <wp:wrapNone/>
                      <wp:docPr id="513" name="Frame513"/>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20" w:type="dxa"/>
            <w:tcBorders/>
            <w:vAlign w:val="center"/>
          </w:tcPr>
          <w:p>
            <w:pPr>
              <w:pStyle w:val="TableContents"/>
              <w:bidi w:val="0"/>
              <w:spacing w:lineRule="auto" w:line="285" w:before="0" w:after="0"/>
              <w:ind w:left="0" w:right="0" w:hanging="0"/>
              <w:jc w:val="center"/>
              <w:rPr/>
            </w:pPr>
            <w:r>
              <w:rPr/>
              <w:t>    </w:t>
            </w:r>
          </w:p>
        </w:tc>
        <w:tc>
          <w:tcPr>
            <w:tcW w:w="100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520" w:type="dxa"/>
            <w:tcBorders/>
            <w:shd w:fill="CCEEFF" w:val="clear"/>
            <w:vAlign w:val="center"/>
          </w:tcPr>
          <w:p>
            <w:pPr>
              <w:pStyle w:val="TableContents"/>
              <w:bidi w:val="0"/>
              <w:spacing w:lineRule="auto" w:line="285" w:before="0" w:after="0"/>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Other expense, net, increased for the three months ended September 30, 2023 as compared to the three months ended September 30, 2022 primarily due to a decrease in other income. During the three months ended September 30, 2022, we recorded other income from a transfer of pre-launch inventory to a third party whereas no such other income was recorded during the three months ended September 30, 2023. </w:t>
      </w:r>
    </w:p>
    <w:p>
      <w:pPr>
        <w:pStyle w:val="TextBody"/>
        <w:bidi w:val="0"/>
        <w:spacing w:lineRule="auto" w:line="285" w:before="240" w:after="16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income tax expense during the three months ended September 30, 2023 and 2022 (in thousands):</w:t>
      </w:r>
    </w:p>
    <w:tbl>
      <w:tblPr>
        <w:tblW w:w="7520" w:type="dxa"/>
        <w:jc w:val="left"/>
        <w:tblInd w:w="0" w:type="dxa"/>
        <w:tblLayout w:type="fixed"/>
        <w:tblCellMar>
          <w:top w:w="0" w:type="dxa"/>
          <w:left w:w="0" w:type="dxa"/>
          <w:bottom w:w="0" w:type="dxa"/>
          <w:right w:w="0" w:type="dxa"/>
        </w:tblCellMar>
      </w:tblPr>
      <w:tblGrid>
        <w:gridCol w:w="1726"/>
        <w:gridCol w:w="326"/>
        <w:gridCol w:w="362"/>
        <w:gridCol w:w="723"/>
        <w:gridCol w:w="559"/>
        <w:gridCol w:w="362"/>
        <w:gridCol w:w="723"/>
        <w:gridCol w:w="326"/>
        <w:gridCol w:w="357"/>
        <w:gridCol w:w="814"/>
        <w:gridCol w:w="326"/>
        <w:gridCol w:w="497"/>
        <w:gridCol w:w="419"/>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096010" cy="175260"/>
                      <wp:effectExtent l="0" t="0" r="0" b="0"/>
                      <wp:wrapNone/>
                      <wp:docPr id="514" name="Frame514"/>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29870" cy="175260"/>
                      <wp:effectExtent l="0" t="0" r="0" b="0"/>
                      <wp:wrapNone/>
                      <wp:docPr id="516" name="Frame516"/>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59105" cy="175260"/>
                      <wp:effectExtent l="0" t="0" r="0" b="0"/>
                      <wp:wrapNone/>
                      <wp:docPr id="517" name="Frame517"/>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354965" cy="175260"/>
                      <wp:effectExtent l="0" t="0" r="0" b="0"/>
                      <wp:wrapNone/>
                      <wp:docPr id="518" name="Frame518"/>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29870" cy="175260"/>
                      <wp:effectExtent l="0" t="0" r="0" b="0"/>
                      <wp:wrapNone/>
                      <wp:docPr id="519" name="Frame51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459105" cy="175260"/>
                      <wp:effectExtent l="0" t="0" r="0" b="0"/>
                      <wp:wrapNone/>
                      <wp:docPr id="520" name="Frame520"/>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21" name="Frame5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26695" cy="175260"/>
                      <wp:effectExtent l="0" t="0" r="0" b="0"/>
                      <wp:wrapNone/>
                      <wp:docPr id="522" name="Frame52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516890" cy="175260"/>
                      <wp:effectExtent l="0" t="0" r="0" b="0"/>
                      <wp:wrapNone/>
                      <wp:docPr id="523" name="Frame523"/>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4"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315595" cy="175260"/>
                      <wp:effectExtent l="0" t="0" r="0" b="0"/>
                      <wp:wrapNone/>
                      <wp:docPr id="525" name="Frame525"/>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66065" cy="175260"/>
                      <wp:effectExtent l="0" t="0" r="0" b="0"/>
                      <wp:wrapNone/>
                      <wp:docPr id="526" name="Frame526"/>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81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59" w:type="dxa"/>
            <w:tcBorders/>
            <w:vAlign w:val="center"/>
          </w:tcPr>
          <w:p>
            <w:pPr>
              <w:pStyle w:val="TableContents"/>
              <w:bidi w:val="0"/>
              <w:spacing w:lineRule="auto" w:line="285" w:before="0" w:after="0"/>
              <w:ind w:left="0" w:right="0" w:hanging="0"/>
              <w:jc w:val="center"/>
              <w:rPr/>
            </w:pPr>
            <w:r>
              <w:rPr/>
              <w:t>    </w:t>
            </w:r>
          </w:p>
        </w:tc>
        <w:tc>
          <w:tcPr>
            <w:tcW w:w="10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559" w:type="dxa"/>
            <w:tcBorders/>
            <w:shd w:fill="CCEEFF" w:val="clear"/>
            <w:vAlign w:val="center"/>
          </w:tcPr>
          <w:p>
            <w:pPr>
              <w:pStyle w:val="TableContents"/>
              <w:bidi w:val="0"/>
              <w:spacing w:lineRule="auto" w:line="285" w:before="0" w:after="0"/>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Income tax expense decreased for the three months ended September 30, 2023 as compared to the three months ended September 30, 2022 primarily due to the Company’s estimated taxable loss position for the year ended December 31, 2023, whereas, during the three months ended September 30, 2022, the Company was in estimated taxable income position for the calendar year ended December 31, 2022 due to the cash considerations received under the royalty purchase agreement and the purchase and sale agreement entered into with Royalty Pharma and Sixth Street Partners in June 2022.</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Nine Months Ended September 30, 2023 and 2022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for the nine months ended September 30, 2023 and 2022, together with the changes in those items in dollars and as a percentage (in thousands):</w:t>
      </w:r>
    </w:p>
    <w:tbl>
      <w:tblPr>
        <w:tblW w:w="8368" w:type="dxa"/>
        <w:jc w:val="left"/>
        <w:tblInd w:w="0" w:type="dxa"/>
        <w:tblLayout w:type="fixed"/>
        <w:tblCellMar>
          <w:top w:w="0" w:type="dxa"/>
          <w:left w:w="0" w:type="dxa"/>
          <w:bottom w:w="0" w:type="dxa"/>
          <w:right w:w="0" w:type="dxa"/>
        </w:tblCellMar>
      </w:tblPr>
      <w:tblGrid>
        <w:gridCol w:w="2881"/>
        <w:gridCol w:w="109"/>
        <w:gridCol w:w="218"/>
        <w:gridCol w:w="933"/>
        <w:gridCol w:w="337"/>
        <w:gridCol w:w="218"/>
        <w:gridCol w:w="933"/>
        <w:gridCol w:w="326"/>
        <w:gridCol w:w="278"/>
        <w:gridCol w:w="893"/>
        <w:gridCol w:w="326"/>
        <w:gridCol w:w="552"/>
        <w:gridCol w:w="364"/>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829435" cy="175260"/>
                      <wp:effectExtent l="0" t="0" r="0" b="0"/>
                      <wp:wrapNone/>
                      <wp:docPr id="527" name="Frame527"/>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215" cy="175260"/>
                      <wp:effectExtent l="0" t="0" r="0" b="0"/>
                      <wp:wrapNone/>
                      <wp:docPr id="528" name="Frame5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8430" cy="175260"/>
                      <wp:effectExtent l="0" t="0" r="0" b="0"/>
                      <wp:wrapNone/>
                      <wp:docPr id="529" name="Frame52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92455" cy="175260"/>
                      <wp:effectExtent l="0" t="0" r="0" b="0"/>
                      <wp:wrapNone/>
                      <wp:docPr id="530" name="Frame53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3995" cy="175260"/>
                      <wp:effectExtent l="0" t="0" r="0" b="0"/>
                      <wp:wrapNone/>
                      <wp:docPr id="531" name="Frame53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8430" cy="175260"/>
                      <wp:effectExtent l="0" t="0" r="0" b="0"/>
                      <wp:wrapNone/>
                      <wp:docPr id="532" name="Frame53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592455" cy="175260"/>
                      <wp:effectExtent l="0" t="0" r="0" b="0"/>
                      <wp:wrapNone/>
                      <wp:docPr id="533" name="Frame53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7010" cy="175260"/>
                      <wp:effectExtent l="0" t="0" r="0" b="0"/>
                      <wp:wrapNone/>
                      <wp:docPr id="534" name="Frame5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76530" cy="175260"/>
                      <wp:effectExtent l="0" t="0" r="0" b="0"/>
                      <wp:wrapNone/>
                      <wp:docPr id="535" name="Frame535"/>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67055" cy="175260"/>
                      <wp:effectExtent l="0" t="0" r="0" b="0"/>
                      <wp:wrapNone/>
                      <wp:docPr id="536" name="Frame536"/>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7"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50520" cy="175260"/>
                      <wp:effectExtent l="0" t="0" r="0" b="0"/>
                      <wp:wrapNone/>
                      <wp:docPr id="538" name="Frame538"/>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31140" cy="175260"/>
                      <wp:effectExtent l="0" t="0" r="0" b="0"/>
                      <wp:wrapNone/>
                      <wp:docPr id="539" name="Frame53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78"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7" w:type="dxa"/>
            <w:tcBorders/>
            <w:vAlign w:val="center"/>
          </w:tcPr>
          <w:p>
            <w:pPr>
              <w:pStyle w:val="TableContents"/>
              <w:bidi w:val="0"/>
              <w:spacing w:lineRule="auto" w:line="285" w:before="0" w:after="0"/>
              <w:ind w:left="0" w:right="0" w:hanging="0"/>
              <w:jc w:val="center"/>
              <w:rPr/>
            </w:pPr>
            <w:r>
              <w:rPr/>
              <w:t>    </w:t>
            </w:r>
          </w:p>
        </w:tc>
        <w:tc>
          <w:tcPr>
            <w:tcW w:w="11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177,423</w:t>
            </w:r>
          </w:p>
        </w:tc>
        <w:tc>
          <w:tcPr>
            <w:tcW w:w="337" w:type="dxa"/>
            <w:tcBorders/>
            <w:shd w:fill="CCEEFF" w:val="clear"/>
            <w:vAlign w:val="center"/>
          </w:tcPr>
          <w:p>
            <w:pPr>
              <w:pStyle w:val="TableContents"/>
              <w:bidi w:val="0"/>
              <w:spacing w:lineRule="auto" w:line="285" w:before="0" w:after="0"/>
              <w:ind w:left="0" w:right="0" w:hanging="0"/>
              <w:jc w:val="left"/>
              <w:rPr/>
            </w:pPr>
            <w:r>
              <w:rPr/>
              <w:t>    </w:t>
            </w:r>
          </w:p>
        </w:tc>
        <w:tc>
          <w:tcPr>
            <w:tcW w:w="2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165,255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12,168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10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 </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558,591</w:t>
            </w:r>
          </w:p>
        </w:tc>
        <w:tc>
          <w:tcPr>
            <w:tcW w:w="337" w:type="dxa"/>
            <w:tcBorders/>
            <w:vAlign w:val="center"/>
          </w:tcPr>
          <w:p>
            <w:pPr>
              <w:pStyle w:val="TableContents"/>
              <w:bidi w:val="0"/>
              <w:spacing w:lineRule="auto" w:line="285" w:before="0" w:after="0"/>
              <w:ind w:left="0" w:right="0" w:hanging="0"/>
              <w:jc w:val="left"/>
              <w:rPr/>
            </w:pPr>
            <w:r>
              <w:rPr/>
              <w:t>    </w:t>
            </w:r>
          </w:p>
        </w:tc>
        <w:tc>
          <w:tcPr>
            <w:tcW w:w="218" w:type="dxa"/>
            <w:tcBorders/>
            <w:vAlign w:val="center"/>
          </w:tcPr>
          <w:p>
            <w:pPr>
              <w:pStyle w:val="TableContents"/>
              <w:bidi w:val="0"/>
              <w:spacing w:lineRule="auto" w:line="285" w:before="0" w:after="0"/>
              <w:ind w:left="0" w:right="0" w:hanging="0"/>
              <w:jc w:val="left"/>
              <w:rPr/>
            </w:pPr>
            <w:r>
              <w:rPr/>
              <w:t> </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552,974</w:t>
            </w:r>
          </w:p>
        </w:tc>
        <w:tc>
          <w:tcPr>
            <w:tcW w:w="326" w:type="dxa"/>
            <w:tcBorders/>
            <w:vAlign w:val="center"/>
          </w:tcPr>
          <w:p>
            <w:pPr>
              <w:pStyle w:val="TableContents"/>
              <w:bidi w:val="0"/>
              <w:spacing w:lineRule="auto" w:line="285" w:before="0" w:after="0"/>
              <w:ind w:left="0" w:right="0" w:hanging="0"/>
              <w:jc w:val="left"/>
              <w:rPr/>
            </w:pPr>
            <w:r>
              <w:rPr/>
              <w:t>    </w:t>
            </w:r>
          </w:p>
        </w:tc>
        <w:tc>
          <w:tcPr>
            <w:tcW w:w="278" w:type="dxa"/>
            <w:tcBorders/>
            <w:vAlign w:val="center"/>
          </w:tcPr>
          <w:p>
            <w:pPr>
              <w:pStyle w:val="TableContents"/>
              <w:bidi w:val="0"/>
              <w:spacing w:lineRule="auto" w:line="285" w:before="0" w:after="0"/>
              <w:ind w:left="0" w:right="0" w:hanging="0"/>
              <w:jc w:val="left"/>
              <w:rPr/>
            </w:pPr>
            <w:r>
              <w:rPr/>
              <w:t> </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(13,993)</w:t>
            </w:r>
          </w:p>
        </w:tc>
        <w:tc>
          <w:tcPr>
            <w:tcW w:w="337" w:type="dxa"/>
            <w:tcBorders/>
            <w:shd w:fill="CCEEFF" w:val="clear"/>
            <w:vAlign w:val="center"/>
          </w:tcPr>
          <w:p>
            <w:pPr>
              <w:pStyle w:val="TableContents"/>
              <w:bidi w:val="0"/>
              <w:spacing w:lineRule="auto" w:line="285"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(6,952)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(7,041)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 </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(395,161)</w:t>
            </w:r>
          </w:p>
        </w:tc>
        <w:tc>
          <w:tcPr>
            <w:tcW w:w="337" w:type="dxa"/>
            <w:tcBorders/>
            <w:vAlign w:val="center"/>
          </w:tcPr>
          <w:p>
            <w:pPr>
              <w:pStyle w:val="TableContents"/>
              <w:bidi w:val="0"/>
              <w:spacing w:lineRule="auto" w:line="285" w:before="0" w:after="0"/>
              <w:ind w:left="0" w:right="0" w:hanging="0"/>
              <w:jc w:val="left"/>
              <w:rPr/>
            </w:pPr>
            <w:r>
              <w:rPr/>
              <w:t>    </w:t>
            </w:r>
          </w:p>
        </w:tc>
        <w:tc>
          <w:tcPr>
            <w:tcW w:w="218" w:type="dxa"/>
            <w:tcBorders/>
            <w:vAlign w:val="center"/>
          </w:tcPr>
          <w:p>
            <w:pPr>
              <w:pStyle w:val="TableContents"/>
              <w:bidi w:val="0"/>
              <w:spacing w:lineRule="auto" w:line="285" w:before="0" w:after="0"/>
              <w:ind w:left="0" w:right="0" w:hanging="0"/>
              <w:jc w:val="left"/>
              <w:rPr/>
            </w:pPr>
            <w:r>
              <w:rPr/>
              <w:t> </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(394,671)</w:t>
            </w:r>
          </w:p>
        </w:tc>
        <w:tc>
          <w:tcPr>
            <w:tcW w:w="326" w:type="dxa"/>
            <w:tcBorders/>
            <w:vAlign w:val="center"/>
          </w:tcPr>
          <w:p>
            <w:pPr>
              <w:pStyle w:val="TableContents"/>
              <w:bidi w:val="0"/>
              <w:spacing w:lineRule="auto" w:line="285" w:before="0" w:after="0"/>
              <w:ind w:left="0" w:right="0" w:hanging="0"/>
              <w:jc w:val="left"/>
              <w:rPr/>
            </w:pPr>
            <w:r>
              <w:rPr/>
              <w:t>    </w:t>
            </w:r>
          </w:p>
        </w:tc>
        <w:tc>
          <w:tcPr>
            <w:tcW w:w="278" w:type="dxa"/>
            <w:tcBorders/>
            <w:vAlign w:val="center"/>
          </w:tcPr>
          <w:p>
            <w:pPr>
              <w:pStyle w:val="TableContents"/>
              <w:bidi w:val="0"/>
              <w:spacing w:lineRule="auto" w:line="285" w:before="0" w:after="0"/>
              <w:ind w:left="0" w:right="0" w:hanging="0"/>
              <w:jc w:val="left"/>
              <w:rPr/>
            </w:pPr>
            <w:r>
              <w:rPr/>
              <w:t> </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37" w:type="dxa"/>
            <w:tcBorders/>
            <w:shd w:fill="CCEEFF" w:val="clear"/>
            <w:vAlign w:val="center"/>
          </w:tcPr>
          <w:p>
            <w:pPr>
              <w:pStyle w:val="TableContents"/>
              <w:bidi w:val="0"/>
              <w:spacing w:lineRule="auto" w:line="285"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(3,293)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lineRule="auto" w:line="285"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(396,068)</w:t>
            </w:r>
          </w:p>
        </w:tc>
        <w:tc>
          <w:tcPr>
            <w:tcW w:w="337" w:type="dxa"/>
            <w:tcBorders/>
            <w:vAlign w:val="center"/>
          </w:tcPr>
          <w:p>
            <w:pPr>
              <w:pStyle w:val="TableContents"/>
              <w:bidi w:val="0"/>
              <w:spacing w:lineRule="auto" w:line="285" w:before="0" w:after="0"/>
              <w:ind w:left="0" w:right="0" w:hanging="0"/>
              <w:jc w:val="left"/>
              <w:rPr/>
            </w:pPr>
            <w:r>
              <w:rPr/>
              <w:t>    </w:t>
            </w:r>
          </w:p>
        </w:tc>
        <w:tc>
          <w:tcPr>
            <w:tcW w:w="21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(398,871)</w:t>
            </w:r>
          </w:p>
        </w:tc>
        <w:tc>
          <w:tcPr>
            <w:tcW w:w="326" w:type="dxa"/>
            <w:tcBorders/>
            <w:vAlign w:val="center"/>
          </w:tcPr>
          <w:p>
            <w:pPr>
              <w:pStyle w:val="TableContents"/>
              <w:bidi w:val="0"/>
              <w:spacing w:lineRule="auto" w:line="285" w:before="0" w:after="0"/>
              <w:ind w:left="0" w:right="0" w:hanging="0"/>
              <w:jc w:val="left"/>
              <w:rPr/>
            </w:pPr>
            <w:r>
              <w:rPr/>
              <w:t>    </w:t>
            </w:r>
          </w:p>
        </w:tc>
        <w:tc>
          <w:tcPr>
            <w:tcW w:w="27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2,803</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4"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Total Revenues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Total revenues consist of the following (in thousands):</w:t>
      </w:r>
    </w:p>
    <w:tbl>
      <w:tblPr>
        <w:tblW w:w="8519" w:type="dxa"/>
        <w:jc w:val="left"/>
        <w:tblInd w:w="0" w:type="dxa"/>
        <w:tblLayout w:type="fixed"/>
        <w:tblCellMar>
          <w:top w:w="0" w:type="dxa"/>
          <w:left w:w="0" w:type="dxa"/>
          <w:bottom w:w="0" w:type="dxa"/>
          <w:right w:w="0" w:type="dxa"/>
        </w:tblCellMar>
      </w:tblPr>
      <w:tblGrid>
        <w:gridCol w:w="2911"/>
        <w:gridCol w:w="109"/>
        <w:gridCol w:w="235"/>
        <w:gridCol w:w="870"/>
        <w:gridCol w:w="430"/>
        <w:gridCol w:w="235"/>
        <w:gridCol w:w="870"/>
        <w:gridCol w:w="386"/>
        <w:gridCol w:w="260"/>
        <w:gridCol w:w="911"/>
        <w:gridCol w:w="386"/>
        <w:gridCol w:w="552"/>
        <w:gridCol w:w="364"/>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848485" cy="175260"/>
                      <wp:effectExtent l="0" t="0" r="0" b="0"/>
                      <wp:wrapNone/>
                      <wp:docPr id="540" name="Frame540"/>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9215" cy="175260"/>
                      <wp:effectExtent l="0" t="0" r="0" b="0"/>
                      <wp:wrapNone/>
                      <wp:docPr id="541" name="Frame5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49225" cy="175260"/>
                      <wp:effectExtent l="0" t="0" r="0" b="0"/>
                      <wp:wrapNone/>
                      <wp:docPr id="542" name="Frame54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52450" cy="175260"/>
                      <wp:effectExtent l="0" t="0" r="0" b="0"/>
                      <wp:wrapNone/>
                      <wp:docPr id="543" name="Frame543"/>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73050" cy="175260"/>
                      <wp:effectExtent l="0" t="0" r="0" b="0"/>
                      <wp:wrapNone/>
                      <wp:docPr id="544" name="Frame544"/>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49225" cy="175260"/>
                      <wp:effectExtent l="0" t="0" r="0" b="0"/>
                      <wp:wrapNone/>
                      <wp:docPr id="545" name="Frame54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552450" cy="175260"/>
                      <wp:effectExtent l="0" t="0" r="0" b="0"/>
                      <wp:wrapNone/>
                      <wp:docPr id="546" name="Frame546"/>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45110" cy="175260"/>
                      <wp:effectExtent l="0" t="0" r="0" b="0"/>
                      <wp:wrapNone/>
                      <wp:docPr id="547" name="Frame54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65100" cy="175260"/>
                      <wp:effectExtent l="0" t="0" r="0" b="0"/>
                      <wp:wrapNone/>
                      <wp:docPr id="548" name="Frame54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578485" cy="175260"/>
                      <wp:effectExtent l="0" t="0" r="0" b="0"/>
                      <wp:wrapNone/>
                      <wp:docPr id="549" name="Frame549"/>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45110" cy="175260"/>
                      <wp:effectExtent l="0" t="0" r="0" b="0"/>
                      <wp:wrapNone/>
                      <wp:docPr id="550" name="Frame55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350520" cy="175260"/>
                      <wp:effectExtent l="0" t="0" r="0" b="0"/>
                      <wp:wrapNone/>
                      <wp:docPr id="551" name="Frame551"/>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31140" cy="175260"/>
                      <wp:effectExtent l="0" t="0" r="0" b="0"/>
                      <wp:wrapNone/>
                      <wp:docPr id="552" name="Frame55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86" w:type="dxa"/>
            <w:tcBorders/>
            <w:vAlign w:val="center"/>
          </w:tcPr>
          <w:p>
            <w:pPr>
              <w:pStyle w:val="TableContents"/>
              <w:bidi w:val="0"/>
              <w:spacing w:lineRule="auto" w:line="285" w:before="0" w:after="0"/>
              <w:ind w:left="0" w:right="0" w:hanging="0"/>
              <w:jc w:val="left"/>
              <w:rPr/>
            </w:pPr>
            <w:r>
              <w:rPr/>
              <w:t>     </w:t>
            </w:r>
          </w:p>
        </w:tc>
        <w:tc>
          <w:tcPr>
            <w:tcW w:w="260"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0" w:type="dxa"/>
            <w:tcBorders/>
            <w:vAlign w:val="center"/>
          </w:tcPr>
          <w:p>
            <w:pPr>
              <w:pStyle w:val="TableContents"/>
              <w:bidi w:val="0"/>
              <w:spacing w:lineRule="auto" w:line="285" w:before="0" w:after="0"/>
              <w:ind w:left="0" w:right="0" w:hanging="0"/>
              <w:jc w:val="center"/>
              <w:rPr/>
            </w:pPr>
            <w:r>
              <w:rPr/>
              <w:t>   </w:t>
            </w:r>
          </w:p>
        </w:tc>
        <w:tc>
          <w:tcPr>
            <w:tcW w:w="11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133,173</w:t>
            </w:r>
          </w:p>
        </w:tc>
        <w:tc>
          <w:tcPr>
            <w:tcW w:w="430"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80,929</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52,244</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 </w:t>
            </w:r>
          </w:p>
        </w:tc>
        <w:tc>
          <w:tcPr>
            <w:tcW w:w="8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44,250</w:t>
            </w:r>
          </w:p>
        </w:tc>
        <w:tc>
          <w:tcPr>
            <w:tcW w:w="430"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 </w:t>
            </w:r>
          </w:p>
        </w:tc>
        <w:tc>
          <w:tcPr>
            <w:tcW w:w="8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56,826</w:t>
            </w:r>
          </w:p>
        </w:tc>
        <w:tc>
          <w:tcPr>
            <w:tcW w:w="386" w:type="dxa"/>
            <w:tcBorders/>
            <w:vAlign w:val="center"/>
          </w:tcPr>
          <w:p>
            <w:pPr>
              <w:pStyle w:val="TableContents"/>
              <w:bidi w:val="0"/>
              <w:spacing w:lineRule="auto" w:line="285" w:before="0" w:after="0"/>
              <w:ind w:left="0" w:right="0" w:hanging="0"/>
              <w:jc w:val="left"/>
              <w:rPr/>
            </w:pPr>
            <w:r>
              <w:rPr/>
              <w:t>     </w:t>
            </w:r>
          </w:p>
        </w:tc>
        <w:tc>
          <w:tcPr>
            <w:tcW w:w="260" w:type="dxa"/>
            <w:tcBorders/>
            <w:vAlign w:val="center"/>
          </w:tcPr>
          <w:p>
            <w:pPr>
              <w:pStyle w:val="TableContents"/>
              <w:bidi w:val="0"/>
              <w:spacing w:lineRule="auto" w:line="285" w:before="0" w:after="0"/>
              <w:ind w:left="0" w:right="0" w:hanging="0"/>
              <w:jc w:val="left"/>
              <w:rPr/>
            </w:pPr>
            <w:r>
              <w:rPr/>
              <w:t> </w:t>
            </w:r>
          </w:p>
        </w:tc>
        <w:tc>
          <w:tcPr>
            <w:tcW w:w="9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(12,576)</w:t>
            </w:r>
          </w:p>
        </w:tc>
        <w:tc>
          <w:tcPr>
            <w:tcW w:w="38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License revenue - related party</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30" w:type="dxa"/>
            <w:tcBorders/>
            <w:shd w:fill="CCEEFF" w:val="clear"/>
            <w:vAlign w:val="center"/>
          </w:tcPr>
          <w:p>
            <w:pPr>
              <w:pStyle w:val="TableContents"/>
              <w:bidi w:val="0"/>
              <w:spacing w:lineRule="auto" w:line="285"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27,500</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(27,500)</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vAlign w:val="center"/>
          </w:tcPr>
          <w:p>
            <w:pPr>
              <w:pStyle w:val="TableContents"/>
              <w:bidi w:val="0"/>
              <w:spacing w:lineRule="auto" w:line="285"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177,423</w:t>
            </w:r>
          </w:p>
        </w:tc>
        <w:tc>
          <w:tcPr>
            <w:tcW w:w="430" w:type="dxa"/>
            <w:tcBorders/>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165,255</w:t>
            </w:r>
          </w:p>
        </w:tc>
        <w:tc>
          <w:tcPr>
            <w:tcW w:w="386" w:type="dxa"/>
            <w:tcBorders/>
            <w:vAlign w:val="center"/>
          </w:tcPr>
          <w:p>
            <w:pPr>
              <w:pStyle w:val="TableContents"/>
              <w:bidi w:val="0"/>
              <w:spacing w:lineRule="auto" w:line="285" w:before="0" w:after="0"/>
              <w:ind w:left="0" w:right="0" w:hanging="0"/>
              <w:jc w:val="left"/>
              <w:rPr/>
            </w:pPr>
            <w:r>
              <w:rPr/>
              <w:t>     </w:t>
            </w:r>
          </w:p>
        </w:tc>
        <w:tc>
          <w:tcPr>
            <w:tcW w:w="2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12,168</w:t>
            </w:r>
          </w:p>
        </w:tc>
        <w:tc>
          <w:tcPr>
            <w:tcW w:w="386" w:type="dxa"/>
            <w:tcBorders/>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4"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Product Revenue, Net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revenue recognized from sales of AYVAKIT/AYVAKYT during the nine months ended September 30, 2023 and 2022 (in thousands):</w:t>
      </w:r>
    </w:p>
    <w:tbl>
      <w:tblPr>
        <w:tblW w:w="6732" w:type="dxa"/>
        <w:jc w:val="left"/>
        <w:tblInd w:w="0" w:type="dxa"/>
        <w:tblLayout w:type="fixed"/>
        <w:tblCellMar>
          <w:top w:w="0" w:type="dxa"/>
          <w:left w:w="0" w:type="dxa"/>
          <w:bottom w:w="0" w:type="dxa"/>
          <w:right w:w="0" w:type="dxa"/>
        </w:tblCellMar>
      </w:tblPr>
      <w:tblGrid>
        <w:gridCol w:w="1246"/>
        <w:gridCol w:w="109"/>
        <w:gridCol w:w="252"/>
        <w:gridCol w:w="935"/>
        <w:gridCol w:w="390"/>
        <w:gridCol w:w="252"/>
        <w:gridCol w:w="809"/>
        <w:gridCol w:w="326"/>
        <w:gridCol w:w="278"/>
        <w:gridCol w:w="893"/>
        <w:gridCol w:w="326"/>
        <w:gridCol w:w="458"/>
        <w:gridCol w:w="458"/>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791210" cy="175260"/>
                      <wp:effectExtent l="0" t="0" r="0" b="0"/>
                      <wp:wrapNone/>
                      <wp:docPr id="553" name="Frame55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9215" cy="175260"/>
                      <wp:effectExtent l="0" t="0" r="0" b="0"/>
                      <wp:wrapNone/>
                      <wp:docPr id="554" name="Frame5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60020" cy="175260"/>
                      <wp:effectExtent l="0" t="0" r="0" b="0"/>
                      <wp:wrapNone/>
                      <wp:docPr id="555" name="Frame55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93725" cy="175260"/>
                      <wp:effectExtent l="0" t="0" r="0" b="0"/>
                      <wp:wrapNone/>
                      <wp:docPr id="556" name="Frame556"/>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47650" cy="175260"/>
                      <wp:effectExtent l="0" t="0" r="0" b="0"/>
                      <wp:wrapNone/>
                      <wp:docPr id="557" name="Frame557"/>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60020" cy="175260"/>
                      <wp:effectExtent l="0" t="0" r="0" b="0"/>
                      <wp:wrapNone/>
                      <wp:docPr id="558" name="Frame55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513715" cy="175260"/>
                      <wp:effectExtent l="0" t="0" r="0" b="0"/>
                      <wp:wrapNone/>
                      <wp:docPr id="559" name="Frame559"/>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60" name="Frame5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76530" cy="175260"/>
                      <wp:effectExtent l="0" t="0" r="0" b="0"/>
                      <wp:wrapNone/>
                      <wp:docPr id="561" name="Frame56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567055" cy="175260"/>
                      <wp:effectExtent l="0" t="0" r="0" b="0"/>
                      <wp:wrapNone/>
                      <wp:docPr id="562" name="Frame56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07010" cy="175260"/>
                      <wp:effectExtent l="0" t="0" r="0" b="0"/>
                      <wp:wrapNone/>
                      <wp:docPr id="563" name="Frame5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90830" cy="175260"/>
                      <wp:effectExtent l="0" t="0" r="0" b="0"/>
                      <wp:wrapNone/>
                      <wp:docPr id="564" name="Frame564"/>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90830" cy="175260"/>
                      <wp:effectExtent l="0" t="0" r="0" b="0"/>
                      <wp:wrapNone/>
                      <wp:docPr id="565" name="Frame565"/>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263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lineRule="auto" w:line="285" w:before="0" w:after="0"/>
              <w:ind w:left="0" w:right="0" w:hanging="0"/>
              <w:jc w:val="center"/>
              <w:rPr/>
            </w:pPr>
            <w:r>
              <w:rPr/>
              <w:t>​</w:t>
            </w:r>
          </w:p>
        </w:tc>
        <w:tc>
          <w:tcPr>
            <w:tcW w:w="278"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458" w:type="dxa"/>
            <w:tcBorders/>
            <w:vAlign w:val="center"/>
          </w:tcPr>
          <w:p>
            <w:pPr>
              <w:pStyle w:val="TableContents"/>
              <w:bidi w:val="0"/>
              <w:spacing w:lineRule="auto" w:line="285" w:before="0" w:after="0"/>
              <w:ind w:left="0" w:right="0" w:hanging="0"/>
              <w:jc w:val="center"/>
              <w:rPr/>
            </w:pPr>
            <w:r>
              <w:rPr/>
              <w:t>​</w:t>
            </w:r>
          </w:p>
        </w:tc>
        <w:tc>
          <w:tcPr>
            <w:tcW w:w="458" w:type="dxa"/>
            <w:tcBorders/>
            <w:vAlign w:val="center"/>
          </w:tcPr>
          <w:p>
            <w:pPr>
              <w:pStyle w:val="TableContents"/>
              <w:bidi w:val="0"/>
              <w:spacing w:lineRule="auto" w:line="285" w:before="0" w:after="0"/>
              <w:ind w:left="0" w:right="0" w:hanging="0"/>
              <w:jc w:val="center"/>
              <w:rPr/>
            </w:pPr>
            <w:r>
              <w:rPr/>
              <w:t> </w: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0" w:type="dxa"/>
            <w:tcBorders/>
            <w:vAlign w:val="center"/>
          </w:tcPr>
          <w:p>
            <w:pPr>
              <w:pStyle w:val="TableContents"/>
              <w:bidi w:val="0"/>
              <w:spacing w:lineRule="auto" w:line="285" w:before="0" w:after="0"/>
              <w:ind w:left="0" w:right="0" w:hanging="0"/>
              <w:jc w:val="left"/>
              <w:rPr/>
            </w:pPr>
            <w:r>
              <w:rPr/>
              <w:t>    </w:t>
            </w:r>
          </w:p>
        </w:tc>
        <w:tc>
          <w:tcPr>
            <w:tcW w:w="10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118,355</w:t>
            </w:r>
          </w:p>
        </w:tc>
        <w:tc>
          <w:tcPr>
            <w:tcW w:w="390" w:type="dxa"/>
            <w:tcBorders/>
            <w:shd w:fill="CCEEFF" w:val="clear"/>
            <w:vAlign w:val="center"/>
          </w:tcPr>
          <w:p>
            <w:pPr>
              <w:pStyle w:val="TableContents"/>
              <w:bidi w:val="0"/>
              <w:spacing w:lineRule="auto" w:line="285" w:before="0" w:after="0"/>
              <w:ind w:left="0" w:right="0" w:hanging="0"/>
              <w:jc w:val="center"/>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70,888</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47,467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45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14,818</w:t>
            </w:r>
          </w:p>
        </w:tc>
        <w:tc>
          <w:tcPr>
            <w:tcW w:w="390"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10,041</w:t>
            </w:r>
          </w:p>
        </w:tc>
        <w:tc>
          <w:tcPr>
            <w:tcW w:w="326" w:type="dxa"/>
            <w:tcBorders/>
            <w:vAlign w:val="center"/>
          </w:tcPr>
          <w:p>
            <w:pPr>
              <w:pStyle w:val="TableContents"/>
              <w:bidi w:val="0"/>
              <w:spacing w:lineRule="auto" w:line="285"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4,777</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133,173</w:t>
            </w:r>
          </w:p>
        </w:tc>
        <w:tc>
          <w:tcPr>
            <w:tcW w:w="390"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80,929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52,244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Product revenue, net increased during the nine months ended September 30, 2023 as compared to the nine months ended September 30, 2022 primarily driven by growth in the number of SM patients on therapy, including advanced SM and indolent SM with the recent label expansion.</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Collaboration and License Revenue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revenue recognized from our collaboration and license agreements during the nine months ended September 30, 2023 and 2022 (in thousands):</w:t>
      </w:r>
    </w:p>
    <w:tbl>
      <w:tblPr>
        <w:tblW w:w="8862" w:type="dxa"/>
        <w:jc w:val="left"/>
        <w:tblInd w:w="0" w:type="dxa"/>
        <w:tblLayout w:type="fixed"/>
        <w:tblCellMar>
          <w:top w:w="0" w:type="dxa"/>
          <w:left w:w="0" w:type="dxa"/>
          <w:bottom w:w="0" w:type="dxa"/>
          <w:right w:w="0" w:type="dxa"/>
        </w:tblCellMar>
      </w:tblPr>
      <w:tblGrid>
        <w:gridCol w:w="3421"/>
        <w:gridCol w:w="109"/>
        <w:gridCol w:w="265"/>
        <w:gridCol w:w="850"/>
        <w:gridCol w:w="409"/>
        <w:gridCol w:w="265"/>
        <w:gridCol w:w="850"/>
        <w:gridCol w:w="326"/>
        <w:gridCol w:w="235"/>
        <w:gridCol w:w="890"/>
        <w:gridCol w:w="326"/>
        <w:gridCol w:w="552"/>
        <w:gridCol w:w="36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172335" cy="175260"/>
                      <wp:effectExtent l="0" t="0" r="0" b="0"/>
                      <wp:wrapNone/>
                      <wp:docPr id="566" name="Frame566"/>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9215" cy="175260"/>
                      <wp:effectExtent l="0" t="0" r="0" b="0"/>
                      <wp:wrapNone/>
                      <wp:docPr id="567" name="Frame5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68275" cy="175260"/>
                      <wp:effectExtent l="0" t="0" r="0" b="0"/>
                      <wp:wrapNone/>
                      <wp:docPr id="568" name="Frame56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39750" cy="175260"/>
                      <wp:effectExtent l="0" t="0" r="0" b="0"/>
                      <wp:wrapNone/>
                      <wp:docPr id="569" name="Frame569"/>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59715" cy="175260"/>
                      <wp:effectExtent l="0" t="0" r="0" b="0"/>
                      <wp:wrapNone/>
                      <wp:docPr id="570" name="Frame570"/>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68275" cy="175260"/>
                      <wp:effectExtent l="0" t="0" r="0" b="0"/>
                      <wp:wrapNone/>
                      <wp:docPr id="571" name="Frame57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539750" cy="175260"/>
                      <wp:effectExtent l="0" t="0" r="0" b="0"/>
                      <wp:wrapNone/>
                      <wp:docPr id="572" name="Frame572"/>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3" name="Frame5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49225" cy="175260"/>
                      <wp:effectExtent l="0" t="0" r="0" b="0"/>
                      <wp:wrapNone/>
                      <wp:docPr id="574" name="Frame57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565150" cy="175260"/>
                      <wp:effectExtent l="0" t="0" r="0" b="0"/>
                      <wp:wrapNone/>
                      <wp:docPr id="575" name="Frame575"/>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07010" cy="175260"/>
                      <wp:effectExtent l="0" t="0" r="0" b="0"/>
                      <wp:wrapNone/>
                      <wp:docPr id="576" name="Frame5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350520" cy="175260"/>
                      <wp:effectExtent l="0" t="0" r="0" b="0"/>
                      <wp:wrapNone/>
                      <wp:docPr id="577" name="Frame577"/>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31140" cy="175260"/>
                      <wp:effectExtent l="0" t="0" r="0" b="0"/>
                      <wp:wrapNone/>
                      <wp:docPr id="578" name="Frame578"/>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9" w:type="dxa"/>
            <w:tcBorders/>
            <w:vAlign w:val="center"/>
          </w:tcPr>
          <w:p>
            <w:pPr>
              <w:pStyle w:val="TableContents"/>
              <w:bidi w:val="0"/>
              <w:spacing w:lineRule="auto" w:line="285" w:before="0" w:after="0"/>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Roche immunotherapy collaboration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25,706</w:t>
            </w:r>
          </w:p>
        </w:tc>
        <w:tc>
          <w:tcPr>
            <w:tcW w:w="409" w:type="dxa"/>
            <w:tcBorders/>
            <w:shd w:fill="CCEEFF" w:val="clear"/>
            <w:vAlign w:val="center"/>
          </w:tcPr>
          <w:p>
            <w:pPr>
              <w:pStyle w:val="TableContents"/>
              <w:bidi w:val="0"/>
              <w:spacing w:lineRule="auto" w:line="285" w:before="0" w:after="0"/>
              <w:ind w:left="0" w:right="0" w:hanging="0"/>
              <w:jc w:val="center"/>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23,996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CStone collaboration</w:t>
            </w:r>
          </w:p>
        </w:tc>
        <w:tc>
          <w:tcPr>
            <w:tcW w:w="109"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 </w:t>
            </w:r>
          </w:p>
        </w:tc>
        <w:tc>
          <w:tcPr>
            <w:tcW w:w="8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16,861</w:t>
            </w:r>
          </w:p>
        </w:tc>
        <w:tc>
          <w:tcPr>
            <w:tcW w:w="409" w:type="dxa"/>
            <w:tcBorders/>
            <w:vAlign w:val="center"/>
          </w:tcPr>
          <w:p>
            <w:pPr>
              <w:pStyle w:val="TableContents"/>
              <w:bidi w:val="0"/>
              <w:spacing w:lineRule="auto" w:line="285" w:before="0" w:after="0"/>
              <w:ind w:left="0" w:right="0" w:hanging="0"/>
              <w:jc w:val="left"/>
              <w:rPr/>
            </w:pPr>
            <w:r>
              <w:rPr/>
              <w:t> </w:t>
            </w:r>
          </w:p>
        </w:tc>
        <w:tc>
          <w:tcPr>
            <w:tcW w:w="265" w:type="dxa"/>
            <w:tcBorders/>
            <w:vAlign w:val="center"/>
          </w:tcPr>
          <w:p>
            <w:pPr>
              <w:pStyle w:val="TableContents"/>
              <w:bidi w:val="0"/>
              <w:spacing w:lineRule="auto" w:line="285" w:before="0" w:after="0"/>
              <w:ind w:left="0" w:right="0" w:hanging="0"/>
              <w:jc w:val="right"/>
              <w:rPr/>
            </w:pPr>
            <w:r>
              <w:rPr/>
              <w:t>​</w:t>
            </w:r>
          </w:p>
        </w:tc>
        <w:tc>
          <w:tcPr>
            <w:tcW w:w="8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18,209</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with Roche for pralsetinib</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8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1,672</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right"/>
              <w:rPr/>
            </w:pPr>
            <w:r>
              <w:rPr/>
              <w:t>​</w:t>
            </w:r>
          </w:p>
        </w:tc>
        <w:tc>
          <w:tcPr>
            <w:tcW w:w="8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5,573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64" w:type="dxa"/>
            <w:tcBorders/>
            <w:shd w:fill="CCEEFF" w:val="clear"/>
            <w:vAlign w:val="center"/>
          </w:tcPr>
          <w:p>
            <w:pPr>
              <w:pStyle w:val="TableContents"/>
              <w:bidi w:val="0"/>
              <w:spacing w:lineRule="auto" w:line="285" w:before="0" w:after="0"/>
              <w:ind w:left="0" w:right="0" w:hanging="0"/>
              <w:jc w:val="center"/>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Clementia license agreement</w:t>
            </w:r>
          </w:p>
        </w:tc>
        <w:tc>
          <w:tcPr>
            <w:tcW w:w="109"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850" w:type="dxa"/>
            <w:tcBorders/>
            <w:vAlign w:val="center"/>
          </w:tcPr>
          <w:p>
            <w:pPr>
              <w:pStyle w:val="TableContents"/>
              <w:bidi w:val="0"/>
              <w:spacing w:lineRule="auto" w:line="285" w:before="0" w:after="0"/>
              <w:ind w:left="0" w:right="0" w:hanging="0"/>
              <w:jc w:val="right"/>
              <w:rPr/>
            </w:pPr>
            <w:r>
              <w:rPr/>
              <w:t>—</w:t>
            </w:r>
          </w:p>
        </w:tc>
        <w:tc>
          <w:tcPr>
            <w:tcW w:w="409"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right"/>
              <w:rPr/>
            </w:pPr>
            <w:r>
              <w:rPr/>
              <w:t>​</w:t>
            </w:r>
          </w:p>
        </w:tc>
        <w:tc>
          <w:tcPr>
            <w:tcW w:w="8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collaboration and license revenue</w:t>
            </w:r>
          </w:p>
        </w:tc>
        <w:tc>
          <w:tcPr>
            <w:tcW w:w="109" w:type="dxa"/>
            <w:tcBorders/>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44,250</w:t>
            </w:r>
          </w:p>
        </w:tc>
        <w:tc>
          <w:tcPr>
            <w:tcW w:w="409" w:type="dxa"/>
            <w:tcBorders/>
            <w:vAlign w:val="center"/>
          </w:tcPr>
          <w:p>
            <w:pPr>
              <w:pStyle w:val="TableContents"/>
              <w:bidi w:val="0"/>
              <w:spacing w:lineRule="auto" w:line="285" w:before="0" w:after="0"/>
              <w:ind w:left="0" w:right="0" w:hanging="0"/>
              <w:jc w:val="left"/>
              <w:rPr/>
            </w:pPr>
            <w:r>
              <w:rPr/>
              <w:t> </w:t>
            </w:r>
          </w:p>
        </w:tc>
        <w:tc>
          <w:tcPr>
            <w:tcW w:w="2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56,826</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(12,576)</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4"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Revenue recognized from our collaboration and license agreements decreased during the nine months ended September 30, 2023 as compared to nine months ended September 30, 2022 primarily due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Decreased revenue from our license agreement with Clementia due to revenue from a $30.0 million milestone payment related to a specified development milestone achieved during the nine months ended September 30, 2022.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revenue from our collaboration with Roche for pralsetinib during the nine months ended September 30, 2023 as compared to the nine months ended September 30, 2022 primarily due to a decrease in manufacturing services related to Roche Territory-specific activities.</w:t>
            </w:r>
          </w:p>
        </w:tc>
      </w:tr>
    </w:tbl>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decreases was partially offset by increased revenue under our Roche immunotherapy collaboration during the nine months ended September 30, 2023 due to the collaboration agreement termination which resulted in the reduction in the costs incurred to satisfy our performance obligation under the Roche immunotherapy collaboration, and consequently, increased the transaction price and the percentage of completion of revenue to be recognized under the collaboration agreement.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License revenue – related party</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License revenue – related party decreased by $27.5 million during the nine months ended September 30, 2023 as compared to the nine months ended September 30, 2022. The decrease resulted from the license revenue recorded under the IDRx License Agreement that was executed during the nine months ended September 30, 2022.</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Cost of Product Sales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cost of product sales during the nine months ended September 30, 2023 and 2022 (in thousands):</w:t>
      </w:r>
    </w:p>
    <w:tbl>
      <w:tblPr>
        <w:tblW w:w="7721" w:type="dxa"/>
        <w:jc w:val="left"/>
        <w:tblInd w:w="0" w:type="dxa"/>
        <w:tblLayout w:type="fixed"/>
        <w:tblCellMar>
          <w:top w:w="0" w:type="dxa"/>
          <w:left w:w="0" w:type="dxa"/>
          <w:bottom w:w="0" w:type="dxa"/>
          <w:right w:w="0" w:type="dxa"/>
        </w:tblCellMar>
      </w:tblPr>
      <w:tblGrid>
        <w:gridCol w:w="2281"/>
        <w:gridCol w:w="109"/>
        <w:gridCol w:w="279"/>
        <w:gridCol w:w="755"/>
        <w:gridCol w:w="431"/>
        <w:gridCol w:w="279"/>
        <w:gridCol w:w="894"/>
        <w:gridCol w:w="326"/>
        <w:gridCol w:w="263"/>
        <w:gridCol w:w="862"/>
        <w:gridCol w:w="326"/>
        <w:gridCol w:w="523"/>
        <w:gridCol w:w="393"/>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448435" cy="175260"/>
                      <wp:effectExtent l="0" t="0" r="0" b="0"/>
                      <wp:wrapNone/>
                      <wp:docPr id="579" name="Frame579"/>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9215" cy="175260"/>
                      <wp:effectExtent l="0" t="0" r="0" b="0"/>
                      <wp:wrapNone/>
                      <wp:docPr id="580" name="Frame5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77165" cy="175260"/>
                      <wp:effectExtent l="0" t="0" r="0" b="0"/>
                      <wp:wrapNone/>
                      <wp:docPr id="581" name="Frame58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479425" cy="175260"/>
                      <wp:effectExtent l="0" t="0" r="0" b="0"/>
                      <wp:wrapNone/>
                      <wp:docPr id="582" name="Frame582"/>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73685" cy="175260"/>
                      <wp:effectExtent l="0" t="0" r="0" b="0"/>
                      <wp:wrapNone/>
                      <wp:docPr id="583" name="Frame583"/>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77165" cy="175260"/>
                      <wp:effectExtent l="0" t="0" r="0" b="0"/>
                      <wp:wrapNone/>
                      <wp:docPr id="584" name="Frame58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567690" cy="175260"/>
                      <wp:effectExtent l="0" t="0" r="0" b="0"/>
                      <wp:wrapNone/>
                      <wp:docPr id="585" name="Frame585"/>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07010" cy="175260"/>
                      <wp:effectExtent l="0" t="0" r="0" b="0"/>
                      <wp:wrapNone/>
                      <wp:docPr id="586" name="Frame5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67005" cy="175260"/>
                      <wp:effectExtent l="0" t="0" r="0" b="0"/>
                      <wp:wrapNone/>
                      <wp:docPr id="587" name="Frame58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547370" cy="175260"/>
                      <wp:effectExtent l="0" t="0" r="0" b="0"/>
                      <wp:wrapNone/>
                      <wp:docPr id="588" name="Frame588"/>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89" name="Frame5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332105" cy="175260"/>
                      <wp:effectExtent l="0" t="0" r="0" b="0"/>
                      <wp:wrapNone/>
                      <wp:docPr id="590" name="Frame590"/>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49555" cy="175260"/>
                      <wp:effectExtent l="0" t="0" r="0" b="0"/>
                      <wp:wrapNone/>
                      <wp:docPr id="591" name="Frame59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3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1" w:type="dxa"/>
            <w:tcBorders/>
            <w:vAlign w:val="center"/>
          </w:tcPr>
          <w:p>
            <w:pPr>
              <w:pStyle w:val="TableContents"/>
              <w:bidi w:val="0"/>
              <w:spacing w:lineRule="auto" w:line="285" w:before="0" w:after="0"/>
              <w:ind w:left="0" w:right="0" w:hanging="0"/>
              <w:jc w:val="center"/>
              <w:rPr/>
            </w:pPr>
            <w:r>
              <w:rPr/>
              <w:t>    </w:t>
            </w:r>
          </w:p>
        </w:tc>
        <w:tc>
          <w:tcPr>
            <w:tcW w:w="117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4,671</w:t>
            </w:r>
          </w:p>
        </w:tc>
        <w:tc>
          <w:tcPr>
            <w:tcW w:w="431" w:type="dxa"/>
            <w:tcBorders/>
            <w:shd w:fill="CCEEFF" w:val="clear"/>
            <w:vAlign w:val="center"/>
          </w:tcPr>
          <w:p>
            <w:pPr>
              <w:pStyle w:val="TableContents"/>
              <w:bidi w:val="0"/>
              <w:spacing w:lineRule="auto" w:line="285" w:before="0" w:after="0"/>
              <w:ind w:left="0" w:right="0" w:hanging="0"/>
              <w:jc w:val="left"/>
              <w:rPr/>
            </w:pPr>
            <w:r>
              <w:rPr/>
              <w:t> </w:t>
            </w:r>
          </w:p>
        </w:tc>
        <w:tc>
          <w:tcPr>
            <w:tcW w:w="2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collaboration sales</w:t>
            </w:r>
          </w:p>
        </w:tc>
        <w:tc>
          <w:tcPr>
            <w:tcW w:w="109" w:type="dxa"/>
            <w:tcBorders/>
            <w:vAlign w:val="center"/>
          </w:tcPr>
          <w:p>
            <w:pPr>
              <w:pStyle w:val="TableContents"/>
              <w:bidi w:val="0"/>
              <w:spacing w:lineRule="auto" w:line="285"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3,609</w:t>
            </w:r>
          </w:p>
        </w:tc>
        <w:tc>
          <w:tcPr>
            <w:tcW w:w="431" w:type="dxa"/>
            <w:tcBorders/>
            <w:vAlign w:val="center"/>
          </w:tcPr>
          <w:p>
            <w:pPr>
              <w:pStyle w:val="TableContents"/>
              <w:bidi w:val="0"/>
              <w:spacing w:lineRule="auto" w:line="285"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10,826</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(7,217)</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8,280</w:t>
            </w:r>
          </w:p>
        </w:tc>
        <w:tc>
          <w:tcPr>
            <w:tcW w:w="431" w:type="dxa"/>
            <w:tcBorders/>
            <w:shd w:fill="CCEEFF" w:val="clear"/>
            <w:vAlign w:val="center"/>
          </w:tcPr>
          <w:p>
            <w:pPr>
              <w:pStyle w:val="TableContents"/>
              <w:bidi w:val="0"/>
              <w:spacing w:lineRule="auto" w:line="285" w:before="0" w:after="0"/>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12,965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(4,685)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Cost of sales decreased during the nine months ended September 30, 2023 as compared to the nine months ended September 30, 2022 primarily due to a decrease in the cost of collaboration related sales which was driven primarily by a decrease in manufacturing services related to our collaboration partners. The increase in cost of product sales was primarily driven by an increase in product sales.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collaboration loss sharing expense during the nine months ended September 30, 2023 and 2022 (in thousands):</w:t>
      </w:r>
    </w:p>
    <w:tbl>
      <w:tblPr>
        <w:tblW w:w="7751" w:type="dxa"/>
        <w:jc w:val="left"/>
        <w:tblInd w:w="0" w:type="dxa"/>
        <w:tblLayout w:type="fixed"/>
        <w:tblCellMar>
          <w:top w:w="0" w:type="dxa"/>
          <w:left w:w="0" w:type="dxa"/>
          <w:bottom w:w="0" w:type="dxa"/>
          <w:right w:w="0" w:type="dxa"/>
        </w:tblCellMar>
      </w:tblPr>
      <w:tblGrid>
        <w:gridCol w:w="2266"/>
        <w:gridCol w:w="109"/>
        <w:gridCol w:w="294"/>
        <w:gridCol w:w="797"/>
        <w:gridCol w:w="455"/>
        <w:gridCol w:w="294"/>
        <w:gridCol w:w="797"/>
        <w:gridCol w:w="326"/>
        <w:gridCol w:w="293"/>
        <w:gridCol w:w="878"/>
        <w:gridCol w:w="326"/>
        <w:gridCol w:w="497"/>
        <w:gridCol w:w="419"/>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438910" cy="175260"/>
                      <wp:effectExtent l="0" t="0" r="0" b="0"/>
                      <wp:wrapNone/>
                      <wp:docPr id="592" name="Frame592"/>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175260"/>
                      <wp:effectExtent l="0" t="0" r="0" b="0"/>
                      <wp:wrapNone/>
                      <wp:docPr id="593" name="Frame5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86690" cy="175260"/>
                      <wp:effectExtent l="0" t="0" r="0" b="0"/>
                      <wp:wrapNone/>
                      <wp:docPr id="594" name="Frame59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506095" cy="175260"/>
                      <wp:effectExtent l="0" t="0" r="0" b="0"/>
                      <wp:wrapNone/>
                      <wp:docPr id="595" name="Frame595"/>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88925" cy="175260"/>
                      <wp:effectExtent l="0" t="0" r="0" b="0"/>
                      <wp:wrapNone/>
                      <wp:docPr id="596" name="Frame596"/>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86690" cy="175260"/>
                      <wp:effectExtent l="0" t="0" r="0" b="0"/>
                      <wp:wrapNone/>
                      <wp:docPr id="597" name="Frame59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506095" cy="175260"/>
                      <wp:effectExtent l="0" t="0" r="0" b="0"/>
                      <wp:wrapNone/>
                      <wp:docPr id="598" name="Frame598"/>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7010" cy="175260"/>
                      <wp:effectExtent l="0" t="0" r="0" b="0"/>
                      <wp:wrapNone/>
                      <wp:docPr id="599" name="Frame5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86055" cy="175260"/>
                      <wp:effectExtent l="0" t="0" r="0" b="0"/>
                      <wp:wrapNone/>
                      <wp:docPr id="600" name="Frame600"/>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557530" cy="175260"/>
                      <wp:effectExtent l="0" t="0" r="0" b="0"/>
                      <wp:wrapNone/>
                      <wp:docPr id="601" name="Frame601"/>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602" name="Frame6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315595" cy="175260"/>
                      <wp:effectExtent l="0" t="0" r="0" b="0"/>
                      <wp:wrapNone/>
                      <wp:docPr id="603" name="Frame60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66065" cy="175260"/>
                      <wp:effectExtent l="0" t="0" r="0" b="0"/>
                      <wp:wrapNone/>
                      <wp:docPr id="604" name="Frame604"/>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3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22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5" w:type="dxa"/>
            <w:tcBorders/>
            <w:vAlign w:val="center"/>
          </w:tcPr>
          <w:p>
            <w:pPr>
              <w:pStyle w:val="TableContents"/>
              <w:bidi w:val="0"/>
              <w:spacing w:lineRule="auto" w:line="285" w:before="0" w:after="0"/>
              <w:ind w:left="0" w:right="0" w:hanging="0"/>
              <w:jc w:val="center"/>
              <w:rPr/>
            </w:pPr>
            <w:r>
              <w:rPr/>
              <w:t>    </w:t>
            </w:r>
          </w:p>
        </w:tc>
        <w:tc>
          <w:tcPr>
            <w:tcW w:w="10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loss sharing</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455" w:type="dxa"/>
            <w:tcBorders/>
            <w:shd w:fill="CCEEFF" w:val="clear"/>
            <w:vAlign w:val="center"/>
          </w:tcPr>
          <w:p>
            <w:pPr>
              <w:pStyle w:val="TableContents"/>
              <w:bidi w:val="0"/>
              <w:spacing w:lineRule="auto" w:line="285" w:before="0" w:after="0"/>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7,076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(2,775)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Collaboration loss sharing under the collaboration with Roche for pralsetinib decreased for the nine months ended September 30, 2023 as compared to the nine months ended September 30, 2022 primarily due to higher GAVRETO product sales in the U.S. during the nine months ended September 30, 2023 as compared to the nine months ended September 30, 2022.</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research and development expenses during the nine months ended September 30, 2023 and 2022 (in thousands):</w:t>
      </w:r>
    </w:p>
    <w:tbl>
      <w:tblPr>
        <w:tblW w:w="9191" w:type="dxa"/>
        <w:jc w:val="left"/>
        <w:tblInd w:w="0" w:type="dxa"/>
        <w:tblLayout w:type="fixed"/>
        <w:tblCellMar>
          <w:top w:w="0" w:type="dxa"/>
          <w:left w:w="0" w:type="dxa"/>
          <w:bottom w:w="0" w:type="dxa"/>
          <w:right w:w="0" w:type="dxa"/>
        </w:tblCellMar>
      </w:tblPr>
      <w:tblGrid>
        <w:gridCol w:w="3751"/>
        <w:gridCol w:w="109"/>
        <w:gridCol w:w="241"/>
        <w:gridCol w:w="892"/>
        <w:gridCol w:w="372"/>
        <w:gridCol w:w="241"/>
        <w:gridCol w:w="892"/>
        <w:gridCol w:w="326"/>
        <w:gridCol w:w="235"/>
        <w:gridCol w:w="890"/>
        <w:gridCol w:w="326"/>
        <w:gridCol w:w="497"/>
        <w:gridCol w:w="419"/>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381885" cy="175260"/>
                      <wp:effectExtent l="0" t="0" r="0" b="0"/>
                      <wp:wrapNone/>
                      <wp:docPr id="605" name="Frame605"/>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9215" cy="175260"/>
                      <wp:effectExtent l="0" t="0" r="0" b="0"/>
                      <wp:wrapNone/>
                      <wp:docPr id="606" name="Frame6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53035" cy="175260"/>
                      <wp:effectExtent l="0" t="0" r="0" b="0"/>
                      <wp:wrapNone/>
                      <wp:docPr id="607" name="Frame60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566420" cy="175260"/>
                      <wp:effectExtent l="0" t="0" r="0" b="0"/>
                      <wp:wrapNone/>
                      <wp:docPr id="608" name="Frame608"/>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36220" cy="175260"/>
                      <wp:effectExtent l="0" t="0" r="0" b="0"/>
                      <wp:wrapNone/>
                      <wp:docPr id="609" name="Frame609"/>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53035" cy="175260"/>
                      <wp:effectExtent l="0" t="0" r="0" b="0"/>
                      <wp:wrapNone/>
                      <wp:docPr id="610" name="Frame61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566420" cy="175260"/>
                      <wp:effectExtent l="0" t="0" r="0" b="0"/>
                      <wp:wrapNone/>
                      <wp:docPr id="611" name="Frame611"/>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07010" cy="175260"/>
                      <wp:effectExtent l="0" t="0" r="0" b="0"/>
                      <wp:wrapNone/>
                      <wp:docPr id="612" name="Frame6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49225" cy="175260"/>
                      <wp:effectExtent l="0" t="0" r="0" b="0"/>
                      <wp:wrapNone/>
                      <wp:docPr id="613" name="Frame61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565150" cy="175260"/>
                      <wp:effectExtent l="0" t="0" r="0" b="0"/>
                      <wp:wrapNone/>
                      <wp:docPr id="614" name="Frame614"/>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07010" cy="175260"/>
                      <wp:effectExtent l="0" t="0" r="0" b="0"/>
                      <wp:wrapNone/>
                      <wp:docPr id="615" name="Frame6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315595" cy="175260"/>
                      <wp:effectExtent l="0" t="0" r="0" b="0"/>
                      <wp:wrapNone/>
                      <wp:docPr id="616" name="Frame616"/>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66065" cy="175260"/>
                      <wp:effectExtent l="0" t="0" r="0" b="0"/>
                      <wp:wrapNone/>
                      <wp:docPr id="617" name="Frame617"/>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2" w:type="dxa"/>
            <w:tcBorders/>
            <w:vAlign w:val="center"/>
          </w:tcPr>
          <w:p>
            <w:pPr>
              <w:pStyle w:val="TableContents"/>
              <w:bidi w:val="0"/>
              <w:spacing w:lineRule="auto" w:line="285" w:before="0" w:after="0"/>
              <w:ind w:left="0" w:right="0" w:hanging="0"/>
              <w:jc w:val="center"/>
              <w:rPr/>
            </w:pPr>
            <w:r>
              <w:rPr/>
              <w:t>    </w:t>
            </w:r>
          </w:p>
        </w:tc>
        <w:tc>
          <w:tcPr>
            <w:tcW w:w="11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and manufacturing related activities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109,540</w:t>
            </w:r>
          </w:p>
        </w:tc>
        <w:tc>
          <w:tcPr>
            <w:tcW w:w="372" w:type="dxa"/>
            <w:tcBorders/>
            <w:shd w:fill="CCEEFF" w:val="clear"/>
            <w:vAlign w:val="center"/>
          </w:tcPr>
          <w:p>
            <w:pPr>
              <w:pStyle w:val="TableContents"/>
              <w:bidi w:val="0"/>
              <w:spacing w:lineRule="auto" w:line="285" w:before="0" w:after="0"/>
              <w:ind w:left="0" w:right="0" w:hanging="0"/>
              <w:jc w:val="left"/>
              <w:rPr/>
            </w:pPr>
            <w:r>
              <w:rPr/>
              <w:t> </w:t>
            </w:r>
          </w:p>
        </w:tc>
        <w:tc>
          <w:tcPr>
            <w:tcW w:w="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149,193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(39,653)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109"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 </w:t>
            </w:r>
          </w:p>
        </w:tc>
        <w:tc>
          <w:tcPr>
            <w:tcW w:w="8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83,384</w:t>
            </w:r>
          </w:p>
        </w:tc>
        <w:tc>
          <w:tcPr>
            <w:tcW w:w="372" w:type="dxa"/>
            <w:tcBorders/>
            <w:vAlign w:val="center"/>
          </w:tcPr>
          <w:p>
            <w:pPr>
              <w:pStyle w:val="TableContents"/>
              <w:bidi w:val="0"/>
              <w:spacing w:lineRule="auto" w:line="285" w:before="0" w:after="0"/>
              <w:ind w:left="0" w:right="0" w:hanging="0"/>
              <w:jc w:val="left"/>
              <w:rPr/>
            </w:pPr>
            <w:r>
              <w:rPr/>
              <w:t> </w:t>
            </w:r>
          </w:p>
        </w:tc>
        <w:tc>
          <w:tcPr>
            <w:tcW w:w="241" w:type="dxa"/>
            <w:tcBorders/>
            <w:vAlign w:val="center"/>
          </w:tcPr>
          <w:p>
            <w:pPr>
              <w:pStyle w:val="TableContents"/>
              <w:bidi w:val="0"/>
              <w:spacing w:lineRule="auto" w:line="285" w:before="0" w:after="0"/>
              <w:ind w:left="0" w:right="0" w:hanging="0"/>
              <w:jc w:val="right"/>
              <w:rPr/>
            </w:pPr>
            <w:r>
              <w:rPr/>
              <w:t>​</w:t>
            </w:r>
          </w:p>
        </w:tc>
        <w:tc>
          <w:tcPr>
            <w:tcW w:w="8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71,307</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12,077</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Early drug discovery and platform</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pPr>
            <w:r>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55,551</w:t>
            </w:r>
          </w:p>
        </w:tc>
        <w:tc>
          <w:tcPr>
            <w:tcW w:w="372" w:type="dxa"/>
            <w:tcBorders/>
            <w:shd w:fill="CCEEFF" w:val="clear"/>
            <w:vAlign w:val="center"/>
          </w:tcPr>
          <w:p>
            <w:pPr>
              <w:pStyle w:val="TableContents"/>
              <w:bidi w:val="0"/>
              <w:spacing w:lineRule="auto" w:line="285" w:before="0" w:after="0"/>
              <w:ind w:left="0" w:right="0" w:hanging="0"/>
              <w:jc w:val="left"/>
              <w:rPr/>
            </w:pPr>
            <w:r>
              <w:rPr/>
              <w:t> </w:t>
            </w:r>
          </w:p>
        </w:tc>
        <w:tc>
          <w:tcPr>
            <w:tcW w:w="241" w:type="dxa"/>
            <w:tcBorders/>
            <w:shd w:fill="CCEEFF" w:val="clear"/>
            <w:vAlign w:val="center"/>
          </w:tcPr>
          <w:p>
            <w:pPr>
              <w:pStyle w:val="TableContents"/>
              <w:bidi w:val="0"/>
              <w:spacing w:lineRule="auto" w:line="285" w:before="0" w:after="0"/>
              <w:ind w:left="0" w:right="0" w:hanging="0"/>
              <w:jc w:val="left"/>
              <w:rPr/>
            </w:pPr>
            <w:r>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58,609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(3,058)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 </w:t>
            </w:r>
          </w:p>
        </w:tc>
        <w:tc>
          <w:tcPr>
            <w:tcW w:w="8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31,513</w:t>
            </w:r>
          </w:p>
        </w:tc>
        <w:tc>
          <w:tcPr>
            <w:tcW w:w="372" w:type="dxa"/>
            <w:tcBorders/>
            <w:vAlign w:val="center"/>
          </w:tcPr>
          <w:p>
            <w:pPr>
              <w:pStyle w:val="TableContents"/>
              <w:bidi w:val="0"/>
              <w:spacing w:lineRule="auto" w:line="285" w:before="0" w:after="0"/>
              <w:ind w:left="0" w:right="0" w:hanging="0"/>
              <w:jc w:val="left"/>
              <w:rPr/>
            </w:pPr>
            <w:r>
              <w:rPr/>
              <w:t> </w:t>
            </w:r>
          </w:p>
        </w:tc>
        <w:tc>
          <w:tcPr>
            <w:tcW w:w="241" w:type="dxa"/>
            <w:tcBorders/>
            <w:vAlign w:val="center"/>
          </w:tcPr>
          <w:p>
            <w:pPr>
              <w:pStyle w:val="TableContents"/>
              <w:bidi w:val="0"/>
              <w:spacing w:lineRule="auto" w:line="285" w:before="0" w:after="0"/>
              <w:ind w:left="0" w:right="0" w:hanging="0"/>
              <w:jc w:val="right"/>
              <w:rPr/>
            </w:pPr>
            <w:r>
              <w:rPr/>
              <w:t>​</w:t>
            </w:r>
          </w:p>
        </w:tc>
        <w:tc>
          <w:tcPr>
            <w:tcW w:w="8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30,548</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pPr>
            <w:r>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22,255</w:t>
            </w:r>
          </w:p>
        </w:tc>
        <w:tc>
          <w:tcPr>
            <w:tcW w:w="372" w:type="dxa"/>
            <w:tcBorders/>
            <w:shd w:fill="CCEEFF" w:val="clear"/>
            <w:vAlign w:val="center"/>
          </w:tcPr>
          <w:p>
            <w:pPr>
              <w:pStyle w:val="TableContents"/>
              <w:bidi w:val="0"/>
              <w:spacing w:lineRule="auto" w:line="285" w:before="0" w:after="0"/>
              <w:ind w:left="0" w:right="0" w:hanging="0"/>
              <w:jc w:val="left"/>
              <w:rPr/>
            </w:pPr>
            <w:r>
              <w:rPr/>
              <w:t> </w:t>
            </w:r>
          </w:p>
        </w:tc>
        <w:tc>
          <w:tcPr>
            <w:tcW w:w="241" w:type="dxa"/>
            <w:tcBorders/>
            <w:shd w:fill="CCEEFF" w:val="clear"/>
            <w:vAlign w:val="center"/>
          </w:tcPr>
          <w:p>
            <w:pPr>
              <w:pStyle w:val="TableContents"/>
              <w:bidi w:val="0"/>
              <w:spacing w:lineRule="auto" w:line="285" w:before="0" w:after="0"/>
              <w:ind w:left="0" w:right="0" w:hanging="0"/>
              <w:jc w:val="right"/>
              <w:rPr/>
            </w:pPr>
            <w:r>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25,320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(3,065)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109"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8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25,454</w:t>
            </w:r>
          </w:p>
        </w:tc>
        <w:tc>
          <w:tcPr>
            <w:tcW w:w="372" w:type="dxa"/>
            <w:tcBorders/>
            <w:vAlign w:val="center"/>
          </w:tcPr>
          <w:p>
            <w:pPr>
              <w:pStyle w:val="TableContents"/>
              <w:bidi w:val="0"/>
              <w:spacing w:lineRule="auto" w:line="285" w:before="0" w:after="0"/>
              <w:ind w:left="0" w:right="0" w:hanging="0"/>
              <w:jc w:val="left"/>
              <w:rPr/>
            </w:pPr>
            <w:r>
              <w:rPr/>
              <w:t> </w:t>
            </w:r>
          </w:p>
        </w:tc>
        <w:tc>
          <w:tcPr>
            <w:tcW w:w="241" w:type="dxa"/>
            <w:tcBorders/>
            <w:vAlign w:val="center"/>
          </w:tcPr>
          <w:p>
            <w:pPr>
              <w:pStyle w:val="TableContents"/>
              <w:bidi w:val="0"/>
              <w:spacing w:lineRule="auto" w:line="285" w:before="0" w:after="0"/>
              <w:ind w:left="0" w:right="0" w:hanging="0"/>
              <w:jc w:val="right"/>
              <w:rPr/>
            </w:pPr>
            <w:r>
              <w:rPr/>
              <w:t>​</w:t>
            </w:r>
          </w:p>
        </w:tc>
        <w:tc>
          <w:tcPr>
            <w:tcW w:w="8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21,037</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4,417</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2,487</w:t>
            </w:r>
          </w:p>
        </w:tc>
        <w:tc>
          <w:tcPr>
            <w:tcW w:w="372" w:type="dxa"/>
            <w:tcBorders/>
            <w:shd w:fill="CCEEFF" w:val="clear"/>
            <w:vAlign w:val="center"/>
          </w:tcPr>
          <w:p>
            <w:pPr>
              <w:pStyle w:val="TableContents"/>
              <w:bidi w:val="0"/>
              <w:spacing w:lineRule="auto" w:line="285"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vAlign w:val="center"/>
          </w:tcPr>
          <w:p>
            <w:pPr>
              <w:pStyle w:val="TableContents"/>
              <w:bidi w:val="0"/>
              <w:spacing w:lineRule="auto" w:line="285"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330,184</w:t>
            </w:r>
          </w:p>
        </w:tc>
        <w:tc>
          <w:tcPr>
            <w:tcW w:w="372" w:type="dxa"/>
            <w:tcBorders/>
            <w:vAlign w:val="center"/>
          </w:tcPr>
          <w:p>
            <w:pPr>
              <w:pStyle w:val="TableContents"/>
              <w:bidi w:val="0"/>
              <w:spacing w:lineRule="auto" w:line="285" w:before="0" w:after="0"/>
              <w:ind w:left="0" w:right="0" w:hanging="0"/>
              <w:jc w:val="left"/>
              <w:rPr/>
            </w:pPr>
            <w:r>
              <w:rPr/>
              <w:t> </w:t>
            </w:r>
          </w:p>
        </w:tc>
        <w:tc>
          <w:tcPr>
            <w:tcW w:w="24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359,579</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(29,395)</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1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 decreased for the nine months ended September 30, 2023 as compared to the nine months ended September 30, 2022 primarily due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$39.7 million in clinical and manufacturing related activities primarily due to our focused approach towards optimizing operational efficiency across our portfolio while executing across our top priority programs, the timing of manufacturing of clinical trial materials and decreased activities related to pralsetinib clinical studies; offset by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$12.1 million in compensation and related expenses driven by increased headcount to support the progression of our pipeline. </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sales, general and administrative expenses during the nine months ended September 30, 2023 and 2022 (in thousands):</w:t>
      </w:r>
    </w:p>
    <w:tbl>
      <w:tblPr>
        <w:tblW w:w="9461" w:type="dxa"/>
        <w:jc w:val="left"/>
        <w:tblInd w:w="0" w:type="dxa"/>
        <w:tblLayout w:type="fixed"/>
        <w:tblCellMar>
          <w:top w:w="0" w:type="dxa"/>
          <w:left w:w="0" w:type="dxa"/>
          <w:bottom w:w="0" w:type="dxa"/>
          <w:right w:w="0" w:type="dxa"/>
        </w:tblCellMar>
      </w:tblPr>
      <w:tblGrid>
        <w:gridCol w:w="4021"/>
        <w:gridCol w:w="109"/>
        <w:gridCol w:w="241"/>
        <w:gridCol w:w="892"/>
        <w:gridCol w:w="372"/>
        <w:gridCol w:w="241"/>
        <w:gridCol w:w="892"/>
        <w:gridCol w:w="326"/>
        <w:gridCol w:w="263"/>
        <w:gridCol w:w="862"/>
        <w:gridCol w:w="326"/>
        <w:gridCol w:w="458"/>
        <w:gridCol w:w="458"/>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553335" cy="175260"/>
                      <wp:effectExtent l="0" t="0" r="0" b="0"/>
                      <wp:wrapNone/>
                      <wp:docPr id="618" name="Frame618"/>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9215" cy="175260"/>
                      <wp:effectExtent l="0" t="0" r="0" b="0"/>
                      <wp:wrapNone/>
                      <wp:docPr id="619" name="Frame6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53035" cy="175260"/>
                      <wp:effectExtent l="0" t="0" r="0" b="0"/>
                      <wp:wrapNone/>
                      <wp:docPr id="620" name="Frame62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566420" cy="175260"/>
                      <wp:effectExtent l="0" t="0" r="0" b="0"/>
                      <wp:wrapNone/>
                      <wp:docPr id="621" name="Frame621"/>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36220" cy="175260"/>
                      <wp:effectExtent l="0" t="0" r="0" b="0"/>
                      <wp:wrapNone/>
                      <wp:docPr id="622" name="Frame62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53035" cy="175260"/>
                      <wp:effectExtent l="0" t="0" r="0" b="0"/>
                      <wp:wrapNone/>
                      <wp:docPr id="623" name="Frame62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66420" cy="175260"/>
                      <wp:effectExtent l="0" t="0" r="0" b="0"/>
                      <wp:wrapNone/>
                      <wp:docPr id="624" name="Frame624"/>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07010" cy="175260"/>
                      <wp:effectExtent l="0" t="0" r="0" b="0"/>
                      <wp:wrapNone/>
                      <wp:docPr id="625" name="Frame6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67005" cy="175260"/>
                      <wp:effectExtent l="0" t="0" r="0" b="0"/>
                      <wp:wrapNone/>
                      <wp:docPr id="626" name="Frame62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547370" cy="175260"/>
                      <wp:effectExtent l="0" t="0" r="0" b="0"/>
                      <wp:wrapNone/>
                      <wp:docPr id="627" name="Frame627"/>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07010" cy="175260"/>
                      <wp:effectExtent l="0" t="0" r="0" b="0"/>
                      <wp:wrapNone/>
                      <wp:docPr id="628" name="Frame6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90830" cy="175260"/>
                      <wp:effectExtent l="0" t="0" r="0" b="0"/>
                      <wp:wrapNone/>
                      <wp:docPr id="629" name="Frame629"/>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90830" cy="175260"/>
                      <wp:effectExtent l="0" t="0" r="0" b="0"/>
                      <wp:wrapNone/>
                      <wp:docPr id="630" name="Frame630"/>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2" w:type="dxa"/>
            <w:tcBorders/>
            <w:vAlign w:val="center"/>
          </w:tcPr>
          <w:p>
            <w:pPr>
              <w:pStyle w:val="TableContents"/>
              <w:bidi w:val="0"/>
              <w:spacing w:lineRule="auto" w:line="285" w:before="0" w:after="0"/>
              <w:ind w:left="0" w:right="0" w:hanging="0"/>
              <w:jc w:val="center"/>
              <w:rPr/>
            </w:pPr>
            <w:r>
              <w:rPr/>
              <w:t>    </w:t>
            </w:r>
          </w:p>
        </w:tc>
        <w:tc>
          <w:tcPr>
            <w:tcW w:w="11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90,872</w:t>
            </w:r>
          </w:p>
        </w:tc>
        <w:tc>
          <w:tcPr>
            <w:tcW w:w="372" w:type="dxa"/>
            <w:tcBorders/>
            <w:shd w:fill="CCEEFF" w:val="clear"/>
            <w:vAlign w:val="center"/>
          </w:tcPr>
          <w:p>
            <w:pPr>
              <w:pStyle w:val="TableContents"/>
              <w:bidi w:val="0"/>
              <w:spacing w:lineRule="auto" w:line="285" w:before="0" w:after="0"/>
              <w:ind w:left="0" w:right="0" w:hanging="0"/>
              <w:jc w:val="left"/>
              <w:rPr/>
            </w:pPr>
            <w:r>
              <w:rPr/>
              <w:t> </w:t>
            </w:r>
          </w:p>
        </w:tc>
        <w:tc>
          <w:tcPr>
            <w:tcW w:w="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63,601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27,271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5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 </w:t>
            </w:r>
          </w:p>
        </w:tc>
        <w:tc>
          <w:tcPr>
            <w:tcW w:w="8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38,575</w:t>
            </w:r>
          </w:p>
        </w:tc>
        <w:tc>
          <w:tcPr>
            <w:tcW w:w="372" w:type="dxa"/>
            <w:tcBorders/>
            <w:vAlign w:val="center"/>
          </w:tcPr>
          <w:p>
            <w:pPr>
              <w:pStyle w:val="TableContents"/>
              <w:bidi w:val="0"/>
              <w:spacing w:lineRule="auto" w:line="285" w:before="0" w:after="0"/>
              <w:ind w:left="0" w:right="0" w:hanging="0"/>
              <w:jc w:val="left"/>
              <w:rPr/>
            </w:pPr>
            <w:r>
              <w:rPr/>
              <w:t> </w:t>
            </w:r>
          </w:p>
        </w:tc>
        <w:tc>
          <w:tcPr>
            <w:tcW w:w="241" w:type="dxa"/>
            <w:tcBorders/>
            <w:vAlign w:val="center"/>
          </w:tcPr>
          <w:p>
            <w:pPr>
              <w:pStyle w:val="TableContents"/>
              <w:bidi w:val="0"/>
              <w:spacing w:lineRule="auto" w:line="285" w:before="0" w:after="0"/>
              <w:ind w:left="0" w:right="0" w:hanging="0"/>
              <w:jc w:val="right"/>
              <w:rPr/>
            </w:pPr>
            <w:r>
              <w:rPr/>
              <w:t>​</w:t>
            </w:r>
          </w:p>
        </w:tc>
        <w:tc>
          <w:tcPr>
            <w:tcW w:w="8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42,307</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(3,732)</w:t>
            </w:r>
          </w:p>
        </w:tc>
        <w:tc>
          <w:tcPr>
            <w:tcW w:w="326" w:type="dxa"/>
            <w:tcBorders/>
            <w:vAlign w:val="center"/>
          </w:tcPr>
          <w:p>
            <w:pPr>
              <w:pStyle w:val="TableContents"/>
              <w:bidi w:val="0"/>
              <w:spacing w:lineRule="auto" w:line="285" w:before="0" w:after="0"/>
              <w:ind w:left="0" w:right="0" w:hanging="0"/>
              <w:jc w:val="left"/>
              <w:rPr/>
            </w:pPr>
            <w:r>
              <w:rPr/>
              <w:t> </w:t>
            </w:r>
          </w:p>
        </w:tc>
        <w:tc>
          <w:tcPr>
            <w:tcW w:w="4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58"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Commercial and related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pPr>
            <w:r>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34,489</w:t>
            </w:r>
          </w:p>
        </w:tc>
        <w:tc>
          <w:tcPr>
            <w:tcW w:w="372" w:type="dxa"/>
            <w:tcBorders/>
            <w:shd w:fill="CCEEFF" w:val="clear"/>
            <w:vAlign w:val="center"/>
          </w:tcPr>
          <w:p>
            <w:pPr>
              <w:pStyle w:val="TableContents"/>
              <w:bidi w:val="0"/>
              <w:spacing w:lineRule="auto" w:line="285" w:before="0" w:after="0"/>
              <w:ind w:left="0" w:right="0" w:hanging="0"/>
              <w:jc w:val="left"/>
              <w:rPr/>
            </w:pPr>
            <w:r>
              <w:rPr/>
              <w:t> </w:t>
            </w:r>
          </w:p>
        </w:tc>
        <w:tc>
          <w:tcPr>
            <w:tcW w:w="241" w:type="dxa"/>
            <w:tcBorders/>
            <w:shd w:fill="CCEEFF" w:val="clear"/>
            <w:vAlign w:val="center"/>
          </w:tcPr>
          <w:p>
            <w:pPr>
              <w:pStyle w:val="TableContents"/>
              <w:bidi w:val="0"/>
              <w:spacing w:lineRule="auto" w:line="285" w:before="0" w:after="0"/>
              <w:ind w:left="0" w:right="0" w:hanging="0"/>
              <w:jc w:val="right"/>
              <w:rPr/>
            </w:pPr>
            <w:r>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24,299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10,190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58"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109"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 </w:t>
            </w:r>
          </w:p>
        </w:tc>
        <w:tc>
          <w:tcPr>
            <w:tcW w:w="8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30,067</w:t>
            </w:r>
          </w:p>
        </w:tc>
        <w:tc>
          <w:tcPr>
            <w:tcW w:w="372" w:type="dxa"/>
            <w:tcBorders/>
            <w:vAlign w:val="center"/>
          </w:tcPr>
          <w:p>
            <w:pPr>
              <w:pStyle w:val="TableContents"/>
              <w:bidi w:val="0"/>
              <w:spacing w:lineRule="auto" w:line="285" w:before="0" w:after="0"/>
              <w:ind w:left="0" w:right="0" w:hanging="0"/>
              <w:jc w:val="left"/>
              <w:rPr/>
            </w:pPr>
            <w:r>
              <w:rPr/>
              <w:t> </w:t>
            </w:r>
          </w:p>
        </w:tc>
        <w:tc>
          <w:tcPr>
            <w:tcW w:w="241" w:type="dxa"/>
            <w:tcBorders/>
            <w:vAlign w:val="center"/>
          </w:tcPr>
          <w:p>
            <w:pPr>
              <w:pStyle w:val="TableContents"/>
              <w:bidi w:val="0"/>
              <w:spacing w:lineRule="auto" w:line="285" w:before="0" w:after="0"/>
              <w:ind w:left="0" w:right="0" w:hanging="0"/>
              <w:jc w:val="right"/>
              <w:rPr/>
            </w:pPr>
            <w:r>
              <w:rPr/>
              <w:t>​</w:t>
            </w:r>
          </w:p>
        </w:tc>
        <w:tc>
          <w:tcPr>
            <w:tcW w:w="8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25,118</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4,949</w:t>
            </w:r>
          </w:p>
        </w:tc>
        <w:tc>
          <w:tcPr>
            <w:tcW w:w="326" w:type="dxa"/>
            <w:tcBorders/>
            <w:vAlign w:val="center"/>
          </w:tcPr>
          <w:p>
            <w:pPr>
              <w:pStyle w:val="TableContents"/>
              <w:bidi w:val="0"/>
              <w:spacing w:lineRule="auto" w:line="285" w:before="0" w:after="0"/>
              <w:ind w:left="0" w:right="0" w:hanging="0"/>
              <w:jc w:val="left"/>
              <w:rPr/>
            </w:pPr>
            <w:r>
              <w:rPr/>
              <w:t> </w:t>
            </w:r>
          </w:p>
        </w:tc>
        <w:tc>
          <w:tcPr>
            <w:tcW w:w="4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58"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pPr>
            <w:r>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10,184</w:t>
            </w:r>
          </w:p>
        </w:tc>
        <w:tc>
          <w:tcPr>
            <w:tcW w:w="372" w:type="dxa"/>
            <w:tcBorders/>
            <w:shd w:fill="CCEEFF" w:val="clear"/>
            <w:vAlign w:val="center"/>
          </w:tcPr>
          <w:p>
            <w:pPr>
              <w:pStyle w:val="TableContents"/>
              <w:bidi w:val="0"/>
              <w:spacing w:lineRule="auto" w:line="285" w:before="0" w:after="0"/>
              <w:ind w:left="0" w:right="0" w:hanging="0"/>
              <w:jc w:val="left"/>
              <w:rPr/>
            </w:pPr>
            <w:r>
              <w:rPr/>
              <w:t> </w:t>
            </w:r>
          </w:p>
        </w:tc>
        <w:tc>
          <w:tcPr>
            <w:tcW w:w="241" w:type="dxa"/>
            <w:tcBorders/>
            <w:shd w:fill="CCEEFF" w:val="clear"/>
            <w:vAlign w:val="center"/>
          </w:tcPr>
          <w:p>
            <w:pPr>
              <w:pStyle w:val="TableContents"/>
              <w:bidi w:val="0"/>
              <w:spacing w:lineRule="auto" w:line="285" w:before="0" w:after="0"/>
              <w:ind w:left="0" w:right="0" w:hanging="0"/>
              <w:jc w:val="left"/>
              <w:rPr/>
            </w:pPr>
            <w:r>
              <w:rPr/>
              <w:t>​</w:t>
            </w:r>
          </w:p>
        </w:tc>
        <w:tc>
          <w:tcPr>
            <w:tcW w:w="8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8,453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58"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lineRule="auto" w:line="285"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11,639</w:t>
            </w:r>
          </w:p>
        </w:tc>
        <w:tc>
          <w:tcPr>
            <w:tcW w:w="372" w:type="dxa"/>
            <w:tcBorders/>
            <w:vAlign w:val="center"/>
          </w:tcPr>
          <w:p>
            <w:pPr>
              <w:pStyle w:val="TableContents"/>
              <w:bidi w:val="0"/>
              <w:spacing w:lineRule="auto" w:line="285" w:before="0" w:after="0"/>
              <w:ind w:left="0" w:right="0" w:hanging="0"/>
              <w:jc w:val="left"/>
              <w:rPr/>
            </w:pPr>
            <w:r>
              <w:rPr/>
              <w:t> </w:t>
            </w:r>
          </w:p>
        </w:tc>
        <w:tc>
          <w:tcPr>
            <w:tcW w:w="2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9,576</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2,063</w:t>
            </w:r>
          </w:p>
        </w:tc>
        <w:tc>
          <w:tcPr>
            <w:tcW w:w="326" w:type="dxa"/>
            <w:tcBorders/>
            <w:vAlign w:val="center"/>
          </w:tcPr>
          <w:p>
            <w:pPr>
              <w:pStyle w:val="TableContents"/>
              <w:bidi w:val="0"/>
              <w:spacing w:lineRule="auto" w:line="285" w:before="0" w:after="0"/>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sales, general and administrative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215,826</w:t>
            </w:r>
          </w:p>
        </w:tc>
        <w:tc>
          <w:tcPr>
            <w:tcW w:w="372" w:type="dxa"/>
            <w:tcBorders/>
            <w:shd w:fill="CCEEFF" w:val="clear"/>
            <w:vAlign w:val="center"/>
          </w:tcPr>
          <w:p>
            <w:pPr>
              <w:pStyle w:val="TableContents"/>
              <w:bidi w:val="0"/>
              <w:spacing w:lineRule="auto" w:line="285"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173,354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42,472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Selling, general and administrative expense increased for the nine months ended September 30, 2023 as compared to the nine months ended September 30, 2022 primarily due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$27.3 million in compensation and related expenses driven by increased headcount in our sales force to support our commercial activities related to indolent SM launch;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$10.2 million in commercial and related activities primarily related to the expansion of our commercial infrastructure for commercialization of AYVAKIT/AYVAKYT.</w:t>
            </w:r>
          </w:p>
        </w:tc>
      </w:tr>
    </w:tbl>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interest expense, net, during the nine months ended September 30, 2023 and 2022 (in thousands):</w:t>
      </w:r>
    </w:p>
    <w:tbl>
      <w:tblPr>
        <w:tblW w:w="7258" w:type="dxa"/>
        <w:jc w:val="left"/>
        <w:tblInd w:w="0" w:type="dxa"/>
        <w:tblLayout w:type="fixed"/>
        <w:tblCellMar>
          <w:top w:w="0" w:type="dxa"/>
          <w:left w:w="0" w:type="dxa"/>
          <w:bottom w:w="0" w:type="dxa"/>
          <w:right w:w="0" w:type="dxa"/>
        </w:tblCellMar>
      </w:tblPr>
      <w:tblGrid>
        <w:gridCol w:w="1771"/>
        <w:gridCol w:w="109"/>
        <w:gridCol w:w="238"/>
        <w:gridCol w:w="898"/>
        <w:gridCol w:w="367"/>
        <w:gridCol w:w="238"/>
        <w:gridCol w:w="898"/>
        <w:gridCol w:w="326"/>
        <w:gridCol w:w="260"/>
        <w:gridCol w:w="911"/>
        <w:gridCol w:w="326"/>
        <w:gridCol w:w="523"/>
        <w:gridCol w:w="393"/>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124585" cy="175260"/>
                      <wp:effectExtent l="0" t="0" r="0" b="0"/>
                      <wp:wrapNone/>
                      <wp:docPr id="631" name="Frame63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9215" cy="175260"/>
                      <wp:effectExtent l="0" t="0" r="0" b="0"/>
                      <wp:wrapNone/>
                      <wp:docPr id="632" name="Frame6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51130" cy="175260"/>
                      <wp:effectExtent l="0" t="0" r="0" b="0"/>
                      <wp:wrapNone/>
                      <wp:docPr id="633" name="Frame63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570230" cy="175260"/>
                      <wp:effectExtent l="0" t="0" r="0" b="0"/>
                      <wp:wrapNone/>
                      <wp:docPr id="634" name="Frame63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33045" cy="175260"/>
                      <wp:effectExtent l="0" t="0" r="0" b="0"/>
                      <wp:wrapNone/>
                      <wp:docPr id="635" name="Frame63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51130" cy="175260"/>
                      <wp:effectExtent l="0" t="0" r="0" b="0"/>
                      <wp:wrapNone/>
                      <wp:docPr id="636" name="Frame63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570230" cy="175260"/>
                      <wp:effectExtent l="0" t="0" r="0" b="0"/>
                      <wp:wrapNone/>
                      <wp:docPr id="637" name="Frame63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07010" cy="175260"/>
                      <wp:effectExtent l="0" t="0" r="0" b="0"/>
                      <wp:wrapNone/>
                      <wp:docPr id="638" name="Frame6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65100" cy="175260"/>
                      <wp:effectExtent l="0" t="0" r="0" b="0"/>
                      <wp:wrapNone/>
                      <wp:docPr id="639" name="Frame63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578485" cy="175260"/>
                      <wp:effectExtent l="0" t="0" r="0" b="0"/>
                      <wp:wrapNone/>
                      <wp:docPr id="640" name="Frame640"/>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07010" cy="175260"/>
                      <wp:effectExtent l="0" t="0" r="0" b="0"/>
                      <wp:wrapNone/>
                      <wp:docPr id="641" name="Frame6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332105" cy="175260"/>
                      <wp:effectExtent l="0" t="0" r="0" b="0"/>
                      <wp:wrapNone/>
                      <wp:docPr id="642" name="Frame642"/>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49555" cy="175260"/>
                      <wp:effectExtent l="0" t="0" r="0" b="0"/>
                      <wp:wrapNone/>
                      <wp:docPr id="643" name="Frame643"/>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3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7" w:type="dxa"/>
            <w:tcBorders/>
            <w:vAlign w:val="center"/>
          </w:tcPr>
          <w:p>
            <w:pPr>
              <w:pStyle w:val="TableContents"/>
              <w:bidi w:val="0"/>
              <w:spacing w:lineRule="auto" w:line="285" w:before="0" w:after="0"/>
              <w:ind w:left="0" w:right="0" w:hanging="0"/>
              <w:jc w:val="center"/>
              <w:rPr/>
            </w:pPr>
            <w:r>
              <w:rPr/>
              <w:t>    </w:t>
            </w:r>
          </w:p>
        </w:tc>
        <w:tc>
          <w:tcPr>
            <w:tcW w:w="113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22,978</w:t>
            </w:r>
          </w:p>
        </w:tc>
        <w:tc>
          <w:tcPr>
            <w:tcW w:w="367" w:type="dxa"/>
            <w:tcBorders/>
            <w:shd w:fill="CCEEFF" w:val="clear"/>
            <w:vAlign w:val="center"/>
          </w:tcPr>
          <w:p>
            <w:pPr>
              <w:pStyle w:val="TableContents"/>
              <w:bidi w:val="0"/>
              <w:spacing w:lineRule="auto" w:line="285" w:before="0" w:after="0"/>
              <w:ind w:left="0" w:right="0" w:hanging="0"/>
              <w:jc w:val="left"/>
              <w:rPr/>
            </w:pPr>
            <w:r>
              <w:rPr/>
              <w:t> </w:t>
            </w:r>
          </w:p>
        </w:tc>
        <w:tc>
          <w:tcPr>
            <w:tcW w:w="2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19,154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7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(36,602)</w:t>
            </w:r>
          </w:p>
        </w:tc>
        <w:tc>
          <w:tcPr>
            <w:tcW w:w="367" w:type="dxa"/>
            <w:tcBorders/>
            <w:vAlign w:val="center"/>
          </w:tcPr>
          <w:p>
            <w:pPr>
              <w:pStyle w:val="TableContents"/>
              <w:bidi w:val="0"/>
              <w:spacing w:lineRule="auto" w:line="285" w:before="0" w:after="0"/>
              <w:ind w:left="0" w:right="0" w:hanging="0"/>
              <w:jc w:val="left"/>
              <w:rPr/>
            </w:pPr>
            <w:r>
              <w:rPr/>
              <w:t> </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(11,351)</w:t>
            </w:r>
          </w:p>
        </w:tc>
        <w:tc>
          <w:tcPr>
            <w:tcW w:w="326" w:type="dxa"/>
            <w:tcBorders/>
            <w:vAlign w:val="center"/>
          </w:tcPr>
          <w:p>
            <w:pPr>
              <w:pStyle w:val="TableContents"/>
              <w:bidi w:val="0"/>
              <w:spacing w:lineRule="auto" w:line="285" w:before="0" w:after="0"/>
              <w:ind w:left="0" w:right="0" w:hanging="0"/>
              <w:jc w:val="left"/>
              <w:rPr/>
            </w:pPr>
            <w:r>
              <w:rPr/>
              <w:t> </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(25,251)</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(13,624)</w:t>
            </w:r>
          </w:p>
        </w:tc>
        <w:tc>
          <w:tcPr>
            <w:tcW w:w="367" w:type="dxa"/>
            <w:tcBorders/>
            <w:shd w:fill="CCEEFF" w:val="clear"/>
            <w:vAlign w:val="center"/>
          </w:tcPr>
          <w:p>
            <w:pPr>
              <w:pStyle w:val="TableContents"/>
              <w:bidi w:val="0"/>
              <w:spacing w:lineRule="auto" w:line="285" w:before="0" w:after="0"/>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(7,527)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(6,097)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Interest expense, net, increased for the nine months ended September 30, 2023 as compared to the nine months ended September 30, 2022 primarily due to the interest charges on the liability related to the sale of future revenues and the term loan with Sixth Street Partners. The increase in interest expense was partially offset by higher interest income earned on the Company’s investments during the nine months ended September 30, 2023 as compared to the nine months ended September 30, 2022.</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other income (expense), net, during the nine months ended September 30, 2023 and 2022 (in thousands):</w:t>
      </w:r>
    </w:p>
    <w:tbl>
      <w:tblPr>
        <w:tblW w:w="7872" w:type="dxa"/>
        <w:jc w:val="left"/>
        <w:tblInd w:w="0" w:type="dxa"/>
        <w:tblLayout w:type="fixed"/>
        <w:tblCellMar>
          <w:top w:w="0" w:type="dxa"/>
          <w:left w:w="0" w:type="dxa"/>
          <w:bottom w:w="0" w:type="dxa"/>
          <w:right w:w="0" w:type="dxa"/>
        </w:tblCellMar>
      </w:tblPr>
      <w:tblGrid>
        <w:gridCol w:w="2386"/>
        <w:gridCol w:w="109"/>
        <w:gridCol w:w="325"/>
        <w:gridCol w:w="835"/>
        <w:gridCol w:w="503"/>
        <w:gridCol w:w="325"/>
        <w:gridCol w:w="650"/>
        <w:gridCol w:w="326"/>
        <w:gridCol w:w="357"/>
        <w:gridCol w:w="814"/>
        <w:gridCol w:w="326"/>
        <w:gridCol w:w="552"/>
        <w:gridCol w:w="364"/>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515110" cy="175260"/>
                      <wp:effectExtent l="0" t="0" r="0" b="0"/>
                      <wp:wrapNone/>
                      <wp:docPr id="644" name="Frame644"/>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9215" cy="175260"/>
                      <wp:effectExtent l="0" t="0" r="0" b="0"/>
                      <wp:wrapNone/>
                      <wp:docPr id="645" name="Frame6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06375" cy="175260"/>
                      <wp:effectExtent l="0" t="0" r="0" b="0"/>
                      <wp:wrapNone/>
                      <wp:docPr id="646" name="Frame646"/>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530225" cy="175260"/>
                      <wp:effectExtent l="0" t="0" r="0" b="0"/>
                      <wp:wrapNone/>
                      <wp:docPr id="647" name="Frame647"/>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319405" cy="175260"/>
                      <wp:effectExtent l="0" t="0" r="0" b="0"/>
                      <wp:wrapNone/>
                      <wp:docPr id="648" name="Frame648"/>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6375" cy="175260"/>
                      <wp:effectExtent l="0" t="0" r="0" b="0"/>
                      <wp:wrapNone/>
                      <wp:docPr id="649" name="Frame649"/>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412750" cy="175260"/>
                      <wp:effectExtent l="0" t="0" r="0" b="0"/>
                      <wp:wrapNone/>
                      <wp:docPr id="650" name="Frame650"/>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07010" cy="175260"/>
                      <wp:effectExtent l="0" t="0" r="0" b="0"/>
                      <wp:wrapNone/>
                      <wp:docPr id="651" name="Frame6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26695" cy="175260"/>
                      <wp:effectExtent l="0" t="0" r="0" b="0"/>
                      <wp:wrapNone/>
                      <wp:docPr id="652" name="Frame65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516890" cy="175260"/>
                      <wp:effectExtent l="0" t="0" r="0" b="0"/>
                      <wp:wrapNone/>
                      <wp:docPr id="653" name="Frame653"/>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07010" cy="175260"/>
                      <wp:effectExtent l="0" t="0" r="0" b="0"/>
                      <wp:wrapNone/>
                      <wp:docPr id="654" name="Frame6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350520" cy="175260"/>
                      <wp:effectExtent l="0" t="0" r="0" b="0"/>
                      <wp:wrapNone/>
                      <wp:docPr id="655" name="Frame655"/>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31140" cy="175260"/>
                      <wp:effectExtent l="0" t="0" r="0" b="0"/>
                      <wp:wrapNone/>
                      <wp:docPr id="656" name="Frame656"/>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81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03" w:type="dxa"/>
            <w:tcBorders/>
            <w:vAlign w:val="center"/>
          </w:tcPr>
          <w:p>
            <w:pPr>
              <w:pStyle w:val="TableContents"/>
              <w:bidi w:val="0"/>
              <w:spacing w:lineRule="auto" w:line="285" w:before="0" w:after="0"/>
              <w:ind w:left="0" w:right="0" w:hanging="0"/>
              <w:jc w:val="center"/>
              <w:rPr/>
            </w:pPr>
            <w:r>
              <w:rPr/>
              <w:t>    </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503" w:type="dxa"/>
            <w:tcBorders/>
            <w:shd w:fill="CCEEFF" w:val="clear"/>
            <w:vAlign w:val="center"/>
          </w:tcPr>
          <w:p>
            <w:pPr>
              <w:pStyle w:val="TableContents"/>
              <w:bidi w:val="0"/>
              <w:spacing w:lineRule="auto" w:line="285" w:before="0" w:after="0"/>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expense, net, increased for the nine months ended September 30, 2023 as compared to the nine months ended September 30, 2022 primarily due to a decrease in other income and an increase in foreign exchange losses.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September 30, 2022, we recorded other income from a transfer of pre-launch inventory to a third party, whereas no such other income was recorded during the nine months ended September 30, 2023.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income tax expense during the nine months ended September 30, 2023 and 2022 (in thousands):</w:t>
      </w:r>
    </w:p>
    <w:tbl>
      <w:tblPr>
        <w:tblW w:w="7213" w:type="dxa"/>
        <w:jc w:val="left"/>
        <w:tblInd w:w="0" w:type="dxa"/>
        <w:tblLayout w:type="fixed"/>
        <w:tblCellMar>
          <w:top w:w="0" w:type="dxa"/>
          <w:left w:w="0" w:type="dxa"/>
          <w:bottom w:w="0" w:type="dxa"/>
          <w:right w:w="0" w:type="dxa"/>
        </w:tblCellMar>
      </w:tblPr>
      <w:tblGrid>
        <w:gridCol w:w="1726"/>
        <w:gridCol w:w="109"/>
        <w:gridCol w:w="320"/>
        <w:gridCol w:w="639"/>
        <w:gridCol w:w="494"/>
        <w:gridCol w:w="320"/>
        <w:gridCol w:w="866"/>
        <w:gridCol w:w="326"/>
        <w:gridCol w:w="293"/>
        <w:gridCol w:w="878"/>
        <w:gridCol w:w="326"/>
        <w:gridCol w:w="497"/>
        <w:gridCol w:w="419"/>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096010" cy="175260"/>
                      <wp:effectExtent l="0" t="0" r="0" b="0"/>
                      <wp:wrapNone/>
                      <wp:docPr id="657" name="Frame65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9215" cy="175260"/>
                      <wp:effectExtent l="0" t="0" r="0" b="0"/>
                      <wp:wrapNone/>
                      <wp:docPr id="658" name="Frame6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3200" cy="175260"/>
                      <wp:effectExtent l="0" t="0" r="0" b="0"/>
                      <wp:wrapNone/>
                      <wp:docPr id="659" name="Frame65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405765" cy="175260"/>
                      <wp:effectExtent l="0" t="0" r="0" b="0"/>
                      <wp:wrapNone/>
                      <wp:docPr id="660" name="Frame660"/>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313690" cy="175260"/>
                      <wp:effectExtent l="0" t="0" r="0" b="0"/>
                      <wp:wrapNone/>
                      <wp:docPr id="661" name="Frame661"/>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03200" cy="175260"/>
                      <wp:effectExtent l="0" t="0" r="0" b="0"/>
                      <wp:wrapNone/>
                      <wp:docPr id="662" name="Frame66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549910" cy="175260"/>
                      <wp:effectExtent l="0" t="0" r="0" b="0"/>
                      <wp:wrapNone/>
                      <wp:docPr id="663" name="Frame663"/>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07010" cy="175260"/>
                      <wp:effectExtent l="0" t="0" r="0" b="0"/>
                      <wp:wrapNone/>
                      <wp:docPr id="664" name="Frame6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86055" cy="175260"/>
                      <wp:effectExtent l="0" t="0" r="0" b="0"/>
                      <wp:wrapNone/>
                      <wp:docPr id="665" name="Frame665"/>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557530" cy="175260"/>
                      <wp:effectExtent l="0" t="0" r="0" b="0"/>
                      <wp:wrapNone/>
                      <wp:docPr id="666" name="Frame66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07010" cy="175260"/>
                      <wp:effectExtent l="0" t="0" r="0" b="0"/>
                      <wp:wrapNone/>
                      <wp:docPr id="667" name="Frame6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315595" cy="175260"/>
                      <wp:effectExtent l="0" t="0" r="0" b="0"/>
                      <wp:wrapNone/>
                      <wp:docPr id="668" name="Frame668"/>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66065" cy="175260"/>
                      <wp:effectExtent l="0" t="0" r="0" b="0"/>
                      <wp:wrapNone/>
                      <wp:docPr id="669" name="Frame669"/>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5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94" w:type="dxa"/>
            <w:tcBorders/>
            <w:vAlign w:val="center"/>
          </w:tcPr>
          <w:p>
            <w:pPr>
              <w:pStyle w:val="TableContents"/>
              <w:bidi w:val="0"/>
              <w:spacing w:lineRule="auto" w:line="285" w:before="0" w:after="0"/>
              <w:ind w:left="0" w:right="0" w:hanging="0"/>
              <w:jc w:val="center"/>
              <w:rPr/>
            </w:pPr>
            <w:r>
              <w:rPr/>
              <w:t>    </w:t>
            </w:r>
          </w:p>
        </w:tc>
        <w:tc>
          <w:tcPr>
            <w:tcW w:w="11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494" w:type="dxa"/>
            <w:tcBorders/>
            <w:shd w:fill="CCEEFF" w:val="clear"/>
            <w:vAlign w:val="center"/>
          </w:tcPr>
          <w:p>
            <w:pPr>
              <w:pStyle w:val="TableContents"/>
              <w:bidi w:val="0"/>
              <w:spacing w:lineRule="auto" w:line="285" w:before="0" w:after="0"/>
              <w:ind w:left="0" w:right="0" w:hanging="0"/>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(3,293)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Income tax expense decreased for the nine months ended September 30, 2023 as compared to the nine months ended September 30, 2022 primarily due to the Company’s estimated taxable loss position for the year ended December 31, 2023, whereas, during the nine months ended September 30, 2022, the Company was in estimated taxable income position for the calendar year ended December 31, 2022 due to the cash considerations received under the royalty purchase agreement and the purchase and sale agreement entered into with Royalty Pharma and Sixth Street Partners in June 2022.</w:t>
      </w:r>
    </w:p>
    <w:p>
      <w:pPr>
        <w:pStyle w:val="TextBody"/>
        <w:bidi w:val="0"/>
        <w:spacing w:lineRule="auto" w:line="285" w:before="0" w:after="1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through public offerings of our common stock, private placements of our convertible preferred and common stock, collaborations and license agreements, future royalty and revenue monetization, and a term loan. Through September 30, 2023, we have received an aggregate of $3.7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and $250.0 million in gross proceeds from a term loan from Sixth Street Partners. In addition, since January 2020, we have also generated revenue through the sales of our approved drug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we had cash, cash equivalents and marketable securities of $827.2 million.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Cash Flows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regarding our cash flows for the nine months ended September 30, 2023 and 2022:</w:t>
      </w:r>
    </w:p>
    <w:tbl>
      <w:tblPr>
        <w:tblW w:w="8532" w:type="dxa"/>
        <w:jc w:val="left"/>
        <w:tblInd w:w="0" w:type="dxa"/>
        <w:tblLayout w:type="fixed"/>
        <w:tblCellMar>
          <w:top w:w="0" w:type="dxa"/>
          <w:left w:w="0" w:type="dxa"/>
          <w:bottom w:w="0" w:type="dxa"/>
          <w:right w:w="0" w:type="dxa"/>
        </w:tblCellMar>
      </w:tblPr>
      <w:tblGrid>
        <w:gridCol w:w="5611"/>
        <w:gridCol w:w="326"/>
        <w:gridCol w:w="211"/>
        <w:gridCol w:w="901"/>
        <w:gridCol w:w="326"/>
        <w:gridCol w:w="211"/>
        <w:gridCol w:w="946"/>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3562985" cy="175260"/>
                      <wp:effectExtent l="0" t="0" r="0" b="0"/>
                      <wp:wrapNone/>
                      <wp:docPr id="670" name="Frame670"/>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07010" cy="175260"/>
                      <wp:effectExtent l="0" t="0" r="0" b="0"/>
                      <wp:wrapNone/>
                      <wp:docPr id="671" name="Frame6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33985" cy="175260"/>
                      <wp:effectExtent l="0" t="0" r="0" b="0"/>
                      <wp:wrapNone/>
                      <wp:docPr id="672" name="Frame6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572135" cy="175260"/>
                      <wp:effectExtent l="0" t="0" r="0" b="0"/>
                      <wp:wrapNone/>
                      <wp:docPr id="673" name="Frame67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07010" cy="175260"/>
                      <wp:effectExtent l="0" t="0" r="0" b="0"/>
                      <wp:wrapNone/>
                      <wp:docPr id="674" name="Frame6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33985" cy="175260"/>
                      <wp:effectExtent l="0" t="0" r="0" b="0"/>
                      <wp:wrapNone/>
                      <wp:docPr id="675" name="Frame6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00710" cy="175260"/>
                      <wp:effectExtent l="0" t="0" r="0" b="0"/>
                      <wp:wrapNone/>
                      <wp:docPr id="676" name="Frame67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61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(357,919)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(380,872)</w:t>
            </w:r>
          </w:p>
        </w:tc>
      </w:tr>
      <w:tr>
        <w:trPr/>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195,271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(96,258)</w:t>
            </w:r>
          </w:p>
        </w:tc>
      </w:tr>
      <w:tr>
        <w:trPr/>
        <w:tc>
          <w:tcPr>
            <w:tcW w:w="5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103,697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559,319</w:t>
            </w:r>
          </w:p>
        </w:tc>
      </w:tr>
      <w:tr>
        <w:trPr/>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(58,951)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82,189</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Net Cash Used in Operating Activities. </w:t>
      </w:r>
      <w:r>
        <w:rPr>
          <w:rFonts w:ascii="Times New Roman;Times;serif" w:hAnsi="Times New Roman;Times;serif"/>
          <w:sz w:val="20"/>
        </w:rPr>
        <w:t xml:space="preserve">For the nine months ended September 30, 2023, compared to the same period in 2022, the $23.0 million decrease in net cash used in operating activities was primarily due to an increase in non-cash adjustments of $24.2 million and a decrease in net loss of $2.8 million, partially offset by the changes in our operating assets and liabilities of $4.1 million. The changes in non-cash adjustments were primarily due to the $27.5 million non-cash customer consideration related to our IDRx License Agreement that was executed during the nine months ended September 30, 2022, partially offset by the increase of $12.4 million in the net accretion of discounts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related to our investments in marketable securities. The changes in net cash flows related to changes in our operating assets and liabilities were generally due to timing of vendor invoices and payments.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Net Cash Provided by (Used in) Investing Activities. </w:t>
      </w:r>
      <w:r>
        <w:rPr>
          <w:rFonts w:ascii="Times New Roman;Times;serif" w:hAnsi="Times New Roman;Times;serif"/>
          <w:sz w:val="20"/>
        </w:rPr>
        <w:t>For the nine months ended September 30, 2023, compared to the same period in 2022, the $291.5 million increase in net cash provided by investing activities was primarily due to the $295.2 million increase in net proceeds received from maturities of our investments in marketable securities.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Net Cash Provided by Financing Activities.</w:t>
      </w:r>
      <w:r>
        <w:rPr>
          <w:rFonts w:ascii="Times New Roman;Times;serif" w:hAnsi="Times New Roman;Times;serif"/>
          <w:sz w:val="20"/>
        </w:rPr>
        <w:t xml:space="preserve"> For the nine months ended September 30, 2023, compared to the same period in 2022, the $455.6 million decrease in net cash provided by financing activities was primarily due to the $415.8 million in net proceeds provided by the sale of future royalties and future revenues during the nine months ended September 30, 2022 and the $39.8 million decrease in net proceeds provided by the term loan facility.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Debt Financing</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In June 2022, we entered into a Royalty Purchase Agreement with Royalty Pharma. Pursuant to the Royalty Purchase Agreement, we received an upfront payment of $175.0 million in consideration for our rights to receive royalty payments on the net sales of GAVRETO worldwide excluding the CStone Territory and U.S. territory under the terms of the Roche pralsetinib collaboration agreement. Net proceeds from the transaction were recorded as liabilities related to sale of future royalties and revenues on the consolidated balance sheet and as of September 30, 2023, the net carrying value of the liability related to this arrangement was $175.3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we closed a Future Revenue Purchase Agreement with Sixth Street Partners and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September 30, 2023, the net carrying value of the liability related to this arrangement was $264.9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In addition, we may at any time request an incremental term loan in an amount not to exceed $260.0 million on terms to be agreed and subject to the consent of the lenders providing such incremental term loan. As of September 30, 2023, the net carrying value of the term loan was $238.4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obligations under the Financing Agreement are secured, subject to certain exceptions, by security interests in the substantially all of our assets and our certain subsidiaries. The Financing Agreement contains negative covenants that, among other things and subject to certain exceptions, could restrict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(i) $50.0 million during the period commencing from the date on which the term loans are funded to the date which is the day before the next term loans are funded and (ii) $80.0 million for each day thereafter. 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Funding Requirements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expect variability in our expenses in connection with our ongoing activities, particularly as we continue the research and development of, initiate or continue clinical trials of, and seek marketing approval for our drug candidates.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As of September 30, 2023, we had cash, cash equivalents and marketable securities of $827.2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Our future capital requirements will depend on and may increase as a result of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commercialization efforts and market acceptance for AYVAKIT/AYVAKYT or any of our current or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maintaining, expanding or contracting for sales, marketing and distribution capabilities in connection with commercialization of AYVAKIT/AYVAKYT and any of our current or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purchasing quantities of agents for use in our clinical trials in connection with our efforts to develop our drugs and drug candidates, including for development as combination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drug discovery, preclinical development, laboratory testing and clinical trials for our approved drugs and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marketing applications for our drug candidates, to the extent these expenses are not the responsibility of our collaboration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collaborations with CStone, Zai Lab and Proteovant and our license agreements with Clementia and IDRx, as well as our ability to establish and maintain additional collaborations, partnerships or licenses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occurrence of other developments that trigger payments under our existing collaboration or license agreements, our financing arrangements, or any collaboration, partnership, financing or license agreements that we may enter into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are obligated to reimburse, or entitled to reimbursement of, research and development, clinical or other costs under future collaboration agreements,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approved drugs, drug candidates or technologies and the terms of any such arrangements;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 and</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continuing to expand our operations.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and achieve substantial revenues for any of our drugs or drug candidates that receive marketing approval. In addition, our drugs and any current or future drug candidates that receive marketing approvals may not achieve commercial success. Accordingly, we may need to rely on additional financing to achieve our business objectives. Adequate additional financing may not be available to us on acceptable terms, or at all.</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Until we can generate material net cash inflows from our operations, we may choose to finance our cash needs primarily through a combination of public and private equity offerings, debt financings, future revenue monetizations, collaborations, strategic alliances and licensing arrangements. We do not have any committed external sources of funds, other than our collaborations with CStone and Zai Lab, the license agreements with Clementia and IDRx, the Royalty Purchase Agreement with Royalty Pharma, and the Financing Agreement with Sixth Street Partners,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 </w:t>
      </w:r>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Our contractual obligations primarily consist of our obligations under non-cancellable operating leases and unconditional purchase obligations related to certain commercial manufacturing agreements. </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September 30, 2023, there was a decrease of $7.3 million in our contractual obligations described under “Management’s Discussion and Analysis of Financial Condition and Results of Operations” included in the Annual Report on Form 10-K for the year ended December 31, 2022. </w:t>
      </w:r>
    </w:p>
    <w:p>
      <w:pPr>
        <w:pStyle w:val="TextBody"/>
        <w:bidi w:val="0"/>
        <w:spacing w:lineRule="auto" w:line="285" w:before="0" w:after="240"/>
        <w:ind w:left="0" w:right="0" w:hanging="0"/>
        <w:jc w:val="left"/>
        <w:rPr>
          <w:rFonts w:ascii="Times New Roman;Times;serif" w:hAnsi="Times New Roman;Times;serif"/>
          <w:b/>
          <w:sz w:val="20"/>
        </w:rPr>
      </w:pPr>
      <w:bookmarkStart w:id="1313" w:name="Quantitative_675574"/>
      <w:bookmarkStart w:id="1314" w:name="_1cba4399_93bd_4228_b1f2_c297cc72f401"/>
      <w:bookmarkEnd w:id="1313"/>
      <w:bookmarkEnd w:id="1314"/>
      <w:r>
        <w:rPr>
          <w:rFonts w:ascii="Times New Roman;Times;serif" w:hAnsi="Times New Roman;Times;serif"/>
          <w:b/>
          <w:sz w:val="20"/>
        </w:rPr>
        <w:t>Item 3. Quantitative and Qualitative Disclosures About Market Risk</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As of September 30, 2023 and December 31, 2022, we had cash, cash equivalents and marketable securities of $827.2 million and $1,078.5 million, respectively, consisting primarily of money market funds and investments in U.S. government agency and treasury obligations.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primary exposure to market risk is interest rate sensitivity, which is affected by changes in the general level of U.S. interest rates resulting from the Federal Reserve’s raising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also exposed to market risk related to changes in foreign currency exchange rates, including recent changes resulting from monetary policy from the U.S. and international central banks, inflationary pressures, and geopolitical developments, or instability or volatility in the global markets</w:t>
      </w:r>
      <w:r>
        <w:rPr>
          <w:rFonts w:ascii="Times New Roman;Times;serif" w:hAnsi="Times New Roman;Times;serif"/>
          <w:sz w:val="24"/>
        </w:rPr>
        <w:t xml:space="preserve">. </w:t>
      </w:r>
      <w:r>
        <w:rPr>
          <w:rFonts w:ascii="Times New Roman;Times;serif" w:hAnsi="Times New Roman;Times;serif"/>
          <w:sz w:val="20"/>
        </w:rPr>
        <w:t>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September 30, 2023 and December 31, 2022, we held limited funds and future obligations denominated in foreign currencies.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three and nine months ended September 30, 2023. However, if inflation remains at current levels for an extended period of time, or increases, our costs are likely to increase, which may negatively impact our margins and cash flows.</w:t>
      </w:r>
    </w:p>
    <w:p>
      <w:pPr>
        <w:pStyle w:val="TextBody"/>
        <w:bidi w:val="0"/>
        <w:spacing w:lineRule="auto" w:line="285" w:before="0" w:after="240"/>
        <w:ind w:left="0" w:right="0" w:hanging="0"/>
        <w:jc w:val="left"/>
        <w:rPr>
          <w:rFonts w:ascii="Times New Roman;Times;serif" w:hAnsi="Times New Roman;Times;serif"/>
          <w:b/>
          <w:sz w:val="20"/>
        </w:rPr>
      </w:pPr>
      <w:bookmarkStart w:id="1315" w:name="ControlsandProcedures_819554"/>
      <w:bookmarkStart w:id="1316" w:name="_3ea7e387_8185_4d26_b6b7_fe8db2d8c864"/>
      <w:bookmarkEnd w:id="1315"/>
      <w:bookmarkEnd w:id="1316"/>
      <w:r>
        <w:rPr>
          <w:rFonts w:ascii="Times New Roman;Times;serif" w:hAnsi="Times New Roman;Times;serif"/>
          <w:b/>
          <w:sz w:val="20"/>
        </w:rPr>
        <w:t>Item 4. Controls and Procedures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Management’s Evaluation of our Disclosure Controls and Procedures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(our principal executive officer and principal financial officer, respectively), evaluated the effectiveness of our disclosure controls and procedures as of September 30, 2023. Based upon such evaluation, our Chief Executive Officer and Chief Financial Officer have concluded that, as of September 30, 2023, our disclosure controls and procedures were effective at the reasonable assurance level.</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fiscal quarter covered by this report that materially affected, or are reasonably likely to materially affect, our internal control over financial reporting.</w:t>
      </w:r>
    </w:p>
    <w:p>
      <w:pPr>
        <w:pStyle w:val="TextBody"/>
        <w:bidi w:val="0"/>
        <w:spacing w:lineRule="auto" w:line="285" w:before="120" w:after="0"/>
        <w:ind w:left="0" w:right="0" w:hanging="0"/>
        <w:jc w:val="center"/>
        <w:rPr>
          <w:rFonts w:ascii="Times New Roman;Times;serif" w:hAnsi="Times New Roman;Times;serif"/>
          <w:b/>
          <w:caps/>
          <w:sz w:val="20"/>
        </w:rPr>
      </w:pPr>
      <w:bookmarkStart w:id="1317" w:name="PARTII_568397"/>
      <w:bookmarkStart w:id="1318" w:name="_07058cb0_09f7_4497_92f8_fd48be27812f"/>
      <w:bookmarkEnd w:id="1317"/>
      <w:bookmarkEnd w:id="1318"/>
      <w:r>
        <w:rPr>
          <w:rFonts w:ascii="Times New Roman;Times;serif" w:hAnsi="Times New Roman;Times;serif"/>
          <w:b/>
          <w:caps/>
          <w:sz w:val="20"/>
        </w:rPr>
        <w:t>Part II – OTHER INFORMATION</w:t>
      </w:r>
    </w:p>
    <w:p>
      <w:pPr>
        <w:pStyle w:val="TextBody"/>
        <w:bidi w:val="0"/>
        <w:spacing w:lineRule="auto" w:line="285" w:before="12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319" w:name="LegalProceedings_161281"/>
      <w:bookmarkStart w:id="1320" w:name="_0537f994_a0f8_4a3a_89d3_2684e8161899"/>
      <w:bookmarkEnd w:id="1319"/>
      <w:bookmarkEnd w:id="1320"/>
      <w:r>
        <w:rPr>
          <w:rFonts w:ascii="Times New Roman;Times;serif" w:hAnsi="Times New Roman;Times;serif"/>
          <w:b/>
          <w:sz w:val="20"/>
        </w:rPr>
        <w:t>Item 1. Legal Proceedings</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not currently a party to any material legal proceedings, nor are we aware of any governmental proceedings involving potential monetary sanctions of $300,000 or more. </w:t>
      </w:r>
    </w:p>
    <w:p>
      <w:pPr>
        <w:pStyle w:val="TextBody"/>
        <w:pBdr/>
        <w:shd w:fill="FFFFFF" w:val="clear"/>
        <w:bidi w:val="0"/>
        <w:spacing w:lineRule="auto" w:line="285" w:before="0" w:after="0"/>
        <w:ind w:left="0" w:right="0" w:hanging="0"/>
        <w:jc w:val="left"/>
        <w:rPr>
          <w:rFonts w:ascii="Times New Roman;Times;serif" w:hAnsi="Times New Roman;Times;serif"/>
          <w:sz w:val="20"/>
        </w:rPr>
      </w:pPr>
      <w:bookmarkStart w:id="1321" w:name="Item1ARiskFactors"/>
      <w:bookmarkStart w:id="1322" w:name="_676db9f3_6bee_4c61_9908_f456303d956f"/>
      <w:bookmarkEnd w:id="1321"/>
      <w:bookmarkEnd w:id="1322"/>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shd w:fill="FFFFFF" w:val="clear"/>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 xml:space="preserve">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discussion of some of the forward-looking statements that are qualified by these risk factors. If any of the following risks occur, our business, financial condition, results of operations and future growth prospects could be materially and adversely affected.</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 Factor Summary</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growing as a commercial company and the marketing and sale of AYVAKIT® (avapritinib) (marketed in Europe under the brand name AYVAKYT®), GAVRETO® (pralsetinib) or any future approved drugs may be unsuccessful or less successful than anticipated.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our current and future drugs will depend upon the degree of market acceptance by physicians, patients, third-party payors and others in the medical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substantial competition, which may result in our commercial opportunity being reduced or limited by others commercializing, developing or discovering drugs before or more successfully than we do.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lawsuits against us could cause us to incur substantial liabilities and could limit commercialization of any of our approved drugs or drug candidates that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obtain regulatory approval for our drug candidates (including for avapritinib in additional geographies, particularly for indolent SM in geographies outside of the U.S.) and ultimately commercialize them, or experience significant delays in doing so, our business may be materially harmed.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or difficulties in the enrollment of patients in clinical trials, our receipt of necessary regulatory approvals could be delayed or prevented.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our efforts to expand our pipeline of drug candidates.</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comply with comprehensive and ongoing regulatory requirements for any of our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since our inception and anticipate that we will incur continued losses for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their intellectual property rights, the outcome of which would be uncertain and could have a material adverse effect on the success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common stock has been and may in the future be volatile and fluctuate substantially.</w:t>
            </w:r>
          </w:p>
        </w:tc>
      </w:tr>
    </w:tbl>
    <w:p>
      <w:pPr>
        <w:pStyle w:val="TextBody"/>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Commercialization</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We are in the process of growing as a commercial company and the marketing and sale of AYVAKIT/AYVAKYT, GAVRETO or any future approved drugs may be unsuccessful or less successful than anticipated.</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two approved precision therapies, AYVAKIT/AYVAKYT and GAVRETO. While we have been commercializing AYVAKIT in the U.S. and AYVAKYT in Europe and co-commercializing GAVRETO with Roche in the U.S., we only have several years’ experience as a commercial company, and we have a limited track record demonstrating our ability to successfully overcome the many of the risks and uncertainties encountered by companies commercializing drugs in the biopharmaceutical industry. Marketing applications for avapritinib and pralsetinib are currently under review or planned in the U.S. or globally. To execute our business plan, in addition to successfully marketing and selling our approved drugs, we will need to successfully:</w:t>
      </w:r>
    </w:p>
    <w:p>
      <w:pPr>
        <w:pStyle w:val="TextBody"/>
        <w:bidi w:val="0"/>
        <w:spacing w:lineRule="auto" w:line="285" w:before="0" w:after="240"/>
        <w:ind w:left="1080" w:right="0" w:hanging="0"/>
        <w:jc w:val="left"/>
        <w:rPr/>
      </w:pPr>
      <w:r>
        <w:rPr/>
        <w:t>●</w:t>
      </w:r>
      <w:r>
        <w:rPr>
          <w:rFonts w:ascii="Times New Roman;Times;serif" w:hAnsi="Times New Roman;Times;serif"/>
          <w:sz w:val="20"/>
        </w:rPr>
        <w:t>establish and maintain our relationships with healthcare providers who will be treating patients who may receive our drugs and any future drugs;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obtain and maintain adequate pricing and reimbursement for AYVAKIT/AYVAKYT and any future drugs;</w:t>
      </w:r>
    </w:p>
    <w:p>
      <w:pPr>
        <w:pStyle w:val="TextBody"/>
        <w:bidi w:val="0"/>
        <w:spacing w:lineRule="auto" w:line="285" w:before="0" w:after="240"/>
        <w:ind w:left="1080" w:right="0" w:hanging="0"/>
        <w:jc w:val="left"/>
        <w:rPr/>
      </w:pPr>
      <w:r>
        <w:rPr/>
        <w:t>●</w:t>
      </w:r>
      <w:r>
        <w:rPr>
          <w:rFonts w:ascii="Times New Roman;Times;serif" w:hAnsi="Times New Roman;Times;serif"/>
          <w:sz w:val="20"/>
        </w:rPr>
        <w:t>gain regulatory acceptance for the development and commercialization of current or future drug candidates in our pipeline, including for additional indications or in additional geographies for marketed drugs in our portfolio;</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maintain our existing collaborations with CStone Pharmaceuticals, or CStone, and Zai Lab; </w:t>
      </w:r>
    </w:p>
    <w:p>
      <w:pPr>
        <w:pStyle w:val="TextBody"/>
        <w:bidi w:val="0"/>
        <w:spacing w:lineRule="auto" w:line="285" w:before="0" w:after="240"/>
        <w:ind w:left="1080" w:right="0" w:hanging="0"/>
        <w:jc w:val="left"/>
        <w:rPr/>
      </w:pPr>
      <w:r>
        <w:rPr/>
        <w:t>●</w:t>
      </w:r>
      <w:r>
        <w:rPr>
          <w:rFonts w:ascii="Times New Roman;Times;serif" w:hAnsi="Times New Roman;Times;serif"/>
          <w:sz w:val="20"/>
        </w:rPr>
        <w:t>expand our global operations or enter into collaboration, partnerships or distribution arrangements in geographies where we may not have current operations or expertise; and</w:t>
      </w:r>
    </w:p>
    <w:p>
      <w:pPr>
        <w:pStyle w:val="TextBody"/>
        <w:bidi w:val="0"/>
        <w:spacing w:lineRule="auto" w:line="285"/>
        <w:ind w:left="1080" w:right="0" w:hanging="0"/>
        <w:jc w:val="left"/>
        <w:rPr/>
      </w:pPr>
      <w:r>
        <w:rPr/>
        <w:t>●</w:t>
      </w:r>
      <w:r>
        <w:rPr>
          <w:rFonts w:ascii="Times New Roman;Times;serif" w:hAnsi="Times New Roman;Times;serif"/>
          <w:sz w:val="20"/>
        </w:rPr>
        <w:t>manage our spending as costs and expenses increase due to clinical trials, marketing approvals, and commercialization.</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If we are unsuccessful in accomplishing these objectives, we may not be able to successfully commercialize our current or future approved drugs, develop current or future drug candidates, expand our business or continue our operations.</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The commercial success of AYVAKIT/AYVAKYT and GAVRETO, as well as any other drugs that we may bring to the market, will depend upon the degree of market acceptance by physicians, patients, third-party payors and others in the medical community.</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tbl>
      <w:tblPr>
        <w:tblW w:w="6606" w:type="dxa"/>
        <w:jc w:val="left"/>
        <w:tblInd w:w="0" w:type="dxa"/>
        <w:shd w:fill="FFFFFF" w:val="clear"/>
        <w:tblLayout w:type="fixed"/>
        <w:tblCellMar>
          <w:top w:w="28" w:type="dxa"/>
          <w:left w:w="28" w:type="dxa"/>
          <w:bottom w:w="28" w:type="dxa"/>
          <w:right w:w="28" w:type="dxa"/>
        </w:tblCellMar>
      </w:tblPr>
      <w:tblGrid>
        <w:gridCol w:w="124"/>
        <w:gridCol w:w="256"/>
        <w:gridCol w:w="622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efficacy and potential advantages over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 including any limitations or warnings contained in the drug’s approved labeling;</w:t>
            </w:r>
          </w:p>
        </w:tc>
      </w:tr>
    </w:tbl>
    <w:p>
      <w:pPr>
        <w:pStyle w:val="TextBody"/>
        <w:bidi w:val="0"/>
        <w:spacing w:lineRule="auto" w:line="285" w:before="0" w:after="240"/>
        <w:ind w:left="1080" w:right="0" w:hanging="0"/>
        <w:jc w:val="left"/>
        <w:rPr/>
      </w:pPr>
      <w:r>
        <w:rPr/>
        <w:t>●</w:t>
      </w:r>
      <w:r>
        <w:rPr>
          <w:rFonts w:ascii="Times New Roman;Times;serif" w:hAnsi="Times New Roman;Times;serif"/>
          <w:sz w:val="20"/>
        </w:rPr>
        <w:t>the relative convenience and ease of administration;</w:t>
      </w:r>
    </w:p>
    <w:p>
      <w:pPr>
        <w:pStyle w:val="TextBody"/>
        <w:bidi w:val="0"/>
        <w:spacing w:lineRule="auto" w:line="285" w:before="0" w:after="240"/>
        <w:ind w:left="1080" w:right="0" w:hanging="0"/>
        <w:jc w:val="left"/>
        <w:rPr/>
      </w:pPr>
      <w:r>
        <w:rPr/>
        <w:t>●</w:t>
      </w:r>
      <w:r>
        <w:rPr>
          <w:rFonts w:ascii="Times New Roman;Times;serif" w:hAnsi="Times New Roman;Times;serif"/>
          <w:sz w:val="20"/>
        </w:rPr>
        <w:t>the willingness of eligible patients to try new therapies and of physicians to prescribe these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the length of time that patients who are prescribed our drugs remain on treatment;</w:t>
      </w:r>
    </w:p>
    <w:p>
      <w:pPr>
        <w:pStyle w:val="TextBody"/>
        <w:bidi w:val="0"/>
        <w:spacing w:lineRule="auto" w:line="285" w:before="0" w:after="240"/>
        <w:ind w:left="1080" w:right="0" w:hanging="0"/>
        <w:jc w:val="left"/>
        <w:rPr/>
      </w:pPr>
      <w:r>
        <w:rPr/>
        <w:t>●</w:t>
      </w:r>
      <w:r>
        <w:rPr>
          <w:rFonts w:ascii="Times New Roman;Times;serif" w:hAnsi="Times New Roman;Times;serif"/>
          <w:sz w:val="20"/>
        </w:rPr>
        <w:t>the pricing of our drugs and any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publicity concerning our current and future drugs, or competing products and treatments; and</w:t>
      </w:r>
    </w:p>
    <w:p>
      <w:pPr>
        <w:pStyle w:val="TextBody"/>
        <w:bidi w:val="0"/>
        <w:spacing w:lineRule="auto" w:line="285"/>
        <w:ind w:left="1080" w:right="0" w:hanging="0"/>
        <w:jc w:val="left"/>
        <w:rPr/>
      </w:pPr>
      <w:r>
        <w:rPr/>
        <w:t>●</w:t>
      </w:r>
      <w:r>
        <w:rPr>
          <w:rFonts w:ascii="Times New Roman;Times;serif" w:hAnsi="Times New Roman;Times;serif"/>
          <w:sz w:val="20"/>
        </w:rPr>
        <w:t>sufficient third-party insurance coverage or reimbursement.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unable to establish additional commercial capabilities and infrastructure, we may be unable to generate sufficient revenue to sustain our business.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continue to build out our commercial capabilities and infrastructures and have been growing our sales and distribution experience and capabilities for marketing and market access. To successfully commercialize our approved 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 </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Factors that may inhibit our efforts to commercialize our drugs include:</w:t>
      </w:r>
    </w:p>
    <w:p>
      <w:pPr>
        <w:pStyle w:val="TextBody"/>
        <w:bidi w:val="0"/>
        <w:spacing w:lineRule="auto" w:line="285" w:before="0" w:after="240"/>
        <w:ind w:left="1080" w:right="0" w:hanging="0"/>
        <w:jc w:val="left"/>
        <w:rPr/>
      </w:pPr>
      <w:r>
        <w:rPr/>
        <w:t>●</w:t>
      </w:r>
      <w:r>
        <w:rPr>
          <w:rFonts w:ascii="Times New Roman;Times;serif" w:hAnsi="Times New Roman;Times;serif"/>
          <w:sz w:val="20"/>
        </w:rPr>
        <w:t>our inability to recruit, train and retain adequate numbers of sales and marketing personnel;</w:t>
      </w:r>
    </w:p>
    <w:p>
      <w:pPr>
        <w:pStyle w:val="TextBody"/>
        <w:bidi w:val="0"/>
        <w:spacing w:lineRule="auto" w:line="285" w:before="0" w:after="240"/>
        <w:ind w:left="1080" w:right="0" w:hanging="0"/>
        <w:jc w:val="left"/>
        <w:rPr/>
      </w:pPr>
      <w:r>
        <w:rPr/>
        <w:t>●</w:t>
      </w:r>
      <w:r>
        <w:rPr>
          <w:rFonts w:ascii="Times New Roman;Times;serif" w:hAnsi="Times New Roman;Times;serif"/>
          <w:sz w:val="20"/>
        </w:rPr>
        <w:t>the inability of sales personnel to obtain access to or to persuade adequate numbers of physicians to prescribe our drugs;</w:t>
      </w:r>
    </w:p>
    <w:p>
      <w:pPr>
        <w:pStyle w:val="TextBody"/>
        <w:bidi w:val="0"/>
        <w:spacing w:lineRule="auto" w:line="285" w:before="0" w:after="240"/>
        <w:ind w:left="1080" w:right="0" w:hanging="0"/>
        <w:jc w:val="left"/>
        <w:rPr/>
      </w:pPr>
      <w:r>
        <w:rPr/>
        <w:t>●</w:t>
      </w:r>
      <w:r>
        <w:rPr>
          <w:rFonts w:ascii="Times New Roman;Times;serif" w:hAnsi="Times New Roman;Times;serif"/>
          <w:sz w:val="20"/>
        </w:rPr>
        <w:t>unforeseen costs and expenses associated with maintaining an independent sales and marketing organization; and</w:t>
      </w:r>
    </w:p>
    <w:p>
      <w:pPr>
        <w:pStyle w:val="TextBody"/>
        <w:bidi w:val="0"/>
        <w:spacing w:lineRule="auto" w:line="285"/>
        <w:ind w:left="1080" w:right="0" w:hanging="0"/>
        <w:jc w:val="left"/>
        <w:rPr/>
      </w:pPr>
      <w:r>
        <w:rPr/>
        <w:t>●</w:t>
      </w:r>
      <w:r>
        <w:rPr>
          <w:rFonts w:ascii="Times New Roman;Times;serif" w:hAnsi="Times New Roman;Times;serif"/>
          <w:sz w:val="20"/>
        </w:rPr>
        <w:t>delays or disruptions to sales and marketing activities.</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precise incidence and/or prevalence for SM, chronic urticaria and other mast cell disorders, RET-altered cancers, EGFR-mutated NSCLC, CDK2-vulnerable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Accordingly, the incidence and/or prevalence of the diseases we aim to address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We face substantial competition, which may result in others commercializing, developing or discovering drugs before or more successfully than we do. </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AYVAKIT/AYVAKYT and elenestinib (BLU-263) face competition for advanced SM from Novartis AG’s midostaurin and imatinib, and may face competition from drug candidates in development, including that being developed by Cogent Biosciences, Inc. Avapritinib and elenestinib may face non-advanced SM competition from drug candidates in development, including those being developed by AB Science S.A., Allakos Inc., Celldex Therapeutics, Inc., Cogent Biosciences, Inc. and Invea Therapeutics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GAVRETO faces competition for RET fusion-positive NSCLC and RET fusion-positive thyroid cancer,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and Stemline Therapeutics, Inc., as well as several approved multi-kinase inhibitors with RET activity being evaluated in clinical trials, including alectinib, apatinib, cabozantinib, dovitinib, lenvatinib, sorafenib, sunitinib and vandetinib.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BLU-525 and BLU-945 for treatment-resistant EGFR-mutated NSCLC, which, if approved, will face competition from AstraZeneca plc’s osimertinib and aumolertinib, which is under collaboration between Jiangsu Hansoh Pharmaceutical Group Co., Ltd. and EQRx, Inc. and approved in China. In addition, BLU-525 and BLU-945 may face competition from drug candidates in development for EGFR-mutated NSCLC, including those being developed by Abbisko Therapeutics Co. Ltd, Shanghai Allist Pharmaceuticals Co. Ltd. (Allist), Arrivent Biopharma, Inc., Betta Pharmaceuticals Co. Ltd., Black Diamond Therapeutics, Inc., Boehringer Ingelheim RCV GmbH &amp; Co KG, Bridge Biotherapeutics, Inc., C4 Therapeutics, Inc., Daiichi Sankyo Company, Limited, Janssen Pharmaceuticals, Inc., J INTS Bio, Kanaph Therapeutics Inc., Qilu Pharmaceutical Co., Ltd., RedCloud Bio, Scorpion Therapeutics, Inc., Suzhou Junjing Biosciences, Suzhou Puhe Biopharma Co. Limited, Systimmune, Taiho Oncology, Therapex, Theseus Pharmaceuticals,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BLU-451 for NSCLC driven by EGFR exon 20 insertions or other rare, atypical mutations, which, if approved, will face competition from AstraZeneca plc’s osimertinib, Boehringer Ingelheim Pharmaceuticals’ afatinib, and Janssen Pharmaceuticals’s amivantamab. In addition, BLU-451 may face competition from drug candidates in development for NSCLC driven by EGFR exon 20 insertions or other rare, atypical mutations, including those being developed by Abbisko Therapeutics Co., Ltd., Allist Pharmaceuticals Co. Ltd., Arrivent Biopharma, Inc., Avistone, Bayer AG, Black Diamond Therapeutics, Cullinan Oncology, Inc., Daiichi Sankyo Company, Limited, Dizal Pharmaceutical Co. Ltd., Shenzhen Forward Pharmaceutical Co., Ltd., Huadong Medicine Co., Ltd., Shanghai Junshi Biosciences Co., Ltd., Oric Pharmaceuticals, Inc., Scorpion Therapeutics, Inc., Suzhou Puhe Biopharma Co. Limited, Taiho Oncology, and TYK Medicines, Inc.</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BLU-222 for cancers vulnerable to CDK2 inhibition, including CCNE1-aberrant cancers, which, if approved, will face competition from indication-specific therapies such as AstraZeneca and Daiichi Sankyo’s Enhertu, AstraZeneca and Merck’s olaparib, Clovis Oncology’s rucaparib, Eisai’s lenvatinib, Genentech’s bevacizumab, GSK’s niraparib, GSK’s dostarlimab, Menarini Group &amp; Stemline Therapeutics’ elacestrant, Merck’s pembrolizumab, and Novartis’ alpelisib. In addition, BLU-222 may face competition from drug candidates in development, including those being developed by Acrivon Therapeutics, Allorion Therapeutics, Inc., Anrui Biomedical Technology, Arvinas, AstraZeneca plc, Aucentra Therapeutics, BioTheryX, Inc., Cedilla Therapeutics, Inc., Cyclacel Pharmaceuticals Inc., Eli Lilly and Company, Exelixis, Gilead Sciences, Inc., IMPACT Therapeutics, Inc., Incyclix Bio, LLC, Incyte Corporation, Monte Rosa Therapeutics, Inc., Pfizer Inc., Plexium, Inc., Regor Therapeutics Inc., Relay Therapeutics, Inc., Repare Therapeutics, Inc., Satya Pharma Innovations Pvt. Ltd., and Zentalis Pharmaceuticals,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BLU-852 for advanced cancers susceptible to MAP4K1 inhibition, which, if approved, will face competition from immuno-oncology products, including those developed by Bristol-Myers Squibb Company, Merck &amp; Co., Inc., Regeneron Pharmaceuticals, Inc., Sanofi S.A., and AstraZeneca plc. In addition, BLU-852 may face competition from drug candidates in development for advanced cancers susceptible to MAP4K1 inhibition, including those being developed by 1st Biotherapeutics, Inc., BeiGene Ltd., Glenmark Pharmaceuticals Limited, MingMed Biotechnology Co., Ltd., Nimbus Therapeutics, LLC, Pfizer Inc., Regor Pharmaceuticals Inc., and Treadwell Therapeutics,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BLU-808 for chronic urticaria, which if approved, will face competition from other therapies, including omalizumab developed by Genentech and Novartis. In addition, BLU-808 may face competition from drug candidates in development for chronic urticaria, including those developed by Allakos Inc., Amgen Inc., AstraZeneca plc, Celldex Therapeutics, Inc., Escient Pharmaceuticals, Inc., Evommune, Inc, Incyte Corporation, Inmagene Biopharmaceuticals Co. Ltd., Jasper Therapeutics, Inc., Modulus Discovery Inc., Novartis AG, Regeneron Pharmaceuticals, Inc., Sanofi S.A., and Third Harmonic Bio,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Product liability lawsuits against us could cause us to incur substantial liabilities and could limit commercialization of any of our approved drugs or drug candidates that we may develop.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any of our approved drugs or drug candidates that we may develop and commercialize;</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significant negative media attention;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costs to defend the related litigation;</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and</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of approved drugs or drug candidates that we may develop.</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 </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Increasing demand for compassionate use of our drug candidates could negatively affect our reputation and harm our business.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and/or commercialize companion diagnostic tests with third parties, including for avapritinib in order to identify GIST patients with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PDGFRA D842V mutation, and pralsetinib in order to identify NSCLC patients with RET fusions.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including for avapritinib and pralsetinib,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pStyle w:val="TextBody"/>
        <w:bidi w:val="0"/>
        <w:spacing w:lineRule="auto" w:line="285" w:before="0" w:after="240"/>
        <w:ind w:left="1080" w:right="0" w:hanging="0"/>
        <w:jc w:val="left"/>
        <w:rPr/>
      </w:pPr>
      <w:r>
        <w:rPr/>
        <w:t>●</w:t>
      </w:r>
      <w:r>
        <w:rPr>
          <w:rFonts w:ascii="Times New Roman;Times;serif" w:hAnsi="Times New Roman;Times;serif"/>
          <w:sz w:val="20"/>
        </w:rPr>
        <w:t>may not perform their respective obligations as expected or as required under our agreements with them;</w:t>
      </w:r>
    </w:p>
    <w:p>
      <w:pPr>
        <w:pStyle w:val="TextBody"/>
        <w:bidi w:val="0"/>
        <w:spacing w:lineRule="auto" w:line="285" w:before="0" w:after="240"/>
        <w:ind w:left="1080" w:right="0" w:hanging="0"/>
        <w:jc w:val="left"/>
        <w:rPr/>
      </w:pPr>
      <w:r>
        <w:rPr/>
        <w:t>●</w:t>
      </w:r>
      <w:r>
        <w:rPr>
          <w:rFonts w:ascii="Times New Roman;Times;serif" w:hAnsi="Times New Roman;Times;serif"/>
          <w:sz w:val="20"/>
        </w:rPr>
        <w:t>may not pursue commercialization of a companion diagnostic test even if it receives any required regulatory clearances or approvals;</w:t>
      </w:r>
    </w:p>
    <w:p>
      <w:pPr>
        <w:pStyle w:val="TextBody"/>
        <w:bidi w:val="0"/>
        <w:spacing w:lineRule="auto" w:line="285" w:before="0" w:after="240"/>
        <w:ind w:left="1080" w:right="0" w:hanging="0"/>
        <w:jc w:val="left"/>
        <w:rPr/>
      </w:pPr>
      <w:r>
        <w:rPr/>
        <w:t>●</w:t>
      </w:r>
      <w:r>
        <w:rPr>
          <w:rFonts w:ascii="Times New Roman;Times;serif" w:hAnsi="Times New Roman;Times;serif"/>
          <w:sz w:val="20"/>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pStyle w:val="TextBody"/>
        <w:bidi w:val="0"/>
        <w:spacing w:lineRule="auto" w:line="285" w:before="0" w:after="240"/>
        <w:ind w:left="1080" w:right="0" w:hanging="0"/>
        <w:jc w:val="left"/>
        <w:rPr/>
      </w:pPr>
      <w:r>
        <w:rPr/>
        <w:t>●</w:t>
      </w:r>
      <w:r>
        <w:rPr>
          <w:rFonts w:ascii="Times New Roman;Times;serif" w:hAnsi="Times New Roman;Times;serif"/>
          <w:sz w:val="20"/>
        </w:rPr>
        <w:t>may not commit sufficient resources to the marketing and distribution of a companion diagnostic test; and</w:t>
      </w:r>
    </w:p>
    <w:p>
      <w:pPr>
        <w:pStyle w:val="TextBody"/>
        <w:bidi w:val="0"/>
        <w:spacing w:lineRule="auto" w:line="285"/>
        <w:ind w:left="1080" w:right="0" w:hanging="0"/>
        <w:jc w:val="left"/>
        <w:rPr/>
      </w:pPr>
      <w:r>
        <w:rPr/>
        <w:t>●</w:t>
      </w:r>
      <w:r>
        <w:rPr>
          <w:rFonts w:ascii="Times New Roman;Times;serif" w:hAnsi="Times New Roman;Times;serif"/>
          <w:sz w:val="20"/>
        </w:rPr>
        <w:t>may terminate their relationship with us.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pStyle w:val="TextBody"/>
        <w:bidi w:val="0"/>
        <w:spacing w:lineRule="auto" w:line="285" w:before="0" w:after="240"/>
        <w:ind w:left="1080" w:right="0" w:hanging="0"/>
        <w:jc w:val="left"/>
        <w:rPr/>
      </w:pPr>
      <w:r>
        <w:rPr/>
        <w:t>●</w:t>
      </w:r>
      <w:r>
        <w:rPr>
          <w:rFonts w:ascii="Times New Roman;Times;serif" w:hAnsi="Times New Roman;Times;serif"/>
          <w:sz w:val="20"/>
        </w:rPr>
        <w:t>the development of our approved drugs and drug candidates may be adversely affected if we are unable to appropriately select patients for enrollment in our clinical trials;</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our drug candidates may not receive marketing approval if safe and effective use of a therapeutic drug candidate depends on an in vitro diagnostic; </w:t>
      </w:r>
    </w:p>
    <w:p>
      <w:pPr>
        <w:pStyle w:val="TextBody"/>
        <w:bidi w:val="0"/>
        <w:spacing w:lineRule="auto" w:line="285" w:before="0" w:after="240"/>
        <w:ind w:left="1080" w:right="0" w:hanging="0"/>
        <w:jc w:val="left"/>
        <w:rPr/>
      </w:pPr>
      <w:r>
        <w:rPr/>
        <w:t>●</w:t>
      </w:r>
      <w:r>
        <w:rPr>
          <w:rFonts w:ascii="Times New Roman;Times;serif" w:hAnsi="Times New Roman;Times;serif"/>
          <w:sz w:val="20"/>
        </w:rPr>
        <w:t>regulatory authorities may impose post-marketing requirements regarding the development and commercialization of companion diagnostic tests for our drugs and drug candidates; and</w:t>
      </w:r>
    </w:p>
    <w:p>
      <w:pPr>
        <w:pStyle w:val="TextBody"/>
        <w:bidi w:val="0"/>
        <w:spacing w:lineRule="auto" w:line="285"/>
        <w:ind w:left="1080" w:right="0" w:hanging="0"/>
        <w:jc w:val="left"/>
        <w:rPr/>
      </w:pPr>
      <w:r>
        <w:rPr/>
        <w:t>●</w:t>
      </w:r>
      <w:r>
        <w:rPr>
          <w:rFonts w:ascii="Times New Roman;Times;serif" w:hAnsi="Times New Roman;Times;serif"/>
          <w:sz w:val="20"/>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result, our business may be materially harmed.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third-party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Our reliance on single-source third-party suppliers could harm our ability to commercialize our drugs or any drug candidates that may be approved in the future.</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establish,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w:t>
      </w:r>
      <w:r>
        <w:rPr>
          <w:rFonts w:ascii="Times New Roman;Times;serif" w:hAnsi="Times New Roman;Times;serif"/>
          <w:sz w:val="20"/>
          <w:shd w:fill="FFFFFF" w:val="clear"/>
        </w:rPr>
        <w:t>or a new indication for a drug product</w:t>
      </w:r>
      <w:r>
        <w:rPr>
          <w:rFonts w:ascii="Times New Roman;Times;serif" w:hAnsi="Times New Roman;Times;serif"/>
          <w:sz w:val="20"/>
        </w:rPr>
        <w:t xml:space="preserve"> for which we establish marketing capabilities is delayed or does not occur for any reason, we would have prematurely or unnecessarily incurred these commercialization expenses, which may be costly.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do not establish,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Drug Development and Regulatory Approval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unable to advance our drug candidates to clinical development, obtain regulatory approval for our drug candidates, including for avapritinib in additional geographies, particularly for indolent SM in geographies outside of the U.S., and ultimately commercialize them, or experience significant delays in doing so, our business will be materially harmed.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ability to generate material net cash inflows from our operations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may commercialize our drug candidates. The success of our approved drugs and drug candidates will depend on several factors, including the following:</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successful enrollment in, and initiation and completion of, clinical trials, including our ongoing and planned clinical trials for our drugs and drug candidates </w:t>
      </w:r>
      <w:r>
        <w:rPr>
          <w:rFonts w:ascii="Times New Roman;Times;serif" w:hAnsi="Times New Roman;Times;serif"/>
          <w:sz w:val="20"/>
          <w:shd w:fill="FFFFFF" w:val="clear"/>
        </w:rPr>
        <w:t>as monotherapies and in combination with other agents</w:t>
      </w:r>
      <w:r>
        <w:rPr>
          <w:rFonts w:ascii="Times New Roman;Times;serif" w:hAnsi="Times New Roman;Times;serif"/>
          <w:sz w:val="20"/>
        </w:rPr>
        <w:t>;</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initiation and completion of preclinical studies for our other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development of any companion diagnostic tests for use with our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receipt of regulatory approvals from applicable regulatory authorities and transitioning any conditional marketing authorizations to full approvals;</w:t>
      </w:r>
    </w:p>
    <w:p>
      <w:pPr>
        <w:pStyle w:val="TextBody"/>
        <w:bidi w:val="0"/>
        <w:spacing w:lineRule="auto" w:line="285" w:before="0" w:after="240"/>
        <w:ind w:left="1080" w:right="0" w:hanging="0"/>
        <w:jc w:val="left"/>
        <w:rPr/>
      </w:pPr>
      <w:r>
        <w:rPr/>
        <w:t>●</w:t>
      </w:r>
      <w:r>
        <w:rPr>
          <w:rFonts w:ascii="Times New Roman;Times;serif" w:hAnsi="Times New Roman;Times;serif"/>
          <w:sz w:val="20"/>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obtaining and maintaining patent and trade secret protection or regulatory exclusivity for our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commercialization of our approved drugs and drug candidates, if and when approved, whether alone or in collaboration with others;</w:t>
      </w:r>
    </w:p>
    <w:p>
      <w:pPr>
        <w:pStyle w:val="TextBody"/>
        <w:bidi w:val="0"/>
        <w:spacing w:lineRule="auto" w:line="285" w:before="0" w:after="240"/>
        <w:ind w:left="1080" w:right="0" w:hanging="0"/>
        <w:jc w:val="left"/>
        <w:rPr/>
      </w:pPr>
      <w:r>
        <w:rPr/>
        <w:t>●</w:t>
      </w:r>
      <w:r>
        <w:rPr>
          <w:rFonts w:ascii="Times New Roman;Times;serif" w:hAnsi="Times New Roman;Times;serif"/>
          <w:sz w:val="20"/>
        </w:rPr>
        <w:t>acceptance of our approved drugs and drug candidates, if and when approved, by patients, the medical community and third-party payors;</w:t>
      </w:r>
    </w:p>
    <w:p>
      <w:pPr>
        <w:pStyle w:val="TextBody"/>
        <w:bidi w:val="0"/>
        <w:spacing w:lineRule="auto" w:line="285" w:before="0" w:after="240"/>
        <w:ind w:left="1080" w:right="0" w:hanging="0"/>
        <w:jc w:val="left"/>
        <w:rPr/>
      </w:pPr>
      <w:r>
        <w:rPr/>
        <w:t>●</w:t>
      </w:r>
      <w:r>
        <w:rPr>
          <w:rFonts w:ascii="Times New Roman;Times;serif" w:hAnsi="Times New Roman;Times;serif"/>
          <w:sz w:val="20"/>
        </w:rPr>
        <w:t>effectively competing with other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obtaining and maintaining healthcare coverage and adequate reimbursement;</w:t>
      </w:r>
    </w:p>
    <w:p>
      <w:pPr>
        <w:pStyle w:val="TextBody"/>
        <w:bidi w:val="0"/>
        <w:spacing w:lineRule="auto" w:line="285" w:before="0" w:after="240"/>
        <w:ind w:left="1080" w:right="0" w:hanging="0"/>
        <w:jc w:val="left"/>
        <w:rPr/>
      </w:pPr>
      <w:r>
        <w:rPr/>
        <w:t>●</w:t>
      </w:r>
      <w:r>
        <w:rPr>
          <w:rFonts w:ascii="Times New Roman;Times;serif" w:hAnsi="Times New Roman;Times;serif"/>
          <w:sz w:val="20"/>
        </w:rPr>
        <w:t>enforcing and defending intellectual property rights and claims; and</w:t>
      </w:r>
    </w:p>
    <w:p>
      <w:pPr>
        <w:pStyle w:val="TextBody"/>
        <w:bidi w:val="0"/>
        <w:spacing w:lineRule="auto" w:line="285"/>
        <w:ind w:left="1080" w:right="0" w:hanging="0"/>
        <w:jc w:val="left"/>
        <w:rPr/>
      </w:pPr>
      <w:r>
        <w:rPr/>
        <w:t>●</w:t>
      </w:r>
      <w:r>
        <w:rPr>
          <w:rFonts w:ascii="Times New Roman;Times;serif" w:hAnsi="Times New Roman;Times;serif"/>
          <w:sz w:val="20"/>
        </w:rPr>
        <w:t>maintaining a continued acceptable safety profile of our drugs and drug candidates following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experience delays or difficulties in the enrollment of patients in clinical trials, our receipt of necessary regulatory approvals could be delayed or prevented.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not be able to initiate or continue clinical trials for our drug candidates,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experienced some delays or disruptions in enrollment in our ongoing clinical trials due to the COVID-19 pandemic, and we may experience additional delays or disruptions in the future due to the changes in local site or IRB policies, availabilities of site staff, and reprioritization of hospital resources.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Patient enrollment may be affected by other factors including:</w:t>
      </w:r>
    </w:p>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severity of the disease under investigation;</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target patient population;</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clinical trial;</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an appropriate genomic screening test;</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perceived risks and benefits of the drug candidate under study;</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efforts to facilitate timely enrollment in clinical trials;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referral practices of physicians;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patients adequately during and after treatment; and</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and availability of clinical trial sites for prospective patients.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drug candidates and any companion diagnostic tests related to our approved drugs or drug candidates, including the companion diagnostic tests that we are developing or have developed for avapritinib in order to identify GIST patients with the PDGFRA D842V mutation, and pralsetinib in order to identify NSCLC patients with RET fusions,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pralsetinib.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drug candidates could be delayed in receiving, or fail to receive, regulatory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drug candidate’s clinical and other benefits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drug candidates may not be sufficient to support the submission of an NDA or other submission or to obtain regulatory approval in the U.S.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find deficiencies with or fail to approve the manufacturing processes or facilities of third-party manufacturers with which we contract for clinical and commercial supplies;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prospects for our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5"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or clinical trials may show the drug candidates to be less effective than expected (e.g., a clinical trial could fail to meet its primary endpoint(s)) or to have unacceptable side effects or toxicities;</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establish clinical endpoints that applicable regulatory authorities would consider clinically meaningful;</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receive the necessary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issues, formulation issues, pricing or reimbursement issues or other factors that make a drug candidate uneconomical; and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proprietary rights of others and their competing products and technologies that may prevent one of our drug candidates from being commercialized.</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or limit their approval of such drug;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“boxed” warning or a contraindication;</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such drug is distributed or administered, conduct additional clinical trials or change the labeling of such drug;</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regulatory investigations and government enforcement actions;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decide to remove such drug from the marketplace;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injury caused to individuals exposed to or taking our drugs and drug candidates;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may seek designation for our discovery platform as a designated platform technology, but we might not receive such designation, and even if we do, such designation may not lead to faster drug development or a faster regulatory review or approval process.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seek designation for our discovery platform as a designated platform technology. Under the Food and Drug Omnibus Reform Act of 2022 (FDORA), a platform technology incorporated within or utilized by a drug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investigational new drug (IND) application for a drug that incorporates or utilizes the platform technology that is the subject of the request. If so designated, the FDA may expedite the development and review of any subsequent original NDA for a drug that uses or incorporates the platform technology. Even if we believe our discovery platform meets the criteria for such designation, the FDA may disagree and instead determine not to grant such designation. In addition, the receipt of such designation for a platform technology does not ensure that a drug will be developed or reviewed more quickly or receive FDA approval. Moreover, the FDA may revoke a designation if the FDA determines that a designated platform technology no longer meets the criteria for such designation.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has granted fast track designation to BLU-782 for the treatment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FOP. The FDA has granted breakthrough therapy designation to avapritinib for the treatment of moderate to severe indolent SM. In addition, the FDA previously granted breakthrough designation to our drugs, AYVAKIT and GAVRETO, for the treatment of certain patients with GIST, advanced SM, moderate to severe indolent SM and RET-altered cancers, respectively.</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Designation as a fast track or breakthrough therapy is within the discretion of the FDA. Accordingly, even if we believe one of our drug candidates meets the criteria for designation as a fast track or breakthrough therapy, the FDA 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 Additionally, if we are not able to obtain full approval of any accelerated approval product, including through the completion of post-marketing studies, we or our partners may decide to withdraw marketing of such products. Specifically, in June 2023, Roche voluntarily withdrew the indication of GAVRETO for the treatment of adult and pediatric patients 12 years of age and older with advanced or metastatic RET-mutant MTC. The decision to withdraw the indication was made in consultation with the FDA, in accordance with the requirements of the FDA’s Accelerated Approval Program, with the official FDA withdrawal of the indication occurring on July 20, 2023.</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unsuccessful in obtaining or may be unable to maintain the benefits associated with orphan drug designation, including the potential for market exclusivity.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has granted orphan drug designation to avapritinib for the treatment of GIST and the treatment of mastocytosis, to pralsetinib for the treatment of RET-rearranged NSCLC, JAK1/2-positive NSCLC or TRKC-positive NSCLC for the treatment of HCC. In addition, the European Commission, or EC, has granted orphan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Similarly, in the EU, the European Commission grants orphan medicinal product designation after receiving the opinion of the European Medicines Agency’s, or EMA, Committee for Orphan Medicinal Products on an orphan medicinal product designation application. Orphan medicinal product designation is intended to promote the development of medicinal products that are intended for the diagnosis, prevention or treatment of life threatening or 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there must be no satisfactory method of diagnosis, prevention, or treatment authorized for marketing in the EU (or, if such a method exists, the product would be of significant benefit to those affected by the condition). In the EU, orphan medicinal product designation entitles a party to financial incentives such as reduction of fees or fee waivers.</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expand our pipeline of drug candidates.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For example, in February 2022 we entered into a collaboration with Proteovant to research and advance novel targeted protein degrader therapies leveraging Proteovant’s artificial intelligence-enhanced targeted protein degradation platform and our small molecule precision medicine capabilities. However, we may not be able to identify any drug candidates for our pipeline through such acquisitions or in-licenses.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intend to develop drug candidates in combination with other therapies, which exposes us to additional risks.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intend to develop, launch and commercialize BLU-945, BLU-525,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described with respect to our drug candidates currently in development and clinical trials, including the potential for serious adverse effects, delay in their clinical trials and lack of FDA approval.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Government Legislations and Regulations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in the past and may in the future seek approval of current or future drug candidates, where applicable, under the FDA’s accelerated approval pathway. 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as a condition of accelerated approval, be required to perform adequate and well-controlled post-marketing clinical trials to confirm the product’s clinical benefit. These post-market confirmatory trials must be completed according to timelines agreed upon with the FDA, and if they are not completed in accordance with these timelines than it could result in withdrawal of the indication. For example, the voluntary withdrawal AcceleRET-MTC, a Phase 3 clinical trial required by the FDA to convert the accelerated approval of GAVRETO for MTC to a full approval, is no longer being pursued due to lack of feasibility.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products are marketed only for the approved indications and in accordance with the provisions of the approved labeling. Later discovery of previously unknown problems with a drug, including adverse events of unanticipated severity or frequency, or with our third party manufacturers or manufacturing processes, or failure to comply with regulatory requirements, may result in,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the drug, withdrawal of the drug from the market, “dear doctor” letters or drug recalls;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holds on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to approve pending applications or supplements to approved applications filed by us, or suspension or revocation of marketing approvals;</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seizure or detention, or refusal to permit the import or export of drugs; and</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 and could expose our company to substantial civil or criminal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though we may have obtained approvals for certain of our products, such drug or drug candidate may become subject to unfavorable pricing regulations or third-party coverage and reimbursement policies, which would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See section entitled “</w:t>
      </w:r>
      <w:r>
        <w:rPr>
          <w:rFonts w:ascii="Times New Roman;Times;serif" w:hAnsi="Times New Roman;Times;serif"/>
          <w:i/>
          <w:sz w:val="20"/>
        </w:rPr>
        <w:t>Business – Coverage and Reimbursement</w:t>
      </w:r>
      <w:r>
        <w:rPr>
          <w:rFonts w:ascii="Times New Roman;Times;serif" w:hAnsi="Times New Roman;Times;serif"/>
          <w:sz w:val="20"/>
        </w:rPr>
        <w:t>” included in our Annual Report on Form 10-K for the year ended December 31,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U.S. and markets in other countries, patients generally rely on third-party payors to reimburse all or part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Healthcare legislative reform measures may have a material adverse effect on our business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United States, there have been and continue to be a number of legislative initiatives to contain healthcare costs. For example, in March 2010, the ACA was passed, which substantially changes the way healthcare is financed by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both governmental and private insurers, and significantly impacts the U.S. pharmaceutical industry. In August 2022, the Inflation Reduction Act of 2022, or IRA, was signed into law. The IRA includes several provisions that will impact our business to varying degrees, including provisions that reduce the out-of-pocket spending cap for Medicare Part D beneficiaries from $7,050 to $2,000 starting in 2025, thereby effectively eliminating the coverage gap,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implementation of the IRA is currently subject to ongoing litigation challenging the constitutionality of the IRA’s Medicare drug price negotiation program. The effect of IRA on our business and the healthcare industry in general is not yet known.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 For example,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The Creating and Restoring Equal Access to Equivalent Samples Act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the Physician Payment Sunshine Act, as amended by the Health Information Technology for Economic and Clinical Health Act of 2009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Times;serif" w:hAnsi="Times New Roman;Times;serif"/>
          <w:i/>
          <w:sz w:val="20"/>
        </w:rPr>
        <w:t>Business – Other Healthcare Laws</w:t>
      </w:r>
      <w:r>
        <w:rPr>
          <w:rFonts w:ascii="Times New Roman;Times;serif" w:hAnsi="Times New Roman;Times;serif"/>
          <w:sz w:val="20"/>
        </w:rPr>
        <w:t>” included in our Annual Report on Form 10-K for the year ended December 31, 2022.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growth may depend, in part, on our ability to penetrate foreign markets, where we would be subject to additional regulatory burdens and other risks and uncertainties.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pStyle w:val="TextBody"/>
        <w:bidi w:val="0"/>
        <w:spacing w:lineRule="auto" w:line="285" w:before="0" w:after="240"/>
        <w:ind w:left="1080" w:right="0" w:hanging="0"/>
        <w:jc w:val="left"/>
        <w:rPr/>
      </w:pPr>
      <w:r>
        <w:rPr/>
        <w:t>●</w:t>
      </w:r>
      <w:r>
        <w:rPr>
          <w:rFonts w:ascii="Times New Roman;Times;serif" w:hAnsi="Times New Roman;Times;serif"/>
          <w:sz w:val="20"/>
        </w:rPr>
        <w:t>our customers’ ability to obtain reimbursement for our drug candidates in foreign markets;</w:t>
      </w:r>
    </w:p>
    <w:p>
      <w:pPr>
        <w:pStyle w:val="TextBody"/>
        <w:bidi w:val="0"/>
        <w:spacing w:lineRule="auto" w:line="285" w:before="0" w:after="240"/>
        <w:ind w:left="1080" w:right="0" w:hanging="0"/>
        <w:jc w:val="left"/>
        <w:rPr/>
      </w:pPr>
      <w:r>
        <w:rPr/>
        <w:t>●</w:t>
      </w:r>
      <w:r>
        <w:rPr>
          <w:rFonts w:ascii="Times New Roman;Times;serif" w:hAnsi="Times New Roman;Times;serif"/>
          <w:sz w:val="20"/>
        </w:rPr>
        <w:t>our inability to directly control commercial activities because we are relying on third parties;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the burden of complying with complex and changing foreign regulatory, tax, accounting and legal requirements, including the European General Data Protection Regulation 2016/679, commonly referred to as GDPR;</w:t>
      </w:r>
    </w:p>
    <w:p>
      <w:pPr>
        <w:pStyle w:val="TextBody"/>
        <w:bidi w:val="0"/>
        <w:spacing w:lineRule="auto" w:line="285" w:before="0" w:after="240"/>
        <w:ind w:left="1080" w:right="0" w:hanging="0"/>
        <w:jc w:val="left"/>
        <w:rPr/>
      </w:pPr>
      <w:r>
        <w:rPr/>
        <w:t>●</w:t>
      </w:r>
      <w:r>
        <w:rPr>
          <w:rFonts w:ascii="Times New Roman;Times;serif" w:hAnsi="Times New Roman;Times;serif"/>
          <w:sz w:val="20"/>
        </w:rPr>
        <w:t>different medical practices and customs in foreign countries affecting acceptance in the marketplace;</w:t>
      </w:r>
    </w:p>
    <w:p>
      <w:pPr>
        <w:pStyle w:val="TextBody"/>
        <w:bidi w:val="0"/>
        <w:spacing w:lineRule="auto" w:line="285" w:before="0" w:after="240"/>
        <w:ind w:left="1080" w:right="0" w:hanging="0"/>
        <w:jc w:val="left"/>
        <w:rPr/>
      </w:pPr>
      <w:r>
        <w:rPr/>
        <w:t>●</w:t>
      </w:r>
      <w:r>
        <w:rPr>
          <w:rFonts w:ascii="Times New Roman;Times;serif" w:hAnsi="Times New Roman;Times;serif"/>
          <w:sz w:val="20"/>
        </w:rPr>
        <w:t>import or export licensing requirements;</w:t>
      </w:r>
    </w:p>
    <w:p>
      <w:pPr>
        <w:pStyle w:val="TextBody"/>
        <w:bidi w:val="0"/>
        <w:spacing w:lineRule="auto" w:line="285" w:before="0" w:after="240"/>
        <w:ind w:left="1080" w:right="0" w:hanging="0"/>
        <w:jc w:val="left"/>
        <w:rPr/>
      </w:pPr>
      <w:r>
        <w:rPr/>
        <w:t>●</w:t>
      </w:r>
      <w:r>
        <w:rPr>
          <w:rFonts w:ascii="Times New Roman;Times;serif" w:hAnsi="Times New Roman;Times;serif"/>
          <w:sz w:val="20"/>
        </w:rPr>
        <w:t>longer accounts receivable collection times;</w:t>
      </w:r>
    </w:p>
    <w:p>
      <w:pPr>
        <w:pStyle w:val="TextBody"/>
        <w:bidi w:val="0"/>
        <w:spacing w:lineRule="auto" w:line="285" w:before="0" w:after="240"/>
        <w:ind w:left="1080" w:right="0" w:hanging="0"/>
        <w:jc w:val="left"/>
        <w:rPr/>
      </w:pPr>
      <w:r>
        <w:rPr/>
        <w:t>●</w:t>
      </w:r>
      <w:r>
        <w:rPr>
          <w:rFonts w:ascii="Times New Roman;Times;serif" w:hAnsi="Times New Roman;Times;serif"/>
          <w:sz w:val="20"/>
        </w:rPr>
        <w:t>longer lead times for shipping;</w:t>
      </w:r>
    </w:p>
    <w:p>
      <w:pPr>
        <w:pStyle w:val="TextBody"/>
        <w:bidi w:val="0"/>
        <w:spacing w:lineRule="auto" w:line="285" w:before="0" w:after="240"/>
        <w:ind w:left="1080" w:right="0" w:hanging="0"/>
        <w:jc w:val="left"/>
        <w:rPr/>
      </w:pPr>
      <w:r>
        <w:rPr/>
        <w:t>●</w:t>
      </w:r>
      <w:r>
        <w:rPr>
          <w:rFonts w:ascii="Times New Roman;Times;serif" w:hAnsi="Times New Roman;Times;serif"/>
          <w:sz w:val="20"/>
        </w:rPr>
        <w:t>language barriers for technical training;</w:t>
      </w:r>
    </w:p>
    <w:p>
      <w:pPr>
        <w:pStyle w:val="TextBody"/>
        <w:bidi w:val="0"/>
        <w:spacing w:lineRule="auto" w:line="285" w:before="0" w:after="240"/>
        <w:ind w:left="1080" w:right="0" w:hanging="0"/>
        <w:jc w:val="left"/>
        <w:rPr/>
      </w:pPr>
      <w:r>
        <w:rPr/>
        <w:t>●</w:t>
      </w:r>
      <w:r>
        <w:rPr>
          <w:rFonts w:ascii="Times New Roman;Times;serif" w:hAnsi="Times New Roman;Times;serif"/>
          <w:sz w:val="20"/>
        </w:rPr>
        <w:t>reduced protection of intellectual property rights in some foreign countries;</w:t>
      </w:r>
    </w:p>
    <w:p>
      <w:pPr>
        <w:pStyle w:val="TextBody"/>
        <w:bidi w:val="0"/>
        <w:spacing w:lineRule="auto" w:line="285" w:before="0" w:after="240"/>
        <w:ind w:left="1080" w:right="0" w:hanging="0"/>
        <w:jc w:val="left"/>
        <w:rPr/>
      </w:pPr>
      <w:r>
        <w:rPr/>
        <w:t>●</w:t>
      </w:r>
      <w:r>
        <w:rPr>
          <w:rFonts w:ascii="Times New Roman;Times;serif" w:hAnsi="Times New Roman;Times;serif"/>
          <w:sz w:val="20"/>
        </w:rPr>
        <w:t>the existence of additional potentially relevant third-party intellectual property rights;</w:t>
      </w:r>
    </w:p>
    <w:p>
      <w:pPr>
        <w:pStyle w:val="TextBody"/>
        <w:bidi w:val="0"/>
        <w:spacing w:lineRule="auto" w:line="285" w:before="0" w:after="240"/>
        <w:ind w:left="1080" w:right="0" w:hanging="0"/>
        <w:jc w:val="left"/>
        <w:rPr/>
      </w:pPr>
      <w:r>
        <w:rPr/>
        <w:t>●</w:t>
      </w:r>
      <w:r>
        <w:rPr>
          <w:rFonts w:ascii="Times New Roman;Times;serif" w:hAnsi="Times New Roman;Times;serif"/>
          <w:sz w:val="20"/>
        </w:rPr>
        <w:t>foreign currency exchange rate fluctuations; and</w:t>
      </w:r>
    </w:p>
    <w:p>
      <w:pPr>
        <w:pStyle w:val="TextBody"/>
        <w:bidi w:val="0"/>
        <w:spacing w:lineRule="auto" w:line="285"/>
        <w:ind w:left="1080" w:right="0" w:hanging="0"/>
        <w:jc w:val="left"/>
        <w:rPr/>
      </w:pPr>
      <w:r>
        <w:rPr/>
        <w:t>●</w:t>
      </w:r>
      <w:r>
        <w:rPr>
          <w:rFonts w:ascii="Times New Roman;Times;serif" w:hAnsi="Times New Roman;Times;serif"/>
          <w:sz w:val="20"/>
        </w:rPr>
        <w:t>the interpretation of contractual provisions governed by foreign laws in the event of a contract dispute.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Foreign sales of our drug candidates could also be adversely affected by the imposition of governmental controls, political and economic instability, trade restrictions and changes in tariffs.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outside the U.S. tend to impose strict price controls, which may adversely affect our revenues, if 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precision therapy company in the process of growing our operations. We have incurred significant operating losses since our inception and anticipate that we will incur continued losses for the foreseeable future.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through public offerings of our common stock, private placements of our convertible preferred and common stock, collaboration and license agreements, future royalty and revenue monetization, and a term loan. Through September 30, 2023, we have received an aggregate of $3.7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Pharma Holding, or Alexion and $250.0 million in gross proceeds from a term loan from Sixth Street Partners. In addition, since January 2020, we also have generated revenue through sales of our drug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inception, we have incurred significant operating losses. Our net loss was $396.1 million for the nine months ended September 30, 2023. Our net losses were $557.5 million and $644.1 million for the years ended December 31, 2022 and 2021, respectively. As of September 30, 2023, we had an accumulated deficit of $2,229.0 million.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Substantially all of our operating losses have resulted from costs incurred in connection with our research and development programs and from selling, general and administrative costs associated with our operations. We expect to continue to incur significant expenses and operating losses over the next few years. We anticipate that our expenses may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substantial revenue depends on a number of factors, including, but not limited to, our ability to:</w:t>
      </w:r>
    </w:p>
    <w:p>
      <w:pPr>
        <w:pStyle w:val="TextBody"/>
        <w:bidi w:val="0"/>
        <w:spacing w:lineRule="auto" w:line="285" w:before="0" w:after="240"/>
        <w:ind w:left="1080" w:right="0" w:hanging="0"/>
        <w:jc w:val="left"/>
        <w:rPr/>
      </w:pPr>
      <w:r>
        <w:rPr/>
        <w:t>●</w:t>
      </w:r>
      <w:r>
        <w:rPr>
          <w:rFonts w:ascii="Times New Roman;Times;serif" w:hAnsi="Times New Roman;Times;serif"/>
          <w:sz w:val="20"/>
        </w:rPr>
        <w:t>initiate and successfully complete clinical trials that meet their clinical endpoints;</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initiate and successfully complete all safety studies required to obtain U.S. and foreign marketing approval for our drug candidates, including for avapritinib </w:t>
      </w:r>
      <w:r>
        <w:rPr>
          <w:rFonts w:ascii="Times New Roman;Times;serif" w:hAnsi="Times New Roman;Times;serif"/>
          <w:sz w:val="20"/>
          <w:shd w:fill="FFFFFF" w:val="clear"/>
        </w:rPr>
        <w:t>in additional geographies, particularly for indolent SM in geographies outside of the U.S.</w:t>
      </w:r>
      <w:r>
        <w:rPr>
          <w:rFonts w:ascii="Times New Roman;Times;serif" w:hAnsi="Times New Roman;Times;serif"/>
          <w:sz w:val="20"/>
        </w:rPr>
        <w:t xml:space="preserve">; </w:t>
      </w:r>
    </w:p>
    <w:p>
      <w:pPr>
        <w:pStyle w:val="TextBody"/>
        <w:bidi w:val="0"/>
        <w:spacing w:lineRule="auto" w:line="285" w:before="0" w:after="240"/>
        <w:ind w:left="1080" w:right="0" w:hanging="0"/>
        <w:jc w:val="left"/>
        <w:rPr/>
      </w:pPr>
      <w:r>
        <w:rPr/>
        <w:t>●</w:t>
      </w:r>
      <w:r>
        <w:rPr>
          <w:rFonts w:ascii="Times New Roman;Times;serif" w:hAnsi="Times New Roman;Times;serif"/>
          <w:sz w:val="20"/>
        </w:rPr>
        <w:t>continue to maintain and expand commercial manufacturing capabilities or make arrangements with third-party manufacturers to ensure clinical supply and commercial manufacturing;</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maintain and, if necessary, expand a sales, marketing and distribution infrastructure to commercialize AYVAKIT/AYVAKYT and any current or future drug candidates for which we obtain marketing approval;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achieve market acceptance in the medical community and with third-party payors for AYVAKIT/AYVAKYT, GAVRETO and any current or future drug candidates for which we receive marketing approval; and</w:t>
      </w:r>
    </w:p>
    <w:p>
      <w:pPr>
        <w:pStyle w:val="TextBody"/>
        <w:bidi w:val="0"/>
        <w:spacing w:lineRule="auto" w:line="285"/>
        <w:ind w:left="1080" w:right="0" w:hanging="0"/>
        <w:jc w:val="left"/>
        <w:rPr/>
      </w:pPr>
      <w:r>
        <w:rPr/>
        <w:t>●</w:t>
      </w:r>
      <w:r>
        <w:rPr>
          <w:rFonts w:ascii="Times New Roman;Times;serif" w:hAnsi="Times New Roman;Times;serif"/>
          <w:sz w:val="20"/>
        </w:rPr>
        <w:t>compete with companies that may have significantly greater financial resources and expertise in research and development, manufacturing, preclinical testing, conducting clinical trials, obtaining regulatory approvals and marketing approved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material net cash inflows from our operations, we will not become profitable and may be unable to continue operations without continued funding.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seek to raise additional funding from time to time. If we are unable to raise capital when needed, we may be forced to delay, reduce or eliminate some of our drug development programs or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development and commercialization of pharmaceuticals is capital intensive. We are currently advancing multiple drug candidates and development programs through clinical and preclinical development. Our expenses may increase in connection with our ongoing activities, particularly as we continue the research and development of, initiate or continue clinical trials of, and seek marketing approval for our drug candidates, including marketing approval for avapritinib in additional geographies, particularly for indolent SM in geographies outside of the U.S.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future capital requirements will depend on and may increase as a result of many factors, including: </w:t>
      </w:r>
    </w:p>
    <w:p>
      <w:pPr>
        <w:pStyle w:val="TextBody"/>
        <w:bidi w:val="0"/>
        <w:spacing w:lineRule="auto" w:line="285" w:before="0" w:after="240"/>
        <w:ind w:left="1080" w:right="0" w:hanging="0"/>
        <w:jc w:val="left"/>
        <w:rPr/>
      </w:pPr>
      <w:r>
        <w:rPr/>
        <w:t>●</w:t>
      </w:r>
      <w:r>
        <w:rPr>
          <w:rFonts w:ascii="Times New Roman;Times;serif" w:hAnsi="Times New Roman;Times;serif"/>
          <w:sz w:val="20"/>
        </w:rPr>
        <w:t>the success of our commercialization efforts and market acceptance for AYVAKIT/AYVAKYT or any of our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maintaining, expanding or contracting for sales, marketing and distribution capabilities in connection with commercialization of AYVAKIT/AYVAKYT and any of our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pStyle w:val="TextBody"/>
        <w:bidi w:val="0"/>
        <w:spacing w:lineRule="auto" w:line="285" w:before="0" w:after="240"/>
        <w:ind w:left="1080" w:right="0" w:hanging="0"/>
        <w:jc w:val="left"/>
        <w:rPr/>
      </w:pPr>
      <w:r>
        <w:rPr/>
        <w:t>●</w:t>
      </w:r>
      <w:r>
        <w:rPr>
          <w:rFonts w:ascii="Times New Roman;Times;serif" w:hAnsi="Times New Roman;Times;serif"/>
          <w:sz w:val="20"/>
          <w:shd w:fill="FFFFFF" w:val="clear"/>
        </w:rPr>
        <w:t>the cost of purchasing quantities of agents for use in our clinical trials in connection with our efforts to develop our drugs and drug candidates, including for development as combination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the scope, progress, results and costs of drug discovery, preclinical development, laboratory testing and clinical trials for our approved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timing and outcome of regulatory review of marketing applications for our drug candidates, including seeking marketing approval for avapritinib in additional geographies, particularly for indolent SM in geographies outside of the U.S.;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the success of our collaborations with CStone and Zai Lab and our license agreements with Clementia and IDRx, as well as our ability to establish and maintain additional collaborations, partnerships or licenses on favorable terms, if at all;</w:t>
      </w:r>
    </w:p>
    <w:p>
      <w:pPr>
        <w:pStyle w:val="TextBody"/>
        <w:bidi w:val="0"/>
        <w:spacing w:lineRule="auto" w:line="285" w:before="0" w:after="240"/>
        <w:ind w:left="1080" w:right="0" w:hanging="0"/>
        <w:jc w:val="left"/>
        <w:rPr/>
      </w:pPr>
      <w:r>
        <w:rPr/>
        <w:t>●</w:t>
      </w:r>
      <w:r>
        <w:rPr>
          <w:rFonts w:ascii="Times New Roman;Times;serif" w:hAnsi="Times New Roman;Times;serif"/>
          <w:sz w:val="20"/>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pStyle w:val="TextBody"/>
        <w:bidi w:val="0"/>
        <w:spacing w:lineRule="auto" w:line="285" w:before="0" w:after="240"/>
        <w:ind w:left="1080" w:right="0" w:hanging="0"/>
        <w:jc w:val="left"/>
        <w:rPr/>
      </w:pPr>
      <w:r>
        <w:rPr/>
        <w:t>●</w:t>
      </w:r>
      <w:r>
        <w:rPr>
          <w:rFonts w:ascii="Times New Roman;Times;serif" w:hAnsi="Times New Roman;Times;serif"/>
          <w:sz w:val="20"/>
        </w:rPr>
        <w:t>the extent to which we are obligated to reimburse, or entitled to reimbursement of, research and development, clinical or other costs under future collaboration agreements, if any;</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the extent to which we acquire or in-license other approved drugs, drug candidates or technologies and the terms of any such arrangements; </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preparing, filing and prosecuting patent applications, maintaining and enforcing our intellectual property rights and defending intellectual property-related claims; and</w:t>
      </w:r>
    </w:p>
    <w:p>
      <w:pPr>
        <w:pStyle w:val="TextBody"/>
        <w:bidi w:val="0"/>
        <w:spacing w:lineRule="auto" w:line="285"/>
        <w:ind w:left="1080" w:right="0" w:hanging="0"/>
        <w:jc w:val="left"/>
        <w:rPr/>
      </w:pPr>
      <w:r>
        <w:rPr/>
        <w:t>●</w:t>
      </w:r>
      <w:r>
        <w:rPr>
          <w:rFonts w:ascii="Times New Roman;Times;serif" w:hAnsi="Times New Roman;Times;serif"/>
          <w:sz w:val="20"/>
        </w:rPr>
        <w:t>the costs of continuing to expand our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our stockholders, restrict our operations or require us to relinquish rights to our technologies or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Until such time as we can generate material net cash inflows from our operations,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collaborations with CStone and Zai Lab and the license agreements with Clementia and IDRx, </w:t>
      </w:r>
      <w:r>
        <w:rPr>
          <w:rFonts w:ascii="Times New Roman;Times;serif" w:hAnsi="Times New Roman;Times;serif"/>
          <w:sz w:val="20"/>
          <w:shd w:fill="FFFFFF" w:val="clear"/>
        </w:rPr>
        <w:t xml:space="preserve">the Royalty Purchase Agreement with Royalty Pharma, and the Financing Agreement with Sixth Street Partners, which are limited in scope and duration and subject to the achievement of milestones or royalties on sales of licensed products, if any. </w:t>
      </w:r>
      <w:r>
        <w:rPr>
          <w:rFonts w:ascii="Times New Roman;Times;serif" w:hAnsi="Times New Roman;Times;serif"/>
          <w:sz w:val="20"/>
        </w:rPr>
        <w:t xml:space="preserve">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streams, research programs, drugs or drug candidates or to grant licenses on terms that may not be favorable to us. Further, due to the uncertainty of pharmaceutical development, the high historical failure rates generally associated with drug development and uncertainty of successful commercialization, we may not receive any regulatory, development, sales-based milestones or royalty payments under any such collaborations, strategic alliances, licensing arrangements or future revenue monetizations.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2022, we entered into a Royalty Purchase Agreement with Royalty Pharma, pursuant to which, we sold our right to receive all of the royalties payable to the Company with respect to net sales by Roche, in all countries besides China, Hong Kong, Macau, Taiwan (collectively, Greater China) and the U.S., of GAVRETO under the collaboration agreement, dated July 13, 2020, by and between the Company and Roche, as amended, which we refer to as the Roche pralsetinib collaboration agreement. As consideration for the arrangement, we received $175.0 million upfront in cash and may receive up to $165.0 million in contingent milestone payments. However, in February 2023, Roche provided written notice of its election to terminate the Roche pralsetinib collaboration agreement for convenience. Following the termination of the Roche pralsetinib collaboration agreement, if the specified net sales milestone thresholds under the Royalty Purchase Agreement with Royalty Pharma are not otherwise met, we may no longer be eligible to receive any of the contingent milestone payments under the Royalty Purchase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June 2022, we entered into a Future Revenue Purchase Agreement with Sixth Street Partners, the other purchasers from time to time party thereto, and Sixth Street Partners as representative for the purchasers, pursuant to which, we sold our right to receive future royalty payments at a rate of 9.75% on up to $900 million each year of (i) aggregate worldwide annual net product sales of AYVAKIT/AYVAKYT (avapritinib) and (ii) 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As consideration for the arrangement, we received $250.0 million in cash in July 2022 upon the transactions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Our level of indebtedness and the terms of the Financing Agreement with Sixth Street Partners could adversely affect our operations and limit our ability to plan for or respond to changes in our business. If we are unable to comply with restrictions in the Financing Agreement, the repayment of our existing indebtedness could be accelerated.</w:t>
      </w:r>
      <w:r>
        <w:rPr>
          <w:rFonts w:ascii="Times New Roman;Times;serif" w:hAnsi="Times New Roman;Times;serif"/>
          <w:sz w:val="20"/>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the Financing Agreement with Sixth Street Partners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We may also at any time request an incremental term loan in an amount not to exceed $260.0 million on terms to be agreed and subject to the consent of the lenders providing such incremental term loan. In August 2023, we received the first tranche of the senior secured delayed draw term loan facility in the amount of $100.0 million in gross proceeds.</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Financing Agreement could restrict our ability to grow our business or enter into transactions that we believe would be beneficial to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shd w:fill="FFFFFF" w:val="clear"/>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entered into collaborations and licenses with CStone, Zai Lab, Proteovant, Clementia and IDRx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Collaborations and licenses with pharmaceutical or biotechnology companies and other third parties often are terminated or allowed to expire by the other party. Any termination or expiration of our collaboration or license agreements with CStone, Zai Lab, Proteovant, Clementia or IDRx, or of any future collaboration or license agreement, could adversely affect us financially or harm our business reputation. For example, in February 2023, Roche provided written notice of its election to terminate for convenience our collaboration agreement for the development and commercialization of GAVRETO worldwide, excluding the CStone Territory. While we will regain rights to the development and commercialization of GAVRETO following the effective date of such termination, there can be no assurance that we will be able to successfully enter into a new arrangement with a third party to collaborate on the development and commercialization or GAVRETO, or that we will be able to successfully commercialize GAVRETO through our own organization. Further, following the termination of such collaboration agreement, if the specified net sales milestone thresholds under the Royalty Purchase Agreement with Royalty Pharma are not otherwise met, we may no longer be eligible to receive any of the contingent milestone payments under the Royalty Purchase Agreement.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lineRule="auto" w:line="285" w:before="0" w:after="240"/>
        <w:ind w:left="1080" w:right="0" w:hanging="0"/>
        <w:jc w:val="left"/>
        <w:rPr/>
      </w:pPr>
      <w:r>
        <w:rPr/>
        <w:t>●</w:t>
      </w:r>
      <w:r>
        <w:rPr>
          <w:rFonts w:ascii="Times New Roman;Times;serif" w:hAnsi="Times New Roman;Times;serif"/>
          <w:sz w:val="20"/>
        </w:rPr>
        <w:t>have staffing difficulties;</w:t>
      </w:r>
    </w:p>
    <w:p>
      <w:pPr>
        <w:pStyle w:val="TextBody"/>
        <w:bidi w:val="0"/>
        <w:spacing w:lineRule="auto" w:line="285" w:before="0" w:after="240"/>
        <w:ind w:left="1080" w:right="0" w:hanging="0"/>
        <w:jc w:val="left"/>
        <w:rPr/>
      </w:pPr>
      <w:r>
        <w:rPr/>
        <w:t>●</w:t>
      </w:r>
      <w:r>
        <w:rPr>
          <w:rFonts w:ascii="Times New Roman;Times;serif" w:hAnsi="Times New Roman;Times;serif"/>
          <w:sz w:val="20"/>
        </w:rPr>
        <w:t>fail to comply with contractual obligations;</w:t>
      </w:r>
    </w:p>
    <w:p>
      <w:pPr>
        <w:pStyle w:val="TextBody"/>
        <w:bidi w:val="0"/>
        <w:spacing w:lineRule="auto" w:line="285" w:before="0" w:after="240"/>
        <w:ind w:left="1080" w:right="0" w:hanging="0"/>
        <w:jc w:val="left"/>
        <w:rPr/>
      </w:pPr>
      <w:r>
        <w:rPr/>
        <w:t>●</w:t>
      </w:r>
      <w:r>
        <w:rPr>
          <w:rFonts w:ascii="Times New Roman;Times;serif" w:hAnsi="Times New Roman;Times;serif"/>
          <w:sz w:val="20"/>
        </w:rPr>
        <w:t>experience regulatory compliance issues;</w:t>
      </w:r>
    </w:p>
    <w:p>
      <w:pPr>
        <w:pStyle w:val="TextBody"/>
        <w:bidi w:val="0"/>
        <w:spacing w:lineRule="auto" w:line="285" w:before="0" w:after="240"/>
        <w:ind w:left="1080" w:right="0" w:hanging="0"/>
        <w:jc w:val="left"/>
        <w:rPr/>
      </w:pPr>
      <w:r>
        <w:rPr/>
        <w:t>●</w:t>
      </w:r>
      <w:r>
        <w:rPr>
          <w:rFonts w:ascii="Times New Roman;Times;serif" w:hAnsi="Times New Roman;Times;serif"/>
          <w:sz w:val="20"/>
        </w:rPr>
        <w:t>undergo changes in priorities or become financially distressed; or</w:t>
      </w:r>
    </w:p>
    <w:p>
      <w:pPr>
        <w:pStyle w:val="TextBody"/>
        <w:bidi w:val="0"/>
        <w:spacing w:lineRule="auto" w:line="285"/>
        <w:ind w:left="1080" w:right="0" w:hanging="0"/>
        <w:jc w:val="left"/>
        <w:rPr/>
      </w:pPr>
      <w:r>
        <w:rPr/>
        <w:t>●</w:t>
      </w:r>
      <w:r>
        <w:rPr>
          <w:rFonts w:ascii="Times New Roman;Times;serif" w:hAnsi="Times New Roman;Times;serif"/>
          <w:sz w:val="20"/>
        </w:rPr>
        <w:t>form relationships with other entities, some of which may be our competitors.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Some of these factors may be beyond our control.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currently own or operate, nor do we have any plans to establish in the future, any manufacturing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pStyle w:val="TextBody"/>
        <w:bidi w:val="0"/>
        <w:spacing w:lineRule="auto" w:line="285" w:before="0" w:after="240"/>
        <w:ind w:left="1080" w:right="0" w:hanging="0"/>
        <w:jc w:val="left"/>
        <w:rPr/>
      </w:pPr>
      <w:r>
        <w:rPr/>
        <w:t>●</w:t>
      </w:r>
      <w:r>
        <w:rPr>
          <w:rFonts w:ascii="Times New Roman;Times;serif" w:hAnsi="Times New Roman;Times;serif"/>
          <w:sz w:val="20"/>
        </w:rPr>
        <w:t>reliance on the third party for regulatory compliance and quality assurance;</w:t>
      </w:r>
    </w:p>
    <w:p>
      <w:pPr>
        <w:pStyle w:val="TextBody"/>
        <w:bidi w:val="0"/>
        <w:spacing w:lineRule="auto" w:line="285" w:before="0" w:after="240"/>
        <w:ind w:left="1080" w:right="0" w:hanging="0"/>
        <w:jc w:val="left"/>
        <w:rPr/>
      </w:pPr>
      <w:r>
        <w:rPr/>
        <w:t>●</w:t>
      </w:r>
      <w:r>
        <w:rPr>
          <w:rFonts w:ascii="Times New Roman;Times;serif" w:hAnsi="Times New Roman;Times;serif"/>
          <w:sz w:val="20"/>
        </w:rPr>
        <w:t>the possible breach of the manufacturing agreement by the third party;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the possible misappropriation of our proprietary information, including our trade secrets and know-how; and</w:t>
      </w:r>
    </w:p>
    <w:p>
      <w:pPr>
        <w:pStyle w:val="TextBody"/>
        <w:bidi w:val="0"/>
        <w:spacing w:lineRule="auto" w:line="285"/>
        <w:ind w:left="1080" w:right="0" w:hanging="0"/>
        <w:jc w:val="left"/>
        <w:rPr/>
      </w:pPr>
      <w:r>
        <w:rPr/>
        <w:t>●</w:t>
      </w:r>
      <w:r>
        <w:rPr>
          <w:rFonts w:ascii="Times New Roman;Times;serif" w:hAnsi="Times New Roman;Times;serif"/>
          <w:sz w:val="20"/>
        </w:rPr>
        <w:t>the possible termination or nonrenewal of the agreement by the third party at a time that is costly or inconvenient for us.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COVID-19 pandemic, there was public concern over the availability and accessibility of critical medical products, and the CARES Act enhanced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w:t>
      </w:r>
      <w:r>
        <w:rPr>
          <w:rFonts w:ascii="Times New Roman;Times;serif" w:hAnsi="Times New Roman;Times;serif"/>
          <w:sz w:val="20"/>
          <w:shd w:fill="FFFFFF" w:val="clear"/>
        </w:rPr>
        <w:t>If we experience shortages in the supply of our marketed products, our results could be materially impacted.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third parties upon whom we rely for the supply of the API, drug substance and drug product used in avapritinib and pralsetinib are our sole source of supply, and the loss of any of these suppliers could significantly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or approved drugs and our financial condition.</w:t>
      </w:r>
    </w:p>
    <w:p>
      <w:pPr>
        <w:pStyle w:val="TextBody"/>
        <w:bidi w:val="0"/>
        <w:spacing w:lineRule="auto" w:line="285" w:before="0" w:after="240"/>
        <w:ind w:left="0" w:right="0" w:firstLine="720"/>
        <w:jc w:val="left"/>
        <w:rPr>
          <w:rFonts w:ascii="Times New Roman;Times;serif" w:hAnsi="Times New Roman;Times;serif"/>
          <w:sz w:val="20"/>
        </w:rPr>
      </w:pPr>
      <w:bookmarkStart w:id="1323" w:name="_cp_text_1_156"/>
      <w:bookmarkEnd w:id="1323"/>
      <w:r>
        <w:rPr>
          <w:rFonts w:ascii="Times New Roman;Times;serif" w:hAnsi="Times New Roman;Times;serif"/>
          <w:sz w:val="20"/>
        </w:rPr>
        <w:t xml:space="preserve">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2023.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relied on certain third parties located in China to manufacture and supply certain raw materials used in our drugs and our drug candidates, and we expect to continue to use such third-party manufacturers for such purposes. In addition, certain of our drug candidates are being evaluated at clinical trial sites in China under our collaboration with CStone and through CROs located in China. A natural disaster, epidemic or pandemic disease outbreaks,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 </w:t>
      </w:r>
    </w:p>
    <w:p>
      <w:pPr>
        <w:pStyle w:val="TextBody"/>
        <w:bidi w:val="0"/>
        <w:spacing w:lineRule="auto" w:line="285" w:before="0" w:after="240"/>
        <w:ind w:left="0" w:right="0" w:hanging="0"/>
        <w:jc w:val="center"/>
        <w:rPr>
          <w:rFonts w:ascii="Times New Roman;Times;serif" w:hAnsi="Times New Roman;Times;serif"/>
          <w:sz w:val="20"/>
        </w:rPr>
      </w:pPr>
      <w:bookmarkStart w:id="1324" w:name="_cp_text_1_157"/>
      <w:bookmarkEnd w:id="1324"/>
      <w:r>
        <w:rPr>
          <w:rFonts w:ascii="Times New Roman;Times;serif" w:hAnsi="Times New Roman;Times;serif"/>
          <w:b/>
          <w:sz w:val="20"/>
        </w:rPr>
        <w:t>Risks Related to Intellectual Property</w:t>
      </w:r>
      <w:r>
        <w:rPr>
          <w:rFonts w:ascii="Times New Roman;Times;serif" w:hAnsi="Times New Roman;Times;serif"/>
          <w:sz w:val="20"/>
          <w:shd w:fill="FFFFFF" w:val="clear"/>
        </w:rPr>
        <w:t xml:space="preserve">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patent position of biotechnology and pharmaceutical companies generally is highly uncertain, involves complex legal and factual questions and has in recent years been the subject of much litigation.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patent owned by third parties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agreements with such parties will be upheld in the face of a potential challenge, or that they will not be breached, for which we may not have an adequate remedy.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 </w:t>
      </w:r>
    </w:p>
    <w:p>
      <w:pPr>
        <w:pStyle w:val="TextBody"/>
        <w:bidi w:val="0"/>
        <w:spacing w:lineRule="auto" w:line="285" w:before="100" w:after="10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become involved in lawsuits to protect or enforce our patents and other intellectual property rights, which could be expensive, time-consuming and unsuccessful.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Competitors and other third parties may infringe, misappropriate or otherwise violate our patents and other intellectual property rights. To counter infringement or unauthorized use, including against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litigation could cause us to spend substantial resources and distract our personnel from their normal responsibilities.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lineRule="auto" w:line="285" w:before="160" w:after="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not able to obtain, or in applicable cases maintain, patent term extension or non-patent exclusivity in the United States under the Hatch-Waxman Act and in foreign countries under similar legislation, thereby potentially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extending the marketing exclusivity term of our products or product candidates, our business may be materially harmed. </w:t>
      </w:r>
    </w:p>
    <w:p>
      <w:pPr>
        <w:pStyle w:val="TextBody"/>
        <w:bidi w:val="0"/>
        <w:spacing w:lineRule="auto" w:line="285" w:before="120" w:after="0"/>
        <w:ind w:left="0" w:right="0" w:firstLine="555"/>
        <w:jc w:val="left"/>
        <w:rPr>
          <w:rFonts w:ascii="Times New Roman;Times;serif" w:hAnsi="Times New Roman;Times;serif"/>
          <w:sz w:val="20"/>
        </w:rPr>
      </w:pPr>
      <w:r>
        <w:rPr>
          <w:rFonts w:ascii="Times New Roman;Times;serif" w:hAnsi="Times New Roman;Times;serif"/>
          <w:sz w:val="20"/>
        </w:rPr>
        <w:t xml:space="preserve">Depending upon the timing, duration and specifics of FDA marketing approval of our products or product candidates, one of the U.S. patents covering each of such products or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abbreviated new drug application, or ANDA, filed with the FDA to obtain permission to sell a generic version of such product.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to seek new chemical entity exclusivity, and potentially other exclusivities, for product candidates we are developing, we may not be successful in doing so. Moreover, these non-patent exclusivities, if granted, are limited and other companies may be able to submit marketing applications and receive approval earlier than we anticipate.</w:t>
      </w:r>
    </w:p>
    <w:p>
      <w:pPr>
        <w:pStyle w:val="TextBody"/>
        <w:bidi w:val="0"/>
        <w:spacing w:lineRule="auto" w:line="285" w:before="0" w:after="0"/>
        <w:ind w:left="0" w:right="0" w:firstLine="555"/>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effectively enforce our intellectual property rights throughout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intellectual property licensed from third parties and termination of any of these licenses could result in the loss of significant rights, which would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our current license agreements, we may not have the final or sole decision on whether we are able to opt out certain of our in-licensed European patents and patent applications from the recently created Unified Patent Court (UPC) for the European Union, that was ratified on June 1,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or the USPTO.</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European patents and patent applications could be challenged in the recently created UPC for the European Union, that was ratified on June 1,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to the patent law in the U.S. and other jurisdictions could diminish the value of patents in general, thereby impairing our ability to protect our drugs and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the confidentiality of our trade secrets, our business and competitive position may be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damages resulting from claims that we or our employees have wrongfully used or disclosed alleged trade secrets of our competitors or are in breach of non-competition or non-solicitation agreements with our competitors.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Business, including Employee Matters, Managing Growth and Others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success depends on our ability to retain key executives and to attract, retain and motivate qualified personnel.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will need to develop and expand our company, and we may encounter difficulties in managing this development and expansion, which could disrupt our operations.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October 15, 2023, we had 661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Unfavorable global economic or political conditions could adversely affect our business, financial condition or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results of operations could be adversely affected by general conditions in the global economy and in the global financial markets. For example, the COVID-19 pandemic caused extreme volatility and disruptions in the capital and credit markets. In addition, geopolitical developments, such as the Israeli-Palestinian conflict, Russian invasion of Ukraine or deterioration in the bilateral relationship between the U.S. and China could contribute to disruption, instability and volatility in the global markets, as well as an increased inflation, which in turn could adversely impact our operations and those of third parties upon which we rely. Geopolitical conflicts could also have an adverse impact on third parties located in the involved jurisdictions, which could in turn have an adverse impact on our business. For example, certain of our distributors are located in Israel, and may be adversely impacted by the Israeli-Palestinian conflict. Related sanctions, export controls or other actions that may be initiated by nations including the U.S., the EU, Israel or Russia (e.g., potential cyberattacks, disruption of energy flows) could adversely affect our business, our supply chain, CROs, CMOs, clinical trial sites, collaborative partners, distributors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Political developments can also lead to uncertainty around regulations and rules that may materially affect our business. For example, as the UK regulatory system is now independent from the EU, a long-term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Rising inflation rates could negatively impact our revenues and profitability if increases in the prices of our products or a decrease in</w:t>
      </w:r>
      <w:r>
        <w:rPr>
          <w:rFonts w:ascii="Times New Roman;Times;serif" w:hAnsi="Times New Roman;Times;serif"/>
          <w:sz w:val="20"/>
        </w:rPr>
        <w:t xml:space="preserve"> </w:t>
      </w:r>
      <w:r>
        <w:rPr>
          <w:rFonts w:ascii="Times New Roman;Times;serif" w:hAnsi="Times New Roman;Times;serif"/>
          <w:b/>
          <w:i/>
          <w:sz w:val="20"/>
        </w:rPr>
        <w:t>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Foreign currency exchange rates fluctuations could have an adverse impact on our operating results.</w:t>
      </w:r>
    </w:p>
    <w:p>
      <w:pPr>
        <w:pStyle w:val="TextBody"/>
        <w:bidi w:val="0"/>
        <w:spacing w:lineRule="auto" w:line="285"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From time to time, we contract with vendors that are located in Asia and Europe, which are denominated in foreign currencies. </w:t>
      </w:r>
      <w:r>
        <w:rPr>
          <w:rFonts w:ascii="Times New Roman;Times;serif" w:hAnsi="Times New Roman;Times;serif"/>
          <w:sz w:val="20"/>
        </w:rPr>
        <w:t>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or the third parties upon whom we depend may be adversely affected by earthquakes or other natural disasters and our business continuity and disaster recovery plans may not adequately protect us from a serious disaster.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and could include the use of artificial intelligence, or AI, and machine learning to launch more automated, targeted and coordinated attacks on targets.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 addition, our liability insurance may not be sufficient in type or amount to cover us against claims related to security breaches, cyberattacks and other related breaches.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Similarly, the increasing use of AI, and machine learning technology in the biopharmaceutical industry presents new risks and challenges. The use of AI 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have control over the operations of the facilities of our cloud service providers and our third-party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on May 25, 2018, the European General Data Protection Regulation 2016/679, which is commonly referred to as GDPR, took effect. The GDPR applies to any company established in the European Economic Area, or EEA, as well as any company outside the EEA that collects or otherwise processes personal data in connection with the offering goods or services to individuals in the EEA or the monitoring of their behavior. The GDPR enhances data protection obligations for processors and controllers of personal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data, including, for example, expanded disclosures about how personal information is to be used, ensuring we have a valid legal basis to process personal data, maintaining records of our processing activities and to document data protection impact assessments where there is high risk processing, limitations on retention of information, mandatory data breach notification requirements, ensuring appropriate technical and organizational measures to be put in place to safeguard personal data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Further to the UK’s exit from the European Union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In this document, “GDPR” refers to both the EU and the UK GDPR, unless specified otherwise.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EEA.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 In addition, the UK has announced plans to reform the country’s data protection legal framework in its Data Reform Bill, but these plans have been put on hold.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European data protection laws also regulates the transfer of personal data from the EEA and Switzerland to third countries that are not considered to provide adequate protections are provided for personal data. With regard to transfers of personal data from the EEA, transfers to third countries that have not been approved as “adequate” are prohibited unless an appropriate safeguard specified by the GDPR is implemented, such as the Standard Contractual Clauses, or SCCs, approved by the European Commission, or EC, or binding corporate rules, or a derogation applies. In the past, companies in the U.S. were able to rely upon the Privacy Shield framework to legitimize data transfers from the EEA to the U.S. In July 2020, the Court of Justice of the European Union, or CJEU, in Case C-311/18 (Data Protection Commissioner v Facebook Ireland and Maximillian Schrems, or Schrems II) invalidated the EU-U.S. Privacy Shield on the grounds that the Privacy Shield failed to offer adequate protections to EU personal data transferred to the U.S. The CJEU, in the same decision, deemed that the Standard Contractual Clauses, or SCCs, published by the EC are valid. However, the CJEU ruled that transfers made pursuant to the SCCs need to be assessed on a case-by-case basis to ensure the law in the recipient country provides “essentially equivalent” protections to safeguard the transferred personal data as the EEA, and required businesses to adopt supplementary measures if such standard is not met.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4, 2021, the European Commission issued new SCCs that account for the CJEU’s decision and other developments, which need to be put in place for new contracts involving the transfer of personal data from the EEA to a third country since September 27, 2021, and incorporated into existing contracts since December 27, 2022. The New SCCs do not apply to the UK, but the UK Information Commissioner’s Office has published its own transfer mechanism, the International Data Transfer Agreement, or UK IDTA, which entered into force on 21 March 2022, and enables data transfers originating from the UK. It requires a similar assessment of the data protection provided in the importer’s country. The UK IDTA needs to be concluded in new contracts involving the transfer of personal data from the UK as of 22 September 2022. Organizations have until 21 March 2024 to update existing agreements. On July 10, 2023, the EU adopted an adequacy decision for a new “Data Privacy Framework,” which replaces the invalidated Privacy Shield, for personal data transferred from the EU to the U.S. On July 17, 2023 the U.S. Department of Commerce released registration means and requirements for U.S. companies to register. The Framework provides additional certification mechanisms to provide for UK and Swiss data transfers. We will be required to implement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the UK is regarded as a third country under the EU’s GDPR, the EC has issued a decision recognizing the UK as providing adequate protection under the EU GDPR and, therefore, transfers of personal data originating in the EEA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have taken steps to mitigate the impact on us with respect to transfers of data, such as implementing the SCCs in new contracts with our service providers, customers, subsidiaries, and are updating existing contracts with the new SCCs in anticipation of the December 2022 deadline, the validity of these transfer mechanisms remains uncertain. Complying with this guidance as it exists today and evolves will be expensive and time consuming and may ultimately prevent us from transferring personal data outside the EEA, which would cause significant business disruption for ourselves and our customers and potentially require the changes in the way our products are configured, hosted and supported.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are subject to Swiss data protection laws, including the Federal Act on Data Protection, or FADP. While the FADP provides broad protections to personal data, on September 25, 2020, the Swiss federal Parliament enacted a revised version of the FADP, which is anticipated to become effective in September 2023. The new version of the FADP aligns Swiss data protection law with the GDPR.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The Draft Regulation is still the subject of negotiations between the Council of the European Union and the European Parliament. It is unclear when the Draft Regulation will enter into force.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European data protection requirements,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a new California ballot initiative, the California Privacy Rights Act (CPRA) was passed in November 2020 and became effective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Also, on March 2, 2021, Virginia enacted the Consumer Data Protection Act, or CDPA. The CDPA became effective on January 1, 2023. The CDPA regulates how businesses, which the CDPA refers to as “controllers”, collect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CDPA regulates impact how controllers collect and process personal sensitive data, conduct data protection assessments, transfer personal data to affiliates, and respond to consumer rights requests. In addition, on July 8, 2021, Colorado’s governor signed the Colorado Privacy Act, or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on March 24, 2022, Utah’s governor signed the Utah Consumer Privacy Act, or UCPA, into law. The UCPA will take effect on December 31, 2023. Also, in 2022, Connecticut Governor Lamont signed the Connecticut Data Privacy Act, or CTDPA, into laws. The UCPA and CTDPA draw heavily upon their predecessors in Virginia and Colorado. With Oregon’s governor signing of the Oregon Consumer Privacy Act on July 18, 2023, there are eleven states with signed comprehensive privacy laws that are either effective or will be effective in the next three years. Furthermore, on April 27, 2023 Washington state signed the My Health My Data Act (MHMDA) a consumer health privacy law aimed at expanding protections to health data historically not covered by existing laws. The MHMDA requires sweeping changes to how impacted organizations obtain consent and authorization to collect and share consumer health information.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principal investigators, CROs and consultants may engage in misconduct or other improper activities, including non-compliance with regulatory standards and requirements and insider trading.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may be subject to adverse legislative or regulatory tax changes that could negatively impact our financial condition.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As of September 30, 2023, the U.S. Congress has not passed legislation that would defer the amortization requirement to future periods and as such the inability to deduct research and development expenditures in their entirety in 2022 and 2023 will have a material impact on the carryover of taxable losses used to offset future taxable income, and in turn will impact our cash flows in future years. </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has been and may in the future be volatile and fluctuate substantially.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October 23, 2023. As a result of this volatility, our stockholders could incur substantial losses.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stock market in general has recently experienced relatively large price and volume fluctuations.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commercialization of our drugs and drug candidates, if approved;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drugs or technologies;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trials of our drug candidates or those of our competitors;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U.S. and other countries;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 applications, issued patents or other proprietary rights;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expenses related to any of our drug candidates or clinical development programs;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drug candidates or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estimates as to financial results, development timelines or recommendations by securities analysts;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and biotechnology sectors;</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epidemic or pandemic disease outbreaks, trade wars, political unrest or other similar events;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Future sales or issuances of common stock or other equity related securities may also adversely affect the market price of our common stock. In February 2022, we entered into a new sales agreement with Cowen and Company, LLC through which we may, from time to time, issue and sell shares of our common stock having an aggregate offering price of up to $300.0 million, subject to the terms and conditions of the sales agreement. We did not sell any shares of common stock under this sales agreement as of September 30, 2023. If we seek authorization to sell shares of common stock under the new sales agreement, enter into new “at the market” stock offering programs, or conduct a public offering or private offering through other means, it could lead to additional dilution for our stockholders and may impact our stock price adversely.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offering. Decreases in these sales could affect the cost or availability of equity capital, which could in turn have an adverse effect on our business, including current operations, future growth, revenues, net income and the market prices of our common shares.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2022, we commenced a new at-the-market, or ATM, program to raise capital. Under our ATM program, we have entered into a sales agreement to sell common shares, up to a maximum aggregate market value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$300.0 million, through one or more at-the-market offerings. Given volatility in the capital markets, we may not be willing or able to continue to raise equity capital through our ATM program. We may, therefore, need to turn to other sources of funding that may have terms that are not favorable to us, or reduce our business operations given capital constraints.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equity research analysts publish negative evaluations of or downgrade our common stock, the price of our common stock could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executive officers, directors, principal stockholders and their affiliates maintain the ability to exercise significant influence over our company and all matters submitted to stockholders for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of us;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acquiror from making a tender offer or otherwise attempting to obtain control of us.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bylaws contain exclusive forum provisions, which may limit a stockholder’s ability to bring a claim in a judicial forum it finds favorable and may discourage lawsuits with respect to such claims.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amended and restated bylaws,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federal district courts of the United States will be the exclusive forum for resolving any complaint asserting a cause of action arising under the Securities Act, which we refer to as the federal forum provision. We have chosen the federal district courts of the United States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addition, our bylaws provide that any person or entity purchasing or otherwise acquiring any interest in shares of our common stock is deemed to have notice of and consented to the Delaware forum provision and the federal forum provision.</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Future sales of our common stock, including by us or our directors and executive officers or shares issued upon the exercise of currently outstanding options, could cause our stock price to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and will continue to incur substantial costs as a result of operating as a public company, and our management is required to devote substantial time to new compliance initiatives and corporate governance practices.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we have incurred and expect to continue to incur significant legal, accounting and other expenses. In addition, the Sarbanes-Oxley Act of 2002 and rules subsequently implemented by the Securities and Exchange Commission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do not anticipate paying any cash dividends on our capital stock in the foreseeable future, capital appreciation, if any, will be the sole source of gain for our stockholders.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Repurchases of our capital stock may be subject to additional tax.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Congress recently enacted a new 1% excise tax on certain stock repurchases (or similar transactions) effected by publicly traded domestic corporations such as ours. This tax could make stock repurchases less desirable (and therefore less likely) as compared with other possible uses of our funds, and could reduce the amount of cash available if we do determine to pursue a stock repurchase.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Our ability to utilize our net operating loss carryforwards and certain other tax attributes may be limited.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Section 382 of the Internal Revenue Code of 1986, as amended (the Code),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2022, we had federal net operating loss carryforwards of approximately $647.9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With respect to the net operating losses and research and development tax credit carryforwards acquired from the acquisition of Lengo Therapeutics, Inc. (Lengo), the Company has completed a study to assess whether an ownership change under Section 382 of the Code has occurred, or whether there have been multiple ownership changes since Lengo’s formation. Based on the study all the net operating losses and research and development credits acquired will be available for utilization within their applicable carryforward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 The Company engaged its external tax advisor to determine if the Company had equity activity through December 31, 2022 that would give rise to a greater than 50% ownership change. The previous Section 382 model, through December 31, 2021, was updated for reported transactions among the Company’s 5% owners. The analysis concluded that there was no additional Company equity activity through December 31, 2022 that would rise to the level of a &gt;50% ownership change.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part of this update, the Company also analyzed the shifts in the stock ownership of Lengo, which was acquired by the Company on December 29, 2021, for purposes of determining (1) whether and when Lengo experienced an “ownership change,” as defined in Section 382(g)(1) of the Code, during the period beginning March 6, 2019, the date of the first reported issuance of Lengo stock, and ending on December 29, 2021 (Owner Shift Analysis), and (2) the extent to which Lengo’s net operating loss and tax credit carryforwards may be subject to limitation under Sections 382 and 383 as a result of any such ownership changes (Limitation Analysis) (collectively, the Analysis). The analysis concluded that it is more likely than not that ownership changes occurred on (1) March 26, 2020 in connection with the issuance of Series A Preferred stock and (2) on December 29, 2021 in connection with the Company’s acquisition of Lengo. An analysis of Lengo was not required as it was merged into the Company effective June 24, 2022.</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325" w:name="Item5OtherInformation_346096"/>
      <w:bookmarkStart w:id="1326" w:name="_b6dad3f0_9e1f_46a3_b849_c954d62deb3f"/>
      <w:bookmarkEnd w:id="1325"/>
      <w:bookmarkEnd w:id="1326"/>
      <w:r>
        <w:rPr>
          <w:rFonts w:ascii="Times New Roman;Times;serif" w:hAnsi="Times New Roman;Times;serif"/>
          <w:b/>
          <w:sz w:val="20"/>
        </w:rPr>
        <w:t>Item 5. Other Information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2023, one of the Company’s officers adopted a “Rule 10b5-1 trading arrangement,” as the term is defined in Item 408(a) of Regulation S-K. We describe the material terms of this Rule 10b5-1 trading arrangement below.</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96"/>
        <w:gridCol w:w="944"/>
        <w:gridCol w:w="2507"/>
        <w:gridCol w:w="2091"/>
        <w:gridCol w:w="1533"/>
        <w:gridCol w:w="1334"/>
      </w:tblGrid>
      <w:tr>
        <w:trPr/>
        <w:tc>
          <w:tcPr>
            <w:tcW w:w="1796" w:type="dxa"/>
            <w:tcBorders/>
            <w:vAlign w:val="center"/>
          </w:tcPr>
          <w:p>
            <w:pPr>
              <w:pStyle w:val="TableContents"/>
              <w:bidi w:val="0"/>
              <w:spacing w:lineRule="auto" w:line="285" w:before="0" w:after="0"/>
              <w:ind w:left="0" w:right="0" w:hanging="0"/>
              <w:jc w:val="left"/>
              <w:rPr/>
            </w:pPr>
            <w:r>
              <w:rPr/>
              <w:t>​</w:t>
            </w:r>
          </w:p>
        </w:tc>
        <w:tc>
          <w:tcPr>
            <w:tcW w:w="944" w:type="dxa"/>
            <w:tcBorders/>
            <w:vAlign w:val="center"/>
          </w:tcPr>
          <w:p>
            <w:pPr>
              <w:pStyle w:val="TableContents"/>
              <w:bidi w:val="0"/>
              <w:spacing w:lineRule="auto" w:line="285" w:before="0" w:after="0"/>
              <w:ind w:left="0" w:right="0" w:hanging="0"/>
              <w:jc w:val="left"/>
              <w:rPr/>
            </w:pPr>
            <w:r>
              <w:rPr/>
              <w:t>​</w:t>
            </w:r>
          </w:p>
        </w:tc>
        <w:tc>
          <w:tcPr>
            <w:tcW w:w="2507" w:type="dxa"/>
            <w:tcBorders/>
            <w:vAlign w:val="center"/>
          </w:tcPr>
          <w:p>
            <w:pPr>
              <w:pStyle w:val="TableContents"/>
              <w:bidi w:val="0"/>
              <w:spacing w:lineRule="auto" w:line="285" w:before="0" w:after="0"/>
              <w:ind w:left="0" w:right="0" w:hanging="0"/>
              <w:jc w:val="left"/>
              <w:rPr/>
            </w:pPr>
            <w:r>
              <w:rPr/>
              <w:t>​</w:t>
            </w:r>
          </w:p>
        </w:tc>
        <w:tc>
          <w:tcPr>
            <w:tcW w:w="2091" w:type="dxa"/>
            <w:tcBorders/>
            <w:vAlign w:val="center"/>
          </w:tcPr>
          <w:p>
            <w:pPr>
              <w:pStyle w:val="TableContents"/>
              <w:bidi w:val="0"/>
              <w:spacing w:lineRule="auto" w:line="285" w:before="0" w:after="0"/>
              <w:ind w:left="0" w:right="0" w:hanging="0"/>
              <w:jc w:val="left"/>
              <w:rPr/>
            </w:pPr>
            <w:r>
              <w:rPr/>
              <w:t>​</w:t>
            </w:r>
          </w:p>
        </w:tc>
        <w:tc>
          <w:tcPr>
            <w:tcW w:w="1533" w:type="dxa"/>
            <w:tcBorders/>
            <w:vAlign w:val="center"/>
          </w:tcPr>
          <w:p>
            <w:pPr>
              <w:pStyle w:val="TableContents"/>
              <w:bidi w:val="0"/>
              <w:spacing w:lineRule="auto" w:line="285" w:before="0" w:after="0"/>
              <w:ind w:left="0" w:right="0" w:hanging="0"/>
              <w:jc w:val="left"/>
              <w:rPr/>
            </w:pPr>
            <w:r>
              <w:rPr/>
              <w:t>​</w:t>
            </w:r>
          </w:p>
        </w:tc>
        <w:tc>
          <w:tcPr>
            <w:tcW w:w="1334" w:type="dxa"/>
            <w:tcBorders/>
            <w:vAlign w:val="center"/>
          </w:tcPr>
          <w:p>
            <w:pPr>
              <w:pStyle w:val="TableContents"/>
              <w:bidi w:val="0"/>
              <w:spacing w:lineRule="auto" w:line="285" w:before="0" w:after="0"/>
              <w:ind w:left="0" w:right="0" w:hanging="0"/>
              <w:jc w:val="left"/>
              <w:rPr/>
            </w:pPr>
            <w:r>
              <w:rPr/>
              <w:t>​</w:t>
            </w:r>
          </w:p>
        </w:tc>
      </w:tr>
      <w:tr>
        <w:trPr/>
        <w:tc>
          <w:tcPr>
            <w:tcW w:w="179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Name and Title</w:t>
            </w:r>
          </w:p>
        </w:tc>
        <w:tc>
          <w:tcPr>
            <w:tcW w:w="944"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Action Taken</w:t>
            </w:r>
          </w:p>
        </w:tc>
        <w:tc>
          <w:tcPr>
            <w:tcW w:w="2507"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Type of Trading Arrangement</w:t>
            </w:r>
          </w:p>
        </w:tc>
        <w:tc>
          <w:tcPr>
            <w:tcW w:w="209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Nature of Trading Arrangement</w:t>
            </w:r>
          </w:p>
        </w:tc>
        <w:tc>
          <w:tcPr>
            <w:tcW w:w="1533"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Duration of Trading Arrangement</w:t>
            </w:r>
          </w:p>
        </w:tc>
        <w:tc>
          <w:tcPr>
            <w:tcW w:w="1334"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Aggregate Number of Securities</w:t>
            </w:r>
          </w:p>
        </w:tc>
      </w:tr>
      <w:tr>
        <w:trPr/>
        <w:tc>
          <w:tcPr>
            <w:tcW w:w="17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Ariel Hurley</w:t>
            </w:r>
          </w:p>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i/>
                <w:color w:val="262626"/>
                <w:sz w:val="20"/>
              </w:rPr>
              <w:t>Senior Vice President, Finance and Principal Accounting Officer)</w:t>
            </w:r>
          </w:p>
        </w:tc>
        <w:tc>
          <w:tcPr>
            <w:tcW w:w="9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Adoption</w:t>
            </w:r>
          </w:p>
          <w:p>
            <w:pPr>
              <w:pStyle w:val="TableContents"/>
              <w:bidi w:val="0"/>
              <w:spacing w:lineRule="auto" w:line="285" w:before="60" w:after="60"/>
              <w:ind w:left="0" w:right="0" w:hanging="0"/>
              <w:jc w:val="center"/>
              <w:rPr>
                <w:rFonts w:ascii="Times New Roman;Times;serif" w:hAnsi="Times New Roman;Times;serif"/>
                <w:i/>
                <w:sz w:val="20"/>
              </w:rPr>
            </w:pPr>
            <w:r>
              <w:rPr>
                <w:rFonts w:ascii="Times New Roman;Times;serif" w:hAnsi="Times New Roman;Times;serif"/>
                <w:i/>
                <w:sz w:val="20"/>
              </w:rPr>
              <w:t>(9/13/23)</w:t>
            </w:r>
          </w:p>
          <w:p>
            <w:pPr>
              <w:pStyle w:val="TableContents"/>
              <w:bidi w:val="0"/>
              <w:spacing w:lineRule="auto" w:line="285" w:before="60" w:after="60"/>
              <w:ind w:left="0" w:right="0" w:hanging="0"/>
              <w:jc w:val="center"/>
              <w:rPr/>
            </w:pPr>
            <w:r>
              <w:rPr/>
              <w:t> </w:t>
            </w:r>
          </w:p>
        </w:tc>
        <w:tc>
          <w:tcPr>
            <w:tcW w:w="250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Trading plan intended to satisfy the affirmative defense conditions of Securities Exchange Act Rule 10b5-1(c)</w:t>
            </w:r>
          </w:p>
        </w:tc>
        <w:tc>
          <w:tcPr>
            <w:tcW w:w="20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Sale of the Company’s common stock pursuant to the terms of the trading plan</w:t>
            </w:r>
          </w:p>
        </w:tc>
        <w:tc>
          <w:tcPr>
            <w:tcW w:w="153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9/13/23 – 9/23/24</w:t>
            </w:r>
          </w:p>
          <w:p>
            <w:pPr>
              <w:pStyle w:val="TableContents"/>
              <w:bidi w:val="0"/>
              <w:spacing w:lineRule="auto" w:line="285" w:before="60" w:after="60"/>
              <w:ind w:left="0" w:right="0" w:hanging="0"/>
              <w:jc w:val="center"/>
              <w:rPr/>
            </w:pPr>
            <w:r>
              <w:rPr/>
              <w:t> </w:t>
            </w:r>
          </w:p>
        </w:tc>
        <w:tc>
          <w:tcPr>
            <w:tcW w:w="13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16,867</w:t>
            </w:r>
          </w:p>
          <w:p>
            <w:pPr>
              <w:pStyle w:val="TableContents"/>
              <w:bidi w:val="0"/>
              <w:spacing w:lineRule="auto" w:line="285" w:before="60" w:after="60"/>
              <w:ind w:left="0" w:right="0" w:hanging="0"/>
              <w:jc w:val="center"/>
              <w:rPr/>
            </w:pPr>
            <w:r>
              <w:rPr/>
              <w:t>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327" w:name="Item6Exhibits_734890"/>
      <w:bookmarkStart w:id="1328" w:name="_0716a8df_329c_4c65_8847_ba0de6cbe4b9"/>
      <w:bookmarkEnd w:id="1327"/>
      <w:bookmarkEnd w:id="1328"/>
      <w:r>
        <w:rPr>
          <w:rFonts w:ascii="Times New Roman;Times;serif" w:hAnsi="Times New Roman;Times;serif"/>
          <w:b/>
          <w:sz w:val="20"/>
        </w:rPr>
        <w:t>Item 6. Exhibits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898"/>
        <w:gridCol w:w="326"/>
        <w:gridCol w:w="8981"/>
      </w:tblGrid>
      <w:tr>
        <w:trPr/>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570230" cy="29210"/>
                      <wp:effectExtent l="0" t="0" r="0" b="0"/>
                      <wp:wrapNone/>
                      <wp:docPr id="677" name="Frame677"/>
                      <a:graphic xmlns:a="http://schemas.openxmlformats.org/drawingml/2006/main">
                        <a:graphicData uri="http://schemas.microsoft.com/office/word/2010/wordprocessingShape">
                          <wps:wsp>
                            <wps:cNvSpPr txBox="1"/>
                            <wps:spPr>
                              <a:xfrm>
                                <a:off x="0" y="0"/>
                                <a:ext cx="5702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07010" cy="29210"/>
                      <wp:effectExtent l="0" t="0" r="0" b="0"/>
                      <wp:wrapNone/>
                      <wp:docPr id="678" name="Frame678"/>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5702935" cy="29210"/>
                      <wp:effectExtent l="0" t="0" r="0" b="0"/>
                      <wp:wrapNone/>
                      <wp:docPr id="679" name="Frame679"/>
                      <a:graphic xmlns:a="http://schemas.openxmlformats.org/drawingml/2006/main">
                        <a:graphicData uri="http://schemas.microsoft.com/office/word/2010/wordprocessingShape">
                          <wps:wsp>
                            <wps:cNvSpPr txBox="1"/>
                            <wps:spPr>
                              <a:xfrm>
                                <a:off x="0" y="0"/>
                                <a:ext cx="5702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98" w:type="dxa"/>
            <w:tcBorders>
              <w:bottom w:val="single" w:sz="2" w:space="0" w:color="000000"/>
            </w:tcBorders>
            <w:tcMar>
              <w:bottom w:w="28" w:type="dxa"/>
            </w:tcMar>
            <w:vAlign w:val="center"/>
          </w:tcPr>
          <w:p>
            <w:pPr>
              <w:pStyle w:val="TableContents"/>
              <w:pBdr/>
              <w:bidi w:val="0"/>
              <w:spacing w:lineRule="auto" w:line="304" w:before="0" w:after="0"/>
              <w:ind w:left="0" w:right="0" w:hanging="144"/>
              <w:jc w:val="center"/>
              <w:rPr>
                <w:rFonts w:ascii="Times New Roman;Times;serif" w:hAnsi="Times New Roman;Times;serif"/>
                <w:b/>
                <w:sz w:val="20"/>
              </w:rPr>
            </w:pPr>
            <w:r>
              <w:rPr>
                <w:rFonts w:ascii="Times New Roman;Times;serif" w:hAnsi="Times New Roman;Times;serif"/>
                <w:b/>
                <w:sz w:val="20"/>
              </w:rPr>
              <w:t>Exhibit</w:t>
            </w:r>
          </w:p>
          <w:p>
            <w:pPr>
              <w:pStyle w:val="TableContents"/>
              <w:pBdr/>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8981" w:type="dxa"/>
            <w:tcBorders>
              <w:bottom w:val="single" w:sz="2" w:space="0" w:color="000000"/>
            </w:tcBorders>
            <w:tcMar>
              <w:bottom w:w="28" w:type="dxa"/>
            </w:tcMar>
            <w:vAlign w:val="center"/>
          </w:tcPr>
          <w:p>
            <w:pPr>
              <w:pStyle w:val="TableContents"/>
              <w:bidi w:val="0"/>
              <w:spacing w:lineRule="auto" w:line="304" w:before="0" w:after="120"/>
              <w:ind w:left="0" w:right="0" w:hanging="0"/>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898"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pBdr/>
              <w:bidi w:val="0"/>
              <w:spacing w:lineRule="auto" w:line="285" w:before="0" w:after="0"/>
              <w:ind w:left="0" w:right="0" w:hanging="0"/>
              <w:jc w:val="left"/>
              <w:rPr/>
            </w:pPr>
            <w:r>
              <w:rPr/>
              <w:t>​</w:t>
            </w:r>
          </w:p>
        </w:tc>
        <w:tc>
          <w:tcPr>
            <w:tcW w:w="8981" w:type="dxa"/>
            <w:tcBorders/>
            <w:vAlign w:val="center"/>
          </w:tcPr>
          <w:p>
            <w:pPr>
              <w:pStyle w:val="TableContents"/>
              <w:bidi w:val="0"/>
              <w:spacing w:lineRule="auto" w:line="285" w:before="0" w:after="100"/>
              <w:ind w:left="0" w:right="0" w:hanging="0"/>
              <w:jc w:val="left"/>
              <w:rPr/>
            </w:pPr>
            <w:hyperlink w:anchor="bpmc-20230930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Exchange Act, as adopted pursuant to Section 302 of the Sarbanes-Oxley Act of 2002</w:t>
              </w:r>
            </w:hyperlink>
          </w:p>
        </w:tc>
      </w:tr>
      <w:tr>
        <w:trPr/>
        <w:tc>
          <w:tcPr>
            <w:tcW w:w="898"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pBdr/>
              <w:bidi w:val="0"/>
              <w:spacing w:lineRule="auto" w:line="285" w:before="0" w:after="0"/>
              <w:ind w:left="0" w:right="0" w:hanging="0"/>
              <w:jc w:val="left"/>
              <w:rPr/>
            </w:pPr>
            <w:r>
              <w:rPr/>
              <w:t>​</w:t>
            </w:r>
          </w:p>
        </w:tc>
        <w:tc>
          <w:tcPr>
            <w:tcW w:w="8981" w:type="dxa"/>
            <w:tcBorders/>
            <w:vAlign w:val="center"/>
          </w:tcPr>
          <w:p>
            <w:pPr>
              <w:pStyle w:val="TableContents"/>
              <w:bidi w:val="0"/>
              <w:spacing w:lineRule="auto" w:line="285" w:before="0" w:after="100"/>
              <w:ind w:left="0" w:right="0" w:hanging="0"/>
              <w:jc w:val="left"/>
              <w:rPr/>
            </w:pPr>
            <w:hyperlink w:anchor="bpmc-20230930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Exchange Act, as adopted pursuant to Section 302 of the Sarbanes-Oxley Act of 2002</w:t>
              </w:r>
            </w:hyperlink>
          </w:p>
        </w:tc>
      </w:tr>
      <w:tr>
        <w:trPr/>
        <w:tc>
          <w:tcPr>
            <w:tcW w:w="898"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pBdr/>
              <w:bidi w:val="0"/>
              <w:spacing w:lineRule="auto" w:line="285" w:before="0" w:after="0"/>
              <w:ind w:left="0" w:right="0" w:hanging="0"/>
              <w:jc w:val="left"/>
              <w:rPr/>
            </w:pPr>
            <w:r>
              <w:rPr/>
              <w:t>​</w:t>
            </w:r>
          </w:p>
        </w:tc>
        <w:tc>
          <w:tcPr>
            <w:tcW w:w="8981" w:type="dxa"/>
            <w:tcBorders/>
            <w:vAlign w:val="center"/>
          </w:tcPr>
          <w:p>
            <w:pPr>
              <w:pStyle w:val="TableContents"/>
              <w:bidi w:val="0"/>
              <w:spacing w:lineRule="auto" w:line="304" w:before="0" w:after="100"/>
              <w:ind w:left="0" w:right="0" w:hanging="0"/>
              <w:jc w:val="left"/>
              <w:rPr/>
            </w:pPr>
            <w:hyperlink w:anchor="bpmc-20230930xex32d1.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898"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pBdr/>
              <w:bidi w:val="0"/>
              <w:spacing w:lineRule="auto" w:line="285" w:before="0" w:after="0"/>
              <w:ind w:left="0" w:right="0" w:hanging="0"/>
              <w:jc w:val="left"/>
              <w:rPr/>
            </w:pPr>
            <w:r>
              <w:rPr/>
              <w:t>​</w:t>
            </w:r>
          </w:p>
        </w:tc>
        <w:tc>
          <w:tcPr>
            <w:tcW w:w="8981"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98"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pBdr/>
              <w:bidi w:val="0"/>
              <w:spacing w:lineRule="auto" w:line="285" w:before="0" w:after="0"/>
              <w:ind w:left="0" w:right="0" w:hanging="0"/>
              <w:jc w:val="left"/>
              <w:rPr/>
            </w:pPr>
            <w:r>
              <w:rPr/>
              <w:t>​</w:t>
            </w:r>
          </w:p>
        </w:tc>
        <w:tc>
          <w:tcPr>
            <w:tcW w:w="8981"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98"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pBdr/>
              <w:bidi w:val="0"/>
              <w:spacing w:lineRule="auto" w:line="285" w:before="0" w:after="0"/>
              <w:ind w:left="0" w:right="0" w:hanging="0"/>
              <w:jc w:val="left"/>
              <w:rPr/>
            </w:pPr>
            <w:r>
              <w:rPr/>
              <w:t>​</w:t>
            </w:r>
          </w:p>
        </w:tc>
        <w:tc>
          <w:tcPr>
            <w:tcW w:w="8981"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98"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lineRule="auto" w:line="285" w:before="0" w:after="0"/>
              <w:ind w:left="0" w:right="0" w:hanging="0"/>
              <w:jc w:val="left"/>
              <w:rPr/>
            </w:pPr>
            <w:r>
              <w:rPr/>
              <w:t>​</w:t>
            </w:r>
          </w:p>
        </w:tc>
        <w:tc>
          <w:tcPr>
            <w:tcW w:w="8981"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98"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lineRule="auto" w:line="285" w:before="0" w:after="0"/>
              <w:ind w:left="0" w:right="0" w:hanging="0"/>
              <w:jc w:val="left"/>
              <w:rPr/>
            </w:pPr>
            <w:r>
              <w:rPr/>
              <w:t>​</w:t>
            </w:r>
          </w:p>
        </w:tc>
        <w:tc>
          <w:tcPr>
            <w:tcW w:w="8981"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98"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lineRule="auto" w:line="285" w:before="0" w:after="0"/>
              <w:ind w:left="0" w:right="0" w:hanging="0"/>
              <w:jc w:val="left"/>
              <w:rPr/>
            </w:pPr>
            <w:r>
              <w:rPr/>
              <w:t>​</w:t>
            </w:r>
          </w:p>
        </w:tc>
        <w:tc>
          <w:tcPr>
            <w:tcW w:w="8981"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98"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lineRule="auto" w:line="285" w:before="0" w:after="0"/>
              <w:ind w:left="0" w:right="0" w:hanging="0"/>
              <w:jc w:val="left"/>
              <w:rPr/>
            </w:pPr>
            <w:r>
              <w:rPr/>
              <w:t>​</w:t>
            </w:r>
          </w:p>
        </w:tc>
        <w:tc>
          <w:tcPr>
            <w:tcW w:w="898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r>
        <w:trPr/>
        <w:tc>
          <w:tcPr>
            <w:tcW w:w="898"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898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41"/>
        <w:gridCol w:w="9964"/>
      </w:tblGrid>
      <w:tr>
        <w:trPr/>
        <w:tc>
          <w:tcPr>
            <w:tcW w:w="24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964"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2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2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Indicates management contract or compensatory plan or arrangement.</w:t>
            </w:r>
          </w:p>
        </w:tc>
      </w:tr>
      <w:tr>
        <w:trPr/>
        <w:tc>
          <w:tcPr>
            <w:tcW w:w="241" w:type="dxa"/>
            <w:tcBorders/>
            <w:shd w:fill="FFFFFF" w:val="clear"/>
            <w:vAlign w:val="center"/>
          </w:tcPr>
          <w:p>
            <w:pPr>
              <w:pStyle w:val="TableContents"/>
              <w:bidi w:val="0"/>
              <w:spacing w:lineRule="auto" w:line="304" w:before="0" w:after="0"/>
              <w:ind w:left="0" w:right="0" w:hanging="0"/>
              <w:jc w:val="left"/>
              <w:rPr>
                <w:shd w:fill="FFFFFF" w:val="clear"/>
              </w:rPr>
            </w:pPr>
            <w:r>
              <w:rPr>
                <w:shd w:fill="FFFFFF" w:val="clear"/>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Certain portions of the exhibit have been omitted pursuant to Regulation S-K Item 601(b) because it is both (i) not material to investors and (ii) information that the Company treats as private or confidential.</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0" w:type="dxa"/>
          <w:left w:w="0" w:type="dxa"/>
          <w:bottom w:w="0" w:type="dxa"/>
          <w:right w:w="0" w:type="dxa"/>
        </w:tblCellMar>
      </w:tblPr>
      <w:tblGrid>
        <w:gridCol w:w="226"/>
        <w:gridCol w:w="9979"/>
      </w:tblGrid>
      <w:tr>
        <w:trPr/>
        <w:tc>
          <w:tcPr>
            <w:tcW w:w="22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9"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pStyle w:val="TableContents"/>
              <w:bidi w:val="0"/>
              <w:spacing w:lineRule="auto" w:line="285" w:before="0" w:after="0"/>
              <w:ind w:left="0" w:right="0" w:hanging="0"/>
              <w:jc w:val="left"/>
              <w:rPr/>
            </w:pPr>
            <w:r>
              <w:rPr/>
              <w:t>​</w:t>
            </w:r>
          </w:p>
        </w:tc>
      </w:tr>
    </w:tbl>
    <w:p>
      <w:pPr>
        <w:pStyle w:val="TextBody"/>
        <w:pBdr/>
        <w:shd w:fill="FFFFFF" w:val="clear"/>
        <w:bidi w:val="0"/>
        <w:spacing w:lineRule="auto" w:line="285" w:before="0" w:after="0"/>
        <w:ind w:left="0" w:right="0" w:hanging="0"/>
        <w:jc w:val="left"/>
        <w:rPr>
          <w:shd w:fill="FFFF00" w:val="clear"/>
        </w:rPr>
      </w:pPr>
      <w:r>
        <w:rPr>
          <w:shd w:fill="FFFF00" w:val="clear"/>
        </w:rPr>
        <w:t>​</w:t>
      </w:r>
    </w:p>
    <w:p>
      <w:pPr>
        <w:pStyle w:val="TextBody"/>
        <w:shd w:fill="FFFFFF" w:val="clear"/>
        <w:bidi w:val="0"/>
        <w:spacing w:lineRule="auto" w:line="285" w:before="0" w:after="0"/>
        <w:ind w:left="0" w:right="0" w:hanging="0"/>
        <w:jc w:val="center"/>
        <w:rPr>
          <w:rFonts w:ascii="Times New Roman;Times;serif" w:hAnsi="Times New Roman;Times;serif"/>
          <w:b/>
          <w:sz w:val="20"/>
        </w:rPr>
      </w:pPr>
      <w:bookmarkStart w:id="1329" w:name="SIGNATURES_862342"/>
      <w:bookmarkStart w:id="1330" w:name="_b025d31f_86ad_4eb5_890d_6c6550c1ece7"/>
      <w:bookmarkEnd w:id="1329"/>
      <w:bookmarkEnd w:id="1330"/>
      <w:r>
        <w:rPr>
          <w:rFonts w:ascii="Times New Roman;Times;serif" w:hAnsi="Times New Roman;Times;serif"/>
          <w:b/>
          <w:sz w:val="20"/>
        </w:rPr>
        <w:t>SIGNATURES</w:t>
      </w:r>
    </w:p>
    <w:p>
      <w:pPr>
        <w:pStyle w:val="TextBody"/>
        <w:pBd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730" w:type="dxa"/>
        <w:jc w:val="left"/>
        <w:tblInd w:w="0" w:type="dxa"/>
        <w:tblLayout w:type="fixed"/>
        <w:tblCellMar>
          <w:top w:w="0" w:type="dxa"/>
          <w:left w:w="0" w:type="dxa"/>
          <w:bottom w:w="0" w:type="dxa"/>
          <w:right w:w="0" w:type="dxa"/>
        </w:tblCellMar>
      </w:tblPr>
      <w:tblGrid>
        <w:gridCol w:w="2011"/>
        <w:gridCol w:w="146"/>
        <w:gridCol w:w="406"/>
        <w:gridCol w:w="146"/>
        <w:gridCol w:w="4021"/>
      </w:tblGrid>
      <w:tr>
        <w:trPr/>
        <w:tc>
          <w:tcPr>
            <w:tcW w:w="201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92710" cy="175260"/>
                      <wp:effectExtent l="0" t="0" r="0" b="0"/>
                      <wp:wrapNone/>
                      <wp:docPr id="680" name="Frame6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92710" cy="175260"/>
                      <wp:effectExtent l="0" t="0" r="0" b="0"/>
                      <wp:wrapNone/>
                      <wp:docPr id="681" name="Frame6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1" w:type="dxa"/>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021" w:type="dxa"/>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573" w:type="dxa"/>
            <w:gridSpan w:val="3"/>
            <w:tcBorders/>
            <w:vAlign w:val="center"/>
          </w:tcPr>
          <w:p>
            <w:pPr>
              <w:pStyle w:val="TableContents"/>
              <w:bidi w:val="0"/>
              <w:spacing w:lineRule="auto" w:line="328" w:before="0" w:after="0"/>
              <w:ind w:left="0" w:right="0" w:hanging="0"/>
              <w:jc w:val="left"/>
              <w:rPr>
                <w:rFonts w:ascii="Times New Roman;Times;serif" w:hAnsi="Times New Roman;Times;serif"/>
                <w:b/>
                <w:caps/>
                <w:sz w:val="20"/>
              </w:rPr>
            </w:pPr>
            <w:r>
              <w:rPr>
                <w:rFonts w:ascii="Times New Roman;Times;serif" w:hAnsi="Times New Roman;Times;serif"/>
                <w:b/>
                <w:caps/>
                <w:sz w:val="20"/>
              </w:rPr>
              <w:t>Blueprint Medicines Corporation</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552" w:type="dxa"/>
            <w:gridSpan w:val="2"/>
            <w:tcBorders/>
            <w:vAlign w:val="center"/>
          </w:tcPr>
          <w:p>
            <w:pPr>
              <w:pStyle w:val="TableContents"/>
              <w:bidi w:val="0"/>
              <w:spacing w:lineRule="auto" w:line="285" w:before="0" w:after="0"/>
              <w:ind w:left="0" w:right="0" w:hanging="0"/>
              <w:jc w:val="left"/>
              <w:rPr/>
            </w:pPr>
            <w:r>
              <w:rPr/>
              <w:t>​</w:t>
            </w:r>
          </w:p>
        </w:tc>
        <w:tc>
          <w:tcPr>
            <w:tcW w:w="4167" w:type="dxa"/>
            <w:gridSpan w:val="2"/>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October 26, 2023</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pBdr>
                <w:bottom w:val="single" w:sz="2" w:space="1" w:color="000000"/>
              </w:pBdr>
              <w:bidi w:val="0"/>
              <w:spacing w:lineRule="auto" w:line="328" w:before="0" w:after="15"/>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Director</w:t>
            </w:r>
          </w:p>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552" w:type="dxa"/>
            <w:gridSpan w:val="2"/>
            <w:tcBorders/>
            <w:vAlign w:val="center"/>
          </w:tcPr>
          <w:p>
            <w:pPr>
              <w:pStyle w:val="TableContents"/>
              <w:bidi w:val="0"/>
              <w:spacing w:lineRule="auto" w:line="285" w:before="0" w:after="0"/>
              <w:ind w:left="0" w:right="0" w:hanging="0"/>
              <w:jc w:val="left"/>
              <w:rPr/>
            </w:pPr>
            <w:r>
              <w:rPr/>
              <w:t>​</w:t>
            </w:r>
          </w:p>
        </w:tc>
        <w:tc>
          <w:tcPr>
            <w:tcW w:w="4167" w:type="dxa"/>
            <w:gridSpan w:val="2"/>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October 26, 2023</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pBdr>
                <w:bottom w:val="single" w:sz="2" w:space="1" w:color="000000"/>
              </w:pBdr>
              <w:bidi w:val="0"/>
              <w:spacing w:lineRule="auto" w:line="328" w:before="0" w:after="15"/>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center"/>
        <w:rPr>
          <w:shd w:fill="FFFF00" w:val="clear"/>
        </w:rPr>
      </w:pPr>
      <w:r>
        <w:rPr>
          <w:shd w:fill="FFFF00" w:val="clea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331" w:name="bpmc-20230930xex31d1.htm"/>
      <w:bookmarkStart w:id="1332" w:name="ksbpmc20230930xex31d1"/>
      <w:bookmarkEnd w:id="1331"/>
      <w:bookmarkEnd w:id="1332"/>
      <w:r>
        <w:rPr>
          <w:rFonts w:ascii="Times New Roman;Times;serif" w:hAnsi="Times New Roman;Times;serif"/>
          <w:b/>
          <w:sz w:val="20"/>
        </w:rPr>
        <w:t>Exhibit 31.1</w:t>
      </w:r>
      <w:r>
        <w:br w:type="page"/>
      </w:r>
    </w:p>
    <w:p>
      <w:pPr>
        <w:pStyle w:val="TextBody"/>
        <w:shd w:fill="FFFFFF" w:val="clear"/>
        <w:bidi w:val="0"/>
        <w:spacing w:lineRule="auto" w:line="285" w:before="0" w:after="0"/>
        <w:ind w:left="0" w:right="0" w:hanging="0"/>
        <w:jc w:val="right"/>
        <w:rPr/>
      </w:pPr>
      <w:r>
        <w:rPr/>
        <w:t>​</w:t>
      </w:r>
    </w:p>
    <w:p>
      <w:pPr>
        <w:pStyle w:val="TextBody"/>
        <w:pBdr/>
        <w:shd w:fill="FFFFFF" w:val="clear"/>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Kathryn Haviland, certify that: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1.I have reviewed this Quarterly Report on Form 10-Q of Blueprint Medicines Corporation;</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(b)Any fraud, whether or not material, that involves management or other employees who have a significant role in the registrant’s internal control over financial reporting.</w:t>
      </w:r>
    </w:p>
    <w:p>
      <w:pPr>
        <w:pStyle w:val="TextBody"/>
        <w:shd w:fill="FFFFFF" w:val="clear"/>
        <w:bidi w:val="0"/>
        <w:spacing w:lineRule="auto" w:line="285" w:before="0" w:after="0"/>
        <w:ind w:left="0" w:right="0" w:hanging="0"/>
        <w:jc w:val="left"/>
        <w:rPr/>
      </w:pPr>
      <w:r>
        <w:rPr/>
        <w:t>​</w:t>
      </w:r>
    </w:p>
    <w:tbl>
      <w:tblPr>
        <w:tblW w:w="6378" w:type="dxa"/>
        <w:jc w:val="left"/>
        <w:tblInd w:w="0" w:type="dxa"/>
        <w:tblLayout w:type="fixed"/>
        <w:tblCellMar>
          <w:top w:w="0" w:type="dxa"/>
          <w:left w:w="0" w:type="dxa"/>
          <w:bottom w:w="0" w:type="dxa"/>
          <w:right w:w="0" w:type="dxa"/>
        </w:tblCellMar>
      </w:tblPr>
      <w:tblGrid>
        <w:gridCol w:w="2011"/>
        <w:gridCol w:w="406"/>
        <w:gridCol w:w="3961"/>
      </w:tblGrid>
      <w:tr>
        <w:trPr/>
        <w:tc>
          <w:tcPr>
            <w:tcW w:w="2011" w:type="dxa"/>
            <w:tcBorders/>
            <w:vAlign w:val="center"/>
          </w:tcPr>
          <w:p>
            <w:pPr>
              <w:pStyle w:val="TableContents"/>
              <w:bidi w:val="0"/>
              <w:spacing w:lineRule="auto" w:line="285" w:before="0" w:after="0"/>
              <w:ind w:left="0" w:right="0" w:hanging="0"/>
              <w:jc w:val="left"/>
              <w:rPr/>
            </w:pPr>
            <w:r>
              <w:rPr/>
              <w:t>​</w:t>
            </w:r>
          </w:p>
        </w:tc>
        <w:tc>
          <w:tcPr>
            <w:tcW w:w="4367" w:type="dxa"/>
            <w:gridSpan w:val="2"/>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26, 2023</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333" w:name="bpmc-20230930xex31d2.htm"/>
      <w:bookmarkStart w:id="1334" w:name="ksbpmc20230930xex31d2"/>
      <w:bookmarkEnd w:id="1333"/>
      <w:bookmarkEnd w:id="1334"/>
      <w:r>
        <w:rPr>
          <w:rFonts w:ascii="Times New Roman;Times;serif" w:hAnsi="Times New Roman;Times;serif"/>
          <w:b/>
          <w:sz w:val="20"/>
        </w:rPr>
        <w:t>Exhibit 31.2</w:t>
      </w:r>
      <w:r>
        <w:br w:type="page"/>
      </w:r>
    </w:p>
    <w:p>
      <w:pPr>
        <w:pStyle w:val="TextBody"/>
        <w:shd w:fill="FFFFFF" w:val="clear"/>
        <w:bidi w:val="0"/>
        <w:spacing w:lineRule="auto" w:line="285" w:before="0" w:after="0"/>
        <w:ind w:left="0" w:right="0" w:hanging="0"/>
        <w:jc w:val="right"/>
        <w:rPr/>
      </w:pPr>
      <w:r>
        <w:rPr/>
        <w:t>​</w:t>
      </w:r>
    </w:p>
    <w:p>
      <w:pPr>
        <w:pStyle w:val="TextBody"/>
        <w:pBdr/>
        <w:shd w:fill="FFFFFF" w:val="clear"/>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Michael Landsittel, certify that: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1.I have reviewed this Quarterly Report on Form 10-Q of Blueprint Medicines Corporation;</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(b)Any fraud, whether or not material, that involves management or other employees who have a significant role in the registrant’s internal control over financial reporting.</w:t>
      </w:r>
    </w:p>
    <w:p>
      <w:pPr>
        <w:pStyle w:val="TextBody"/>
        <w:pBdr/>
        <w:shd w:fill="FFFFFF" w:val="clear"/>
        <w:bidi w:val="0"/>
        <w:spacing w:lineRule="auto" w:line="285" w:before="0" w:after="0"/>
        <w:ind w:left="0" w:right="0" w:hanging="4680"/>
        <w:jc w:val="left"/>
        <w:rPr/>
      </w:pPr>
      <w:r>
        <w:rPr/>
        <w:t>​</w:t>
      </w:r>
    </w:p>
    <w:tbl>
      <w:tblPr>
        <w:tblW w:w="4833" w:type="dxa"/>
        <w:jc w:val="center"/>
        <w:tblInd w:w="0" w:type="dxa"/>
        <w:tblLayout w:type="fixed"/>
        <w:tblCellMar>
          <w:top w:w="0" w:type="dxa"/>
          <w:left w:w="0" w:type="dxa"/>
          <w:bottom w:w="0" w:type="dxa"/>
          <w:right w:w="0" w:type="dxa"/>
        </w:tblCellMar>
      </w:tblPr>
      <w:tblGrid>
        <w:gridCol w:w="2011"/>
        <w:gridCol w:w="406"/>
        <w:gridCol w:w="2416"/>
      </w:tblGrid>
      <w:tr>
        <w:trPr/>
        <w:tc>
          <w:tcPr>
            <w:tcW w:w="2011" w:type="dxa"/>
            <w:tcBorders/>
            <w:vAlign w:val="center"/>
          </w:tcPr>
          <w:p>
            <w:pPr>
              <w:pStyle w:val="TableContents"/>
              <w:bidi w:val="0"/>
              <w:spacing w:lineRule="auto" w:line="285" w:before="0" w:after="0"/>
              <w:ind w:left="0" w:right="0" w:hanging="0"/>
              <w:jc w:val="left"/>
              <w:rPr/>
            </w:pPr>
            <w:r>
              <w:rPr/>
              <w:t>​</w:t>
            </w:r>
          </w:p>
        </w:tc>
        <w:tc>
          <w:tcPr>
            <w:tcW w:w="2822" w:type="dxa"/>
            <w:gridSpan w:val="2"/>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26, 2023</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335" w:name="bpmc-20230930xex32d1.htm"/>
      <w:bookmarkStart w:id="1336" w:name="ksbpmc20230930xex32d1"/>
      <w:bookmarkEnd w:id="1335"/>
      <w:bookmarkEnd w:id="1336"/>
      <w:r>
        <w:rPr>
          <w:rFonts w:ascii="Times New Roman;Times;serif" w:hAnsi="Times New Roman;Times;serif"/>
          <w:b/>
          <w:sz w:val="20"/>
        </w:rPr>
        <w:t>Exhibit 32.1</w:t>
      </w:r>
      <w:r>
        <w:br w:type="page"/>
      </w:r>
    </w:p>
    <w:p>
      <w:pPr>
        <w:pStyle w:val="TextBody"/>
        <w:shd w:fill="FFFFFF" w:val="clear"/>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Blueprint Medicines Corporation (the “Company”) for the period ended September 30, 2023 as filed with the Securities and Exchange Commission on the date hereof (the “Report”), each of the undersigned officers of the Company hereby certifies, pursuant to 18 U.S.C. Section 1350, that to his knowledge:</w:t>
      </w:r>
    </w:p>
    <w:tbl>
      <w:tblPr>
        <w:tblW w:w="9843" w:type="dxa"/>
        <w:jc w:val="left"/>
        <w:tblInd w:w="0" w:type="dxa"/>
        <w:tblLayout w:type="fixed"/>
        <w:tblCellMar>
          <w:top w:w="0" w:type="dxa"/>
          <w:left w:w="0" w:type="dxa"/>
          <w:bottom w:w="0" w:type="dxa"/>
          <w:right w:w="0" w:type="dxa"/>
        </w:tblCellMar>
      </w:tblPr>
      <w:tblGrid>
        <w:gridCol w:w="23"/>
        <w:gridCol w:w="29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(1) </w:t>
            </w:r>
          </w:p>
        </w:tc>
        <w:tc>
          <w:tcPr>
            <w:tcW w:w="953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72"/>
        <w:gridCol w:w="9910"/>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(2) </w:t>
            </w:r>
          </w:p>
        </w:tc>
        <w:tc>
          <w:tcPr>
            <w:tcW w:w="991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center"/>
        <w:rPr/>
      </w:pPr>
      <w:r>
        <w:rPr/>
        <w:t>​</w:t>
      </w:r>
    </w:p>
    <w:tbl>
      <w:tblPr>
        <w:tblW w:w="6378" w:type="dxa"/>
        <w:jc w:val="center"/>
        <w:tblInd w:w="0" w:type="dxa"/>
        <w:tblLayout w:type="fixed"/>
        <w:tblCellMar>
          <w:top w:w="0" w:type="dxa"/>
          <w:left w:w="0" w:type="dxa"/>
          <w:bottom w:w="0" w:type="dxa"/>
          <w:right w:w="0" w:type="dxa"/>
        </w:tblCellMar>
      </w:tblPr>
      <w:tblGrid>
        <w:gridCol w:w="2011"/>
        <w:gridCol w:w="406"/>
        <w:gridCol w:w="3961"/>
      </w:tblGrid>
      <w:tr>
        <w:trPr/>
        <w:tc>
          <w:tcPr>
            <w:tcW w:w="20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26, 2023</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tbl>
      <w:tblPr>
        <w:tblW w:w="4938" w:type="dxa"/>
        <w:jc w:val="center"/>
        <w:tblInd w:w="0" w:type="dxa"/>
        <w:tblLayout w:type="fixed"/>
        <w:tblCellMar>
          <w:top w:w="0" w:type="dxa"/>
          <w:left w:w="0" w:type="dxa"/>
          <w:bottom w:w="0" w:type="dxa"/>
          <w:right w:w="0" w:type="dxa"/>
        </w:tblCellMar>
      </w:tblPr>
      <w:tblGrid>
        <w:gridCol w:w="2011"/>
        <w:gridCol w:w="406"/>
        <w:gridCol w:w="2521"/>
      </w:tblGrid>
      <w:tr>
        <w:trPr/>
        <w:tc>
          <w:tcPr>
            <w:tcW w:w="20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26, 2023</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72327</Words>
  <Characters>405401</Characters>
  <CharactersWithSpaces>479337</CharactersWithSpaces>
  <Paragraphs>7729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