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928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92899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2"/>
            <w:vMerge w:val="restart"/>
          </w:tcPr>
          <w:p>
            <w:pPr>
              <w:spacing w:after="0"/>
              <w:rPr>
                <w:rFonts w:ascii="Arial" w:cs="Arial" w:eastAsia="Arial" w:hAnsi="Arial"/>
                <w:sz w:val="21"/>
                <w:szCs w:val="21"/>
                <w:color w:val="0000EE"/>
                <w:w w:val="91"/>
              </w:rPr>
            </w:pPr>
            <w:hyperlink r:id="rId12">
              <w:r>
                <w:rPr>
                  <w:rFonts w:ascii="Arial" w:cs="Arial" w:eastAsia="Arial" w:hAnsi="Arial"/>
                  <w:sz w:val="21"/>
                  <w:szCs w:val="21"/>
                  <w:color w:val="0000EE"/>
                  <w:w w:val="91"/>
                </w:rPr>
                <w:t>Haviland Kate</w:t>
              </w:r>
            </w:hyperlink>
          </w:p>
        </w:tc>
        <w:tc>
          <w:tcPr>
            <w:tcW w:w="7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Borders>
              <w:top w:val="single" w:sz="8" w:color="0000EE"/>
            </w:tcBorders>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16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320" w:type="dxa"/>
            <w:vAlign w:val="bottom"/>
            <w:gridSpan w:val="3"/>
          </w:tcPr>
          <w:p>
            <w:pPr>
              <w:ind w:left="160"/>
              <w:spacing w:after="0"/>
              <w:rPr>
                <w:sz w:val="20"/>
                <w:szCs w:val="20"/>
                <w:color w:val="auto"/>
              </w:rPr>
            </w:pPr>
            <w:r>
              <w:rPr>
                <w:rFonts w:ascii="Arial" w:cs="Arial" w:eastAsia="Arial" w:hAnsi="Arial"/>
                <w:sz w:val="17"/>
                <w:szCs w:val="17"/>
                <w:color w:val="0000FF"/>
              </w:rPr>
              <w:t>12/13/2021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0"/>
          <w:szCs w:val="20"/>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777"/>
        <w:spacing w:after="0"/>
        <w:rPr>
          <w:sz w:val="20"/>
          <w:szCs w:val="20"/>
          <w:color w:val="auto"/>
        </w:rPr>
      </w:pPr>
      <w:r>
        <w:rPr>
          <w:rFonts w:ascii="Arial" w:cs="Arial" w:eastAsia="Arial" w:hAnsi="Arial"/>
          <w:sz w:val="17"/>
          <w:szCs w:val="17"/>
          <w:color w:val="0000FF"/>
        </w:rPr>
        <w:t>Chief Operating Officer</w:t>
      </w:r>
    </w:p>
    <w:p>
      <w:pPr>
        <w:spacing w:after="0" w:line="390" w:lineRule="exact"/>
        <w:rPr>
          <w:sz w:val="20"/>
          <w:szCs w:val="20"/>
          <w:color w:val="auto"/>
        </w:rPr>
      </w:pPr>
    </w:p>
    <w:p>
      <w:pPr>
        <w:sectPr>
          <w:pgSz w:w="11900" w:h="16838" w:orient="portrait"/>
          <w:cols w:equalWidth="0" w:num="2">
            <w:col w:w="7680" w:space="63"/>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7"/>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2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60" w:type="dxa"/>
            <w:vAlign w:val="bottom"/>
            <w:gridSpan w:val="9"/>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CAMBRIDGE   MA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02139</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6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jc w:val="center"/>
              <w:ind w:left="48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89"/>
              <w:spacing w:after="0"/>
              <w:rPr>
                <w:sz w:val="20"/>
                <w:szCs w:val="20"/>
                <w:color w:val="auto"/>
              </w:rPr>
            </w:pPr>
            <w:r>
              <w:rPr>
                <w:rFonts w:ascii="Arial" w:cs="Arial" w:eastAsia="Arial" w:hAnsi="Arial"/>
                <w:sz w:val="17"/>
                <w:szCs w:val="17"/>
                <w:color w:val="0000FF"/>
                <w:w w:val="89"/>
              </w:rPr>
              <w:t>12/13/2021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68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0000FF"/>
                <w:w w:val="89"/>
              </w:rPr>
              <w:t>1,000</w:t>
            </w:r>
          </w:p>
        </w:tc>
        <w:tc>
          <w:tcPr>
            <w:tcW w:w="68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36.05</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54,948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89"/>
              <w:spacing w:after="0"/>
              <w:rPr>
                <w:sz w:val="20"/>
                <w:szCs w:val="20"/>
                <w:color w:val="auto"/>
              </w:rPr>
            </w:pPr>
            <w:r>
              <w:rPr>
                <w:rFonts w:ascii="Arial" w:cs="Arial" w:eastAsia="Arial" w:hAnsi="Arial"/>
                <w:sz w:val="17"/>
                <w:szCs w:val="17"/>
                <w:color w:val="0000FF"/>
                <w:w w:val="89"/>
              </w:rPr>
              <w:t>12/13/2021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0000FF"/>
                <w:w w:val="91"/>
              </w:rPr>
              <w:t>285</w:t>
            </w:r>
          </w:p>
        </w:tc>
        <w:tc>
          <w:tcPr>
            <w:tcW w:w="68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99.65</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54,663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89"/>
              <w:spacing w:after="0"/>
              <w:rPr>
                <w:sz w:val="20"/>
                <w:szCs w:val="20"/>
                <w:color w:val="auto"/>
              </w:rPr>
            </w:pPr>
            <w:r>
              <w:rPr>
                <w:rFonts w:ascii="Arial" w:cs="Arial" w:eastAsia="Arial" w:hAnsi="Arial"/>
                <w:sz w:val="17"/>
                <w:szCs w:val="17"/>
                <w:color w:val="0000FF"/>
                <w:w w:val="89"/>
              </w:rPr>
              <w:t>12/13/2021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0000FF"/>
                <w:w w:val="91"/>
              </w:rPr>
              <w:t>210</w:t>
            </w:r>
          </w:p>
        </w:tc>
        <w:tc>
          <w:tcPr>
            <w:tcW w:w="68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98.5</w:t>
            </w:r>
            <w:r>
              <w:rPr>
                <w:rFonts w:ascii="Arial" w:cs="Arial" w:eastAsia="Arial" w:hAnsi="Arial"/>
                <w:sz w:val="21"/>
                <w:szCs w:val="21"/>
                <w:color w:val="008000"/>
                <w:w w:val="87"/>
                <w:vertAlign w:val="superscript"/>
              </w:rPr>
              <w:t>(3)</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54,453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89"/>
              <w:spacing w:after="0"/>
              <w:rPr>
                <w:sz w:val="20"/>
                <w:szCs w:val="20"/>
                <w:color w:val="auto"/>
              </w:rPr>
            </w:pPr>
            <w:r>
              <w:rPr>
                <w:rFonts w:ascii="Arial" w:cs="Arial" w:eastAsia="Arial" w:hAnsi="Arial"/>
                <w:sz w:val="17"/>
                <w:szCs w:val="17"/>
                <w:color w:val="0000FF"/>
                <w:w w:val="89"/>
              </w:rPr>
              <w:t>12/13/2021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center"/>
              <w:ind w:left="129"/>
              <w:spacing w:after="0"/>
              <w:rPr>
                <w:sz w:val="20"/>
                <w:szCs w:val="20"/>
                <w:color w:val="auto"/>
              </w:rPr>
            </w:pPr>
            <w:r>
              <w:rPr>
                <w:rFonts w:ascii="Arial" w:cs="Arial" w:eastAsia="Arial" w:hAnsi="Arial"/>
                <w:sz w:val="17"/>
                <w:szCs w:val="17"/>
                <w:color w:val="0000FF"/>
                <w:w w:val="84"/>
              </w:rPr>
              <w:t>411</w:t>
            </w:r>
          </w:p>
        </w:tc>
        <w:tc>
          <w:tcPr>
            <w:tcW w:w="68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97.6</w:t>
            </w:r>
            <w:r>
              <w:rPr>
                <w:rFonts w:ascii="Arial" w:cs="Arial" w:eastAsia="Arial" w:hAnsi="Arial"/>
                <w:sz w:val="21"/>
                <w:szCs w:val="21"/>
                <w:color w:val="008000"/>
                <w:w w:val="87"/>
                <w:vertAlign w:val="superscript"/>
              </w:rPr>
              <w:t>(4)</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54,042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89"/>
              <w:spacing w:after="0"/>
              <w:rPr>
                <w:sz w:val="20"/>
                <w:szCs w:val="20"/>
                <w:color w:val="auto"/>
              </w:rPr>
            </w:pPr>
            <w:r>
              <w:rPr>
                <w:rFonts w:ascii="Arial" w:cs="Arial" w:eastAsia="Arial" w:hAnsi="Arial"/>
                <w:sz w:val="17"/>
                <w:szCs w:val="17"/>
                <w:color w:val="0000FF"/>
                <w:w w:val="89"/>
              </w:rPr>
              <w:t>12/13/2021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center"/>
              <w:ind w:left="129"/>
              <w:spacing w:after="0"/>
              <w:rPr>
                <w:sz w:val="20"/>
                <w:szCs w:val="20"/>
                <w:color w:val="auto"/>
              </w:rPr>
            </w:pPr>
            <w:r>
              <w:rPr>
                <w:rFonts w:ascii="Arial" w:cs="Arial" w:eastAsia="Arial" w:hAnsi="Arial"/>
                <w:sz w:val="17"/>
                <w:szCs w:val="17"/>
                <w:color w:val="0000FF"/>
                <w:w w:val="84"/>
              </w:rPr>
              <w:t>94</w:t>
            </w:r>
          </w:p>
        </w:tc>
        <w:tc>
          <w:tcPr>
            <w:tcW w:w="68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96.78</w:t>
            </w:r>
            <w:r>
              <w:rPr>
                <w:rFonts w:ascii="Arial" w:cs="Arial" w:eastAsia="Arial" w:hAnsi="Arial"/>
                <w:sz w:val="21"/>
                <w:szCs w:val="21"/>
                <w:color w:val="008000"/>
                <w:w w:val="86"/>
                <w:vertAlign w:val="superscript"/>
              </w:rPr>
              <w:t>(5)</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53,948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3"/>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0" w:type="dxa"/>
            <w:vAlign w:val="bottom"/>
            <w:gridSpan w:val="11"/>
          </w:tcPr>
          <w:p>
            <w:pPr>
              <w:jc w:val="center"/>
              <w:ind w:left="32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36.05</w:t>
            </w:r>
          </w:p>
        </w:tc>
        <w:tc>
          <w:tcPr>
            <w:tcW w:w="1040" w:type="dxa"/>
            <w:vAlign w:val="bottom"/>
          </w:tcPr>
          <w:p>
            <w:pPr>
              <w:ind w:left="240"/>
              <w:spacing w:after="0"/>
              <w:rPr>
                <w:sz w:val="20"/>
                <w:szCs w:val="20"/>
                <w:color w:val="auto"/>
              </w:rPr>
            </w:pPr>
            <w:r>
              <w:rPr>
                <w:rFonts w:ascii="Arial" w:cs="Arial" w:eastAsia="Arial" w:hAnsi="Arial"/>
                <w:sz w:val="13"/>
                <w:szCs w:val="13"/>
                <w:color w:val="0000FF"/>
              </w:rPr>
              <w:t>12/13/2021</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ind w:left="2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Arial" w:cs="Arial" w:eastAsia="Arial" w:hAnsi="Arial"/>
                <w:sz w:val="13"/>
                <w:szCs w:val="13"/>
                <w:color w:val="0000FF"/>
              </w:rPr>
              <w:t>1,000</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(6)</w:t>
            </w:r>
          </w:p>
        </w:tc>
        <w:tc>
          <w:tcPr>
            <w:tcW w:w="680" w:type="dxa"/>
            <w:vAlign w:val="bottom"/>
          </w:tcPr>
          <w:p>
            <w:pPr>
              <w:ind w:left="20"/>
              <w:spacing w:after="0"/>
              <w:rPr>
                <w:sz w:val="20"/>
                <w:szCs w:val="20"/>
                <w:color w:val="auto"/>
              </w:rPr>
            </w:pPr>
            <w:r>
              <w:rPr>
                <w:rFonts w:ascii="Arial" w:cs="Arial" w:eastAsia="Arial" w:hAnsi="Arial"/>
                <w:sz w:val="13"/>
                <w:szCs w:val="13"/>
                <w:color w:val="0000FF"/>
                <w:w w:val="98"/>
              </w:rPr>
              <w:t>02/16/2027</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1,000</w:t>
            </w:r>
          </w:p>
        </w:tc>
        <w:tc>
          <w:tcPr>
            <w:tcW w:w="18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300"/>
              <w:spacing w:after="0"/>
              <w:rPr>
                <w:sz w:val="20"/>
                <w:szCs w:val="20"/>
                <w:color w:val="auto"/>
              </w:rPr>
            </w:pPr>
            <w:r>
              <w:rPr>
                <w:rFonts w:ascii="Arial" w:cs="Arial" w:eastAsia="Arial" w:hAnsi="Arial"/>
                <w:sz w:val="13"/>
                <w:szCs w:val="13"/>
                <w:color w:val="0000FF"/>
              </w:rPr>
              <w:t>591</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right"/>
              <w:ind w:right="153"/>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Effected pursuant to a trading plan adopted on January 12, 2021 pursuant to Rule 10b5-1 under the Securities Exchange Act of 1934, as amended.</w:t>
      </w:r>
    </w:p>
    <w:p>
      <w:pPr>
        <w:spacing w:after="0" w:line="45" w:lineRule="exact"/>
        <w:rPr>
          <w:rFonts w:ascii="Arial" w:cs="Arial" w:eastAsia="Arial" w:hAnsi="Arial"/>
          <w:sz w:val="13"/>
          <w:szCs w:val="13"/>
          <w:color w:val="008000"/>
        </w:rPr>
      </w:pPr>
    </w:p>
    <w:p>
      <w:pPr>
        <w:ind w:left="40" w:right="26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$99.00 to $99.99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(5) in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$98.02 to $98.98 per share.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$96.99 to $97.98 per share.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$96.00 to $96.98 per share.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February 16, 2017 and is fully vested as of the date hereof.</w:t>
      </w:r>
    </w:p>
    <w:p>
      <w:pPr>
        <w:spacing w:after="0" w:line="5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Ariel Hurley, Attorney-in-</w:t>
            </w:r>
          </w:p>
        </w:tc>
        <w:tc>
          <w:tcPr>
            <w:tcW w:w="10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6"/>
              </w:rPr>
              <w:t>12/15/2021</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Arial" w:cs="Arial" w:eastAsia="Arial" w:hAnsi="Arial"/>
                <w:sz w:val="17"/>
                <w:szCs w:val="17"/>
                <w:color w:val="0000FF"/>
                <w:w w:val="84"/>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3022"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2021-12-15T15:25:34Z</dcterms:created>
  <dcterms:modified xsi:type="dcterms:W3CDTF">2021-12-15T15:25:34Z</dcterms:modified>
</cp:coreProperties>
</file>