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5328285</wp:posOffset>
            </wp:positionH>
            <wp:positionV relativeFrom="paragraph">
              <wp:posOffset>-609600</wp:posOffset>
            </wp:positionV>
            <wp:extent cx="8255" cy="6102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4017645</wp:posOffset>
            </wp:positionH>
            <wp:positionV relativeFrom="paragraph">
              <wp:posOffset>-617855</wp:posOffset>
            </wp:positionV>
            <wp:extent cx="8255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4042410</wp:posOffset>
            </wp:positionH>
            <wp:positionV relativeFrom="paragraph">
              <wp:posOffset>-593090</wp:posOffset>
            </wp:positionV>
            <wp:extent cx="1270000" cy="568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68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36830</wp:posOffset>
            </wp:positionV>
            <wp:extent cx="6967220" cy="17564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756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Hurley Ariel</w:t>
              </w:r>
            </w:hyperlink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8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Blueprint Medicines Corp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BPMC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BLUEPRINT MEDICINES CORPORATION</w:t>
            </w:r>
          </w:p>
        </w:tc>
        <w:tc>
          <w:tcPr>
            <w:tcW w:w="3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09/23/2020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45 SIDNEY STREET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-3" w:right="600" w:firstLine="3"/>
        <w:spacing w:after="0" w:line="260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ind w:left="197"/>
        <w:spacing w:after="0"/>
        <w:tabs>
          <w:tab w:leader="none" w:pos="497" w:val="left"/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0000FF"/>
          <w:vertAlign w:val="subscript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59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Principal Accounting Officer</w:t>
      </w: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3"/>
            <w:col w:w="3337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40" w:type="dxa"/>
            <w:vAlign w:val="bottom"/>
            <w:gridSpan w:val="14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40" w:type="dxa"/>
            <w:vAlign w:val="bottom"/>
            <w:gridSpan w:val="1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CAMBRIDGE   MA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4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11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6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09/23/2020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1,400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1.87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11,384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09/23/2020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1,400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9,984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3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1.87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09/23/2020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90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1,400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10/08/2024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8,554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8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Effected pursuant to a trading plan adopted on March 17, 2020 pursuant to Rule 10b5-1 under the Securities Exchange Act of 1934, as amended.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This option was granted on October 8, 2014. This option is fully vested as of the date hereof.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Christopher Frankenfield,</w:t>
            </w: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09/25/2020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Attorney-in-Fact</w:t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2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-4561205</wp:posOffset>
            </wp:positionV>
            <wp:extent cx="7033260" cy="35045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3504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69740" TargetMode="External"/><Relationship Id="rId14" Type="http://schemas.openxmlformats.org/officeDocument/2006/relationships/hyperlink" Target="http://www.sec.gov/cgi-bin/browse-edgar?action=getcompany&amp;CIK=00015972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2020-09-25T15:29:01Z</dcterms:created>
  <dcterms:modified xsi:type="dcterms:W3CDTF">2020-09-25T15:29:01Z</dcterms:modified>
</cp:coreProperties>
</file>