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0717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7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Beckman Daniella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BPMC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12/08/2021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C/O BLUEPRINT MEDICINES CORPORATION</w:t>
            </w: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 SIDNEY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12/10/2021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12/08/2021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3,400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3,400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98.72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12/08/2021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12/08/2031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reported transaction involved the Reporting Person's receipt of a grant of 3,400 restricted stock units in accordance with the Issuer's non-employee director compensation policy.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with respect to 1/36th of the shares underlying the option on January 8, 2022 and as to an additional 1/36th of the shares underlying the option each month thereafter.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Form 4 is being amended to correct the Reporting Owner, which was incorrect in the original report due to the use of erroneous filer codes, and is otherwise unchanged.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Ariel Hurley,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03/31/2022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3422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2022-03-31T15:20:34Z</dcterms:created>
  <dcterms:modified xsi:type="dcterms:W3CDTF">2022-03-31T15:20:34Z</dcterms:modified>
</cp:coreProperties>
</file>