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7"/>
          <w:szCs w:val="17"/>
          <w:b w:val="1"/>
          <w:bCs w:val="1"/>
          <w:color w:val="auto"/>
        </w:rPr>
        <w:t> Filed Pursuant to Rule 424(b)(5)​</w:t>
      </w:r>
    </w:p>
    <w:p>
      <w:pPr>
        <w:spacing w:after="0" w:line="48" w:lineRule="exact"/>
        <w:rPr>
          <w:sz w:val="24"/>
          <w:szCs w:val="24"/>
          <w:color w:val="auto"/>
        </w:rPr>
      </w:pPr>
    </w:p>
    <w:p>
      <w:pPr>
        <w:ind w:left="6540"/>
        <w:spacing w:after="0"/>
        <w:rPr>
          <w:sz w:val="20"/>
          <w:szCs w:val="20"/>
          <w:color w:val="auto"/>
        </w:rPr>
      </w:pPr>
      <w:r>
        <w:rPr>
          <w:rFonts w:ascii="Times New Roman" w:cs="Times New Roman" w:eastAsia="Times New Roman" w:hAnsi="Times New Roman"/>
          <w:sz w:val="17"/>
          <w:szCs w:val="17"/>
          <w:b w:val="1"/>
          <w:bCs w:val="1"/>
          <w:color w:val="auto"/>
        </w:rPr>
        <w:t> Registration Statement No.: 333-269843​</w:t>
      </w:r>
    </w:p>
    <w:p>
      <w:pPr>
        <w:spacing w:after="0" w:line="23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 to the Prospectus dated February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97155</wp:posOffset>
            </wp:positionV>
            <wp:extent cx="3514725" cy="1191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14725" cy="1191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9"/>
          <w:szCs w:val="29"/>
          <w:b w:val="1"/>
          <w:bCs w:val="1"/>
          <w:color w:val="auto"/>
        </w:rPr>
        <w:t>UP TO $300,000,000</w:t>
      </w:r>
    </w:p>
    <w:p>
      <w:pPr>
        <w:spacing w:after="0" w:line="8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145" w:lineRule="exact"/>
        <w:rPr>
          <w:sz w:val="24"/>
          <w:szCs w:val="24"/>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have entered into a Sales Agreement with Cowen and Company, LLC, or Cowen, relating to shares of our common stock, par value $0.001 per share, offered by this prospectus supplement and the accompanying prospectus. In accordance with the terms of the Sales Agreement, we may offer and sell shares of our common stock having an aggregate offering price of up to $300,000,000 from time to time through Cowen, acting as sales agent or principal.</w:t>
      </w:r>
    </w:p>
    <w:p>
      <w:pPr>
        <w:spacing w:after="0" w:line="114" w:lineRule="exact"/>
        <w:rPr>
          <w:sz w:val="24"/>
          <w:szCs w:val="24"/>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“BPMC”. The last reported sales price of our common stock on the Nasdaq Global Select Market on February 15, 2023 was $44.03 per share.</w:t>
      </w:r>
    </w:p>
    <w:p>
      <w:pPr>
        <w:spacing w:after="0" w:line="98" w:lineRule="exact"/>
        <w:rPr>
          <w:sz w:val="24"/>
          <w:szCs w:val="24"/>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a high degree of risk. See “Risk Factors” beginning on page </w:t>
      </w:r>
      <w:r>
        <w:rPr>
          <w:rFonts w:ascii="Times New Roman" w:cs="Times New Roman" w:eastAsia="Times New Roman" w:hAnsi="Times New Roman"/>
          <w:sz w:val="18"/>
          <w:szCs w:val="18"/>
          <w:b w:val="1"/>
          <w:bCs w:val="1"/>
          <w:u w:val="single" w:color="auto"/>
          <w:color w:val="0000EE"/>
        </w:rPr>
        <w:t>S-9</w:t>
      </w:r>
      <w:r>
        <w:rPr>
          <w:rFonts w:ascii="Times New Roman" w:cs="Times New Roman" w:eastAsia="Times New Roman" w:hAnsi="Times New Roman"/>
          <w:sz w:val="18"/>
          <w:szCs w:val="18"/>
          <w:b w:val="1"/>
          <w:bCs w:val="1"/>
          <w:color w:val="auto"/>
        </w:rPr>
        <w:t xml:space="preserve">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07" w:lineRule="exact"/>
        <w:rPr>
          <w:sz w:val="24"/>
          <w:szCs w:val="24"/>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sales deemed to be an “at the market offering” as defined in Rule 415(a)(4) promulgated under the Securities Act of 1933, as amended, or the Securities Act. Cowen is not required to sell any specific number or dollar amount of securities, but will act as a sales agent using commercially reasonable efforts consistent with its normal trading and sales practices, on mutually agreed terms between Cowen and us. There is no arrangement for funds to be received in any escrow, trust or similar arrangement.</w:t>
      </w:r>
    </w:p>
    <w:p>
      <w:pPr>
        <w:spacing w:after="0" w:line="114" w:lineRule="exact"/>
        <w:rPr>
          <w:sz w:val="24"/>
          <w:szCs w:val="24"/>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Under the sales agreement, we may also sell shares of common stock to Cowen as principal for its own account, at a price to be agreed upon at the time of sale. If we sell shares to a Cowen as principal, we will enter into a separate terms agreement with Cowen, and we will describe the agreement in a separate prospectus supplement or pricing supplement.</w:t>
      </w:r>
    </w:p>
    <w:p>
      <w:pPr>
        <w:spacing w:after="0" w:line="110" w:lineRule="exact"/>
        <w:rPr>
          <w:sz w:val="24"/>
          <w:szCs w:val="24"/>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The compensation to Cowen for sales of common stock sold pursuant to the Sales Agreement will be up to 3.0% of the gross proceeds of any shares of common stock sold under the Sales Agreement. In connection with the sale of the common stock on our behalf, Cowen will be deemed to be an “underwriter” within the meaning of the Securities Act, and the compensation to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 See section titled “Plan of Distribution” on page </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 xml:space="preserve"> of this prospectus supplement.</w:t>
      </w:r>
    </w:p>
    <w:p>
      <w:pPr>
        <w:spacing w:after="0" w:line="320" w:lineRule="exact"/>
        <w:rPr>
          <w:sz w:val="24"/>
          <w:szCs w:val="24"/>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106045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9"/>
          <w:szCs w:val="29"/>
          <w:b w:val="1"/>
          <w:bCs w:val="1"/>
          <w:color w:val="auto"/>
        </w:rPr>
        <w:t>COWEN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138430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The date of this prospectus supplement is February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right="360"/>
        <w:spacing w:after="0" w:line="317" w:lineRule="auto"/>
        <w:rPr>
          <w:sz w:val="20"/>
          <w:szCs w:val="20"/>
          <w:color w:val="auto"/>
        </w:rPr>
      </w:pPr>
      <w:r>
        <w:rPr>
          <w:rFonts w:ascii="Times New Roman" w:cs="Times New Roman" w:eastAsia="Times New Roman" w:hAnsi="Times New Roman"/>
          <w:sz w:val="18"/>
          <w:szCs w:val="18"/>
          <w:u w:val="single" w:color="auto"/>
          <w:color w:val="0000EE"/>
        </w:rPr>
        <w:t>ABOUT THIS PROSPECTUS SUPPLEMENT WHERE YOU CAN FIND MORE INFORMATION INCORPORATION OF CERTAIN INFORMATION BY REFERENCE CAUTIONARY STATEMENT REGARDING FORWARD-LOOKING STATEMENTS PROSPECTUS SUPPLEMENT SUMMARY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-382270</wp:posOffset>
            </wp:positionV>
            <wp:extent cx="521208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-56515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285750</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STATEMENT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BLUEPRINT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PURCHASE CONTRACTS AND PURCHASE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ectPr>
          <w:pgSz w:w="11900" w:h="16838" w:orient="portrait"/>
          <w:cols w:equalWidth="0" w:num="2">
            <w:col w:w="8160" w:space="720"/>
            <w:col w:w="999"/>
          </w:cols>
          <w:pgMar w:left="580" w:top="97" w:right="1440" w:bottom="1440" w:gutter="0" w:footer="0" w:header="0"/>
        </w:sect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and incorporated by reference in this prospectus supplement, in any accompanying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1363980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covers the offering, issuance and sale by the registrant of up to a maximum aggregate offering price of $300,000,000 of the registrant’s common stock that may be issued and sold from time to time under a sales agreement with Cowen and Company, LLC, or the Sales Agreement. On February 13, 2020, the registrant filed a shelf registration statement on Form S-3ASR which became automatically effective upon filing, or the Prior Registration Statement. On February 17, 2022, the registrant filed a sales agreement prospectus supplement to such shelf registration statement, or the Existing Sales Agreement Prospectus, with respect to the Sales Agreement. The Prior Registration Statement expired on February 13, 2023, and pursuant to Section 7(y) of the Sales Agreement, we are filing this prospectus supplement to our registration statement on Form S-3ASR, filed on February 17, 2023. No terms of the Sales Agreement, including the number of shares reserved, have changed.</w:t>
      </w:r>
    </w:p>
    <w:p>
      <w:pPr>
        <w:spacing w:after="0" w:line="127"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As of immediately prior to the filing of this prospectus supplement, all of the registrant’s common stock remained available for sale under the Existing Sales Agreement Prospectus. Effective upon the filing of this prospectus supplement, no further sales of common stock pursuant to the Sales Agreement will be made under the Existing Sales Agreement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5882005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that we filed on Form S-3ASR with the Securities and Exchange Commission, or SEC, as a “well-known seasoned issuer” as defined in Rule 405 under the Securities Act, using a “shelf” registration process. Under this shelf registration process, we may, from time to time, sell any combination of the securities described in the above-referenced registration statement. This prospectus supplement, together with the accompanying prospectus and the documents incorporated by reference therein and herein, includes all material information relating to this offering.</w:t>
      </w:r>
    </w:p>
    <w:p>
      <w:pPr>
        <w:spacing w:after="0" w:line="32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This prospectus supplement relates to the offering of our common stock. Before buying any of the common stock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and any accompanying prospectus or free writing prospectus that we have authorized for use in connection with this offering. These documents contain important information that you should consider when making your investment decision. This Sales Agreement prospectus is deemed a prospectus supplement to the base prospectus contained in the registration statement of which this Sales Agreement prospectus forms a part.</w:t>
      </w:r>
    </w:p>
    <w:p>
      <w:pPr>
        <w:spacing w:after="0" w:line="32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common stock and also adds to and updates information contained in the documents incorporated by reference into the accompanying prospectus. To the extent there is a conflict between the information contained in this prospectus supplement, on the one hand, and the information contained in any document incorporated by reference into this prospectus supplement and the accompanying prospectus, on the other hand, you should rely on the information in this prospectus supplement. If any statement in one of these documents is inconsistent with a statement in another document having a later date — for example, a document incorporated by reference into this prospectus supplement — the statement in the document having the later date modifies or supersedes the earlier statement.</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not, and Cowen has not, authorized anyone to provide you with information in addition to or different from that contained in this prospectus supplement, the accompanying prospectus and any related free writing prospectus. We and Cowen take no responsibility for, and can provide no assurances as to the reliability of, any information not contained in this prospectus supplement, the accompanying prospectus or any related free writing prospectus that we may authorize to be provided to you. This prospectus supplement is an offer to sell only the securities offered hereby, but only under circumstances and in jurisdictions where it is lawful to do so. You should assume that the information in this prospectus supplement, the accompanying prospectus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supplement, the accompanying prospectus or any related free writing prospectus, or any sale of a security.</w:t>
      </w:r>
    </w:p>
    <w:p>
      <w:pPr>
        <w:spacing w:after="0" w:line="121"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1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and the accompanying prospectus are a part, and you may obtain copies of those documents as described below under the heading “Where You Can Find More Information”.</w:t>
      </w:r>
    </w:p>
    <w:p>
      <w:pPr>
        <w:spacing w:after="0" w:line="200" w:lineRule="exact"/>
        <w:rPr>
          <w:sz w:val="20"/>
          <w:szCs w:val="20"/>
          <w:color w:val="auto"/>
        </w:rPr>
      </w:pPr>
    </w:p>
    <w:p>
      <w:pPr>
        <w:spacing w:after="0" w:line="36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subsidiaries.</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and is not incorporated by reference in this prospectus supplement.</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18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w:t>
      </w:r>
    </w:p>
    <w:p>
      <w:pPr>
        <w:spacing w:after="0" w:line="3" w:lineRule="exact"/>
        <w:rPr>
          <w:sz w:val="20"/>
          <w:szCs w:val="20"/>
          <w:color w:val="auto"/>
        </w:rPr>
      </w:pPr>
    </w:p>
    <w:p>
      <w:pPr>
        <w:ind w:left="1260" w:right="759"/>
        <w:spacing w:after="0" w:line="243" w:lineRule="auto"/>
        <w:rPr>
          <w:sz w:val="20"/>
          <w:szCs w:val="20"/>
          <w:color w:val="auto"/>
        </w:rPr>
      </w:pPr>
      <w:r>
        <w:rPr>
          <w:rFonts w:ascii="Times New Roman" w:cs="Times New Roman" w:eastAsia="Times New Roman" w:hAnsi="Times New Roman"/>
          <w:sz w:val="18"/>
          <w:szCs w:val="18"/>
          <w:color w:val="auto"/>
        </w:rPr>
        <w:t>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75" w:lineRule="exact"/>
        <w:rPr>
          <w:sz w:val="20"/>
          <w:szCs w:val="20"/>
          <w:color w:val="auto"/>
        </w:rPr>
      </w:pPr>
    </w:p>
    <w:p>
      <w:pPr>
        <w:ind w:left="1800" w:right="49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Annual Report on Form 10-K for the fiscal year ended December 31, 2022, which was filed with the</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SEC on February 16, 2023;</w:t>
        </w:r>
      </w:hyperlink>
    </w:p>
    <w:p>
      <w:pPr>
        <w:spacing w:after="0" w:line="53" w:lineRule="exact"/>
        <w:rPr>
          <w:rFonts w:ascii="Times New Roman" w:cs="Times New Roman" w:eastAsia="Times New Roman" w:hAnsi="Times New Roman"/>
          <w:sz w:val="18"/>
          <w:szCs w:val="18"/>
          <w:u w:val="single" w:color="auto"/>
          <w:color w:val="0000EE"/>
        </w:rPr>
      </w:pPr>
    </w:p>
    <w:p>
      <w:pPr>
        <w:ind w:left="1800" w:right="479" w:hanging="180"/>
        <w:spacing w:after="0" w:line="261"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color w:val="auto"/>
          </w:rPr>
          <w:t xml:space="preserve">The information specifically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fiscal year ended December 31,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(other than information</w:t>
        </w:r>
      </w:hyperlink>
      <w:r>
        <w:rPr>
          <w:rFonts w:ascii="Times New Roman" w:cs="Times New Roman" w:eastAsia="Times New Roman" w:hAnsi="Times New Roman"/>
          <w:sz w:val="18"/>
          <w:szCs w:val="18"/>
          <w:color w:val="0000EE"/>
        </w:rPr>
        <w:t xml:space="preserve"> </w:t>
      </w:r>
      <w:hyperlink r:id="rId31">
        <w:r>
          <w:rPr>
            <w:rFonts w:ascii="Times New Roman" w:cs="Times New Roman" w:eastAsia="Times New Roman" w:hAnsi="Times New Roman"/>
            <w:sz w:val="18"/>
            <w:szCs w:val="18"/>
            <w:u w:val="single" w:color="auto"/>
            <w:color w:val="0000EE"/>
          </w:rPr>
          <w:t>furnished rather than filed) for the 2022 Annual Meeting of Stockholders, which was filed with the</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SEC on April 29, 2022;</w:t>
        </w:r>
      </w:hyperlink>
    </w:p>
    <w:p>
      <w:pPr>
        <w:spacing w:after="0" w:line="58" w:lineRule="exact"/>
        <w:rPr>
          <w:rFonts w:ascii="Times New Roman" w:cs="Times New Roman" w:eastAsia="Times New Roman" w:hAnsi="Times New Roman"/>
          <w:sz w:val="18"/>
          <w:szCs w:val="18"/>
          <w:u w:val="single" w:color="auto"/>
          <w:color w:val="0000EE"/>
        </w:rPr>
      </w:pPr>
    </w:p>
    <w:p>
      <w:pPr>
        <w:ind w:left="1800" w:right="1679" w:hanging="180"/>
        <w:spacing w:after="0" w:line="282" w:lineRule="auto"/>
        <w:tabs>
          <w:tab w:leader="none" w:pos="180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which were filed with the SEC on </w:t>
      </w:r>
      <w:hyperlink r:id="rId32">
        <w:r>
          <w:rPr>
            <w:rFonts w:ascii="Times New Roman" w:cs="Times New Roman" w:eastAsia="Times New Roman" w:hAnsi="Times New Roman"/>
            <w:sz w:val="18"/>
            <w:szCs w:val="18"/>
            <w:u w:val="single" w:color="auto"/>
            <w:color w:val="0000EE"/>
          </w:rPr>
          <w:t>January 6,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3">
        <w:r>
          <w:rPr>
            <w:rFonts w:ascii="Times New Roman" w:cs="Times New Roman" w:eastAsia="Times New Roman" w:hAnsi="Times New Roman"/>
            <w:sz w:val="18"/>
            <w:szCs w:val="18"/>
            <w:u w:val="single" w:color="auto"/>
            <w:color w:val="0000EE"/>
          </w:rPr>
          <w:t>February 10,2023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ind w:left="1800" w:right="679" w:hanging="180"/>
        <w:spacing w:after="0" w:line="266"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The description of our common stock contained in our Registration Statement on Form 8-A which</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were filed with the SEC on April 27, 2015, including any amendments or reports filed for the</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purpose of updating such description.</w:t>
        </w:r>
      </w:hyperlink>
    </w:p>
    <w:p>
      <w:pPr>
        <w:spacing w:after="0" w:line="108" w:lineRule="exact"/>
        <w:rPr>
          <w:rFonts w:ascii="Times New Roman" w:cs="Times New Roman" w:eastAsia="Times New Roman" w:hAnsi="Times New Roman"/>
          <w:sz w:val="18"/>
          <w:szCs w:val="18"/>
          <w:u w:val="single" w:color="auto"/>
          <w:color w:val="0000EE"/>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registration statement of which this prospectus supplement is a part.</w:t>
      </w:r>
    </w:p>
    <w:p>
      <w:pPr>
        <w:spacing w:after="0" w:line="110" w:lineRule="exact"/>
        <w:rPr>
          <w:rFonts w:ascii="Times New Roman" w:cs="Times New Roman" w:eastAsia="Times New Roman" w:hAnsi="Times New Roman"/>
          <w:sz w:val="18"/>
          <w:szCs w:val="18"/>
          <w:u w:val="single" w:color="auto"/>
          <w:color w:val="0000EE"/>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Any statement contained in a document that is incorporated by reference will be modified or superseded for all purposes to the extent that a statement contained in this prospectus supplement, or in any other document that is subsequently filed with the SEC and incorporated by reference into this prospectus</w:t>
      </w:r>
    </w:p>
    <w:p>
      <w:pPr>
        <w:sectPr>
          <w:pgSz w:w="11900" w:h="16838" w:orient="portrait"/>
          <w:cols w:equalWidth="0" w:num="1">
            <w:col w:w="9879"/>
          </w:cols>
          <w:pgMar w:left="580" w:top="97" w:right="1440" w:bottom="1440" w:gutter="0" w:footer="0" w:header="0"/>
        </w:sectPr>
      </w:pPr>
    </w:p>
    <w:p>
      <w:pPr>
        <w:spacing w:after="0" w:line="366" w:lineRule="exact"/>
        <w:rPr>
          <w:rFonts w:ascii="Times New Roman" w:cs="Times New Roman" w:eastAsia="Times New Roman" w:hAnsi="Times New Roman"/>
          <w:sz w:val="18"/>
          <w:szCs w:val="18"/>
          <w:u w:val="single" w:color="auto"/>
          <w:color w:val="0000EE"/>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7" w:lineRule="auto"/>
        <w:rPr>
          <w:sz w:val="20"/>
          <w:szCs w:val="20"/>
          <w:color w:val="auto"/>
        </w:rPr>
      </w:pPr>
      <w:r>
        <w:rPr>
          <w:rFonts w:ascii="Times New Roman" w:cs="Times New Roman" w:eastAsia="Times New Roman" w:hAnsi="Times New Roman"/>
          <w:sz w:val="18"/>
          <w:szCs w:val="18"/>
          <w:color w:val="auto"/>
        </w:rPr>
        <w:t>supplement, modifies or is contrary to that previous statement. Any statement so modified or superseded will not be deemed a part of this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supplement or in any documents previously incorporated by reference have been modified or superseded.</w:t>
      </w:r>
    </w:p>
    <w:p>
      <w:pPr>
        <w:spacing w:after="0" w:line="33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contacting us, either orally or in writing, at the following:</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45 Sidney Street</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Phone: (617) 714-6674</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ir@blueprintmedicines.com</w:t>
      </w:r>
    </w:p>
    <w:p>
      <w:pPr>
        <w:spacing w:after="0" w:line="126"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You may also access these documents, free of charge on the SEC’s website at www.sec.gov or on our website at www.blueprintmedicines.com. Information contained on our website is not incorporated by reference into this prospectus supplement and you should not consider any information on, or that can be accessed from, our website as part of this prospectus supplement.</w:t>
      </w:r>
    </w:p>
    <w:p>
      <w:pPr>
        <w:spacing w:after="0" w:line="11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We have incorporated exhibits into this registration statement. You should read the exhibits carefully for provisions that may be important to you.</w:t>
      </w:r>
    </w:p>
    <w:p>
      <w:pPr>
        <w:spacing w:after="0" w:line="108"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We have not authorized anyone to provide you with different information. We are not making an offer of these securities in any state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supplement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96" w:lineRule="exact"/>
        <w:rPr>
          <w:sz w:val="20"/>
          <w:szCs w:val="20"/>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any net proceeds from this offering;</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continuing to build out our commercial infrastructure and successfully launching, marketing and selling AYVAKIT (avapritinib) (marketed in Europe under the brand name AYVAKYT), GAVRETO (pralsetinib) and any current and future drug candidates for which we receive marketing approval;</w:t>
      </w:r>
    </w:p>
    <w:p>
      <w:pPr>
        <w:spacing w:after="0" w:line="71"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of AYVAKIT/AYVAKYT and any current and future drug candidates in treating patients with indolent SM and advanced SM;</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AYVAKIT/AYVAKYT and any current and future drug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AYVAKIT/AYVAKYT and any current and future drug candidates for which we receive marketing approval;</w:t>
      </w:r>
    </w:p>
    <w:p>
      <w:pPr>
        <w:spacing w:after="0" w:line="5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67"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drugs, drug candidates, platform and technology;</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length of protection we are able to establish and maintain for intellectual property rights covering our current and future drugs, drug candidates and technology;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our collaboration with CStone Pharmaceuticals to develop and commercialize avapritinib, pralsetinib and fisogatinib in Greater China, our collaboration with Zai Lab to develop and commercialize BLU-525 and BLU-945, and any respective back-up forms and certain other forms thereof, as inhibitors of epidermal growth factor receptor (EGFR) in Greater China, our collaboration with Oncopia Therapeutics, Inc. d/b/a Proteovant Therapeutics, Inc. (Proteovant), to research and advance novel targeted protein degrader therapies to address medical needs in oncology and hematology, as well as our ability to maintain these collaborations and establish additional strategic collaborations;</w:t>
      </w:r>
    </w:p>
    <w:p>
      <w:pPr>
        <w:spacing w:after="0" w:line="86" w:lineRule="exact"/>
        <w:rPr>
          <w:rFonts w:ascii="Times New Roman" w:cs="Times New Roman" w:eastAsia="Times New Roman" w:hAnsi="Times New Roman"/>
          <w:sz w:val="18"/>
          <w:szCs w:val="18"/>
          <w:color w:val="auto"/>
        </w:rPr>
      </w:pPr>
    </w:p>
    <w:p>
      <w:pPr>
        <w:jc w:val="both"/>
        <w:ind w:left="1800" w:right="77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exclusive license agreement with Clementia Pharmaceuticals, Inc., a wholly-owned subsidiary of Ipsen S.A. (Clementia) to develop and commercialize BLU-782 for fibrodysplasia ossificans progressiva;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3"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strategic financing transactions with Garnich Adjacent Investments S.a.r.l. (Sixth Street Partners) and Royalty Pharma Investments 2019 ICAV (Royalty Pharma) and the potential acceleration of our commercial products and pipeline resulting from the non-dilutive growth capital;</w:t>
      </w:r>
    </w:p>
    <w:p>
      <w:pPr>
        <w:spacing w:after="0" w:line="291"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license agreement with IDRx, Inc. (IDRx) to develop our development-stage KIT exon 13 inhibitor, IDRX-73, for the treatment of drug-resistant mutations of non-PDGFR-driven gastrointestinal stromal tumo (GIST);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companion diagnostic tests for our current or future drugs or drug candidates;</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estimates of our revenues, expenses and capital requirements and our needs for future financing, including our ability to achieve a self-sustainable financial profile;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potential benefits of designations granted by the U.S. Food and Drug Administration (FDA), such as orphan drug, fast track and breakthrough therapy designation or priority review;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scope of the ongoing COVID-19 pandemic on our business, operations, strategy, goals and anticipated milestones, including our ongoing and planned research and discovery activities, ability to conduct ongoing and planned clinical trials, clinical supply of our current or future drug candidates or third-party products intended for use as combination therapies or as comparator agents, and the launch, marketing, sale and commercial supply of AYVAKIT/AYVAKYT, GAVRETO and any current or future drug candidates for which we receive marketing approval.</w:t>
      </w:r>
    </w:p>
    <w:p>
      <w:pPr>
        <w:spacing w:after="0" w:line="120" w:lineRule="exact"/>
        <w:rPr>
          <w:sz w:val="20"/>
          <w:szCs w:val="20"/>
          <w:color w:val="auto"/>
        </w:rPr>
      </w:pPr>
    </w:p>
    <w:p>
      <w:pPr>
        <w:ind w:left="1260" w:right="43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beginning on page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 xml:space="preserve"> of this prospectus supplement </w:t>
      </w:r>
      <w:hyperlink r:id="rId29">
        <w:r>
          <w:rPr>
            <w:rFonts w:ascii="Times New Roman" w:cs="Times New Roman" w:eastAsia="Times New Roman" w:hAnsi="Times New Roman"/>
            <w:sz w:val="18"/>
            <w:szCs w:val="18"/>
            <w:color w:val="auto"/>
          </w:rPr>
          <w:t xml:space="preserve">and on page 53 of our </w:t>
        </w:r>
        <w:r>
          <w:rPr>
            <w:rFonts w:ascii="Times New Roman" w:cs="Times New Roman" w:eastAsia="Times New Roman" w:hAnsi="Times New Roman"/>
            <w:sz w:val="18"/>
            <w:szCs w:val="18"/>
            <w:u w:val="single" w:color="auto"/>
            <w:color w:val="0000EE"/>
          </w:rPr>
          <w:t>Annual Report on Form 10-K for the fiscal year ended December 31, 2022, as filed</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with the SEC on February 16, 2023</w:t>
        </w:r>
        <w:r>
          <w:rPr>
            <w:rFonts w:ascii="Times New Roman" w:cs="Times New Roman" w:eastAsia="Times New Roman" w:hAnsi="Times New Roman"/>
            <w:sz w:val="18"/>
            <w:szCs w:val="18"/>
            <w:color w:val="000000"/>
          </w:rPr>
          <w:t>, that could cause actual results or events to differ materially from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forward-looking statements that we make. Our forward-looking statements do not reflect the potential impact of any future acquisitions, mergers, dispositions, joint ventures or investments we may make or enter into.</w:t>
      </w:r>
    </w:p>
    <w:p>
      <w:pPr>
        <w:spacing w:after="0" w:line="343"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as well as the documents that we have filed as exhibits to the registration statement of which this prospectus supplement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0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certain information about us, this offering and selected information contained elsewhere in or incorporated by reference into this prospectus supplement.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including the information incorporated by reference in this prospectus supplement, and the information included in the accompanying prospectus or any free writing prospectus that we have authorized for use in connection with this offering, including the information under the heading “Risk Factors” in this prospectus supplement on page </w:t>
      </w:r>
      <w:r>
        <w:rPr>
          <w:rFonts w:ascii="Times New Roman" w:cs="Times New Roman" w:eastAsia="Times New Roman" w:hAnsi="Times New Roman"/>
          <w:sz w:val="18"/>
          <w:szCs w:val="18"/>
          <w:i w:val="1"/>
          <w:iCs w:val="1"/>
          <w:u w:val="single" w:color="auto"/>
          <w:color w:val="0000EE"/>
        </w:rPr>
        <w:t>S-9</w:t>
      </w:r>
      <w:r>
        <w:rPr>
          <w:rFonts w:ascii="Times New Roman" w:cs="Times New Roman" w:eastAsia="Times New Roman" w:hAnsi="Times New Roman"/>
          <w:sz w:val="18"/>
          <w:szCs w:val="18"/>
          <w:i w:val="1"/>
          <w:iCs w:val="1"/>
          <w:color w:val="auto"/>
        </w:rPr>
        <w:t xml:space="preserve"> and in the documents incorporated by reference into this prospectus supplement.</w:t>
      </w:r>
    </w:p>
    <w:p>
      <w:pPr>
        <w:spacing w:after="0" w:line="18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579" w:firstLine="360"/>
        <w:spacing w:after="0" w:line="254" w:lineRule="auto"/>
        <w:rPr>
          <w:sz w:val="20"/>
          <w:szCs w:val="20"/>
          <w:color w:val="auto"/>
        </w:rPr>
      </w:pPr>
      <w:r>
        <w:rPr>
          <w:rFonts w:ascii="Times New Roman" w:cs="Times New Roman" w:eastAsia="Times New Roman" w:hAnsi="Times New Roman"/>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AYVAKIT®/AYVAKYT® (avapritinib) and GAVRETO® (pralsetinib), to patients in the U.S. and Europe, and we are globally advancing multiple programs for systemic mastocytosis, or SM, lung cancer, breast cancer and other genomically defined cancers, and cancer immunotherapy.</w:t>
      </w:r>
    </w:p>
    <w:p>
      <w:pPr>
        <w:spacing w:after="0" w:line="107"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Our drug discovery approach combines our biological insights with our proprietary compound library and chemistry expertise to design highly selective and potent precision therapies. We aim to enable potent target inhibition that provides significant and durable clinical responses, limit side effects driven by off-target activity and combine therapies to shut down disease drivers and resistance,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2" w:lineRule="exact"/>
        <w:rPr>
          <w:sz w:val="20"/>
          <w:szCs w:val="20"/>
          <w:color w:val="auto"/>
        </w:rPr>
      </w:pPr>
    </w:p>
    <w:p>
      <w:pPr>
        <w:ind w:left="1280" w:right="419" w:firstLine="360"/>
        <w:spacing w:after="0" w:line="261" w:lineRule="auto"/>
        <w:rPr>
          <w:sz w:val="20"/>
          <w:szCs w:val="20"/>
          <w:color w:val="auto"/>
        </w:rPr>
      </w:pPr>
      <w:r>
        <w:rPr>
          <w:rFonts w:ascii="Times New Roman" w:cs="Times New Roman" w:eastAsia="Times New Roman" w:hAnsi="Times New Roman"/>
          <w:sz w:val="18"/>
          <w:szCs w:val="18"/>
          <w:color w:val="auto"/>
        </w:rPr>
        <w:t>Our vision is to leverage our scientific platform to design innovative first-in-class or best-in-class medicines targeting novel kinase biology and become a leading platform-enabled, fully-integrated, global precision therapy company focused on discovering, developing and commercializing a portfolio of precision therapies to patients with cancer and rare diseases.</w:t>
      </w:r>
    </w:p>
    <w:p>
      <w:pPr>
        <w:spacing w:after="0" w:line="17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62" w:lineRule="exact"/>
        <w:rPr>
          <w:sz w:val="20"/>
          <w:szCs w:val="20"/>
          <w:color w:val="auto"/>
        </w:rPr>
      </w:pPr>
    </w:p>
    <w:p>
      <w:pPr>
        <w:ind w:left="1280" w:right="439" w:firstLine="360"/>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in October 2008. Our mailing address and executive offices are located at 45 Sidney Street,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 should not rely on any such information in making the decision whether to purchase our common stock. Our common stock trades on the Nasdaq Global Select Market under the symbol “BPMC”.</w:t>
      </w:r>
    </w:p>
    <w:p>
      <w:pPr>
        <w:spacing w:after="0" w:line="322" w:lineRule="exact"/>
        <w:rPr>
          <w:sz w:val="20"/>
          <w:szCs w:val="20"/>
          <w:color w:val="auto"/>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supplement may be referred to without the ® and ™ symbols, but such references should not be construed as any indicator that their respective owners will not assert, to the fullest extent under applicable law, their rights thereto.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12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30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Shares of our common stock having an aggregate</w:t>
            </w:r>
          </w:p>
        </w:tc>
      </w:tr>
      <w:tr>
        <w:trPr>
          <w:trHeight w:val="234"/>
        </w:trPr>
        <w:tc>
          <w:tcPr>
            <w:tcW w:w="3080" w:type="dxa"/>
            <w:vAlign w:val="bottom"/>
          </w:tcPr>
          <w:p>
            <w:pPr>
              <w:spacing w:after="0"/>
              <w:rPr>
                <w:sz w:val="20"/>
                <w:szCs w:val="20"/>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offering price of up to $300.0 million</w:t>
            </w:r>
          </w:p>
        </w:tc>
      </w:tr>
      <w:tr>
        <w:trPr>
          <w:trHeight w:val="302"/>
        </w:trPr>
        <w:tc>
          <w:tcPr>
            <w:tcW w:w="8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Common stock to be outstanding following this</w:t>
            </w:r>
          </w:p>
        </w:tc>
      </w:tr>
      <w:tr>
        <w:trPr>
          <w:trHeight w:val="220"/>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Up to 66,772,455 shares (as more fully described</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in the notes following this table), assuming sales of</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6,813,536 shares of our common stock in this</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offering at an offering price of $44.03 per share,</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which was the last reported sale price of our</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common stock on the Nasdaq Global Select Market</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on February 15, 2023. The actual number of shares</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issued will vary depending on the sales price under</w:t>
            </w:r>
          </w:p>
        </w:tc>
      </w:tr>
      <w:tr>
        <w:trPr>
          <w:trHeight w:val="234"/>
        </w:trPr>
        <w:tc>
          <w:tcPr>
            <w:tcW w:w="3080" w:type="dxa"/>
            <w:vAlign w:val="bottom"/>
          </w:tcPr>
          <w:p>
            <w:pPr>
              <w:spacing w:after="0"/>
              <w:rPr>
                <w:sz w:val="20"/>
                <w:szCs w:val="20"/>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this offering.</w:t>
            </w:r>
          </w:p>
        </w:tc>
      </w:tr>
      <w:tr>
        <w:trPr>
          <w:trHeight w:val="30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Manner of offering</w:t>
            </w: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“At the market offering” that may be made from</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time to time on the Nasdaq Global Select Market</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or other existing trading market for our common</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stock through our sales agent, Cowen. See “Plan of</w:t>
            </w:r>
          </w:p>
        </w:tc>
      </w:tr>
      <w:tr>
        <w:trPr>
          <w:trHeight w:val="194"/>
        </w:trPr>
        <w:tc>
          <w:tcPr>
            <w:tcW w:w="3080" w:type="dxa"/>
            <w:vAlign w:val="bottom"/>
          </w:tcPr>
          <w:p>
            <w:pPr>
              <w:spacing w:after="0"/>
              <w:rPr>
                <w:sz w:val="16"/>
                <w:szCs w:val="16"/>
                <w:color w:val="auto"/>
              </w:rPr>
            </w:pPr>
          </w:p>
        </w:tc>
        <w:tc>
          <w:tcPr>
            <w:tcW w:w="5120" w:type="dxa"/>
            <w:vAlign w:val="bottom"/>
            <w:gridSpan w:val="7"/>
          </w:tcPr>
          <w:p>
            <w:pPr>
              <w:ind w:left="1240"/>
              <w:spacing w:after="0" w:line="194" w:lineRule="exact"/>
              <w:rPr>
                <w:sz w:val="20"/>
                <w:szCs w:val="20"/>
                <w:color w:val="auto"/>
              </w:rPr>
            </w:pPr>
            <w:r>
              <w:rPr>
                <w:rFonts w:ascii="Times New Roman" w:cs="Times New Roman" w:eastAsia="Times New Roman" w:hAnsi="Times New Roman"/>
                <w:sz w:val="18"/>
                <w:szCs w:val="18"/>
                <w:color w:val="auto"/>
              </w:rPr>
              <w:t xml:space="preserve">Distribution” on page </w:t>
            </w:r>
            <w:r>
              <w:rPr>
                <w:rFonts w:ascii="Times New Roman" w:cs="Times New Roman" w:eastAsia="Times New Roman" w:hAnsi="Times New Roman"/>
                <w:sz w:val="18"/>
                <w:szCs w:val="18"/>
                <w:color w:val="0000EE"/>
              </w:rPr>
              <w:t>S-15</w:t>
            </w:r>
            <w:r>
              <w:rPr>
                <w:rFonts w:ascii="Times New Roman" w:cs="Times New Roman" w:eastAsia="Times New Roman" w:hAnsi="Times New Roman"/>
                <w:sz w:val="18"/>
                <w:szCs w:val="18"/>
                <w:color w:val="auto"/>
              </w:rPr>
              <w:t xml:space="preserve"> of this prospectus</w:t>
            </w:r>
          </w:p>
        </w:tc>
      </w:tr>
      <w:tr>
        <w:trPr>
          <w:trHeight w:val="237"/>
        </w:trPr>
        <w:tc>
          <w:tcPr>
            <w:tcW w:w="3080" w:type="dxa"/>
            <w:vAlign w:val="bottom"/>
          </w:tcPr>
          <w:p>
            <w:pPr>
              <w:spacing w:after="0"/>
              <w:rPr>
                <w:sz w:val="20"/>
                <w:szCs w:val="20"/>
                <w:color w:val="auto"/>
              </w:rPr>
            </w:pPr>
          </w:p>
        </w:tc>
        <w:tc>
          <w:tcPr>
            <w:tcW w:w="2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supplement.</w:t>
            </w:r>
          </w:p>
        </w:tc>
        <w:tc>
          <w:tcPr>
            <w:tcW w:w="360" w:type="dxa"/>
            <w:vAlign w:val="bottom"/>
            <w:tcBorders>
              <w:top w:val="single" w:sz="8" w:color="0000EE"/>
            </w:tcBorders>
          </w:tcPr>
          <w:p>
            <w:pPr>
              <w:spacing w:after="0"/>
              <w:rPr>
                <w:sz w:val="20"/>
                <w:szCs w:val="20"/>
                <w:color w:val="auto"/>
              </w:rPr>
            </w:pPr>
          </w:p>
        </w:tc>
        <w:tc>
          <w:tcPr>
            <w:tcW w:w="1840" w:type="dxa"/>
            <w:vAlign w:val="bottom"/>
            <w:gridSpan w:val="5"/>
          </w:tcPr>
          <w:p>
            <w:pPr>
              <w:spacing w:after="0"/>
              <w:rPr>
                <w:sz w:val="20"/>
                <w:szCs w:val="20"/>
                <w:color w:val="auto"/>
              </w:rPr>
            </w:pPr>
          </w:p>
        </w:tc>
      </w:tr>
      <w:tr>
        <w:trPr>
          <w:trHeight w:val="30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We intend to use the net proceeds from the sale of</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securities offered under this prospectus supplement</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primarily for general corporate purposes, which</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may include working capital and capital</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expenditures, expenses related to research, clinical</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development and commercial efforts, general and</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administrative expenses, and potential acquisitions</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of, or investments in, companies, technologies,</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products or assets that complement our business.</w:t>
            </w:r>
          </w:p>
        </w:tc>
      </w:tr>
      <w:tr>
        <w:trPr>
          <w:trHeight w:val="194"/>
        </w:trPr>
        <w:tc>
          <w:tcPr>
            <w:tcW w:w="3080" w:type="dxa"/>
            <w:vAlign w:val="bottom"/>
          </w:tcPr>
          <w:p>
            <w:pPr>
              <w:spacing w:after="0"/>
              <w:rPr>
                <w:sz w:val="16"/>
                <w:szCs w:val="16"/>
                <w:color w:val="auto"/>
              </w:rPr>
            </w:pPr>
          </w:p>
        </w:tc>
        <w:tc>
          <w:tcPr>
            <w:tcW w:w="5120" w:type="dxa"/>
            <w:vAlign w:val="bottom"/>
            <w:gridSpan w:val="7"/>
          </w:tcPr>
          <w:p>
            <w:pPr>
              <w:ind w:left="1240"/>
              <w:spacing w:after="0" w:line="194" w:lineRule="exact"/>
              <w:rPr>
                <w:sz w:val="20"/>
                <w:szCs w:val="20"/>
                <w:color w:val="auto"/>
              </w:rPr>
            </w:pPr>
            <w:r>
              <w:rPr>
                <w:rFonts w:ascii="Times New Roman" w:cs="Times New Roman" w:eastAsia="Times New Roman" w:hAnsi="Times New Roman"/>
                <w:sz w:val="18"/>
                <w:szCs w:val="18"/>
                <w:color w:val="auto"/>
              </w:rPr>
              <w:t xml:space="preserve">See “Use of Proceeds” on page </w:t>
            </w:r>
            <w:r>
              <w:rPr>
                <w:rFonts w:ascii="Times New Roman" w:cs="Times New Roman" w:eastAsia="Times New Roman" w:hAnsi="Times New Roman"/>
                <w:sz w:val="18"/>
                <w:szCs w:val="18"/>
                <w:color w:val="0000EE"/>
              </w:rPr>
              <w:t>S-12</w:t>
            </w:r>
            <w:r>
              <w:rPr>
                <w:rFonts w:ascii="Times New Roman" w:cs="Times New Roman" w:eastAsia="Times New Roman" w:hAnsi="Times New Roman"/>
                <w:sz w:val="18"/>
                <w:szCs w:val="18"/>
                <w:color w:val="auto"/>
              </w:rPr>
              <w:t xml:space="preserve"> of this</w:t>
            </w:r>
          </w:p>
        </w:tc>
      </w:tr>
      <w:tr>
        <w:trPr>
          <w:trHeight w:val="20"/>
        </w:trPr>
        <w:tc>
          <w:tcPr>
            <w:tcW w:w="308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prospectus supplement for additional information.</w:t>
            </w:r>
          </w:p>
        </w:tc>
      </w:tr>
      <w:tr>
        <w:trPr>
          <w:trHeight w:val="30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Investing in our common stock involves risks. See</w:t>
            </w:r>
          </w:p>
        </w:tc>
      </w:tr>
      <w:tr>
        <w:trPr>
          <w:trHeight w:val="194"/>
        </w:trPr>
        <w:tc>
          <w:tcPr>
            <w:tcW w:w="3080" w:type="dxa"/>
            <w:vAlign w:val="bottom"/>
          </w:tcPr>
          <w:p>
            <w:pPr>
              <w:spacing w:after="0"/>
              <w:rPr>
                <w:sz w:val="16"/>
                <w:szCs w:val="16"/>
                <w:color w:val="auto"/>
              </w:rPr>
            </w:pPr>
          </w:p>
        </w:tc>
        <w:tc>
          <w:tcPr>
            <w:tcW w:w="5120" w:type="dxa"/>
            <w:vAlign w:val="bottom"/>
            <w:gridSpan w:val="7"/>
          </w:tcPr>
          <w:p>
            <w:pPr>
              <w:ind w:left="1240"/>
              <w:spacing w:after="0" w:line="194" w:lineRule="exact"/>
              <w:rPr>
                <w:sz w:val="20"/>
                <w:szCs w:val="20"/>
                <w:color w:val="auto"/>
              </w:rPr>
            </w:pPr>
            <w:r>
              <w:rPr>
                <w:rFonts w:ascii="Times New Roman" w:cs="Times New Roman" w:eastAsia="Times New Roman" w:hAnsi="Times New Roman"/>
                <w:sz w:val="18"/>
                <w:szCs w:val="18"/>
                <w:color w:val="auto"/>
              </w:rPr>
              <w:t xml:space="preserve">“Risk Factors” beginning on page </w:t>
            </w:r>
            <w:r>
              <w:rPr>
                <w:rFonts w:ascii="Times New Roman" w:cs="Times New Roman" w:eastAsia="Times New Roman" w:hAnsi="Times New Roman"/>
                <w:sz w:val="18"/>
                <w:szCs w:val="18"/>
                <w:color w:val="0000EE"/>
              </w:rPr>
              <w:t>S-9</w:t>
            </w:r>
            <w:r>
              <w:rPr>
                <w:rFonts w:ascii="Times New Roman" w:cs="Times New Roman" w:eastAsia="Times New Roman" w:hAnsi="Times New Roman"/>
                <w:sz w:val="18"/>
                <w:szCs w:val="18"/>
                <w:color w:val="auto"/>
              </w:rPr>
              <w:t xml:space="preserve"> of this</w:t>
            </w:r>
          </w:p>
        </w:tc>
      </w:tr>
      <w:tr>
        <w:trPr>
          <w:trHeight w:val="20"/>
        </w:trPr>
        <w:tc>
          <w:tcPr>
            <w:tcW w:w="308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8"/>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prospectus supplement and other information</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included or incorporated by reference into this</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prospectus supplement and the accompanying</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prospectus for a discussion of the factors you</w:t>
            </w:r>
          </w:p>
        </w:tc>
      </w:tr>
      <w:tr>
        <w:trPr>
          <w:trHeight w:val="216"/>
        </w:trPr>
        <w:tc>
          <w:tcPr>
            <w:tcW w:w="3080" w:type="dxa"/>
            <w:vAlign w:val="bottom"/>
          </w:tcPr>
          <w:p>
            <w:pPr>
              <w:spacing w:after="0"/>
              <w:rPr>
                <w:sz w:val="18"/>
                <w:szCs w:val="18"/>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should carefully consider before deciding to invest</w:t>
            </w:r>
          </w:p>
        </w:tc>
      </w:tr>
      <w:tr>
        <w:trPr>
          <w:trHeight w:val="234"/>
        </w:trPr>
        <w:tc>
          <w:tcPr>
            <w:tcW w:w="3080" w:type="dxa"/>
            <w:vAlign w:val="bottom"/>
          </w:tcPr>
          <w:p>
            <w:pPr>
              <w:spacing w:after="0"/>
              <w:rPr>
                <w:sz w:val="20"/>
                <w:szCs w:val="20"/>
                <w:color w:val="auto"/>
              </w:rPr>
            </w:pP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in our securities.</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symbol</w:t>
            </w:r>
          </w:p>
        </w:tc>
        <w:tc>
          <w:tcPr>
            <w:tcW w:w="5120" w:type="dxa"/>
            <w:vAlign w:val="bottom"/>
            <w:gridSpan w:val="7"/>
          </w:tcPr>
          <w:p>
            <w:pPr>
              <w:ind w:left="1240"/>
              <w:spacing w:after="0"/>
              <w:rPr>
                <w:sz w:val="20"/>
                <w:szCs w:val="20"/>
                <w:color w:val="auto"/>
              </w:rPr>
            </w:pPr>
            <w:r>
              <w:rPr>
                <w:rFonts w:ascii="Times New Roman" w:cs="Times New Roman" w:eastAsia="Times New Roman" w:hAnsi="Times New Roman"/>
                <w:sz w:val="18"/>
                <w:szCs w:val="18"/>
                <w:color w:val="auto"/>
              </w:rPr>
              <w:t>“BPMC”</w:t>
            </w:r>
          </w:p>
        </w:tc>
      </w:tr>
    </w:tbl>
    <w:p>
      <w:pPr>
        <w:spacing w:after="0" w:line="130"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shown above to be outstanding after this offering is based on 59,958,919 shares outstanding as of December 31, 2022, and excludes as of that date:</w:t>
      </w:r>
    </w:p>
    <w:p>
      <w:pPr>
        <w:spacing w:after="0" w:line="54" w:lineRule="exact"/>
        <w:rPr>
          <w:sz w:val="20"/>
          <w:szCs w:val="20"/>
          <w:color w:val="auto"/>
        </w:rPr>
      </w:pPr>
    </w:p>
    <w:p>
      <w:pPr>
        <w:ind w:left="1820" w:right="81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6,233,451 shares of common stock issuable upon the exercise of stock options outstanding as of December 31, 2022, at a weighted average exercise price of $69.14 per share;</w:t>
      </w:r>
    </w:p>
    <w:p>
      <w:pPr>
        <w:spacing w:after="0" w:line="53" w:lineRule="exact"/>
        <w:rPr>
          <w:rFonts w:ascii="Times New Roman" w:cs="Times New Roman" w:eastAsia="Times New Roman" w:hAnsi="Times New Roman"/>
          <w:sz w:val="18"/>
          <w:szCs w:val="18"/>
          <w:color w:val="auto"/>
        </w:rPr>
      </w:pPr>
    </w:p>
    <w:p>
      <w:pPr>
        <w:ind w:left="1820" w:right="51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1,893,994 shares of common stock issuable upon the vesting and settlement of restricted stock units outstanding as of December 31, 2022;</w:t>
      </w:r>
    </w:p>
    <w:p>
      <w:pPr>
        <w:spacing w:after="0" w:line="53" w:lineRule="exact"/>
        <w:rPr>
          <w:rFonts w:ascii="Times New Roman" w:cs="Times New Roman" w:eastAsia="Times New Roman" w:hAnsi="Times New Roman"/>
          <w:sz w:val="18"/>
          <w:szCs w:val="18"/>
          <w:color w:val="auto"/>
        </w:rPr>
      </w:pPr>
    </w:p>
    <w:p>
      <w:pPr>
        <w:ind w:left="1820" w:right="599" w:hanging="182"/>
        <w:spacing w:after="0" w:line="261"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4,116,893 shares of common stock reserved for future issuance under our 2015 Stock Option and Incentive Plan, or the 2015 Plan, as of December 31, 2022, plus any future increases in the number of shares of common stock reserved for issuance under the 2015 Plan pursuant to the evergreen provision of the 2015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7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1,473,235 shares of common stock reserved for future issuance under our 2020 Inducement Plan as of December 31, 2022; and</w:t>
      </w:r>
    </w:p>
    <w:p>
      <w:pPr>
        <w:spacing w:after="0" w:line="53" w:lineRule="exact"/>
        <w:rPr>
          <w:rFonts w:ascii="Times New Roman" w:cs="Times New Roman" w:eastAsia="Times New Roman" w:hAnsi="Times New Roman"/>
          <w:sz w:val="18"/>
          <w:szCs w:val="18"/>
          <w:color w:val="auto"/>
        </w:rPr>
      </w:pPr>
    </w:p>
    <w:p>
      <w:pPr>
        <w:ind w:left="1820" w:right="439" w:hanging="182"/>
        <w:spacing w:after="0" w:line="263"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3,147,743 shares of common stock reserved for future issuance under our 2015 Employee Stock Purchase Plan, or the ESPP, as of December 31, 2022, plus any future increases in the number of shares of common stock reserved for issuance under the ESPP pursuant to the evergreen provision of the ESPP.</w:t>
      </w:r>
    </w:p>
    <w:p>
      <w:pPr>
        <w:spacing w:after="0" w:line="332" w:lineRule="exact"/>
        <w:rPr>
          <w:sz w:val="20"/>
          <w:szCs w:val="20"/>
          <w:color w:val="auto"/>
        </w:rPr>
      </w:pPr>
    </w:p>
    <w:p>
      <w:pPr>
        <w:ind w:left="1280" w:right="979" w:firstLine="360"/>
        <w:spacing w:after="0" w:line="282" w:lineRule="auto"/>
        <w:rPr>
          <w:sz w:val="20"/>
          <w:szCs w:val="20"/>
          <w:color w:val="auto"/>
        </w:rPr>
      </w:pPr>
      <w:r>
        <w:rPr>
          <w:rFonts w:ascii="Times New Roman" w:cs="Times New Roman" w:eastAsia="Times New Roman" w:hAnsi="Times New Roman"/>
          <w:sz w:val="18"/>
          <w:szCs w:val="18"/>
          <w:color w:val="auto"/>
        </w:rPr>
        <w:t>In addition, unless we specifically state otherwise, all information in this prospectus supplement assumes:</w:t>
      </w:r>
    </w:p>
    <w:p>
      <w:pPr>
        <w:spacing w:after="0" w:line="54" w:lineRule="exact"/>
        <w:rPr>
          <w:sz w:val="20"/>
          <w:szCs w:val="20"/>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stock options after December 31, 2022;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of restricted stock units after December 31,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6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w:t>
      </w:r>
      <w:hyperlink r:id="rId29">
        <w:r>
          <w:rPr>
            <w:rFonts w:ascii="Times New Roman" w:cs="Times New Roman" w:eastAsia="Times New Roman" w:hAnsi="Times New Roman"/>
            <w:sz w:val="18"/>
            <w:szCs w:val="18"/>
            <w:i w:val="1"/>
            <w:iCs w:val="1"/>
            <w:color w:val="auto"/>
          </w:rPr>
          <w:t xml:space="preserve">“Risk Factors” in our </w:t>
        </w:r>
        <w:r>
          <w:rPr>
            <w:rFonts w:ascii="Times New Roman" w:cs="Times New Roman" w:eastAsia="Times New Roman" w:hAnsi="Times New Roman"/>
            <w:sz w:val="18"/>
            <w:szCs w:val="18"/>
            <w:i w:val="1"/>
            <w:iCs w:val="1"/>
            <w:u w:val="single" w:color="auto"/>
            <w:color w:val="0000EE"/>
          </w:rPr>
          <w:t>Annual Report on Form 10-K for the fiscal year ended December 31, 2022, filed with</w:t>
        </w:r>
      </w:hyperlink>
      <w:r>
        <w:rPr>
          <w:rFonts w:ascii="Times New Roman" w:cs="Times New Roman" w:eastAsia="Times New Roman" w:hAnsi="Times New Roman"/>
          <w:sz w:val="18"/>
          <w:szCs w:val="18"/>
          <w:i w:val="1"/>
          <w:iCs w:val="1"/>
          <w:color w:val="auto"/>
        </w:rPr>
        <w:t xml:space="preserve"> </w:t>
      </w:r>
      <w:hyperlink r:id="rId29">
        <w:r>
          <w:rPr>
            <w:rFonts w:ascii="Times New Roman" w:cs="Times New Roman" w:eastAsia="Times New Roman" w:hAnsi="Times New Roman"/>
            <w:sz w:val="18"/>
            <w:szCs w:val="18"/>
            <w:i w:val="1"/>
            <w:iCs w:val="1"/>
            <w:u w:val="single" w:color="auto"/>
            <w:color w:val="0000EE"/>
          </w:rPr>
          <w:t>the SEC on February 16, 2023</w:t>
        </w:r>
        <w:r>
          <w:rPr>
            <w:rFonts w:ascii="Times New Roman" w:cs="Times New Roman" w:eastAsia="Times New Roman" w:hAnsi="Times New Roman"/>
            <w:sz w:val="18"/>
            <w:szCs w:val="18"/>
            <w:i w:val="1"/>
            <w:iCs w:val="1"/>
            <w:color w:val="000000"/>
          </w:rPr>
          <w:t>, as updated by our subsequent filings under the Exchange Act, before making</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200" w:lineRule="exact"/>
        <w:rPr>
          <w:sz w:val="20"/>
          <w:szCs w:val="20"/>
          <w:color w:val="auto"/>
        </w:rPr>
      </w:pPr>
    </w:p>
    <w:p>
      <w:pPr>
        <w:spacing w:after="0" w:line="21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225"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05"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In addition, the stock market in general, and Nasdaq-listed and biopharmaceutical companies in particular, have experienced extreme price and volume fluctuations that have often been unrelated or disproportionate to the operating performance of these companies. For example, our stock traded within a range of a high price of  $85.17 per share on February 15, 2022 and a low price of  $40.78 per share on November 9, 2022 in the twelve-month period ending on February 15, 2023. As a result of this volatility, our stockholders could incur substantial losses. In addition, the market price for our common stock may be influenced by many factors, including:</w:t>
      </w:r>
    </w:p>
    <w:p>
      <w:pPr>
        <w:spacing w:after="0" w:line="100"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130"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80"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14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01"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1" w:lineRule="exact"/>
        <w:rPr>
          <w:sz w:val="20"/>
          <w:szCs w:val="20"/>
          <w:color w:val="auto"/>
        </w:rPr>
      </w:pPr>
    </w:p>
    <w:p>
      <w:pPr>
        <w:ind w:left="1260" w:right="11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6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11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In addition, this concentration of ownership might adversely affect the market price of our common stock by:</w:t>
      </w:r>
    </w:p>
    <w:p>
      <w:pPr>
        <w:spacing w:after="0" w:line="40"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0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58"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78"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as adjusted net tangible book value per share of our common stock outstanding prior to this offering. Assuming that an aggregate of 6,813,536 shares of our common stock are sold at a price of  $44.03 per share, the last reported sale price of our common stock on the Nasdaq Global Select Market on February 15, 2023, for aggregate gross proceeds of $300.0 million, and after deducting commissions and estimated offering expenses payable by us, you will experience immediate dilution of  $31.96 per share based on the difference between our as adjusted net tangible book value per share as of December 31, 2022 after giving effect to this offering and the assumed offering price.</w:t>
      </w:r>
    </w:p>
    <w:p>
      <w:pPr>
        <w:spacing w:after="0" w:line="32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dilution is due to the substantially lower price paid by some of our investors who purchased shares prior to this offering as compared to the assumed price offered to the public in this offering, and the exercise of stock options granted to our employees. In addition, as of December 31, 2022, options to purchase 6,233,451 shares of our common stock at a weighted average exercise price of  $69.14 per share were outstanding, and 1,893,994 shares of our common stock would become issuable upon the vesting and settlement of restricted stock units outstanding as of such date. Each restricted stock unit represents a contingent right to receive one share of our common stock. The exercise of any of these options and the vesting and settlement of any of these restricted stock units would result in additional dilution. As a result of the dilution to investors purchasing shares in this offering, investors may receive significantly less than the assumed purchase price paid in this offering, if anything, in the event of our liquidation. Further, because we may seek to raise additional capital to fund our future activities, we may in the future sell substantial amounts of common stock or securities convertible into or exchangeable for common stock.</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These future issuances of common stock or common stock-related securities, together with the vesting and exercise of outstanding options, the vesting and settlement of outstanding restricted stock units and any additional shares issued in connection with acquisitions, if any, may result in further dilution. For a further description of the dilution that you will experience immediately after this offering, see “Dilution.”</w:t>
      </w:r>
    </w:p>
    <w:p>
      <w:pPr>
        <w:spacing w:after="0" w:line="176"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9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12"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In addition, the sale of substantial amounts of our common stock could adversely impact its price. As of December 31, 2022, 59,958,919 shares of our common stock were outstanding, excluding options to purchase 6,233,451 shares of our common stock, of which 4,187,832 were exercisable as of that date, and 1,893,994 shares of our common stock issuable upon the vesting and settlement of restricted stock units outstanding as of that date. The sale or the availability for sale of a large number of shares of our common stock in the public market could cause the price of our common stock to decline.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actual number of shares we will issue under the Sales Agreement, at any one time or in total, is uncertain.</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Cowen at any time throughout the term of the Sales Agreement. The number of shares that are sold by Cowen after delivering a placement notice will fluctuate based on the market price of the shares of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w:t>
      </w:r>
    </w:p>
    <w:p>
      <w:pPr>
        <w:spacing w:after="0" w:line="183" w:lineRule="exact"/>
        <w:rPr>
          <w:sz w:val="20"/>
          <w:szCs w:val="20"/>
          <w:color w:val="auto"/>
        </w:rPr>
      </w:pPr>
    </w:p>
    <w:p>
      <w:pPr>
        <w:ind w:left="12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9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9"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adversely affected by market conditions affecting the stock markets in general, including price and trading fluctuations on the Nasdaq Global Select Market.</w:t>
      </w:r>
    </w:p>
    <w:p>
      <w:pPr>
        <w:spacing w:after="0" w:line="9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Concerns over global stability and economic conditions in the U.S. and abroad have contributed to the extreme volatility of the markets, which may have an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We may offer and sell shares of our common stock having aggregate gross sales proceeds of up to $300,000,000 (before deducting sales agent commissions and expenses). Because there is no minimum offering amount required as a condition to close this offering, the actual total public offering amount, commissions and proceeds to us, if any, are not determinable at this time.</w:t>
      </w:r>
    </w:p>
    <w:p>
      <w:pPr>
        <w:spacing w:after="0" w:line="112"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We anticipate that we will use the net proceeds to us from this offering to primarily for general corporate purposes, which may include working capital and capital expenditures, expenses related to research, clinical development and commercial efforts, general and administrative expenses, and potential acquisitions of, or investments in, companies, technologies, products or assets that complement our business.</w:t>
      </w:r>
    </w:p>
    <w:p>
      <w:pPr>
        <w:spacing w:after="0" w:line="32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the nature and scope of our commercial activities and future products, the success of our current or future collaborations, partnerships and license arrangements, and any unforeseen cash needs. As a result, our management will retain broad discretion over the allocation of the net proceeds from this offering.</w:t>
      </w:r>
    </w:p>
    <w:p>
      <w:pPr>
        <w:spacing w:after="0" w:line="34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As of December 31, 2022, we had net tangible book value of approximately $514.7 million, or $8.58 per share of our common stock, based upon 59,958,919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32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After giving effect to the assumed sale of 6,813,536 shares of common stock in this offering at an assumed offering price of  $44.03 per share, the last reported sale price of our common stock on the Nasdaq Global Select Market on February 15, 2023, and after deducting commissions and estimated offering expenses payable by us, our as adjusted net tangible book value as of December 31, 2022 would have been approximately $805.7 million, or approximately $12.07 per share of common stock. This represents an immediate increase in as adjusted net tangible book value of $3.49 per share to our existing stockholders and an immediate dilution of $31.96 per share to investors participating in this offering.</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net tangible book value per share after this offering from the assumed offering price per share paid by new investors. The following table illustrates this per share dilution:</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2022</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​​$8.58​​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1340" w:type="dxa"/>
            <w:vAlign w:val="bottom"/>
            <w:gridSpan w:val="4"/>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u w:val="single" w:color="auto"/>
                <w:color w:val="auto"/>
                <w:vertAlign w:val="superscript"/>
              </w:rPr>
              <w:t>$</w:t>
            </w:r>
            <w:r>
              <w:rPr>
                <w:rFonts w:ascii="Times New Roman" w:cs="Times New Roman" w:eastAsia="Times New Roman" w:hAnsi="Times New Roman"/>
                <w:sz w:val="31"/>
                <w:szCs w:val="31"/>
                <w:color w:val="auto"/>
                <w:vertAlign w:val="superscript"/>
              </w:rPr>
              <w:t>3.49</w:t>
            </w:r>
            <w:r>
              <w:rPr>
                <w:rFonts w:ascii="Times New Roman" w:cs="Times New Roman" w:eastAsia="Times New Roman" w:hAnsi="Times New Roman"/>
                <w:sz w:val="17"/>
                <w:szCs w:val="17"/>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7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gridSpan w:val="2"/>
          </w:tcPr>
          <w:p>
            <w:pPr>
              <w:jc w:val="right"/>
              <w:ind w:right="350"/>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Dilution per share to new investors</w:t>
            </w:r>
          </w:p>
        </w:tc>
        <w:tc>
          <w:tcPr>
            <w:tcW w:w="640" w:type="dxa"/>
            <w:vAlign w:val="bottom"/>
            <w:tcBorders>
              <w:top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$31.96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740" w:type="dxa"/>
            <w:vAlign w:val="bottom"/>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700" w:type="dxa"/>
            <w:vAlign w:val="bottom"/>
            <w:gridSpan w:val="2"/>
            <w:shd w:val="clear" w:color="auto" w:fill="CCEEFF"/>
          </w:tcPr>
          <w:p>
            <w:pPr>
              <w:jc w:val="right"/>
              <w:ind w:right="350"/>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4894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pacing w:after="0" w:line="11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as adjusted information is illustrative only and will adjust based on the actual offering price, the actual number of shares sold and other terms of the offering determined at the time shares of our common stock are sold pursuant to this prospectus supplement. The as adjusted information assumes that all of our common stock in the aggregate amount of  $300.0 million is sold at the assumed offering price of $44.03 per share, the last reported sale price of our common stock on The Nasdaq Global Select Market on</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15, 2023. The shares sold in this offering, if any, will be sold from time to time at various prices.</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foregoing table and discussion is based on 59,958,919 shares of common stock outstanding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2022, and excludes:</w:t>
      </w:r>
    </w:p>
    <w:p>
      <w:pPr>
        <w:spacing w:after="0" w:line="99" w:lineRule="exact"/>
        <w:rPr>
          <w:sz w:val="20"/>
          <w:szCs w:val="20"/>
          <w:color w:val="auto"/>
        </w:rPr>
      </w:pPr>
    </w:p>
    <w:p>
      <w:pPr>
        <w:ind w:left="1800" w:right="8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6,233,451 shares of common stock issuable upon the exercise of stock options outstanding as of December 31, 2022, at a weighted average exercise price of  $69.14 per share;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1,893,994 shares of common stock issuable upon the vesting and settlement of restricted stock units outstanding as of December 31, 2022;</w:t>
      </w:r>
    </w:p>
    <w:p>
      <w:pPr>
        <w:spacing w:after="0" w:line="53"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4,116,893 shares of common stock reserved for future issuance under our 2015 Plan as of December 31, 2022;</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1,473,235 shares of common stock reserved for future issuance under our 2020 Inducement Plan as of December 31, 2022; and</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3,147,743 shares of common stock reserved for future issuance under our 2015 Employee Stock Purchase Plan as of December 31, 2022.</w:t>
      </w:r>
    </w:p>
    <w:p>
      <w:pPr>
        <w:spacing w:after="0" w:line="9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6,813,536 shares of our common stock are sold during the term of the sales agreement with Cowen at a price of  $44.03 per share, the last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reported sale price of our common stock on the Nasdaq Global Select Market on February 15, 2023, for aggregate gross proceeds of approximately $300.0 million.</w:t>
      </w:r>
    </w:p>
    <w:p>
      <w:pPr>
        <w:spacing w:after="0" w:line="94"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any options are vested and exercised or any restricted stock units are vested and settled, new options or restricted stock units are issued under our equity incentive plans, or we otherwise issue additional shares of common stock in the future (including shares issued in connection with acquisitions), there will be further dilution to new investors.</w:t>
      </w:r>
    </w:p>
    <w:p>
      <w:pPr>
        <w:spacing w:after="0" w:line="11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have entered into a sales agreement with Cowen, under which we may issue and sell from time to time up to $300,000,000 of our common stock through or to Cowen as our sales agent or principal. Sales of our common stock, if any, will be made at market prices by any method that is deemed to be an “at the market offering” as defined in Rule 415 under the Securities Act.</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sole discretion at any time.</w:t>
      </w:r>
    </w:p>
    <w:p>
      <w:pPr>
        <w:spacing w:after="0" w:line="32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aggregate compensation payable to Cowen as sales agent equals up to 3.0% of the gross sales price of the shares sold through it pursuant to the sales agreement. We have also agreed to reimburse Cowen for certain of their expenses up to an amount of $60,000. We estimate that the total expenses of the offering payable by us, excluding commissions payable to Cowen under the sales agreement, will be approximately $125,000.</w:t>
      </w:r>
    </w:p>
    <w:p>
      <w:pPr>
        <w:spacing w:after="0" w:line="32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0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1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Cowen under the sales agreement, the net proceeds to us and the compensation paid by us to Cowen in connection with the sales of common stock.</w:t>
      </w:r>
    </w:p>
    <w:p>
      <w:pPr>
        <w:spacing w:after="0" w:line="10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Under the sales agreement, we may also sell shares of common stock to Cowen as principal for its own account, at a price to be agreed upon at the time of sale. If we sell shares to a Cowen as principal, we will enter into a separate terms agreement with Cowen, and we will describe the agreement in a separate prospectus supplement or pricing supplement.</w:t>
      </w:r>
    </w:p>
    <w:p>
      <w:pPr>
        <w:spacing w:after="0" w:line="11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transactions that stabilizes our common stock.</w:t>
      </w:r>
    </w:p>
    <w:p>
      <w:pPr>
        <w:spacing w:after="0" w:line="114"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and trades under the symbol “BPMC.” The transfer agent of our common stock is Computershare Trust Company, N.A.</w:t>
      </w:r>
    </w:p>
    <w:p>
      <w:pPr>
        <w:spacing w:after="0" w:line="95"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w:t>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Procter LLP, Boston, Massachusetts. Cowen is being represented in this offering by Latham &amp; Watkins LLP.</w:t>
      </w:r>
    </w:p>
    <w:p>
      <w:pPr>
        <w:spacing w:after="0" w:line="20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Blueprint Medicines Corporation appearing in Blueprint Medicines Corporation’s </w:t>
      </w:r>
      <w:hyperlink r:id="rId29">
        <w:r>
          <w:rPr>
            <w:rFonts w:ascii="Times New Roman" w:cs="Times New Roman" w:eastAsia="Times New Roman" w:hAnsi="Times New Roman"/>
            <w:sz w:val="18"/>
            <w:szCs w:val="18"/>
            <w:u w:val="single" w:color="auto"/>
            <w:color w:val="0000EE"/>
          </w:rPr>
          <w:t>Annual Report (Form 10-K) for the year ended December 31, 2022</w:t>
        </w:r>
      </w:hyperlink>
      <w:r>
        <w:rPr>
          <w:rFonts w:ascii="Times New Roman" w:cs="Times New Roman" w:eastAsia="Times New Roman" w:hAnsi="Times New Roman"/>
          <w:sz w:val="18"/>
          <w:szCs w:val="18"/>
          <w:color w:val="auto"/>
        </w:rPr>
        <w:t>, and the effectiveness of Blueprint Medicines Corporation’s internal control over financial reporting as of December 31, 2022,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Blueprint Medicines Corporation</w:t>
      </w:r>
    </w:p>
    <w:p>
      <w:pPr>
        <w:spacing w:after="0" w:line="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560"/>
        <w:spacing w:after="0" w:line="236" w:lineRule="auto"/>
        <w:rPr>
          <w:sz w:val="20"/>
          <w:szCs w:val="20"/>
          <w:color w:val="auto"/>
        </w:rPr>
      </w:pPr>
      <w:r>
        <w:rPr>
          <w:rFonts w:ascii="Times New Roman" w:cs="Times New Roman" w:eastAsia="Times New Roman" w:hAnsi="Times New Roman"/>
          <w:sz w:val="25"/>
          <w:szCs w:val="25"/>
          <w:b w:val="1"/>
          <w:bCs w:val="1"/>
          <w:color w:val="auto"/>
        </w:rPr>
        <w:t>Debt Securities</w:t>
      </w:r>
    </w:p>
    <w:p>
      <w:pPr>
        <w:ind w:left="4320"/>
        <w:spacing w:after="0" w:line="226" w:lineRule="auto"/>
        <w:rPr>
          <w:sz w:val="20"/>
          <w:szCs w:val="20"/>
          <w:color w:val="auto"/>
        </w:rPr>
      </w:pPr>
      <w:r>
        <w:rPr>
          <w:rFonts w:ascii="Times New Roman" w:cs="Times New Roman" w:eastAsia="Times New Roman" w:hAnsi="Times New Roman"/>
          <w:sz w:val="25"/>
          <w:szCs w:val="25"/>
          <w:b w:val="1"/>
          <w:bCs w:val="1"/>
          <w:color w:val="auto"/>
        </w:rPr>
        <w:t>Purchase Contracts</w:t>
      </w:r>
    </w:p>
    <w:p>
      <w:pPr>
        <w:ind w:left="4560"/>
        <w:spacing w:after="0" w:line="236" w:lineRule="auto"/>
        <w:rPr>
          <w:sz w:val="20"/>
          <w:szCs w:val="20"/>
          <w:color w:val="auto"/>
        </w:rPr>
      </w:pPr>
      <w:r>
        <w:rPr>
          <w:rFonts w:ascii="Times New Roman" w:cs="Times New Roman" w:eastAsia="Times New Roman" w:hAnsi="Times New Roman"/>
          <w:sz w:val="25"/>
          <w:szCs w:val="25"/>
          <w:b w:val="1"/>
          <w:bCs w:val="1"/>
          <w:color w:val="auto"/>
        </w:rPr>
        <w:t>Purchase Units</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131445</wp:posOffset>
            </wp:positionV>
            <wp:extent cx="12344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32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137160</wp:posOffset>
            </wp:positionV>
            <wp:extent cx="1234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113665</wp:posOffset>
            </wp:positionV>
            <wp:extent cx="1234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105410</wp:posOffset>
            </wp:positionV>
            <wp:extent cx="12344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The date of this prospectus is 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540" w:type="dxa"/>
            <w:vAlign w:val="bottom"/>
            <w:gridSpan w:val="1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166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Borders>
              <w:top w:val="single" w:sz="8" w:color="0000EE"/>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4240" w:type="dxa"/>
            <w:vAlign w:val="bottom"/>
            <w:tcBorders>
              <w:top w:val="single" w:sz="8" w:color="CCEEFF"/>
            </w:tcBorders>
            <w:gridSpan w:val="8"/>
          </w:tcPr>
          <w:p>
            <w:pPr>
              <w:spacing w:after="0"/>
              <w:rPr>
                <w:sz w:val="17"/>
                <w:szCs w:val="17"/>
                <w:color w:val="auto"/>
              </w:rPr>
            </w:pPr>
          </w:p>
        </w:tc>
        <w:tc>
          <w:tcPr>
            <w:tcW w:w="1580" w:type="dxa"/>
            <w:vAlign w:val="bottom"/>
            <w:tcBorders>
              <w:top w:val="single" w:sz="8" w:color="CCEEFF"/>
            </w:tcBorders>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0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CCEEFF"/>
            </w:tcBorders>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780" w:type="dxa"/>
            <w:vAlign w:val="bottom"/>
            <w:tcBorders>
              <w:bottom w:val="single" w:sz="8" w:color="CCEEFF"/>
            </w:tcBorders>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540" w:type="dxa"/>
            <w:vAlign w:val="bottom"/>
            <w:tcBorders>
              <w:bottom w:val="single" w:sz="8" w:color="CCEEFF"/>
            </w:tcBorders>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BLUEPRINT MEDICINES CORPORATION</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40" w:type="dxa"/>
            <w:vAlign w:val="bottom"/>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2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64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40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580" w:type="dxa"/>
            <w:vAlign w:val="bottom"/>
            <w:tcBorders>
              <w:bottom w:val="single" w:sz="8" w:color="CCEEFF"/>
            </w:tcBorders>
            <w:gridSpan w:val="3"/>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DILUTION</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96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2580" w:type="dxa"/>
            <w:vAlign w:val="bottom"/>
            <w:tcBorders>
              <w:bottom w:val="single" w:sz="8" w:color="CCEEFF"/>
            </w:tcBorders>
            <w:gridSpan w:val="3"/>
            <w:shd w:val="clear" w:color="auto" w:fill="CCEEFF"/>
          </w:tcPr>
          <w:p>
            <w:pPr>
              <w:spacing w:after="0"/>
              <w:rPr>
                <w:sz w:val="2"/>
                <w:szCs w:val="2"/>
                <w:color w:val="auto"/>
              </w:rPr>
            </w:pPr>
          </w:p>
        </w:tc>
        <w:tc>
          <w:tcPr>
            <w:tcW w:w="82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5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PURCHASE CONTRACTS AND PURCHASE UNITS</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720" w:type="dxa"/>
            <w:vAlign w:val="bottom"/>
            <w:tcBorders>
              <w:bottom w:val="single" w:sz="8" w:color="CCEEFF"/>
            </w:tcBorders>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2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980" w:type="dxa"/>
            <w:vAlign w:val="bottom"/>
            <w:gridSpan w:val="7"/>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CCEEFF"/>
            </w:tcBorders>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420" w:type="dxa"/>
            <w:vAlign w:val="bottom"/>
            <w:tcBorders>
              <w:bottom w:val="single" w:sz="8" w:color="CCEEFF"/>
            </w:tcBorders>
            <w:gridSpan w:val="9"/>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040" w:type="dxa"/>
            <w:vAlign w:val="bottom"/>
            <w:gridSpan w:val="11"/>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740" w:type="dxa"/>
            <w:vAlign w:val="bottom"/>
            <w:tcBorders>
              <w:bottom w:val="single" w:sz="8" w:color="CCEEFF"/>
            </w:tcBorders>
            <w:gridSpan w:val="14"/>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5370830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16"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of this prospectus.</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33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We use “AYVAKIT,” “AYVAKYT,” “GAVRETO” and “Blueprint Medicines” as trademarks in the United States and other countries. We use and have registered “AYVAKIT,” “AYVAKYT,” “GAVRETO” and “Blueprint Medicines” in the United States. This prospectus and the information incorporated herein by reference contains references to trademarks, service marks and trade names owned by us or other companies. Solely for convenience, trademarks, service marks and trade names referred to in this prospectus and the information incorporated herein,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prospectus, any applicable prospectus supplement or any related free writing prospectus are the property of their respective owners.</w:t>
      </w:r>
    </w:p>
    <w:p>
      <w:pPr>
        <w:spacing w:after="0" w:line="351"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stated, all references in this prospectus, any applicable prospectus supplement, and any related free writing prospectus, to “us”, “our”, “Blueprint”, “Blueprint Medicines”, “we”, the “Company” and similar designations refer, collectively, to Blueprint Medicines Corporation,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539"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w:t>
      </w:r>
      <w:hyperlink r:id="rId29">
        <w:r>
          <w:rPr>
            <w:rFonts w:ascii="Times New Roman" w:cs="Times New Roman" w:eastAsia="Times New Roman" w:hAnsi="Times New Roman"/>
            <w:sz w:val="18"/>
            <w:szCs w:val="18"/>
            <w:u w:val="single" w:color="auto"/>
            <w:color w:val="0000EE"/>
          </w:rPr>
          <w:t>Annual Report on Form 10-K for the fiscal year ended December 31, 2022</w:t>
        </w:r>
      </w:hyperlink>
      <w:r>
        <w:rPr>
          <w:rFonts w:ascii="Times New Roman" w:cs="Times New Roman" w:eastAsia="Times New Roman" w:hAnsi="Times New Roman"/>
          <w:sz w:val="18"/>
          <w:szCs w:val="18"/>
          <w:color w:val="auto"/>
        </w:rPr>
        <w:t>, which is on file with the SEC and is incorporated herein by reference, and any of our subsequent filings with the SEC, before making an investment decision pursuant to this prospectus and any accompanying prospectus supplement relating to a specific offering.</w:t>
      </w:r>
    </w:p>
    <w:p>
      <w:pPr>
        <w:spacing w:after="0" w:line="12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w:t>
      </w:r>
    </w:p>
    <w:p>
      <w:pPr>
        <w:spacing w:after="0" w:line="33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means that we can disclose important information to you by referring you to those publicly available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documents. The information that we incorporate by reference in this prospectus is considered to be part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Because we are incorporating by reference future filings with the SEC, this prospectus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continually updated and those future filings may modify or supersede some of the information included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in this prospectus. This means that you must look at all of the SEC filings that we incorporate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reference to determine if any of the statements in this prospectus or in any document previously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by reference have been modified or superseded. This prospectus incorporates by reference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documents listed below (File No. 001-37359) and any future filings we make with the SEC under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Sections 13(a), 13(c), 14 or 15(d) of the Securities Exchange Act of 1934, as amended, or the Exchange Act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each case, other than those documents or the portions of those documents not deemed to be filed) until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offering of the securities under the registration statement is terminated or completed:</w:t>
      </w:r>
    </w:p>
    <w:p>
      <w:pPr>
        <w:spacing w:after="0" w:line="99" w:lineRule="exact"/>
        <w:rPr>
          <w:sz w:val="20"/>
          <w:szCs w:val="20"/>
          <w:color w:val="auto"/>
        </w:rPr>
      </w:pPr>
    </w:p>
    <w:p>
      <w:pPr>
        <w:ind w:left="1800" w:right="499" w:hanging="180"/>
        <w:spacing w:after="0" w:line="282" w:lineRule="auto"/>
        <w:tabs>
          <w:tab w:leader="none" w:pos="1800" w:val="left"/>
        </w:tabs>
        <w:numPr>
          <w:ilvl w:val="0"/>
          <w:numId w:val="10"/>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Annual Report on Form 10-K for the fiscal year ended December 31, 2022, which was filed with the</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SEC on February 16, 2023;</w:t>
        </w:r>
      </w:hyperlink>
    </w:p>
    <w:p>
      <w:pPr>
        <w:spacing w:after="0" w:line="53" w:lineRule="exact"/>
        <w:rPr>
          <w:rFonts w:ascii="Times New Roman" w:cs="Times New Roman" w:eastAsia="Times New Roman" w:hAnsi="Times New Roman"/>
          <w:sz w:val="18"/>
          <w:szCs w:val="18"/>
          <w:u w:val="single" w:color="auto"/>
          <w:color w:val="0000EE"/>
        </w:rPr>
      </w:pPr>
    </w:p>
    <w:p>
      <w:pPr>
        <w:ind w:left="1800" w:right="479" w:hanging="180"/>
        <w:spacing w:after="0" w:line="261" w:lineRule="auto"/>
        <w:tabs>
          <w:tab w:leader="none" w:pos="1800" w:val="left"/>
        </w:tabs>
        <w:numPr>
          <w:ilvl w:val="0"/>
          <w:numId w:val="10"/>
        </w:numPr>
        <w:rPr>
          <w:rFonts w:ascii="Times New Roman" w:cs="Times New Roman" w:eastAsia="Times New Roman" w:hAnsi="Times New Roman"/>
          <w:sz w:val="18"/>
          <w:szCs w:val="18"/>
          <w:u w:val="single" w:color="auto"/>
          <w:color w:val="0000EE"/>
        </w:rPr>
      </w:pPr>
      <w:hyperlink r:id="rId63">
        <w:r>
          <w:rPr>
            <w:rFonts w:ascii="Times New Roman" w:cs="Times New Roman" w:eastAsia="Times New Roman" w:hAnsi="Times New Roman"/>
            <w:sz w:val="18"/>
            <w:szCs w:val="18"/>
            <w:color w:val="auto"/>
          </w:rPr>
          <w:t xml:space="preserve">The information specifically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fiscal year ended December 31,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(other than information</w:t>
        </w:r>
      </w:hyperlink>
      <w:r>
        <w:rPr>
          <w:rFonts w:ascii="Times New Roman" w:cs="Times New Roman" w:eastAsia="Times New Roman" w:hAnsi="Times New Roman"/>
          <w:sz w:val="18"/>
          <w:szCs w:val="18"/>
          <w:color w:val="0000EE"/>
        </w:rPr>
        <w:t xml:space="preserve"> </w:t>
      </w:r>
      <w:hyperlink r:id="rId31">
        <w:r>
          <w:rPr>
            <w:rFonts w:ascii="Times New Roman" w:cs="Times New Roman" w:eastAsia="Times New Roman" w:hAnsi="Times New Roman"/>
            <w:sz w:val="18"/>
            <w:szCs w:val="18"/>
            <w:u w:val="single" w:color="auto"/>
            <w:color w:val="0000EE"/>
          </w:rPr>
          <w:t>furnished rather than filed) for the 2022 Annual Meeting of Stockholders, which was filed with the</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SEC on April 29, 2022;</w:t>
        </w:r>
      </w:hyperlink>
    </w:p>
    <w:p>
      <w:pPr>
        <w:spacing w:after="0" w:line="71" w:lineRule="exact"/>
        <w:rPr>
          <w:rFonts w:ascii="Times New Roman" w:cs="Times New Roman" w:eastAsia="Times New Roman" w:hAnsi="Times New Roman"/>
          <w:sz w:val="18"/>
          <w:szCs w:val="18"/>
          <w:u w:val="single" w:color="auto"/>
          <w:color w:val="0000EE"/>
        </w:rPr>
      </w:pPr>
    </w:p>
    <w:p>
      <w:pPr>
        <w:ind w:left="1800" w:right="659" w:hanging="180"/>
        <w:spacing w:after="0" w:line="282" w:lineRule="auto"/>
        <w:tabs>
          <w:tab w:leader="none" w:pos="1800" w:val="left"/>
        </w:tabs>
        <w:numPr>
          <w:ilvl w:val="0"/>
          <w:numId w:val="10"/>
        </w:numPr>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auto"/>
          </w:rPr>
          <w:t xml:space="preserve">Current Reports on Form 8-K which were filed with the SEC on </w:t>
        </w:r>
        <w:r>
          <w:rPr>
            <w:rFonts w:ascii="Times New Roman" w:cs="Times New Roman" w:eastAsia="Times New Roman" w:hAnsi="Times New Roman"/>
            <w:sz w:val="18"/>
            <w:szCs w:val="18"/>
            <w:u w:val="single" w:color="auto"/>
            <w:color w:val="0000EE"/>
          </w:rPr>
          <w:t>January 6,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February 10,</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 and</w:t>
        </w:r>
      </w:hyperlink>
    </w:p>
    <w:p>
      <w:pPr>
        <w:spacing w:after="0" w:line="53" w:lineRule="exact"/>
        <w:rPr>
          <w:rFonts w:ascii="Times New Roman" w:cs="Times New Roman" w:eastAsia="Times New Roman" w:hAnsi="Times New Roman"/>
          <w:sz w:val="18"/>
          <w:szCs w:val="18"/>
          <w:color w:val="0000EE"/>
        </w:rPr>
      </w:pPr>
    </w:p>
    <w:p>
      <w:pPr>
        <w:ind w:left="1800" w:right="459" w:hanging="180"/>
        <w:spacing w:after="0" w:line="266" w:lineRule="auto"/>
        <w:tabs>
          <w:tab w:leader="none" w:pos="1800" w:val="left"/>
        </w:tabs>
        <w:numPr>
          <w:ilvl w:val="0"/>
          <w:numId w:val="10"/>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The description of our common stock contained in our Registration Statement on Form 8-A which</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was filed with the SEC on April 27, 2015, including any amendments or reports filed for the purpose</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of updating such description.</w:t>
        </w:r>
      </w:hyperlink>
    </w:p>
    <w:p>
      <w:pPr>
        <w:spacing w:after="0" w:line="108" w:lineRule="exact"/>
        <w:rPr>
          <w:rFonts w:ascii="Times New Roman" w:cs="Times New Roman" w:eastAsia="Times New Roman" w:hAnsi="Times New Roman"/>
          <w:sz w:val="18"/>
          <w:szCs w:val="18"/>
          <w:u w:val="single" w:color="auto"/>
          <w:color w:val="0000EE"/>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contacting us, either orally or in writing, at the following:</w:t>
      </w:r>
    </w:p>
    <w:p>
      <w:pPr>
        <w:spacing w:after="0" w:line="81"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45 Sidney Street</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Phone: (617) 714-6674</w:t>
      </w:r>
    </w:p>
    <w:p>
      <w:pPr>
        <w:spacing w:after="0" w:line="9" w:lineRule="exact"/>
        <w:rPr>
          <w:rFonts w:ascii="Times New Roman" w:cs="Times New Roman" w:eastAsia="Times New Roman" w:hAnsi="Times New Roman"/>
          <w:sz w:val="18"/>
          <w:szCs w:val="18"/>
          <w:u w:val="single" w:color="auto"/>
          <w:color w:val="0000EE"/>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ir@blueprintmedicines.com</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25" w:lineRule="exact"/>
        <w:rPr>
          <w:rFonts w:ascii="Times New Roman" w:cs="Times New Roman" w:eastAsia="Times New Roman" w:hAnsi="Times New Roman"/>
          <w:sz w:val="18"/>
          <w:szCs w:val="18"/>
          <w:u w:val="single" w:color="auto"/>
          <w:color w:val="0000EE"/>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timing or likelihood of regulatory actions, filings and approvals for our current and future drug candidates, including our ability to obtain marketing approval for avapritinib and pralsetinib for additional indications or in additional geographies; our ability and plans in continuing to build out our commercial infrastructure and successfully launching, marketing and selling AYVAKIT (avapritinib) (marketed in Europe under the brand name AYVAKYT), GAVRETO (pralsetinib) and any current and future drug candidates for which we receive marketing approval; our expectations regarding the potential benefits of AYVAKIT/AYVAKYT and any current and future drug candidates in treating patients with indolent SM and advanced SM; the rate and degree of market acceptance of AYVAKIT/AYVAKYT and any current and future drug candidates for which we receive marketing approval; the pricing and reimbursement of AYVAKIT/AYVAKYT and any current and future drug candidates for which we receive marketing approval; the initiation, timing, progress and results of our preclinical studies and clinical trials, including our ongoing clinical trials and any planned clinical trials for our current and future drug candidates and research and development programs; our ability to advance drug candidates into, and successfully complete, clinical trials; our ability to successfully develop manufacturing processes for any of our current and future drugs or drug candidates and to secure manufacturing, packaging and labeling arrangements for development activities and commercial production; the implementation of our business model and strategic plans for our business, drugs, drug candidates, platform and technology; the scope and length of protection we are able to establish and maintain for intellectual property rights covering our current and future drugs, drug candidates and technology; the potential benefits of our collaboration with F. Hoffmann-La Roche Ltd and Genentech, Inc. to develop and commercialize pralsetinib globally (excluding Greater China), our cancer immunotherapy collaboration with F. Hoffmann-La Roche Ltd and Hoffmann-La Roche Inc., our collaboration with CStone Pharmaceuticals to develop and commercialize avapritinib, pralsetinib and fisogatinib in Greater China, our collaboration with Zai Lab to develop and commercialize BLU-525 and BLU-945, and any respective back-up forms and certain other forms thereof, as inhibitors of epidermal growth factor receptor (EGFR) in Greater China, our collaboration with Oncopia Therapeutics, Inc., d/b/a Proteovant Therapeutics, Inc. (Proteovant), to research and advance novel targeted protein degrader therapies to address medical needs in oncology and hematology, as well as our ability to maintain these collaborations and establish additional strategic collaborations; the potential benefits of our exclusive license agreement with Clementia Pharmaceuticals, Inc., a wholly-owned subsidiary of Ipsen S.A., to develop and commercialize BLU-782 for fibrodysplasia ossificans progressiva; the potential benefits of our strategic financing transactions with Garnich Adjacent Investments S.a.r.l. and Royalty Pharma Investments 2019 ICAV and the potential acceleration of our commercial products and pipeline resulting from the non-dilutive growth capital; the potential benefits of our license agreement with IDRx, Inc. to develop our development candidate-stage KIT exon 13 inhibitor, IDRX-73, for the treatment of drug-resistant mutations of non-PDGFR-driven gastrointestinal stromal tumor; the development of companion diagnostic tests for our current or future drugs or drug candidates; our financial performance, estimates of our revenues, expenses and capital requirements and our needs for future financing, including our ability to achieve a self-sustainable financial profile; developments relating to our competitors and our industry; the actual or potential benefits of designations granted by the U.S. Food and Drug Administration, or FDA, such as orphan drug, fast track and breakthrough therapy designation or priority review; the impact and scope of the ongoing COVID-19 pandemic on our business, operations, strategy, goals and anticipated milestones, including our ongoing and planned research and discovery activities, ability to conduct ongoing and planned clinical trials, clinical supply of our current or future drug candidates or third-party products intended for use as combination therapies or as comparator agents, and the launch, marketing, sale and commercial supply of AYVAKIT/AYVAKYT, GAVRETO and any current or future drug candidates for which we receive marketing approval.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AYVAKIT®/AYVAKYT® (avapritinib) and GAVRETO® (pralsetinib), to patients in the U.S. and Europe, and we are globally advancing multiple programs for systemic mastocytosis, or SM, lung cancer, breast cancer and other genomically defined cancers, and cancer immunotherapy.</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drug discovery approach combines our biological insights with our proprietary compound library and chemistry expertise to design highly selective and potent precision therapies. We aim to enable potent target inhibition that provides significant and durable clinical responses, limit side effects driven by off-target activity and combine therapies to shut down disease drivers and resistance,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32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in October 2008. Our mailing address and principal executive offices are located at 45 Sidney Street, Cambridge, Massachusetts 02139, and our telephone number is (617) 374-7580. We maintain an Internet website at the following address: www.blueprintmedicines.com. The information on, or that can be accessed through, our website does not constitute part of this prospectus, and you should not rely on any such information in making the decision whether to purchase our common stock. Our common stock trades on the Nasdaq Global Select Market under the symbol “BPMC”.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of our drug candidates and to discover additional drug candidates, commercialization cost for any approved drugs, the acquisition or licensing of other drugs or drug candidates, business or technologies,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72"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the purchasers in the offering;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Annual Meeting. </w:t>
      </w:r>
      <w:r>
        <w:rPr>
          <w:rFonts w:ascii="Times New Roman" w:cs="Times New Roman" w:eastAsia="Times New Roman" w:hAnsi="Times New Roman"/>
          <w:sz w:val="18"/>
          <w:szCs w:val="18"/>
          <w:color w:val="auto"/>
        </w:rPr>
        <w:t>Annual meetings of our stockholders are held on the date designated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11" w:lineRule="exact"/>
        <w:rPr>
          <w:sz w:val="20"/>
          <w:szCs w:val="20"/>
          <w:color w:val="auto"/>
        </w:rPr>
      </w:pPr>
    </w:p>
    <w:p>
      <w:pPr>
        <w:ind w:left="126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common stock is entitled to one vote for each share held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voted upon by stockholders.</w:t>
      </w:r>
    </w:p>
    <w:p>
      <w:pPr>
        <w:spacing w:after="0" w:line="91" w:lineRule="exact"/>
        <w:rPr>
          <w:sz w:val="20"/>
          <w:szCs w:val="20"/>
          <w:color w:val="auto"/>
        </w:rPr>
      </w:pPr>
    </w:p>
    <w:p>
      <w:pPr>
        <w:ind w:left="126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common stock, after any preferences of holders of any preferred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dividends when and if declared by the board of directors out of legally available funds.</w:t>
      </w:r>
    </w:p>
    <w:p>
      <w:pPr>
        <w:spacing w:after="0" w:line="9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If we are liquidated or dissolved, the holders of the common stock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share in our assets available for 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02"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the common stock have no right to convert the stock into any other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stock redeemed or purchase additional stock or to maintain their proportionate ownership interest. The common stock does not have cumulative voting rights. Holders of shares of the common stock are not required to make additional capital contributions.</w:t>
      </w:r>
    </w:p>
    <w:p>
      <w:pPr>
        <w:spacing w:after="0" w:line="112" w:lineRule="exact"/>
        <w:rPr>
          <w:sz w:val="20"/>
          <w:szCs w:val="20"/>
          <w:color w:val="auto"/>
        </w:rPr>
      </w:pPr>
    </w:p>
    <w:p>
      <w:pPr>
        <w:ind w:left="126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Nasdaq Global Select Market. </w:t>
      </w:r>
      <w:r>
        <w:rPr>
          <w:rFonts w:ascii="Times New Roman" w:cs="Times New Roman" w:eastAsia="Times New Roman" w:hAnsi="Times New Roman"/>
          <w:sz w:val="18"/>
          <w:szCs w:val="18"/>
          <w:color w:val="auto"/>
        </w:rPr>
        <w:t>Our common stock is listed on The Nasdaq Global Select Market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trading symbol “BPMC.”</w:t>
      </w:r>
    </w:p>
    <w:p>
      <w:pPr>
        <w:spacing w:after="0" w:line="91" w:lineRule="exact"/>
        <w:rPr>
          <w:sz w:val="20"/>
          <w:szCs w:val="20"/>
          <w:color w:val="auto"/>
        </w:rPr>
      </w:pPr>
    </w:p>
    <w:p>
      <w:pPr>
        <w:ind w:left="126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Computershare Trust Company, N.A. is the transfer agent and registrar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common stock.</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324"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69"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15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0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provided in the applicable prospectus supplement, the preferred stock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dividend rights and rights upon our liquidation, dissolution or winding up of our affairs, rank:</w:t>
      </w:r>
    </w:p>
    <w:p>
      <w:pPr>
        <w:spacing w:after="0" w:line="272" w:lineRule="exact"/>
        <w:rPr>
          <w:sz w:val="20"/>
          <w:szCs w:val="20"/>
          <w:color w:val="auto"/>
        </w:rPr>
      </w:pPr>
    </w:p>
    <w:p>
      <w:pPr>
        <w:ind w:left="1800" w:right="6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56"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1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2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9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34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334" w:lineRule="exact"/>
        <w:rPr>
          <w:sz w:val="20"/>
          <w:szCs w:val="20"/>
          <w:color w:val="auto"/>
        </w:rPr>
      </w:pPr>
    </w:p>
    <w:p>
      <w:pPr>
        <w:ind w:left="126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mandatory redemption or redemption at our option, as a whole or in part, in each case upon the terms, at the times and at the redemption prices set forth in such prospectus supplement.</w:t>
      </w:r>
    </w:p>
    <w:p>
      <w:pPr>
        <w:spacing w:after="0" w:line="9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stock pursuant to conversion provisions specified in the applicable prospectus supplement. Notwithstanding the foregoing, we will not redeem any preferred stock of a series unless:</w:t>
      </w:r>
    </w:p>
    <w:p>
      <w:pPr>
        <w:spacing w:after="0" w:line="40" w:lineRule="exact"/>
        <w:rPr>
          <w:sz w:val="20"/>
          <w:szCs w:val="20"/>
          <w:color w:val="auto"/>
        </w:rPr>
      </w:pPr>
    </w:p>
    <w:p>
      <w:pPr>
        <w:ind w:left="1800" w:right="99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54"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17" w:lineRule="exact"/>
        <w:rPr>
          <w:sz w:val="20"/>
          <w:szCs w:val="20"/>
          <w:color w:val="auto"/>
        </w:rPr>
      </w:pPr>
    </w:p>
    <w:p>
      <w:pPr>
        <w:ind w:left="1800" w:right="47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9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10" w:lineRule="exact"/>
        <w:rPr>
          <w:sz w:val="20"/>
          <w:szCs w:val="20"/>
          <w:color w:val="auto"/>
        </w:rPr>
      </w:pPr>
    </w:p>
    <w:p>
      <w:pPr>
        <w:jc w:val="both"/>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61"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9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08"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indicated in the applicable prospectus supplement.</w:t>
      </w:r>
    </w:p>
    <w:p>
      <w:pPr>
        <w:spacing w:after="0" w:line="93"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0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325"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applicable prospectus supplement.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Effects of Authorized but Unissued Stock</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389"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color w:val="auto"/>
        </w:rPr>
        <w:t>Provisions of our Certificate of Incorporation and Bylaws and Delaware Law That May Have Anti-takeover Effects</w:t>
      </w:r>
    </w:p>
    <w:p>
      <w:pPr>
        <w:spacing w:after="0" w:line="9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0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Board Composition and Filling Vacancies. </w:t>
      </w:r>
      <w:r>
        <w:rPr>
          <w:rFonts w:ascii="Times New Roman" w:cs="Times New Roman" w:eastAsia="Times New Roman" w:hAnsi="Times New Roman"/>
          <w:sz w:val="18"/>
          <w:szCs w:val="18"/>
          <w:color w:val="auto"/>
        </w:rPr>
        <w:t>In accordance with our certificate of incorporation,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is divided into three classes serving three-year 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14" w:lineRule="exact"/>
        <w:rPr>
          <w:sz w:val="20"/>
          <w:szCs w:val="20"/>
          <w:color w:val="auto"/>
        </w:rPr>
      </w:pPr>
    </w:p>
    <w:p>
      <w:pPr>
        <w:ind w:left="1260" w:right="7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 Written Consent of Stockholders. </w:t>
      </w:r>
      <w:r>
        <w:rPr>
          <w:rFonts w:ascii="Times New Roman" w:cs="Times New Roman" w:eastAsia="Times New Roman" w:hAnsi="Times New Roman"/>
          <w:sz w:val="18"/>
          <w:szCs w:val="18"/>
          <w:color w:val="auto"/>
        </w:rPr>
        <w:t>Our certificate of incorporation provides that all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are required to be taken by a vote of the stockholders at an annual or special meeting, and that stockholders may not take any action by written consent in lieu of a meeting.</w:t>
      </w:r>
    </w:p>
    <w:p>
      <w:pPr>
        <w:spacing w:after="0" w:line="99" w:lineRule="exact"/>
        <w:rPr>
          <w:sz w:val="20"/>
          <w:szCs w:val="20"/>
          <w:color w:val="auto"/>
        </w:rPr>
      </w:pPr>
    </w:p>
    <w:p>
      <w:pPr>
        <w:ind w:left="1260" w:right="7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Meetings of Stockholders. </w:t>
      </w:r>
      <w:r>
        <w:rPr>
          <w:rFonts w:ascii="Times New Roman" w:cs="Times New Roman" w:eastAsia="Times New Roman" w:hAnsi="Times New Roman"/>
          <w:sz w:val="18"/>
          <w:szCs w:val="18"/>
          <w:color w:val="auto"/>
        </w:rPr>
        <w:t>Our bylaws provide that only a majority of the members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09"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w:t>
      </w:r>
      <w:r>
        <w:rPr>
          <w:rFonts w:ascii="Times New Roman" w:cs="Times New Roman" w:eastAsia="Times New Roman" w:hAnsi="Times New Roman"/>
          <w:sz w:val="18"/>
          <w:szCs w:val="18"/>
          <w:color w:val="auto"/>
        </w:rPr>
        <w:t>Our bylaws establish advance notice procedures with regard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32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Amendment to Certificate of Incorporation and Bylaws. </w:t>
      </w:r>
      <w:r>
        <w:rPr>
          <w:rFonts w:ascii="Times New Roman" w:cs="Times New Roman" w:eastAsia="Times New Roman" w:hAnsi="Times New Roman"/>
          <w:sz w:val="18"/>
          <w:szCs w:val="18"/>
          <w:color w:val="auto"/>
        </w:rPr>
        <w:t>As required by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any 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33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certificate of incorporation provides for 5,000,000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20" w:lineRule="exact"/>
        <w:rPr>
          <w:sz w:val="20"/>
          <w:szCs w:val="20"/>
          <w:color w:val="auto"/>
        </w:rPr>
      </w:pPr>
    </w:p>
    <w:p>
      <w:pPr>
        <w:ind w:left="1620"/>
        <w:spacing w:after="0"/>
        <w:tabs>
          <w:tab w:leader="none" w:pos="5940" w:val="left"/>
        </w:tabs>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r>
        <w:rPr>
          <w:sz w:val="20"/>
          <w:szCs w:val="20"/>
          <w:color w:val="auto"/>
        </w:rPr>
        <w:tab/>
      </w:r>
      <w:r>
        <w:rPr>
          <w:rFonts w:ascii="Times New Roman" w:cs="Times New Roman" w:eastAsia="Times New Roman" w:hAnsi="Times New Roman"/>
          <w:sz w:val="18"/>
          <w:szCs w:val="18"/>
          <w:color w:val="auto"/>
        </w:rPr>
        <w:t>We are subject to the provisions of</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203 of the DGCL regulating corporate takeovers. In general, Section 203 prohibits a publicly held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Delaware corporation from engaging, under certain circumstances, in a business combination with 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interested stockholder for a period of three years following the date the person became an interested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 unless:</w:t>
      </w:r>
    </w:p>
    <w:p>
      <w:pPr>
        <w:spacing w:after="0" w:line="99" w:lineRule="exact"/>
        <w:rPr>
          <w:sz w:val="20"/>
          <w:szCs w:val="20"/>
          <w:color w:val="auto"/>
        </w:rPr>
      </w:pPr>
    </w:p>
    <w:p>
      <w:pPr>
        <w:ind w:left="1800" w:right="73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296"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of the DGCL may discourage business combinations or other attempts that might result in a premium over the market price for the shares of common stock held by our stockholders.</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Delaware law and our certificate of incorporation and bylaws could have the effect of discouraging others from attempting hostile takeovers and, as a consequence,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8"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Exclusive Jurisdiction of Certain Actions. </w:t>
      </w:r>
      <w:r>
        <w:rPr>
          <w:rFonts w:ascii="Times New Roman" w:cs="Times New Roman" w:eastAsia="Times New Roman" w:hAnsi="Times New Roman"/>
          <w:sz w:val="18"/>
          <w:szCs w:val="18"/>
          <w:color w:val="auto"/>
        </w:rPr>
        <w:t>Our certificate of incorporation requires, to the fullest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permitted by law, that derivative actions brought in our name, actions against our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1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w:t>
      </w: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17"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68"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5"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53"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295"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53"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4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8" w:lineRule="exact"/>
        <w:rPr>
          <w:sz w:val="20"/>
          <w:szCs w:val="20"/>
          <w:color w:val="auto"/>
        </w:rPr>
      </w:pPr>
    </w:p>
    <w:p>
      <w:pPr>
        <w:ind w:left="1800" w:right="599" w:hanging="180"/>
        <w:spacing w:after="0" w:line="259"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94"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79" w:lineRule="exact"/>
        <w:rPr>
          <w:rFonts w:ascii="Times New Roman" w:cs="Times New Roman" w:eastAsia="Times New Roman" w:hAnsi="Times New Roman"/>
          <w:sz w:val="18"/>
          <w:szCs w:val="18"/>
          <w:color w:val="auto"/>
        </w:rPr>
      </w:pPr>
    </w:p>
    <w:p>
      <w:pPr>
        <w:jc w:val="both"/>
        <w:ind w:left="1800" w:right="459" w:hanging="180"/>
        <w:spacing w:after="0" w:line="258"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3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events of default regarding payment of principal, premium, if any, or interest, unless we have cured the default or event of default in accordance with the indenture. Any waiver shall cure the default or event of default.</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3"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0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08"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54" w:lineRule="exact"/>
        <w:rPr>
          <w:sz w:val="20"/>
          <w:szCs w:val="20"/>
          <w:color w:val="auto"/>
        </w:rPr>
      </w:pPr>
    </w:p>
    <w:p>
      <w:pPr>
        <w:ind w:left="1800" w:right="5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40"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95"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54"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17"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 —  Consolidation, Merger or Sale”;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5"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w:t>
      </w:r>
    </w:p>
    <w:p>
      <w:pPr>
        <w:spacing w:after="0" w:line="71"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8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3"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40"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48"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spacing w:after="0" w:line="297" w:lineRule="auto"/>
        <w:rPr>
          <w:sz w:val="20"/>
          <w:szCs w:val="20"/>
          <w:color w:val="auto"/>
        </w:rPr>
      </w:pPr>
      <w:r>
        <w:rPr>
          <w:rFonts w:ascii="Times New Roman" w:cs="Times New Roman" w:eastAsia="Times New Roman" w:hAnsi="Times New Roman"/>
          <w:sz w:val="18"/>
          <w:szCs w:val="18"/>
          <w:color w:val="auto"/>
        </w:rPr>
        <w:t>series can exchange the debt securities for other debt securities of the same series, in any authorized denomination and of like tenor and aggregate principal amount.</w:t>
      </w:r>
    </w:p>
    <w:p>
      <w:pPr>
        <w:spacing w:after="0" w:line="8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2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ind w:left="1800" w:right="439" w:hanging="180"/>
        <w:spacing w:after="0" w:line="263"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305"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9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24"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DESCRIPTION OF PURCHASE CONTRACTS AND PURCHASE UNITS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or sell to us, and obligating us to sell to or purchase from the holders, a specified number of shares of our common stock or preferred stock at a future date or dates, which we refer to in this prospectus as purchase contracts. The price per share of common stock or preferred stock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or preferred stock under the purchase contracts.</w:t>
      </w:r>
    </w:p>
    <w:p>
      <w:pPr>
        <w:spacing w:after="0" w:line="337"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99" w:lineRule="exact"/>
        <w:rPr>
          <w:sz w:val="20"/>
          <w:szCs w:val="20"/>
          <w:color w:val="auto"/>
        </w:rPr>
      </w:pPr>
    </w:p>
    <w:p>
      <w:pPr>
        <w:ind w:left="1260" w:right="135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purchase contracts and purchase units, including, if applicable, collateral or depositary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debt securities, common stock or preferred stock. We may offer warrants separately or together with one or more additional warrants, debt securities, common stock or preferred stock,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95" w:lineRule="exact"/>
        <w:rPr>
          <w:sz w:val="20"/>
          <w:szCs w:val="20"/>
          <w:color w:val="auto"/>
        </w:rPr>
      </w:pPr>
    </w:p>
    <w:p>
      <w:pPr>
        <w:ind w:left="1800" w:right="5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common stock or preferred stock with which the warrants are issued and, the number of warrants issued with each security;</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common stock or preferred stock will be separately transferable;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the number of shares of preferred stock purchasable upon exercise of a warrant and the price at which those shares may be purchased;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17"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 in negotiated sales or competitively bid transactions;</w:t>
      </w:r>
    </w:p>
    <w:p>
      <w:pPr>
        <w:spacing w:after="0" w:line="103"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w:t>
      </w:r>
    </w:p>
    <w:p>
      <w:pPr>
        <w:spacing w:after="0" w:line="14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17"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9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54"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14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16"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0" w:lineRule="exact"/>
        <w:rPr>
          <w:sz w:val="20"/>
          <w:szCs w:val="20"/>
          <w:color w:val="auto"/>
        </w:rPr>
      </w:pPr>
    </w:p>
    <w:p>
      <w:pPr>
        <w:ind w:left="1800" w:right="7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1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9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4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2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Goodwin Procter LLP, Boston, Massachusetts.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Blueprint Medicines Corporation appearing in Blueprint Medicines Corporation’s </w:t>
      </w:r>
      <w:hyperlink r:id="rId29">
        <w:r>
          <w:rPr>
            <w:rFonts w:ascii="Times New Roman" w:cs="Times New Roman" w:eastAsia="Times New Roman" w:hAnsi="Times New Roman"/>
            <w:sz w:val="18"/>
            <w:szCs w:val="18"/>
            <w:u w:val="single" w:color="auto"/>
            <w:color w:val="0000EE"/>
          </w:rPr>
          <w:t>Annual Report (Form 10-K) for the year ended December 31, 2022</w:t>
        </w:r>
      </w:hyperlink>
      <w:r>
        <w:rPr>
          <w:rFonts w:ascii="Times New Roman" w:cs="Times New Roman" w:eastAsia="Times New Roman" w:hAnsi="Times New Roman"/>
          <w:sz w:val="18"/>
          <w:szCs w:val="18"/>
          <w:color w:val="auto"/>
        </w:rPr>
        <w:t>, and the effectiveness of Blueprint Medicines Corporation’s internal control over financial reporting as of December 31, 2022,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27940</wp:posOffset>
            </wp:positionV>
            <wp:extent cx="5212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9"/>
          <w:szCs w:val="29"/>
          <w:b w:val="1"/>
          <w:bCs w:val="1"/>
          <w:color w:val="auto"/>
        </w:rPr>
        <w:t>Up to $300,000,000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309880</wp:posOffset>
            </wp:positionV>
            <wp:extent cx="3334385" cy="11315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333438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9"/>
          <w:szCs w:val="29"/>
          <w:b w:val="1"/>
          <w:bCs w:val="1"/>
          <w:color w:val="auto"/>
        </w:rPr>
        <w:t>Common Stock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969645</wp:posOffset>
            </wp:positionV>
            <wp:extent cx="1234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896620</wp:posOffset>
            </wp:positionV>
            <wp:extent cx="1234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9"/>
          <w:szCs w:val="29"/>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215265</wp:posOffset>
            </wp:positionV>
            <wp:extent cx="1234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212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48"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246380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Previously</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Paid In</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Proposed</w:t>
            </w:r>
          </w:p>
        </w:tc>
        <w:tc>
          <w:tcPr>
            <w:tcW w:w="80" w:type="dxa"/>
            <w:vAlign w:val="bottom"/>
          </w:tcPr>
          <w:p>
            <w:pPr>
              <w:spacing w:after="0"/>
              <w:rPr>
                <w:sz w:val="11"/>
                <w:szCs w:val="11"/>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Maximum</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with Unsold</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80" w:type="dxa"/>
            <w:vAlign w:val="bottom"/>
          </w:tcPr>
          <w:p>
            <w:pPr>
              <w:spacing w:after="0"/>
              <w:rPr>
                <w:sz w:val="11"/>
                <w:szCs w:val="11"/>
                <w:color w:val="auto"/>
              </w:rPr>
            </w:pPr>
          </w:p>
        </w:tc>
        <w:tc>
          <w:tcPr>
            <w:tcW w:w="9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88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10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5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80" w:type="dxa"/>
            <w:vAlign w:val="bottom"/>
          </w:tcPr>
          <w:p>
            <w:pPr>
              <w:spacing w:after="0"/>
              <w:rPr>
                <w:sz w:val="11"/>
                <w:szCs w:val="11"/>
                <w:color w:val="auto"/>
              </w:rPr>
            </w:pPr>
          </w:p>
        </w:tc>
        <w:tc>
          <w:tcPr>
            <w:tcW w:w="9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Registration</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Forward File</w:t>
            </w:r>
          </w:p>
        </w:tc>
        <w:tc>
          <w:tcPr>
            <w:tcW w:w="10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Forward Initial</w:t>
            </w:r>
          </w:p>
        </w:tc>
        <w:tc>
          <w:tcPr>
            <w:tcW w:w="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c>
          <w:tcPr>
            <w:tcW w:w="0" w:type="dxa"/>
            <w:vAlign w:val="bottom"/>
          </w:tcPr>
          <w:p>
            <w:pPr>
              <w:spacing w:after="0"/>
              <w:rPr>
                <w:sz w:val="1"/>
                <w:szCs w:val="1"/>
                <w:color w:val="auto"/>
              </w:rPr>
            </w:pPr>
          </w:p>
        </w:tc>
      </w:tr>
      <w:tr>
        <w:trPr>
          <w:trHeight w:val="162"/>
        </w:trPr>
        <w:tc>
          <w:tcPr>
            <w:tcW w:w="9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Security Class Title</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Registered</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2"/>
                <w:szCs w:val="12"/>
                <w:b w:val="1"/>
                <w:bCs w:val="1"/>
                <w:color w:val="auto"/>
              </w:rPr>
              <w:t>Price</w:t>
            </w:r>
            <w:r>
              <w:rPr>
                <w:rFonts w:ascii="Times New Roman" w:cs="Times New Roman" w:eastAsia="Times New Roman" w:hAnsi="Times New Roman"/>
                <w:sz w:val="18"/>
                <w:szCs w:val="18"/>
                <w:b w:val="1"/>
                <w:bCs w:val="1"/>
                <w:color w:val="auto"/>
                <w:vertAlign w:val="superscript"/>
              </w:rPr>
              <w:t>(1)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8"/>
              </w:rPr>
              <w:t>Fee Rate</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Fee</w:t>
            </w: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Form Type</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Forward</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9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320" w:type="dxa"/>
            <w:vAlign w:val="bottom"/>
            <w:gridSpan w:val="7"/>
            <w:shd w:val="clear" w:color="auto" w:fill="CCEEFF"/>
          </w:tcPr>
          <w:p>
            <w:pPr>
              <w:jc w:val="right"/>
              <w:ind w:right="417"/>
              <w:spacing w:after="0" w:line="115" w:lineRule="exact"/>
              <w:rPr>
                <w:sz w:val="20"/>
                <w:szCs w:val="20"/>
                <w:color w:val="auto"/>
              </w:rPr>
            </w:pPr>
            <w:r>
              <w:rPr>
                <w:rFonts w:ascii="Times New Roman" w:cs="Times New Roman" w:eastAsia="Times New Roman" w:hAnsi="Times New Roman"/>
                <w:sz w:val="13"/>
                <w:szCs w:val="13"/>
                <w:color w:val="auto"/>
              </w:rPr>
              <w:t>Newly Registered Securities</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Fees to Be Paid</w:t>
            </w:r>
          </w:p>
        </w:tc>
        <w:tc>
          <w:tcPr>
            <w:tcW w:w="52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3"/>
                <w:szCs w:val="13"/>
                <w:color w:val="auto"/>
                <w:w w:val="97"/>
              </w:rPr>
              <w:t>Equity</w:t>
            </w:r>
          </w:p>
        </w:tc>
        <w:tc>
          <w:tcPr>
            <w:tcW w:w="1080" w:type="dxa"/>
            <w:vAlign w:val="bottom"/>
          </w:tcPr>
          <w:p>
            <w:pPr>
              <w:jc w:val="center"/>
              <w:ind w:left="57"/>
              <w:spacing w:after="0" w:line="117" w:lineRule="exact"/>
              <w:rPr>
                <w:sz w:val="20"/>
                <w:szCs w:val="20"/>
                <w:color w:val="auto"/>
              </w:rPr>
            </w:pPr>
            <w:r>
              <w:rPr>
                <w:rFonts w:ascii="Times New Roman" w:cs="Times New Roman" w:eastAsia="Times New Roman" w:hAnsi="Times New Roman"/>
                <w:sz w:val="13"/>
                <w:szCs w:val="13"/>
                <w:color w:val="auto"/>
                <w:w w:val="94"/>
              </w:rPr>
              <w:t>Common Stock,</w:t>
            </w:r>
          </w:p>
        </w:tc>
        <w:tc>
          <w:tcPr>
            <w:tcW w:w="140" w:type="dxa"/>
            <w:vAlign w:val="bottom"/>
          </w:tcPr>
          <w:p>
            <w:pPr>
              <w:spacing w:after="0"/>
              <w:rPr>
                <w:sz w:val="10"/>
                <w:szCs w:val="10"/>
                <w:color w:val="auto"/>
              </w:rPr>
            </w:pPr>
          </w:p>
        </w:tc>
        <w:tc>
          <w:tcPr>
            <w:tcW w:w="94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3"/>
                <w:szCs w:val="13"/>
                <w:color w:val="auto"/>
                <w:w w:val="95"/>
              </w:rPr>
              <w:t>Rule 457(o)</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6"/>
              </w:rPr>
              <w:t>par value $0.001</w:t>
            </w:r>
          </w:p>
        </w:tc>
        <w:tc>
          <w:tcPr>
            <w:tcW w:w="140" w:type="dxa"/>
            <w:vAlign w:val="bottom"/>
          </w:tcPr>
          <w:p>
            <w:pPr>
              <w:spacing w:after="0"/>
              <w:rPr>
                <w:sz w:val="11"/>
                <w:szCs w:val="11"/>
                <w:color w:val="auto"/>
              </w:rPr>
            </w:pPr>
          </w:p>
        </w:tc>
        <w:tc>
          <w:tcPr>
            <w:tcW w:w="9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color w:val="auto"/>
                <w:w w:val="98"/>
              </w:rPr>
              <w:t>and Rule</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2"/>
              </w:rPr>
              <w:t>per share</w:t>
            </w:r>
          </w:p>
        </w:tc>
        <w:tc>
          <w:tcPr>
            <w:tcW w:w="140" w:type="dxa"/>
            <w:vAlign w:val="bottom"/>
          </w:tcPr>
          <w:p>
            <w:pPr>
              <w:spacing w:after="0"/>
              <w:rPr>
                <w:sz w:val="13"/>
                <w:szCs w:val="13"/>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457(r)</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6"/>
              </w:rPr>
              <w:t>$ 300,000,000</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$ 300,000,000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0.0001102</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33,060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9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6"/>
              </w:rPr>
              <w:t>Fees Previously</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Paid</w:t>
            </w:r>
          </w:p>
        </w:tc>
        <w:tc>
          <w:tcPr>
            <w:tcW w:w="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8"/>
          </w:tcPr>
          <w:p>
            <w:pPr>
              <w:jc w:val="right"/>
              <w:ind w:right="720"/>
              <w:spacing w:after="0" w:line="135" w:lineRule="exact"/>
              <w:rPr>
                <w:sz w:val="20"/>
                <w:szCs w:val="20"/>
                <w:color w:val="auto"/>
              </w:rPr>
            </w:pPr>
            <w:r>
              <w:rPr>
                <w:rFonts w:ascii="Times New Roman" w:cs="Times New Roman" w:eastAsia="Times New Roman" w:hAnsi="Times New Roman"/>
                <w:sz w:val="13"/>
                <w:szCs w:val="13"/>
                <w:color w:val="auto"/>
              </w:rPr>
              <w:t>Carry Forward 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Carry Forward</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Securities</w:t>
            </w:r>
          </w:p>
        </w:tc>
        <w:tc>
          <w:tcPr>
            <w:tcW w:w="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gridSpan w:val="4"/>
          </w:tcPr>
          <w:p>
            <w:pPr>
              <w:jc w:val="center"/>
              <w:ind w:left="857"/>
              <w:spacing w:after="0" w:line="135" w:lineRule="exact"/>
              <w:rPr>
                <w:sz w:val="20"/>
                <w:szCs w:val="20"/>
                <w:color w:val="auto"/>
              </w:rPr>
            </w:pPr>
            <w:r>
              <w:rPr>
                <w:rFonts w:ascii="Times New Roman" w:cs="Times New Roman" w:eastAsia="Times New Roman" w:hAnsi="Times New Roman"/>
                <w:sz w:val="13"/>
                <w:szCs w:val="13"/>
                <w:color w:val="auto"/>
                <w:w w:val="95"/>
              </w:rPr>
              <w:t>Total Offering Amount</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$ 300,000,000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33,060</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40" w:type="dxa"/>
            <w:vAlign w:val="bottom"/>
            <w:gridSpan w:val="6"/>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Total Fees Previously Paid</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5"/>
              </w:rPr>
              <w:t>Total Fee Offsets</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3"/>
                <w:szCs w:val="13"/>
                <w:color w:val="auto"/>
              </w:rPr>
              <w:t>27,810</w:t>
            </w:r>
            <w:r>
              <w:rPr>
                <w:rFonts w:ascii="Times New Roman" w:cs="Times New Roman" w:eastAsia="Times New Roman" w:hAnsi="Times New Roman"/>
                <w:sz w:val="20"/>
                <w:szCs w:val="20"/>
                <w:color w:val="auto"/>
                <w:vertAlign w:val="superscript"/>
              </w:rPr>
              <w:t>(2)</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7"/>
              </w:rPr>
              <w:t>Net Fee Due</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3"/>
                <w:szCs w:val="13"/>
                <w:color w:val="auto"/>
              </w:rPr>
              <w:t>5,250</w:t>
            </w:r>
            <w:r>
              <w:rPr>
                <w:rFonts w:ascii="Times New Roman" w:cs="Times New Roman" w:eastAsia="Times New Roman" w:hAnsi="Times New Roman"/>
                <w:sz w:val="20"/>
                <w:szCs w:val="20"/>
                <w:color w:val="auto"/>
                <w:vertAlign w:val="superscript"/>
              </w:rPr>
              <w:t>(2)</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maximum aggregate offering price is being used to calculate the registration fee pursuant to Rule 457(o) under the Securities Act of 1933, as amended.</w:t>
      </w:r>
    </w:p>
    <w:p>
      <w:pPr>
        <w:ind w:left="260" w:hanging="252"/>
        <w:spacing w:after="0" w:line="222" w:lineRule="auto"/>
        <w:tabs>
          <w:tab w:leader="none" w:pos="2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February 17, 2022, the registrant filed a prospectus supplement to the registration statement on Form S-3 dated February 13, 2020 (File No. 333-236424) (the “Prior Registration Statement”), registering the issuance of up to $300,000,000 of Common Stock of the registrant in an at-the-market equity offering of the registrant’s Common Stock (the “Prior ATM Common Stock”). The registration fee associated with the Prior ATM Common Stock was $27,810. The registrant sold no Prior ATM Common Stock pursuant to the Prior Registration Statement. Accordingly, the unused registration fee paid in connection with the Prior Registration Statement and the Prior ATM Common Stock is $27,810.</w:t>
      </w:r>
    </w:p>
    <w:p>
      <w:pPr>
        <w:spacing w:after="0" w:line="107" w:lineRule="exact"/>
        <w:rPr>
          <w:rFonts w:ascii="Times New Roman" w:cs="Times New Roman" w:eastAsia="Times New Roman" w:hAnsi="Times New Roman"/>
          <w:sz w:val="13"/>
          <w:szCs w:val="13"/>
          <w:color w:val="auto"/>
        </w:rPr>
      </w:pPr>
    </w:p>
    <w:p>
      <w:pPr>
        <w:ind w:left="260" w:right="80"/>
        <w:spacing w:after="0" w:line="23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Rule 457(p) under the Securities Act, the registration fee applicable to the $300,000,000 of Common Stock of the registrant being registered hereby in the amount of $33,060 is offset by $27,810 in registration fees previously paid by the registrant with respect to Prior ATM Common Stock that were registered but not issued pursuant to the Prior Registration Statement. Accordingly, $5,250 in registration fees are being paid at this time. Concurrently with the filing of this prospectus supplement, any offering of unsold Prior ATM Common Stock pursuant to the Prior Registration Statement is hereby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u w:val="single" w:color="auto"/>
          <w:color w:val="auto"/>
        </w:rPr>
        <w:t>Table 2: Fee Offset Claims and Sources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color w:val="auto"/>
                <w:w w:val="95"/>
              </w:rPr>
              <w:t>Unsold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1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400"/>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120" w:type="dxa"/>
            <w:vAlign w:val="bottom"/>
          </w:tcPr>
          <w:p>
            <w:pPr>
              <w:spacing w:after="0"/>
              <w:rPr>
                <w:sz w:val="11"/>
                <w:szCs w:val="11"/>
                <w:color w:val="auto"/>
              </w:rPr>
            </w:pPr>
          </w:p>
        </w:tc>
        <w:tc>
          <w:tcPr>
            <w:tcW w:w="1120" w:type="dxa"/>
            <w:vAlign w:val="bottom"/>
            <w:gridSpan w:val="3"/>
          </w:tcPr>
          <w:p>
            <w:pPr>
              <w:jc w:val="center"/>
              <w:ind w:right="400"/>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7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color w:val="auto"/>
                <w:w w:val="95"/>
              </w:rPr>
              <w:t>Fee</w:t>
            </w:r>
          </w:p>
        </w:tc>
      </w:tr>
      <w:tr>
        <w:trPr>
          <w:trHeight w:val="135"/>
        </w:trPr>
        <w:tc>
          <w:tcPr>
            <w:tcW w:w="1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89"/>
              </w:rPr>
              <w:t>Type</w:t>
            </w: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7"/>
              </w:rPr>
              <w:t>Title</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120" w:type="dxa"/>
            <w:vAlign w:val="bottom"/>
          </w:tcPr>
          <w:p>
            <w:pPr>
              <w:spacing w:after="0"/>
              <w:rPr>
                <w:sz w:val="11"/>
                <w:szCs w:val="11"/>
                <w:color w:val="auto"/>
              </w:rPr>
            </w:pPr>
          </w:p>
        </w:tc>
        <w:tc>
          <w:tcPr>
            <w:tcW w:w="1120" w:type="dxa"/>
            <w:vAlign w:val="bottom"/>
            <w:gridSpan w:val="3"/>
          </w:tcPr>
          <w:p>
            <w:pPr>
              <w:jc w:val="center"/>
              <w:ind w:right="380"/>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color w:val="auto"/>
                <w:w w:val="94"/>
              </w:rPr>
              <w:t>Paid</w:t>
            </w:r>
          </w:p>
        </w:tc>
      </w:tr>
      <w:tr>
        <w:trPr>
          <w:trHeight w:val="135"/>
        </w:trPr>
        <w:tc>
          <w:tcPr>
            <w:tcW w:w="1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120" w:type="dxa"/>
            <w:vAlign w:val="bottom"/>
          </w:tcPr>
          <w:p>
            <w:pPr>
              <w:spacing w:after="0"/>
              <w:rPr>
                <w:sz w:val="11"/>
                <w:szCs w:val="11"/>
                <w:color w:val="auto"/>
              </w:rPr>
            </w:pPr>
          </w:p>
        </w:tc>
        <w:tc>
          <w:tcPr>
            <w:tcW w:w="1120" w:type="dxa"/>
            <w:vAlign w:val="bottom"/>
            <w:gridSpan w:val="3"/>
          </w:tcPr>
          <w:p>
            <w:pPr>
              <w:jc w:val="center"/>
              <w:ind w:right="400"/>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7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13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7"/>
              </w:rPr>
              <w:t>Registrant</w:t>
            </w:r>
          </w:p>
        </w:tc>
        <w:tc>
          <w:tcPr>
            <w:tcW w:w="8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1"/>
              </w:rPr>
              <w:t>or</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Initial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20" w:type="dxa"/>
            <w:vAlign w:val="bottom"/>
          </w:tcPr>
          <w:p>
            <w:pPr>
              <w:spacing w:after="0"/>
              <w:rPr>
                <w:sz w:val="11"/>
                <w:szCs w:val="11"/>
                <w:color w:val="auto"/>
              </w:rPr>
            </w:pPr>
          </w:p>
        </w:tc>
        <w:tc>
          <w:tcPr>
            <w:tcW w:w="1120" w:type="dxa"/>
            <w:vAlign w:val="bottom"/>
            <w:gridSpan w:val="3"/>
          </w:tcPr>
          <w:p>
            <w:pPr>
              <w:jc w:val="center"/>
              <w:ind w:right="400"/>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7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color w:val="auto"/>
              </w:rPr>
              <w:t>Fee</w:t>
            </w:r>
          </w:p>
        </w:tc>
      </w:tr>
      <w:tr>
        <w:trPr>
          <w:trHeight w:val="135"/>
        </w:trPr>
        <w:tc>
          <w:tcPr>
            <w:tcW w:w="138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color w:val="auto"/>
                <w:w w:val="98"/>
              </w:rPr>
              <w:t>or Filer</w:t>
            </w:r>
          </w:p>
        </w:tc>
        <w:tc>
          <w:tcPr>
            <w:tcW w:w="8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90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File</w:t>
            </w:r>
          </w:p>
        </w:tc>
        <w:tc>
          <w:tcPr>
            <w:tcW w:w="9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Filing</w:t>
            </w:r>
          </w:p>
        </w:tc>
        <w:tc>
          <w:tcPr>
            <w:tcW w:w="880" w:type="dxa"/>
            <w:vAlign w:val="bottom"/>
            <w:gridSpan w:val="3"/>
          </w:tcPr>
          <w:p>
            <w:pPr>
              <w:jc w:val="right"/>
              <w:ind w:right="400"/>
              <w:spacing w:after="0" w:line="135" w:lineRule="exact"/>
              <w:rPr>
                <w:sz w:val="20"/>
                <w:szCs w:val="20"/>
                <w:color w:val="auto"/>
              </w:rPr>
            </w:pPr>
            <w:r>
              <w:rPr>
                <w:rFonts w:ascii="Times New Roman" w:cs="Times New Roman" w:eastAsia="Times New Roman" w:hAnsi="Times New Roman"/>
                <w:sz w:val="13"/>
                <w:szCs w:val="13"/>
                <w:color w:val="auto"/>
              </w:rPr>
              <w:t>Filing</w:t>
            </w:r>
          </w:p>
        </w:tc>
        <w:tc>
          <w:tcPr>
            <w:tcW w:w="8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7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20" w:type="dxa"/>
            <w:vAlign w:val="bottom"/>
          </w:tcPr>
          <w:p>
            <w:pPr>
              <w:spacing w:after="0"/>
              <w:rPr>
                <w:sz w:val="11"/>
                <w:szCs w:val="11"/>
                <w:color w:val="auto"/>
              </w:rPr>
            </w:pPr>
          </w:p>
        </w:tc>
        <w:tc>
          <w:tcPr>
            <w:tcW w:w="1120" w:type="dxa"/>
            <w:vAlign w:val="bottom"/>
            <w:gridSpan w:val="3"/>
          </w:tcPr>
          <w:p>
            <w:pPr>
              <w:jc w:val="center"/>
              <w:ind w:right="400"/>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7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color w:val="auto"/>
                <w:w w:val="92"/>
              </w:rPr>
              <w:t>Offset</w:t>
            </w:r>
          </w:p>
        </w:tc>
      </w:tr>
      <w:tr>
        <w:trPr>
          <w:trHeight w:val="153"/>
        </w:trPr>
        <w:tc>
          <w:tcPr>
            <w:tcW w:w="138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w:t>
            </w:r>
          </w:p>
        </w:tc>
        <w:tc>
          <w:tcPr>
            <w:tcW w:w="24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240" w:type="dxa"/>
            <w:vAlign w:val="bottom"/>
          </w:tcPr>
          <w:p>
            <w:pPr>
              <w:spacing w:after="0"/>
              <w:rPr>
                <w:sz w:val="13"/>
                <w:szCs w:val="13"/>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Number</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5"/>
              </w:rPr>
              <w:t>Claimed</w:t>
            </w:r>
          </w:p>
        </w:tc>
        <w:tc>
          <w:tcPr>
            <w:tcW w:w="26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Claimed</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Claimed</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Claimed</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4"/>
              </w:rPr>
              <w:t>Source</w:t>
            </w:r>
          </w:p>
        </w:tc>
        <w:tc>
          <w:tcPr>
            <w:tcW w:w="140" w:type="dxa"/>
            <w:vAlign w:val="bottom"/>
          </w:tcPr>
          <w:p>
            <w:pPr>
              <w:spacing w:after="0"/>
              <w:rPr>
                <w:sz w:val="13"/>
                <w:szCs w:val="13"/>
                <w:color w:val="auto"/>
              </w:rPr>
            </w:pPr>
          </w:p>
        </w:tc>
      </w:tr>
      <w:tr>
        <w:trPr>
          <w:trHeight w:val="128"/>
        </w:trPr>
        <w:tc>
          <w:tcPr>
            <w:tcW w:w="1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00" w:type="dxa"/>
            <w:vAlign w:val="bottom"/>
            <w:gridSpan w:val="5"/>
            <w:shd w:val="clear" w:color="auto" w:fill="CCEEFF"/>
          </w:tcPr>
          <w:p>
            <w:pPr>
              <w:jc w:val="right"/>
              <w:ind w:right="280"/>
              <w:spacing w:after="0" w:line="129" w:lineRule="exact"/>
              <w:rPr>
                <w:sz w:val="20"/>
                <w:szCs w:val="20"/>
                <w:color w:val="auto"/>
              </w:rPr>
            </w:pPr>
            <w:r>
              <w:rPr>
                <w:rFonts w:ascii="Times New Roman" w:cs="Times New Roman" w:eastAsia="Times New Roman" w:hAnsi="Times New Roman"/>
                <w:sz w:val="13"/>
                <w:szCs w:val="13"/>
                <w:color w:val="auto"/>
                <w:w w:val="99"/>
              </w:rPr>
              <w:t>Rule 457(b) and 0-11(a)(2)</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Fee Offset Claims</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20" w:type="dxa"/>
            <w:vAlign w:val="bottom"/>
            <w:gridSpan w:val="3"/>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Fee Offset Sources</w:t>
            </w:r>
          </w:p>
        </w:tc>
        <w:tc>
          <w:tcPr>
            <w:tcW w:w="900" w:type="dxa"/>
            <w:vAlign w:val="bottom"/>
            <w:gridSpan w:val="2"/>
            <w:shd w:val="clear" w:color="auto" w:fill="CCEEFF"/>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3"/>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5"/>
          </w:tcPr>
          <w:p>
            <w:pPr>
              <w:jc w:val="right"/>
              <w:ind w:right="660"/>
              <w:spacing w:after="0" w:line="135" w:lineRule="exact"/>
              <w:rPr>
                <w:sz w:val="20"/>
                <w:szCs w:val="20"/>
                <w:color w:val="auto"/>
              </w:rPr>
            </w:pPr>
            <w:r>
              <w:rPr>
                <w:rFonts w:ascii="Times New Roman" w:cs="Times New Roman" w:eastAsia="Times New Roman" w:hAnsi="Times New Roman"/>
                <w:sz w:val="13"/>
                <w:szCs w:val="13"/>
                <w:color w:val="auto"/>
              </w:rPr>
              <w:t>Rule 457(p)</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17"/>
        </w:trPr>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Fee Offset Claims</w:t>
            </w:r>
          </w:p>
        </w:tc>
        <w:tc>
          <w:tcPr>
            <w:tcW w:w="900" w:type="dxa"/>
            <w:vAlign w:val="bottom"/>
            <w:gridSpan w:val="2"/>
            <w:shd w:val="clear" w:color="auto" w:fill="CCEEFF"/>
          </w:tcPr>
          <w:p>
            <w:pPr>
              <w:jc w:val="center"/>
              <w:ind w:right="240"/>
              <w:spacing w:after="0" w:line="117" w:lineRule="exact"/>
              <w:rPr>
                <w:sz w:val="20"/>
                <w:szCs w:val="20"/>
                <w:color w:val="auto"/>
              </w:rPr>
            </w:pPr>
            <w:r>
              <w:rPr>
                <w:rFonts w:ascii="Times New Roman" w:cs="Times New Roman" w:eastAsia="Times New Roman" w:hAnsi="Times New Roman"/>
                <w:sz w:val="13"/>
                <w:szCs w:val="13"/>
                <w:color w:val="auto"/>
                <w:w w:val="93"/>
              </w:rPr>
              <w:t>Blueprint</w:t>
            </w: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right="240"/>
              <w:spacing w:after="0" w:line="117" w:lineRule="exact"/>
              <w:rPr>
                <w:sz w:val="20"/>
                <w:szCs w:val="20"/>
                <w:color w:val="auto"/>
              </w:rPr>
            </w:pPr>
            <w:r>
              <w:rPr>
                <w:rFonts w:ascii="Times New Roman" w:cs="Times New Roman" w:eastAsia="Times New Roman" w:hAnsi="Times New Roman"/>
                <w:sz w:val="13"/>
                <w:szCs w:val="13"/>
                <w:color w:val="auto"/>
                <w:w w:val="96"/>
              </w:rPr>
              <w:t>Common Stock,</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13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9"/>
              </w:rPr>
              <w:t>Medicines</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6"/>
              </w:rPr>
              <w:t>February 17,</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6"/>
              </w:rPr>
              <w:t>par value $0.001</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1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8"/>
              </w:rPr>
              <w:t>Corporation</w:t>
            </w:r>
          </w:p>
        </w:tc>
        <w:tc>
          <w:tcPr>
            <w:tcW w:w="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424(b)(5)</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333-236424</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2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27,810(2)</w:t>
            </w:r>
          </w:p>
        </w:tc>
        <w:tc>
          <w:tcPr>
            <w:tcW w:w="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w w:val="92"/>
              </w:rPr>
              <w:t>Equity</w:t>
            </w:r>
          </w:p>
        </w:tc>
        <w:tc>
          <w:tcPr>
            <w:tcW w:w="11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7"/>
              </w:rPr>
              <w:t>per share</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$ 300,000,000</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Fee Offset Sources</w:t>
            </w:r>
          </w:p>
        </w:tc>
        <w:tc>
          <w:tcPr>
            <w:tcW w:w="90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3"/>
                <w:szCs w:val="13"/>
                <w:color w:val="auto"/>
                <w:w w:val="93"/>
              </w:rPr>
              <w:t>Blueprint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138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9"/>
              </w:rPr>
              <w:t>Medicines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February 17,</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4"/>
        </w:trPr>
        <w:tc>
          <w:tcPr>
            <w:tcW w:w="13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8"/>
              </w:rPr>
              <w:t>Corporation</w:t>
            </w: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424(b)(5)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333-236424</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33,060(2)</w:t>
            </w:r>
          </w:p>
        </w:tc>
      </w:tr>
      <w:tr>
        <w:trPr>
          <w:trHeight w:val="421"/>
        </w:trPr>
        <w:tc>
          <w:tcPr>
            <w:tcW w:w="1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jpe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29" Type="http://schemas.openxmlformats.org/officeDocument/2006/relationships/hyperlink" Target="http://www.sec.gov/ix?doc=/Archives/edgar/data/1597264/000155837023001465/bpmc-20221231x10k.htm" TargetMode="External"/><Relationship Id="rId30" Type="http://schemas.openxmlformats.org/officeDocument/2006/relationships/hyperlink" Target="http://www.sec.gov/Archives/edgar/data/1597264/000155837022001316/bpmc-20211231x10k.htm" TargetMode="External"/><Relationship Id="rId31" Type="http://schemas.openxmlformats.org/officeDocument/2006/relationships/hyperlink" Target="http://www.sec.gov/Archives/edgar/data/1597264/000155837022006381/tmb-20220621xdef14a.htm" TargetMode="External"/><Relationship Id="rId32" Type="http://schemas.openxmlformats.org/officeDocument/2006/relationships/hyperlink" Target="http://www.sec.gov/Archives/edgar/data/1597264/000110465923001876/tm232336d1_8k.htm" TargetMode="External"/><Relationship Id="rId33" Type="http://schemas.openxmlformats.org/officeDocument/2006/relationships/hyperlink" Target="http://www.sec.gov/Archives/edgar/data/1597264/000110465923017984/tm236270d1_8k.htm" TargetMode="External"/><Relationship Id="rId34" Type="http://schemas.openxmlformats.org/officeDocument/2006/relationships/hyperlink" Target="http://www.sec.gov/Archives/edgar/data/1597264/000110465915030565/a15-4342_98a12b.htm" TargetMode="External"/><Relationship Id="rId63" Type="http://schemas.openxmlformats.org/officeDocument/2006/relationships/hyperlink" Target="http://www.sec.gov/ix?doc=/Archives/edgar/data/1597264/000155837022001316/bpmc-20211231x10k.htm" TargetMode="External"/><Relationship Id="rId64" Type="http://schemas.openxmlformats.org/officeDocument/2006/relationships/hyperlink" Target="http://www.sec.gov/ix?doc=/Archives/edgar/data/1597264/000110465923017984/tm236270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2023-02-17T07:10:31Z</dcterms:created>
  <dcterms:modified xsi:type="dcterms:W3CDTF">2023-02-17T07:10:31Z</dcterms:modified>
</cp:coreProperties>
</file>