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Durso-Bumpus Debra</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108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03/01/2020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26"/>
        <w:spacing w:after="0"/>
        <w:rPr>
          <w:sz w:val="20"/>
          <w:szCs w:val="20"/>
          <w:color w:val="auto"/>
        </w:rPr>
      </w:pPr>
      <w:r>
        <w:rPr>
          <w:rFonts w:ascii="Arial" w:cs="Arial" w:eastAsia="Arial" w:hAnsi="Arial"/>
          <w:sz w:val="17"/>
          <w:szCs w:val="17"/>
          <w:color w:val="0000FF"/>
        </w:rPr>
        <w:t>Chief People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03/01/2020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14,250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19,937</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54.13</w:t>
            </w:r>
          </w:p>
        </w:tc>
        <w:tc>
          <w:tcPr>
            <w:tcW w:w="1080" w:type="dxa"/>
            <w:vAlign w:val="bottom"/>
          </w:tcPr>
          <w:p>
            <w:pPr>
              <w:ind w:left="260"/>
              <w:spacing w:after="0"/>
              <w:rPr>
                <w:sz w:val="20"/>
                <w:szCs w:val="20"/>
                <w:color w:val="auto"/>
              </w:rPr>
            </w:pPr>
            <w:r>
              <w:rPr>
                <w:rFonts w:ascii="Arial" w:cs="Arial" w:eastAsia="Arial" w:hAnsi="Arial"/>
                <w:sz w:val="13"/>
                <w:szCs w:val="13"/>
                <w:color w:val="0000FF"/>
              </w:rPr>
              <w:t>03/01/2020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28,500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03/01/2030</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1"/>
              <w:spacing w:after="0"/>
              <w:rPr>
                <w:sz w:val="20"/>
                <w:szCs w:val="20"/>
                <w:color w:val="auto"/>
              </w:rPr>
            </w:pPr>
            <w:r>
              <w:rPr>
                <w:rFonts w:ascii="Arial" w:cs="Arial" w:eastAsia="Arial" w:hAnsi="Arial"/>
                <w:sz w:val="17"/>
                <w:szCs w:val="17"/>
                <w:color w:val="0000FF"/>
                <w:w w:val="88"/>
              </w:rPr>
              <w:t>28,500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28,500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involved the Reporting Person's receipt of a grant of 14,250 restricted stock units under Issuer's 2015 Stock Option and Incentive Plan. The Reporting Person has reported prior awards of restricted stock units in Table II of Form 4. The total reported in Column 5 includes the 14,250 newly awarded restricted stock units, and 5,687 previously reported restricted stock units, 1,422 of which vested on March 1, 2020.</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1/48th of the shares underlying the option on April 1, 2020 and as to an additional 1/48th of the shares underlying the option each month thereafter.</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2020-03-03T18:08:56Z</dcterms:created>
  <dcterms:modified xsi:type="dcterms:W3CDTF">2020-03-03T18:08:56Z</dcterms:modified>
</cp:coreProperties>
</file>